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628" w:rsidRPr="00385FDA" w:rsidRDefault="00575628" w:rsidP="00575628">
      <w:pPr>
        <w:pStyle w:val="MDPI21heading1"/>
        <w:spacing w:line="480" w:lineRule="auto"/>
        <w:ind w:left="0"/>
        <w:rPr>
          <w:rFonts w:ascii="Arial" w:hAnsi="Arial" w:cs="Arial"/>
          <w:color w:val="auto"/>
          <w:sz w:val="24"/>
          <w:szCs w:val="20"/>
          <w:lang w:eastAsia="zh-CN"/>
        </w:rPr>
      </w:pPr>
      <w:bookmarkStart w:id="0" w:name="_GoBack"/>
      <w:bookmarkEnd w:id="0"/>
      <w:r w:rsidRPr="004748BE">
        <w:rPr>
          <w:rFonts w:ascii="Arial" w:hAnsi="Arial" w:cs="Arial"/>
          <w:color w:val="auto"/>
          <w:sz w:val="24"/>
          <w:szCs w:val="20"/>
          <w:highlight w:val="yellow"/>
          <w:lang w:eastAsia="zh-CN"/>
        </w:rPr>
        <w:t xml:space="preserve">Supplementary </w:t>
      </w:r>
      <w:r>
        <w:rPr>
          <w:rFonts w:ascii="Arial" w:hAnsi="Arial" w:cs="Arial"/>
          <w:color w:val="auto"/>
          <w:sz w:val="24"/>
          <w:szCs w:val="20"/>
          <w:highlight w:val="yellow"/>
          <w:lang w:eastAsia="zh-CN"/>
        </w:rPr>
        <w:t>Table</w:t>
      </w:r>
      <w:r w:rsidRPr="004748BE">
        <w:rPr>
          <w:rFonts w:ascii="Arial" w:hAnsi="Arial" w:cs="Arial"/>
          <w:color w:val="auto"/>
          <w:sz w:val="24"/>
          <w:szCs w:val="20"/>
          <w:highlight w:val="yellow"/>
          <w:lang w:eastAsia="zh-CN"/>
        </w:rPr>
        <w:t xml:space="preserve"> 1</w:t>
      </w:r>
    </w:p>
    <w:p w:rsidR="00575628" w:rsidRPr="00A14F04" w:rsidRDefault="00575628" w:rsidP="00575628">
      <w:pPr>
        <w:pStyle w:val="MDPI41tablecaption"/>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1</w:t>
      </w:r>
      <w:r w:rsidRPr="00A14F04">
        <w:rPr>
          <w:rFonts w:ascii="Arial" w:hAnsi="Arial" w:cs="Arial"/>
          <w:b/>
          <w:color w:val="auto"/>
          <w:sz w:val="20"/>
          <w:szCs w:val="20"/>
        </w:rPr>
        <w:t xml:space="preserve">. </w:t>
      </w:r>
      <w:r w:rsidRPr="00A14F04">
        <w:rPr>
          <w:rFonts w:ascii="Arial" w:hAnsi="Arial" w:cs="Arial"/>
          <w:color w:val="auto"/>
          <w:sz w:val="20"/>
          <w:szCs w:val="20"/>
        </w:rPr>
        <w:t>General summarization of reviewed articles.</w:t>
      </w:r>
    </w:p>
    <w:tbl>
      <w:tblPr>
        <w:tblW w:w="14390" w:type="dxa"/>
        <w:tblCellMar>
          <w:top w:w="72" w:type="dxa"/>
          <w:left w:w="43" w:type="dxa"/>
          <w:bottom w:w="72" w:type="dxa"/>
          <w:right w:w="43" w:type="dxa"/>
        </w:tblCellMar>
        <w:tblLook w:val="04A0" w:firstRow="1" w:lastRow="0" w:firstColumn="1" w:lastColumn="0" w:noHBand="0" w:noVBand="1"/>
      </w:tblPr>
      <w:tblGrid>
        <w:gridCol w:w="1006"/>
        <w:gridCol w:w="1742"/>
        <w:gridCol w:w="1406"/>
        <w:gridCol w:w="1512"/>
        <w:gridCol w:w="1626"/>
        <w:gridCol w:w="1644"/>
        <w:gridCol w:w="3743"/>
        <w:gridCol w:w="1721"/>
      </w:tblGrid>
      <w:tr w:rsidR="00575628" w:rsidRPr="00A14F04" w:rsidTr="006B7DC3">
        <w:trPr>
          <w:trHeight w:val="300"/>
        </w:trPr>
        <w:tc>
          <w:tcPr>
            <w:tcW w:w="1037"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Paper</w:t>
            </w:r>
          </w:p>
        </w:tc>
        <w:tc>
          <w:tcPr>
            <w:tcW w:w="1130" w:type="dxa"/>
            <w:tcBorders>
              <w:top w:val="single" w:sz="4" w:space="0" w:color="auto"/>
              <w:bottom w:val="single" w:sz="4" w:space="0" w:color="auto"/>
            </w:tcBorders>
            <w:vAlign w:val="center"/>
          </w:tcPr>
          <w:p w:rsidR="00575628" w:rsidRPr="004C25B5" w:rsidRDefault="00575628" w:rsidP="006B7DC3">
            <w:pPr>
              <w:spacing w:after="0" w:line="240" w:lineRule="auto"/>
              <w:rPr>
                <w:rFonts w:ascii="Arial" w:eastAsia="Times New Roman" w:hAnsi="Arial" w:cs="Arial"/>
                <w:b/>
                <w:bCs/>
                <w:sz w:val="20"/>
                <w:szCs w:val="20"/>
                <w:highlight w:val="yellow"/>
              </w:rPr>
            </w:pPr>
            <w:r w:rsidRPr="004C25B5">
              <w:rPr>
                <w:rFonts w:ascii="Arial" w:eastAsia="Times New Roman" w:hAnsi="Arial" w:cs="Arial"/>
                <w:b/>
                <w:bCs/>
                <w:sz w:val="20"/>
                <w:szCs w:val="20"/>
                <w:highlight w:val="yellow"/>
              </w:rPr>
              <w:t>Drug(s) explored</w:t>
            </w:r>
          </w:p>
        </w:tc>
        <w:tc>
          <w:tcPr>
            <w:tcW w:w="145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EHR data</w:t>
            </w:r>
          </w:p>
        </w:tc>
        <w:tc>
          <w:tcPr>
            <w:tcW w:w="156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hAnsi="Arial" w:cs="Arial"/>
                <w:b/>
                <w:bCs/>
                <w:sz w:val="20"/>
                <w:szCs w:val="20"/>
              </w:rPr>
            </w:pPr>
            <w:r w:rsidRPr="00A14F04">
              <w:rPr>
                <w:rFonts w:ascii="Arial" w:hAnsi="Arial" w:cs="Arial"/>
                <w:b/>
                <w:bCs/>
                <w:sz w:val="20"/>
                <w:szCs w:val="20"/>
              </w:rPr>
              <w:t>Contribution of EHR</w:t>
            </w:r>
          </w:p>
        </w:tc>
        <w:tc>
          <w:tcPr>
            <w:tcW w:w="1677"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Predictive methods</w:t>
            </w:r>
          </w:p>
        </w:tc>
        <w:tc>
          <w:tcPr>
            <w:tcW w:w="1696"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Validation methods</w:t>
            </w:r>
          </w:p>
        </w:tc>
        <w:tc>
          <w:tcPr>
            <w:tcW w:w="3865"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Results</w:t>
            </w:r>
          </w:p>
        </w:tc>
        <w:tc>
          <w:tcPr>
            <w:tcW w:w="1975" w:type="dxa"/>
            <w:tcBorders>
              <w:top w:val="single" w:sz="4" w:space="0" w:color="auto"/>
              <w:bottom w:val="single" w:sz="4" w:space="0" w:color="auto"/>
            </w:tcBorders>
            <w:vAlign w:val="center"/>
          </w:tcPr>
          <w:p w:rsidR="00575628" w:rsidRPr="00A14F04" w:rsidRDefault="00575628" w:rsidP="006B7DC3">
            <w:pPr>
              <w:spacing w:after="0" w:line="240" w:lineRule="auto"/>
              <w:rPr>
                <w:rFonts w:ascii="Arial" w:eastAsia="Times New Roman" w:hAnsi="Arial" w:cs="Arial"/>
                <w:b/>
                <w:bCs/>
                <w:sz w:val="20"/>
                <w:szCs w:val="20"/>
              </w:rPr>
            </w:pPr>
            <w:r w:rsidRPr="00A14F04">
              <w:rPr>
                <w:rFonts w:ascii="Arial" w:eastAsia="Times New Roman" w:hAnsi="Arial" w:cs="Arial"/>
                <w:b/>
                <w:bCs/>
                <w:sz w:val="20"/>
                <w:szCs w:val="20"/>
              </w:rPr>
              <w:t>Limitations/future work</w:t>
            </w:r>
          </w:p>
        </w:tc>
      </w:tr>
      <w:tr w:rsidR="00575628" w:rsidRPr="00A14F04" w:rsidTr="006B7DC3">
        <w:trPr>
          <w:trHeight w:val="300"/>
        </w:trPr>
        <w:tc>
          <w:tcPr>
            <w:tcW w:w="1037" w:type="dxa"/>
            <w:tcBorders>
              <w:top w:val="single" w:sz="4" w:space="0" w:color="auto"/>
            </w:tcBorders>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bCs/>
                <w:sz w:val="18"/>
                <w:szCs w:val="18"/>
              </w:rPr>
              <w:t xml:space="preserve">Goldstein  et al </w:t>
            </w:r>
            <w:r w:rsidRPr="004C25B5">
              <w:rPr>
                <w:rFonts w:ascii="Arial" w:hAnsi="Arial" w:cs="Arial"/>
                <w:bCs/>
                <w:sz w:val="18"/>
                <w:szCs w:val="18"/>
              </w:rPr>
              <w:fldChar w:fldCharType="begin"/>
            </w:r>
            <w:r w:rsidRPr="004C25B5">
              <w:rPr>
                <w:rFonts w:ascii="Arial" w:hAnsi="Arial" w:cs="Arial"/>
                <w:bCs/>
                <w:sz w:val="18"/>
                <w:szCs w:val="18"/>
              </w:rPr>
              <w:instrText xml:space="preserve"> ADDIN EN.CITE &lt;EndNote&gt;&lt;Cite&gt;&lt;Author&gt;Goldstein&lt;/Author&gt;&lt;Year&gt;2018&lt;/Year&gt;&lt;RecNum&gt;431&lt;/RecNum&gt;&lt;DisplayText&gt;&lt;style face="superscript"&gt;17&lt;/style&gt;&lt;/DisplayText&gt;&lt;record&gt;&lt;rec-number&gt;431&lt;/rec-number&gt;&lt;foreign-keys&gt;&lt;key app="EN" db-id="waeppwvvowz0z5es9scxvwwnwte25s55w2dp" timestamp="1623948380"&gt;431&lt;/key&gt;&lt;/foreign-keys&gt;&lt;ref-type name="Journal Article"&gt;17&lt;/ref-type&gt;&lt;contributors&gt;&lt;authors&gt;&lt;author&gt;Goldstein, Jeffery A&lt;/author&gt;&lt;author&gt;Bastarache, Lisa A&lt;/author&gt;&lt;author&gt;Denny, Joshua C&lt;/author&gt;&lt;author&gt;Roden, Dan M&lt;/author&gt;&lt;author&gt;Pulley, Jill M&lt;/author&gt;&lt;author&gt;Aronoff, David M&lt;/author&gt;&lt;/authors&gt;&lt;/contributors&gt;&lt;titles&gt;&lt;title&gt;Calcium channel blockers as drug repurposing candidates for gestational diabetes: Mining large scale genomic and electronic health records data to repurpose medications&lt;/title&gt;&lt;secondary-title&gt;Pharmacological research&lt;/secondary-title&gt;&lt;/titles&gt;&lt;periodical&gt;&lt;full-title&gt;Pharmacological research&lt;/full-title&gt;&lt;/periodical&gt;&lt;pages&gt;44-51&lt;/pages&gt;&lt;volume&gt;130&lt;/volume&gt;&lt;dates&gt;&lt;year&gt;2018&lt;/year&gt;&lt;/dates&gt;&lt;isbn&gt;1043-6618&lt;/isbn&gt;&lt;urls&gt;&lt;/urls&gt;&lt;/record&gt;&lt;/Cite&gt;&lt;/EndNote&gt;</w:instrText>
            </w:r>
            <w:r w:rsidRPr="004C25B5">
              <w:rPr>
                <w:rFonts w:ascii="Arial" w:hAnsi="Arial" w:cs="Arial"/>
                <w:bCs/>
                <w:sz w:val="18"/>
                <w:szCs w:val="18"/>
              </w:rPr>
              <w:fldChar w:fldCharType="separate"/>
            </w:r>
            <w:r w:rsidRPr="004C25B5">
              <w:rPr>
                <w:rFonts w:ascii="Arial" w:hAnsi="Arial" w:cs="Arial"/>
                <w:bCs/>
                <w:noProof/>
                <w:sz w:val="18"/>
                <w:szCs w:val="18"/>
                <w:vertAlign w:val="superscript"/>
              </w:rPr>
              <w:t>17</w:t>
            </w:r>
            <w:r w:rsidRPr="004C25B5">
              <w:rPr>
                <w:rFonts w:ascii="Arial" w:hAnsi="Arial" w:cs="Arial"/>
                <w:bCs/>
                <w:sz w:val="18"/>
                <w:szCs w:val="18"/>
              </w:rPr>
              <w:fldChar w:fldCharType="end"/>
            </w:r>
          </w:p>
        </w:tc>
        <w:tc>
          <w:tcPr>
            <w:tcW w:w="1130" w:type="dxa"/>
            <w:tcBorders>
              <w:top w:val="single" w:sz="4" w:space="0" w:color="auto"/>
            </w:tcBorders>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Calcium Channel Blockers</w:t>
            </w:r>
          </w:p>
        </w:tc>
        <w:tc>
          <w:tcPr>
            <w:tcW w:w="1450" w:type="dxa"/>
            <w:tcBorders>
              <w:top w:val="single" w:sz="4" w:space="0" w:color="auto"/>
            </w:tcBorders>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 9960 patients with glucose tolerance test (DTT) from Synthetic Derivative (SD), a de-identified image of Vanderbilt University Medical Center’s electronic medical record (EMR), 2) 37,380 patients from BioVU</w:t>
            </w:r>
          </w:p>
        </w:tc>
        <w:tc>
          <w:tcPr>
            <w:tcW w:w="1560" w:type="dxa"/>
            <w:tcBorders>
              <w:top w:val="single" w:sz="4" w:space="0" w:color="auto"/>
            </w:tcBorders>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(diagnoses, laboratory tests)</w:t>
            </w:r>
          </w:p>
        </w:tc>
        <w:tc>
          <w:tcPr>
            <w:tcW w:w="1677"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Logistic regression, Multivariate regression</w:t>
            </w:r>
          </w:p>
        </w:tc>
        <w:tc>
          <w:tcPr>
            <w:tcW w:w="1696"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p>
        </w:tc>
        <w:tc>
          <w:tcPr>
            <w:tcW w:w="3865"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6 drug classes were associated with changes in </w:t>
            </w:r>
            <w:r>
              <w:rPr>
                <w:rFonts w:ascii="Arial" w:eastAsia="Times New Roman" w:hAnsi="Arial" w:cs="Arial"/>
                <w:sz w:val="18"/>
                <w:szCs w:val="18"/>
              </w:rPr>
              <w:t xml:space="preserve">the </w:t>
            </w:r>
            <w:r w:rsidRPr="00A14F04">
              <w:rPr>
                <w:rFonts w:ascii="Arial" w:eastAsia="Times New Roman" w:hAnsi="Arial" w:cs="Arial"/>
                <w:sz w:val="18"/>
                <w:szCs w:val="18"/>
              </w:rPr>
              <w:t xml:space="preserve">glucose tolerance test (GTT). </w:t>
            </w:r>
            <w:r w:rsidRPr="00F90FEA">
              <w:rPr>
                <w:rFonts w:ascii="Arial" w:eastAsia="Times New Roman" w:hAnsi="Arial" w:cs="Arial"/>
                <w:sz w:val="18"/>
                <w:szCs w:val="18"/>
                <w:highlight w:val="yellow"/>
              </w:rPr>
              <w:t>L-type calcium channel blocking antihypertensives (CCBs), was associated with a 3.18mg/dL</w:t>
            </w:r>
            <w:r w:rsidRPr="00A14F04">
              <w:rPr>
                <w:rFonts w:ascii="Arial" w:eastAsia="Times New Roman" w:hAnsi="Arial" w:cs="Arial"/>
                <w:sz w:val="18"/>
                <w:szCs w:val="18"/>
              </w:rPr>
              <w:t xml:space="preserve"> (95% CI −6.18 to −0.18) decrease in glucose during GTT, and Serotonin receptor type 3 (5HT-3) antagonist antinausea medications were associated with a 3.54mg/dL (95% CI 1.86 to 5.23) increase in glucose during GTT.</w:t>
            </w:r>
          </w:p>
        </w:tc>
        <w:tc>
          <w:tcPr>
            <w:tcW w:w="1975" w:type="dxa"/>
            <w:tcBorders>
              <w:top w:val="single" w:sz="4" w:space="0" w:color="auto"/>
            </w:tcBorders>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D</w:t>
            </w:r>
            <w:r w:rsidRPr="00A14F04">
              <w:rPr>
                <w:rFonts w:ascii="Arial" w:eastAsia="Times New Roman" w:hAnsi="Arial" w:cs="Arial"/>
                <w:sz w:val="18"/>
                <w:szCs w:val="18"/>
              </w:rPr>
              <w:t xml:space="preserve">ata bias, 2) </w:t>
            </w:r>
            <w:r>
              <w:rPr>
                <w:rFonts w:ascii="Arial" w:eastAsia="Times New Roman" w:hAnsi="Arial" w:cs="Arial"/>
                <w:sz w:val="18"/>
                <w:szCs w:val="18"/>
              </w:rPr>
              <w:t>Small sample size, 3) D</w:t>
            </w:r>
            <w:r w:rsidRPr="00A14F04">
              <w:rPr>
                <w:rFonts w:ascii="Arial" w:eastAsia="Times New Roman" w:hAnsi="Arial" w:cs="Arial"/>
                <w:sz w:val="18"/>
                <w:szCs w:val="18"/>
              </w:rPr>
              <w:t>iagnosis misclassification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bCs/>
                <w:sz w:val="18"/>
                <w:szCs w:val="18"/>
              </w:rPr>
              <w:t xml:space="preserve">Xu et al </w:t>
            </w:r>
            <w:r w:rsidRPr="004C25B5">
              <w:rPr>
                <w:rFonts w:ascii="Arial" w:hAnsi="Arial" w:cs="Arial"/>
                <w:bCs/>
                <w:sz w:val="18"/>
                <w:szCs w:val="18"/>
              </w:rPr>
              <w:fldChar w:fldCharType="begin"/>
            </w:r>
            <w:r w:rsidRPr="004C25B5">
              <w:rPr>
                <w:rFonts w:ascii="Arial" w:hAnsi="Arial" w:cs="Arial"/>
                <w:bCs/>
                <w:sz w:val="18"/>
                <w:szCs w:val="18"/>
              </w:rPr>
              <w:instrText xml:space="preserve"> ADDIN EN.CITE &lt;EndNote&gt;&lt;Cite&gt;&lt;Author&gt;Xu&lt;/Author&gt;&lt;Year&gt;2014&lt;/Year&gt;&lt;RecNum&gt;100&lt;/RecNum&gt;&lt;DisplayText&gt;&lt;style face="superscript"&gt;18&lt;/style&gt;&lt;/DisplayText&gt;&lt;record&gt;&lt;rec-number&gt;100&lt;/rec-number&gt;&lt;foreign-keys&gt;&lt;key app="EN" db-id="waeppwvvowz0z5es9scxvwwnwte25s55w2dp" timestamp="1549223345"&gt;100&lt;/key&gt;&lt;/foreign-keys&gt;&lt;ref-type name="Journal Article"&gt;17&lt;/ref-type&gt;&lt;contributors&gt;&lt;authors&gt;&lt;author&gt;Xu, Hua&lt;/author&gt;&lt;author&gt;Aldrich, Melinda C&lt;/author&gt;&lt;author&gt;Chen, Qingxia&lt;/author&gt;&lt;author&gt;Liu, Hongfang&lt;/author&gt;&lt;author&gt;Peterson, Neeraja B&lt;/author&gt;&lt;author&gt;Dai, Qi&lt;/author&gt;&lt;author&gt;Levy, Mia&lt;/author&gt;&lt;author&gt;Shah, Anushi&lt;/author&gt;&lt;author&gt;Han, Xue&lt;/author&gt;&lt;author&gt;Ruan, Xiaoyang&lt;/author&gt;&lt;/authors&gt;&lt;/contributors&gt;&lt;titles&gt;&lt;title&gt;Validating drug repurposing signals using electronic health records: a case study of metformin associated with reduced cancer mortality&lt;/title&gt;&lt;secondary-title&gt;Journal of the American Medical Informatics Association&lt;/secondary-title&gt;&lt;/titles&gt;&lt;periodical&gt;&lt;full-title&gt;Journal of the American Medical Informatics Association&lt;/full-title&gt;&lt;/periodical&gt;&lt;pages&gt;179-191&lt;/pages&gt;&lt;volume&gt;22&lt;/volume&gt;&lt;number&gt;1&lt;/number&gt;&lt;dates&gt;&lt;year&gt;2014&lt;/year&gt;&lt;/dates&gt;&lt;isbn&gt;1527-974X&lt;/isbn&gt;&lt;urls&gt;&lt;/urls&gt;&lt;/record&gt;&lt;/Cite&gt;&lt;/EndNote&gt;</w:instrText>
            </w:r>
            <w:r w:rsidRPr="004C25B5">
              <w:rPr>
                <w:rFonts w:ascii="Arial" w:hAnsi="Arial" w:cs="Arial"/>
                <w:bCs/>
                <w:sz w:val="18"/>
                <w:szCs w:val="18"/>
              </w:rPr>
              <w:fldChar w:fldCharType="separate"/>
            </w:r>
            <w:r w:rsidRPr="004C25B5">
              <w:rPr>
                <w:rFonts w:ascii="Arial" w:hAnsi="Arial" w:cs="Arial"/>
                <w:bCs/>
                <w:noProof/>
                <w:sz w:val="18"/>
                <w:szCs w:val="18"/>
                <w:vertAlign w:val="superscript"/>
              </w:rPr>
              <w:t>18</w:t>
            </w:r>
            <w:r w:rsidRPr="004C25B5">
              <w:rPr>
                <w:rFonts w:ascii="Arial" w:hAnsi="Arial" w:cs="Arial"/>
                <w:bCs/>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Metformin</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 32 415 adults with a cancer diagnosis at Vanderbilt, and 2) 79 258 cancer patients at Mayo from 1995 to 2010</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(drug and mortality)</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Cox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the potential drugs using stratified Cox proportional hazard models.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Metformin was associated with a 22% decrease in overall mortality compared to other oral hypoglycemic medications (HR 0.78; 95% CI 0.69 to 0.88) and with a 39% decrease compared to type 2 diabetes patients on insulin only (HR 0.61; 95% CI 0.50 to 0.73). Diabetic patients on metformin also had a 23% improved survival compared with non-diabetic patients (HR 0.77; 95% CI 0.71 to 0.85)</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w:t>
            </w:r>
            <w:r>
              <w:rPr>
                <w:rFonts w:ascii="Arial" w:eastAsia="Times New Roman" w:hAnsi="Arial" w:cs="Arial"/>
                <w:sz w:val="18"/>
                <w:szCs w:val="18"/>
              </w:rPr>
              <w:t>Incomplete data, 2) E</w:t>
            </w:r>
            <w:r w:rsidRPr="00A14F04">
              <w:rPr>
                <w:rFonts w:ascii="Arial" w:eastAsia="Times New Roman" w:hAnsi="Arial" w:cs="Arial"/>
                <w:sz w:val="18"/>
                <w:szCs w:val="18"/>
              </w:rPr>
              <w:t>xpos</w:t>
            </w:r>
            <w:r>
              <w:rPr>
                <w:rFonts w:ascii="Arial" w:eastAsia="Times New Roman" w:hAnsi="Arial" w:cs="Arial"/>
                <w:sz w:val="18"/>
                <w:szCs w:val="18"/>
              </w:rPr>
              <w:t>ure time misclassification, 3) D</w:t>
            </w:r>
            <w:r w:rsidRPr="00A14F04">
              <w:rPr>
                <w:rFonts w:ascii="Arial" w:eastAsia="Times New Roman" w:hAnsi="Arial" w:cs="Arial"/>
                <w:sz w:val="18"/>
                <w:szCs w:val="18"/>
              </w:rPr>
              <w:t xml:space="preserve">ata bias </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Wu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19</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 xml:space="preserve">146 Drugs </w:t>
            </w:r>
            <w:r w:rsidRPr="004C25B5">
              <w:rPr>
                <w:rFonts w:ascii="Arial" w:eastAsia="Times New Roman" w:hAnsi="Arial" w:cs="Arial"/>
                <w:sz w:val="18"/>
                <w:szCs w:val="18"/>
                <w:highlight w:val="yellow"/>
              </w:rPr>
              <w:t>from six drug classes (statins, proton pump inhibitors, angiotensin-converting</w:t>
            </w:r>
            <w:r w:rsidRPr="004C25B5">
              <w:rPr>
                <w:rFonts w:ascii="Arial" w:eastAsia="Times New Roman" w:hAnsi="Arial" w:cs="Arial"/>
                <w:sz w:val="18"/>
                <w:szCs w:val="18"/>
                <w:highlight w:val="yellow"/>
              </w:rPr>
              <w:br/>
              <w:t>enzyme inhibitors, β-blockers, nonsteroidal anti-inflammatory drugs, and α-1 blockers)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 43,310 adults with a cancer diagnosis at Vanderbilt, and 2) 98,366 cancer patients at Mayo from 1995 to 2010</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(drug effect on cancer survival)</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Cox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Search biomedical literature for supporting evidence, 2) Search human interventional cancer trials for supporting evidence</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22 drugs from six drug classes (statins, proton pump inhibitors, angiotensin-converting enzyme inhibitors, β-blockers, nonsteroidal anti-inflammatory drugs, and α-1 </w:t>
            </w:r>
            <w:r w:rsidRPr="00F90FEA">
              <w:rPr>
                <w:rFonts w:ascii="Arial" w:eastAsia="Times New Roman" w:hAnsi="Arial" w:cs="Arial"/>
                <w:sz w:val="18"/>
                <w:szCs w:val="18"/>
                <w:highlight w:val="yellow"/>
              </w:rPr>
              <w:t>blockers) were associated with improved</w:t>
            </w:r>
            <w:r w:rsidRPr="00A14F04">
              <w:rPr>
                <w:rFonts w:ascii="Arial" w:eastAsia="Times New Roman" w:hAnsi="Arial" w:cs="Arial"/>
                <w:sz w:val="18"/>
                <w:szCs w:val="18"/>
              </w:rPr>
              <w:t xml:space="preserve"> overall cancer survival (false discovery rate, &lt;0.1) from VUMC; nine of the 22 drug associations were replicated at the Mayo Clinic.</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ncomplet</w:t>
            </w:r>
            <w:r>
              <w:rPr>
                <w:rFonts w:ascii="Arial" w:eastAsia="Times New Roman" w:hAnsi="Arial" w:cs="Arial"/>
                <w:sz w:val="18"/>
                <w:szCs w:val="18"/>
              </w:rPr>
              <w:t>e data, 2) U</w:t>
            </w:r>
            <w:r w:rsidRPr="00A14F04">
              <w:rPr>
                <w:rFonts w:ascii="Arial" w:eastAsia="Times New Roman" w:hAnsi="Arial" w:cs="Arial"/>
                <w:sz w:val="18"/>
                <w:szCs w:val="18"/>
              </w:rPr>
              <w:t>nmeasured confounding factors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lastRenderedPageBreak/>
              <w:t xml:space="preserve">Zhou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20</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Pioglitazone, Liraglutide, Varenicline, Prednisone (amongst others, 30+ presented in the paper)</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72 million patients from </w:t>
            </w:r>
            <w:r w:rsidRPr="00F90FEA">
              <w:rPr>
                <w:rFonts w:ascii="Arial" w:eastAsia="Times New Roman" w:hAnsi="Arial" w:cs="Arial"/>
                <w:sz w:val="18"/>
                <w:szCs w:val="18"/>
                <w:highlight w:val="yellow"/>
              </w:rPr>
              <w:t>the</w:t>
            </w:r>
            <w:r>
              <w:rPr>
                <w:rFonts w:ascii="Arial" w:eastAsia="Times New Roman" w:hAnsi="Arial" w:cs="Arial"/>
                <w:sz w:val="18"/>
                <w:szCs w:val="18"/>
              </w:rPr>
              <w:t xml:space="preserve"> </w:t>
            </w:r>
            <w:r w:rsidRPr="004C25B5">
              <w:rPr>
                <w:rFonts w:ascii="Arial" w:eastAsia="Times New Roman" w:hAnsi="Arial" w:cs="Arial"/>
                <w:sz w:val="18"/>
                <w:szCs w:val="18"/>
              </w:rPr>
              <w:t>IBM Watson Health Explorys database</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(drug and disease)</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Network-based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Validated internally based on k-fold cross-validation of drug-target pairs, 2) Validated the potential drugs by clinical trials, 3) Validate the potential drugs by EHR-based case-control studies</w:t>
            </w:r>
          </w:p>
        </w:tc>
        <w:tc>
          <w:tcPr>
            <w:tcW w:w="3865" w:type="dxa"/>
            <w:shd w:val="clear" w:color="auto" w:fill="auto"/>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area under the receiver operating characteristic (ROC) curve was</w:t>
            </w:r>
            <w:r w:rsidRPr="00A14F04">
              <w:rPr>
                <w:rFonts w:ascii="Arial" w:eastAsia="Times New Roman" w:hAnsi="Arial" w:cs="Arial"/>
                <w:sz w:val="18"/>
                <w:szCs w:val="18"/>
              </w:rPr>
              <w:br/>
              <w:t xml:space="preserve">0.97 in the de novo cross-validation when evaluated using 910 drugs. TargetPredict outperformed a state-of-the-art phenome-driven DTI prediction system as measured by precision-recall curves [measured by average precision (MAP): 0.28 versus 0.23, P-value&lt; 0.0001]. The EHR-based case-control studies identified that the prescription's top-ranked repositioned drugs are significantly associated with lower odds of AD diagnosis. </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Incomplete data, 2) D</w:t>
            </w:r>
            <w:r w:rsidRPr="00A14F04">
              <w:rPr>
                <w:rFonts w:ascii="Arial" w:eastAsia="Times New Roman" w:hAnsi="Arial" w:cs="Arial"/>
                <w:sz w:val="18"/>
                <w:szCs w:val="18"/>
              </w:rPr>
              <w:t>ata bias, 3)</w:t>
            </w:r>
            <w:r>
              <w:rPr>
                <w:rFonts w:ascii="Arial" w:eastAsia="Times New Roman" w:hAnsi="Arial" w:cs="Arial"/>
                <w:sz w:val="18"/>
                <w:szCs w:val="18"/>
              </w:rPr>
              <w:t xml:space="preserve"> I</w:t>
            </w:r>
            <w:r w:rsidRPr="00A14F04">
              <w:rPr>
                <w:rFonts w:ascii="Arial" w:eastAsia="Times New Roman" w:hAnsi="Arial" w:cs="Arial"/>
                <w:sz w:val="18"/>
                <w:szCs w:val="18"/>
              </w:rPr>
              <w:t>ncomplete knowledge</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Dang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21</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Unspecified</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4000 patients extracted from the MIMIC II database</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(drug diagnosis information)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Pairwise mutual information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Evaluated by the literature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74.6 % for recall of retrieved new indications</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w:t>
            </w:r>
            <w:r>
              <w:rPr>
                <w:rFonts w:ascii="Arial" w:eastAsia="Times New Roman" w:hAnsi="Arial" w:cs="Arial"/>
                <w:sz w:val="18"/>
                <w:szCs w:val="18"/>
                <w:highlight w:val="yellow"/>
              </w:rPr>
              <w:t>I</w:t>
            </w:r>
            <w:r w:rsidRPr="00F90FEA">
              <w:rPr>
                <w:rFonts w:ascii="Arial" w:eastAsia="Times New Roman" w:hAnsi="Arial" w:cs="Arial"/>
                <w:sz w:val="18"/>
                <w:szCs w:val="18"/>
                <w:highlight w:val="yellow"/>
              </w:rPr>
              <w:t>neffective</w:t>
            </w:r>
            <w:r w:rsidRPr="00A14F04">
              <w:rPr>
                <w:rFonts w:ascii="Arial" w:eastAsia="Times New Roman" w:hAnsi="Arial" w:cs="Arial"/>
                <w:sz w:val="18"/>
                <w:szCs w:val="18"/>
              </w:rPr>
              <w:t xml:space="preserve"> for rare drugs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Tatonetti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&lt;EndNote&gt;&lt;Cite&gt;&lt;Author&gt;Tatonetti&lt;/Author&gt;&lt;Year&gt;2012&lt;/Year&gt;&lt;RecNum&gt;435&lt;/RecNum&gt;&lt;DisplayText&gt;&lt;style face="superscript"&gt;22&lt;/style&gt;&lt;/DisplayText&gt;&lt;record&gt;&lt;rec-number&gt;435&lt;/rec-number&gt;&lt;foreign-keys&gt;&lt;key app="EN" db-id="waeppwvvowz0z5es9scxvwwnwte25s55w2dp" timestamp="1623948838"&gt;435&lt;/key&gt;&lt;/foreign-keys&gt;&lt;ref-type name="Journal Article"&gt;17&lt;/ref-type&gt;&lt;contributors&gt;&lt;authors&gt;&lt;author&gt;Tatonetti, Nicholas P&lt;/author&gt;&lt;author&gt;Patrick, P Ye&lt;/author&gt;&lt;author&gt;Daneshjou, Roxana&lt;/author&gt;&lt;author&gt;Altman, Russ B&lt;/author&gt;&lt;/authors&gt;&lt;/contributors&gt;&lt;titles&gt;&lt;title&gt;Data-driven prediction of drug effects and interactions&lt;/title&gt;&lt;secondary-title&gt;Science translational medicine&lt;/secondary-title&gt;&lt;/titles&gt;&lt;periodical&gt;&lt;full-title&gt;Science translational medicine&lt;/full-title&gt;&lt;/periodical&gt;&lt;pages&gt;125ra31-125ra31&lt;/pages&gt;&lt;volume&gt;4&lt;/volume&gt;&lt;number&gt;125&lt;/number&gt;&lt;dates&gt;&lt;year&gt;2012&lt;/year&gt;&lt;/dates&gt;&lt;isbn&gt;1946-6234&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22</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Unspecified</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 1,851,171 adverse event reports in the AERS from the FDA’s Web site from the first quarter of 2004 to the first quarter of 2009, 2) Canada’s MedEffect resource, the sister database to the AERS containing about 300,000 adverse event reports </w:t>
            </w:r>
            <w:r>
              <w:rPr>
                <w:rFonts w:ascii="Arial" w:eastAsia="Times New Roman" w:hAnsi="Arial" w:cs="Arial"/>
                <w:sz w:val="18"/>
                <w:szCs w:val="18"/>
              </w:rPr>
              <w:t xml:space="preserve">from an </w:t>
            </w:r>
            <w:r w:rsidRPr="004C25B5">
              <w:rPr>
                <w:rFonts w:ascii="Arial" w:eastAsia="Times New Roman" w:hAnsi="Arial" w:cs="Arial"/>
                <w:sz w:val="18"/>
                <w:szCs w:val="18"/>
              </w:rPr>
              <w:t>independent database of the adverse event reports in AERS of 2009 to 2010</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(adverse event)</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Similarity-based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with DrugBank, Matador, and Psychoactive Drug Screening Program (PDSP) chemical databases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40 most likely candidate drugs for glaucoma treatment were highlighted based false discovery rate (FDR)</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Lack causative inference, 2) Missing data, 3) D</w:t>
            </w:r>
            <w:r w:rsidRPr="00A14F04">
              <w:rPr>
                <w:rFonts w:ascii="Arial" w:eastAsia="Times New Roman" w:hAnsi="Arial" w:cs="Arial"/>
                <w:sz w:val="18"/>
                <w:szCs w:val="18"/>
              </w:rPr>
              <w:t xml:space="preserve">ata quality, 4) </w:t>
            </w:r>
            <w:r>
              <w:rPr>
                <w:rFonts w:ascii="Arial" w:eastAsia="Times New Roman" w:hAnsi="Arial" w:cs="Arial"/>
                <w:sz w:val="18"/>
                <w:szCs w:val="18"/>
                <w:highlight w:val="yellow"/>
              </w:rPr>
              <w:t>I</w:t>
            </w:r>
            <w:r w:rsidRPr="00F90FEA">
              <w:rPr>
                <w:rFonts w:ascii="Arial" w:eastAsia="Times New Roman" w:hAnsi="Arial" w:cs="Arial"/>
                <w:sz w:val="18"/>
                <w:szCs w:val="18"/>
                <w:highlight w:val="yellow"/>
              </w:rPr>
              <w:t>neffective</w:t>
            </w:r>
            <w:r w:rsidRPr="00A14F04">
              <w:rPr>
                <w:rFonts w:ascii="Arial" w:eastAsia="Times New Roman" w:hAnsi="Arial" w:cs="Arial"/>
                <w:sz w:val="18"/>
                <w:szCs w:val="18"/>
              </w:rPr>
              <w:t xml:space="preserve"> for rare events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Kim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&lt;EndNote&gt;&lt;Cite&gt;&lt;Author&gt;Kim&lt;/Author&gt;&lt;Year&gt;2020&lt;/Year&gt;&lt;RecNum&gt;438&lt;/RecNum&gt;&lt;DisplayText&gt;&lt;style face="superscript"&gt;26&lt;/style&gt;&lt;/DisplayText&gt;&lt;record&gt;&lt;rec-number&gt;438&lt;/rec-number&gt;&lt;foreign-keys&gt;&lt;key app="EN" db-id="waeppwvvowz0z5es9scxvwwnwte25s55w2</w:instrText>
            </w:r>
            <w:r w:rsidRPr="004C25B5">
              <w:rPr>
                <w:rFonts w:ascii="Arial" w:hAnsi="Arial" w:cs="Arial" w:hint="eastAsia"/>
                <w:sz w:val="18"/>
                <w:szCs w:val="18"/>
              </w:rPr>
              <w:instrText>dp" timestamp="1624049224"&gt;438&lt;/key&gt;&lt;/foreign-keys&gt;&lt;ref-type name="Journal Article"&gt;17&lt;/ref-type&gt;&lt;contributors&gt;&lt;authors&gt;&lt;author&gt;Kim, Do</w:instrText>
            </w:r>
            <w:r w:rsidRPr="004C25B5">
              <w:rPr>
                <w:rFonts w:ascii="Arial" w:hAnsi="Arial" w:cs="Arial" w:hint="eastAsia"/>
                <w:sz w:val="18"/>
                <w:szCs w:val="18"/>
              </w:rPr>
              <w:instrText>‐</w:instrText>
            </w:r>
            <w:r w:rsidRPr="004C25B5">
              <w:rPr>
                <w:rFonts w:ascii="Arial" w:hAnsi="Arial" w:cs="Arial" w:hint="eastAsia"/>
                <w:sz w:val="18"/>
                <w:szCs w:val="18"/>
              </w:rPr>
              <w:instrText>Hoon&lt;/author&gt;&lt;author&gt;Lee, Jung</w:instrText>
            </w:r>
            <w:r w:rsidRPr="004C25B5">
              <w:rPr>
                <w:rFonts w:ascii="Arial" w:hAnsi="Arial" w:cs="Arial" w:hint="eastAsia"/>
                <w:sz w:val="18"/>
                <w:szCs w:val="18"/>
              </w:rPr>
              <w:instrText>‐</w:instrText>
            </w:r>
            <w:r w:rsidRPr="004C25B5">
              <w:rPr>
                <w:rFonts w:ascii="Arial" w:hAnsi="Arial" w:cs="Arial" w:hint="eastAsia"/>
                <w:sz w:val="18"/>
                <w:szCs w:val="18"/>
              </w:rPr>
              <w:instrText>Eun&lt;/author&gt;&lt;author&gt;Kim, Yong</w:instrText>
            </w:r>
            <w:r w:rsidRPr="004C25B5">
              <w:rPr>
                <w:rFonts w:ascii="Arial" w:hAnsi="Arial" w:cs="Arial" w:hint="eastAsia"/>
                <w:sz w:val="18"/>
                <w:szCs w:val="18"/>
              </w:rPr>
              <w:instrText>‐</w:instrText>
            </w:r>
            <w:r w:rsidRPr="004C25B5">
              <w:rPr>
                <w:rFonts w:ascii="Arial" w:hAnsi="Arial" w:cs="Arial" w:hint="eastAsia"/>
                <w:sz w:val="18"/>
                <w:szCs w:val="18"/>
              </w:rPr>
              <w:instrText>Gil&lt;/author&gt;&lt;author&gt;Lee, Yura&lt;/author&gt;&lt;author&gt;Seo, Dong</w:instrText>
            </w:r>
            <w:r w:rsidRPr="004C25B5">
              <w:rPr>
                <w:rFonts w:ascii="Arial" w:hAnsi="Arial" w:cs="Arial" w:hint="eastAsia"/>
                <w:sz w:val="18"/>
                <w:szCs w:val="18"/>
              </w:rPr>
              <w:instrText>‐</w:instrText>
            </w:r>
            <w:r w:rsidRPr="004C25B5">
              <w:rPr>
                <w:rFonts w:ascii="Arial" w:hAnsi="Arial" w:cs="Arial" w:hint="eastAsia"/>
                <w:sz w:val="18"/>
                <w:szCs w:val="18"/>
              </w:rPr>
              <w:instrText>Woo&lt;/author&gt;&lt;author&gt;Lee, Kye Hwa&lt;/author&gt;&lt;author&gt;Lee, Jae</w:instrText>
            </w:r>
            <w:r w:rsidRPr="004C25B5">
              <w:rPr>
                <w:rFonts w:ascii="Arial" w:hAnsi="Arial" w:cs="Arial" w:hint="eastAsia"/>
                <w:sz w:val="18"/>
                <w:szCs w:val="18"/>
              </w:rPr>
              <w:instrText>‐</w:instrText>
            </w:r>
            <w:r w:rsidRPr="004C25B5">
              <w:rPr>
                <w:rFonts w:ascii="Arial" w:hAnsi="Arial" w:cs="Arial" w:hint="eastAsia"/>
                <w:sz w:val="18"/>
                <w:szCs w:val="18"/>
              </w:rPr>
              <w:instrText>Ho&lt;/author&gt;&lt;author&gt;Kim, Woo Sung&lt;/author&gt;&lt;author&gt;Kim, Young</w:instrText>
            </w:r>
            <w:r w:rsidRPr="004C25B5">
              <w:rPr>
                <w:rFonts w:ascii="Arial" w:hAnsi="Arial" w:cs="Arial" w:hint="eastAsia"/>
                <w:sz w:val="18"/>
                <w:szCs w:val="18"/>
              </w:rPr>
              <w:instrText>‐</w:instrText>
            </w:r>
            <w:r w:rsidRPr="004C25B5">
              <w:rPr>
                <w:rFonts w:ascii="Arial" w:hAnsi="Arial" w:cs="Arial" w:hint="eastAsia"/>
                <w:sz w:val="18"/>
                <w:szCs w:val="18"/>
              </w:rPr>
              <w:instrText>Hak&lt;/author&gt;&lt;author&gt;Oh, Ji Seon&lt;/author&gt;&lt;/authors&gt;&lt;/contributors&gt;&lt;titles&gt;&lt;title&gt;High</w:instrText>
            </w:r>
            <w:r w:rsidRPr="004C25B5">
              <w:rPr>
                <w:rFonts w:ascii="Arial" w:hAnsi="Arial" w:cs="Arial" w:hint="eastAsia"/>
                <w:sz w:val="18"/>
                <w:szCs w:val="18"/>
              </w:rPr>
              <w:instrText>‐</w:instrText>
            </w:r>
            <w:r w:rsidRPr="004C25B5">
              <w:rPr>
                <w:rFonts w:ascii="Arial" w:hAnsi="Arial" w:cs="Arial" w:hint="eastAsia"/>
                <w:sz w:val="18"/>
                <w:szCs w:val="18"/>
              </w:rPr>
              <w:instrText>Throughput Algorithm for Discovering New Drug Indications by Utilizing Large</w:instrText>
            </w:r>
            <w:r w:rsidRPr="004C25B5">
              <w:rPr>
                <w:rFonts w:ascii="Arial" w:hAnsi="Arial" w:cs="Arial" w:hint="eastAsia"/>
                <w:sz w:val="18"/>
                <w:szCs w:val="18"/>
              </w:rPr>
              <w:instrText>‐</w:instrText>
            </w:r>
            <w:r w:rsidRPr="004C25B5">
              <w:rPr>
                <w:rFonts w:ascii="Arial" w:hAnsi="Arial" w:cs="Arial" w:hint="eastAsia"/>
                <w:sz w:val="18"/>
                <w:szCs w:val="18"/>
              </w:rPr>
              <w:instrText>Scale Electronic Medical Record Data&lt;/title&gt;&lt;secondary-title&gt;Clinical Pharmacology &amp;amp; Therapeutics&lt;/secondary-title&gt;&lt;/titles&gt;&lt;periodical&gt;&lt;full-title&gt;Clinical Pharmacology &amp;amp; Therapeutics&lt;/full-title&gt;&lt;/periodical&gt;&lt;pages&gt;1299-13</w:instrText>
            </w:r>
            <w:r w:rsidRPr="004C25B5">
              <w:rPr>
                <w:rFonts w:ascii="Arial" w:hAnsi="Arial" w:cs="Arial"/>
                <w:sz w:val="18"/>
                <w:szCs w:val="18"/>
              </w:rPr>
              <w:instrText>07&lt;/pages&gt;&lt;volume&gt;108&lt;/volume&gt;&lt;number&gt;6&lt;/number&gt;&lt;dates&gt;&lt;year&gt;2020&lt;/year&gt;&lt;/dates&gt;&lt;isbn&gt;0009-9236&lt;/isbn&gt;&lt;urls&gt;&lt;/urls&gt;&lt;/record&gt;&lt;/Cite&gt;&lt;/EndNote&gt;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26</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5 Distinct Drug Candidates</w:t>
            </w:r>
            <w:r w:rsidRPr="004C25B5">
              <w:rPr>
                <w:rFonts w:ascii="Arial" w:eastAsia="Times New Roman" w:hAnsi="Arial" w:cs="Arial"/>
                <w:sz w:val="18"/>
                <w:szCs w:val="18"/>
                <w:highlight w:val="yellow"/>
              </w:rPr>
              <w:t xml:space="preserve"> that increas</w:t>
            </w:r>
            <w:r w:rsidRPr="004C25B5">
              <w:rPr>
                <w:rFonts w:ascii="Arial" w:eastAsia="Times New Roman" w:hAnsi="Arial" w:cs="Arial" w:hint="eastAsia"/>
                <w:sz w:val="18"/>
                <w:szCs w:val="18"/>
                <w:highlight w:val="yellow"/>
              </w:rPr>
              <w:t>e</w:t>
            </w:r>
            <w:r w:rsidRPr="004C25B5">
              <w:rPr>
                <w:rFonts w:ascii="Arial" w:eastAsia="Times New Roman" w:hAnsi="Arial" w:cs="Arial"/>
                <w:sz w:val="18"/>
                <w:szCs w:val="18"/>
                <w:highlight w:val="yellow"/>
              </w:rPr>
              <w:t>/decrease hemoglobin A1c</w:t>
            </w:r>
            <w:r w:rsidRPr="004C25B5">
              <w:rPr>
                <w:rFonts w:ascii="Arial" w:eastAsia="Times New Roman" w:hAnsi="Arial" w:cs="Arial"/>
                <w:sz w:val="18"/>
                <w:szCs w:val="18"/>
                <w:highlight w:val="yellow"/>
              </w:rPr>
              <w:br/>
              <w:t>(HbA1c), low-density lipoprotein (LDL) cholesterol, triglycerides (TG), and high-density</w:t>
            </w:r>
            <w:r w:rsidRPr="004C25B5">
              <w:rPr>
                <w:rFonts w:ascii="Arial" w:eastAsia="Times New Roman" w:hAnsi="Arial" w:cs="Arial"/>
                <w:sz w:val="18"/>
                <w:szCs w:val="18"/>
                <w:highlight w:val="yellow"/>
              </w:rPr>
              <w:br/>
            </w:r>
            <w:r w:rsidRPr="004C25B5">
              <w:rPr>
                <w:rFonts w:ascii="Arial" w:eastAsia="Times New Roman" w:hAnsi="Arial" w:cs="Arial"/>
                <w:sz w:val="18"/>
                <w:szCs w:val="18"/>
                <w:highlight w:val="yellow"/>
              </w:rPr>
              <w:lastRenderedPageBreak/>
              <w:t>lipoprotein (HDL) cholesterol</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lastRenderedPageBreak/>
              <w:t>Patients in Asan Medical Center, Seoul, Korea, from 2013 to 2017</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(laboratory tests, drugs)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with anatomical therapeutic classification (ATC), and literature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Among 1774 drugs, 45 were associated with increases in HDL cholesterol, and 41, 146, and 65 were associated with reductions in HbA1c, LDL cholesterol, and TG, respectively. The algorithm had high values for both sensitivity (range, 0.95–1.00) and negative predictive value (range, 0.95–1.00)</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Incomprehensive validation, 2) D</w:t>
            </w:r>
            <w:r w:rsidRPr="00A14F04">
              <w:rPr>
                <w:rFonts w:ascii="Arial" w:eastAsia="Times New Roman" w:hAnsi="Arial" w:cs="Arial"/>
                <w:sz w:val="18"/>
                <w:szCs w:val="18"/>
              </w:rPr>
              <w:t>ata bias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Paik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27</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Terbutaline sulfate</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530,000 patients from </w:t>
            </w:r>
            <w:r>
              <w:rPr>
                <w:rFonts w:ascii="Arial" w:eastAsia="Times New Roman" w:hAnsi="Arial" w:cs="Arial"/>
                <w:sz w:val="18"/>
                <w:szCs w:val="18"/>
              </w:rPr>
              <w:t xml:space="preserve">the </w:t>
            </w:r>
            <w:r w:rsidRPr="004C25B5">
              <w:rPr>
                <w:rFonts w:ascii="Arial" w:eastAsia="Times New Roman" w:hAnsi="Arial" w:cs="Arial"/>
                <w:sz w:val="18"/>
                <w:szCs w:val="18"/>
              </w:rPr>
              <w:t>tertiary hospital</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(similarity measures for drug- and disease pairs), validation (drug and disease)</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Network, and 2) similarity-based </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Evaluated based on tenfold cross-validation, 2) Validated the potential therapeutic effect of terbutaline sulfate in an in a vivo zebrafish model of amyotrophic lateral sclerosis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ClinDR outperformed other methods in terms of AUC ROC based on cross-validation. </w:t>
            </w:r>
            <w:r w:rsidRPr="00F84E44">
              <w:rPr>
                <w:rFonts w:ascii="Arial" w:eastAsia="Times New Roman" w:hAnsi="Arial" w:cs="Arial"/>
                <w:sz w:val="18"/>
                <w:szCs w:val="18"/>
                <w:highlight w:val="yellow"/>
              </w:rPr>
              <w:t xml:space="preserve">Terbutaline sulfate is </w:t>
            </w:r>
            <w:r>
              <w:rPr>
                <w:rFonts w:ascii="Arial" w:eastAsia="Times New Roman" w:hAnsi="Arial" w:cs="Arial"/>
                <w:sz w:val="18"/>
                <w:szCs w:val="18"/>
                <w:highlight w:val="yellow"/>
              </w:rPr>
              <w:t>discovered</w:t>
            </w:r>
            <w:r w:rsidRPr="00F84E44">
              <w:rPr>
                <w:rFonts w:ascii="Arial" w:eastAsia="Times New Roman" w:hAnsi="Arial" w:cs="Arial"/>
                <w:sz w:val="18"/>
                <w:szCs w:val="18"/>
                <w:highlight w:val="yellow"/>
              </w:rPr>
              <w:t xml:space="preserve"> as a promising candidate for amyotrophic lateral sclerosis.</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S</w:t>
            </w:r>
            <w:r w:rsidRPr="00A14F04">
              <w:rPr>
                <w:rFonts w:ascii="Arial" w:eastAsia="Times New Roman" w:hAnsi="Arial" w:cs="Arial"/>
                <w:sz w:val="18"/>
                <w:szCs w:val="18"/>
              </w:rPr>
              <w:t>ingle EHR database</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Challa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28</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 xml:space="preserve">14 Distinct Drugs </w:t>
            </w:r>
            <w:r w:rsidRPr="004C25B5">
              <w:rPr>
                <w:rFonts w:ascii="Arial" w:eastAsia="Times New Roman" w:hAnsi="Arial" w:cs="Arial"/>
                <w:sz w:val="18"/>
                <w:szCs w:val="18"/>
                <w:highlight w:val="yellow"/>
              </w:rPr>
              <w:t>across 7 disease areas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Patients from Vanderbilt University Medical Center</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(billing codes)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Chi-squared test, and 2) Fisher’s exact 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227 ‘‘target-action pairs’’ of the pool of 237 ‘‘pairs’’ demonstrated cross-listed SNPs/SNVs, giving 96% total SNP/SNV coverage for the ExomeChip population in BioVU, is determined. </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Small sample size, 2) Incomplete knowledge, 3) W</w:t>
            </w:r>
            <w:r w:rsidRPr="00A14F04">
              <w:rPr>
                <w:rFonts w:ascii="Arial" w:eastAsia="Times New Roman" w:hAnsi="Arial" w:cs="Arial"/>
                <w:sz w:val="18"/>
                <w:szCs w:val="18"/>
              </w:rPr>
              <w:t>ithout considering drug toxicity</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Nordon et al</w:t>
            </w:r>
            <w:r w:rsidRPr="004C25B5">
              <w:rPr>
                <w:rFonts w:ascii="Arial" w:hAnsi="Arial" w:cs="Arial"/>
                <w:bCs/>
                <w:sz w:val="18"/>
                <w:szCs w:val="18"/>
              </w:rPr>
              <w:t xml:space="preserve">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29</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 xml:space="preserve">Statins, </w:t>
            </w:r>
            <w:r w:rsidRPr="00786A4E">
              <w:rPr>
                <w:rFonts w:ascii="Arial" w:eastAsia="Times New Roman" w:hAnsi="Arial" w:cs="Arial"/>
                <w:sz w:val="18"/>
                <w:szCs w:val="18"/>
                <w:highlight w:val="yellow"/>
              </w:rPr>
              <w:t>proton pump inhibitors</w:t>
            </w:r>
            <w:r w:rsidRPr="004C25B5">
              <w:rPr>
                <w:rFonts w:ascii="Arial" w:eastAsia="Times New Roman" w:hAnsi="Arial" w:cs="Arial"/>
                <w:sz w:val="18"/>
                <w:szCs w:val="18"/>
                <w:highlight w:val="yellow"/>
              </w:rPr>
              <w:t>, and alpha-blockers</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30,705 hypertension patients and 15,893 diabetic patients provided by Maccabi healthcare</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(disease, medication, laboratory tests)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Chi-squared test, and 2) network-based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 the result via PubMed publications of small trials, 2) Validated the drug-disease correlation through expert rating</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number of treatment group candidates produced by the algorithm is smaller in magnitude than the baselines approach and provides a more manageable set of candidates for further investigation. Two candidates for the hypertension test case: “statins” and “proton-pump inhibitors” were identified.</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D</w:t>
            </w:r>
            <w:r w:rsidRPr="00A14F04">
              <w:rPr>
                <w:rFonts w:ascii="Arial" w:eastAsia="Times New Roman" w:hAnsi="Arial" w:cs="Arial"/>
                <w:sz w:val="18"/>
                <w:szCs w:val="18"/>
              </w:rPr>
              <w:t>ata bias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Pinoges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30</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Antiretroviral therapies</w:t>
            </w:r>
            <w:r w:rsidRPr="004C25B5">
              <w:rPr>
                <w:rFonts w:ascii="Arial" w:eastAsia="Times New Roman" w:hAnsi="Arial" w:cs="Arial"/>
                <w:sz w:val="18"/>
                <w:szCs w:val="18"/>
                <w:highlight w:val="yellow"/>
              </w:rPr>
              <w:t xml:space="preserve"> (e.g., nucleoside</w:t>
            </w:r>
            <w:r w:rsidRPr="004C25B5">
              <w:rPr>
                <w:rFonts w:ascii="Arial" w:eastAsia="Times New Roman" w:hAnsi="Arial" w:cs="Arial"/>
                <w:sz w:val="18"/>
                <w:szCs w:val="18"/>
                <w:highlight w:val="yellow"/>
              </w:rPr>
              <w:br/>
              <w:t>reverse transcriptase inhibitors (NRTI) and/or non-NRTI</w:t>
            </w:r>
            <w:r w:rsidRPr="004C25B5">
              <w:rPr>
                <w:rFonts w:ascii="Arial" w:eastAsia="Times New Roman" w:hAnsi="Arial" w:cs="Arial"/>
                <w:sz w:val="18"/>
                <w:szCs w:val="18"/>
                <w:highlight w:val="yellow"/>
              </w:rPr>
              <w:br/>
              <w:t>(NNRTI) drugs)</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2302 patients participated 5 cross-sectional virological and genotype testing studies were conducted in Médecins Sans Frontières-supported HIV programs in Chiradzulu, Malawi; Phnom Penh, Cambodia; Arua, Uganda; and Busia, Kenya</w:t>
            </w:r>
          </w:p>
        </w:tc>
        <w:tc>
          <w:tcPr>
            <w:tcW w:w="1560" w:type="dxa"/>
            <w:shd w:val="clear" w:color="auto" w:fill="auto"/>
            <w:noWrap/>
            <w:vAlign w:val="center"/>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Prediction (drug and mortality), validation (drug and mortality)</w:t>
            </w:r>
          </w:p>
        </w:tc>
        <w:tc>
          <w:tcPr>
            <w:tcW w:w="1677"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Adjusted logistic and Cox-regression models </w:t>
            </w:r>
          </w:p>
        </w:tc>
        <w:tc>
          <w:tcPr>
            <w:tcW w:w="1696"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Validated by multiple sites comparison.</w:t>
            </w:r>
          </w:p>
        </w:tc>
        <w:tc>
          <w:tcPr>
            <w:tcW w:w="3865"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The most frequent nucleoside reverse transcriptase inhibitors (NRTI)-associated mutations were M184V (n = 133), T215Y (n = 23), and M41L (n = 19). 295 non-NRTI (NNRTI)-associated mutations were detected, the most frequent being K103N (n = 63), Y181C (n = 56), and V179I (n = 54). </w:t>
            </w:r>
          </w:p>
        </w:tc>
        <w:tc>
          <w:tcPr>
            <w:tcW w:w="1975" w:type="dxa"/>
            <w:vAlign w:val="center"/>
          </w:tcPr>
          <w:p w:rsidR="00575628" w:rsidRPr="004C25B5"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M</w:t>
            </w:r>
            <w:r w:rsidRPr="004C25B5">
              <w:rPr>
                <w:rFonts w:ascii="Arial" w:eastAsia="Times New Roman" w:hAnsi="Arial" w:cs="Arial"/>
                <w:sz w:val="18"/>
                <w:szCs w:val="18"/>
              </w:rPr>
              <w:t>issing data</w:t>
            </w:r>
            <w:r w:rsidRPr="004C25B5">
              <w:rPr>
                <w:rFonts w:ascii="Microsoft YaHei" w:eastAsia="Microsoft YaHei" w:hAnsi="Microsoft YaHei" w:cs="Microsoft YaHei" w:hint="eastAsia"/>
                <w:sz w:val="18"/>
                <w:szCs w:val="18"/>
              </w:rPr>
              <w:t>，</w:t>
            </w:r>
            <w:r w:rsidRPr="004C25B5">
              <w:rPr>
                <w:rFonts w:ascii="Arial" w:eastAsia="Times New Roman" w:hAnsi="Arial" w:cs="Arial"/>
                <w:sz w:val="18"/>
                <w:szCs w:val="18"/>
              </w:rPr>
              <w:t xml:space="preserve"> 2</w:t>
            </w:r>
            <w:r>
              <w:rPr>
                <w:rFonts w:ascii="Microsoft YaHei" w:eastAsia="Microsoft YaHei" w:hAnsi="Microsoft YaHei" w:cs="Microsoft YaHei"/>
                <w:sz w:val="18"/>
                <w:szCs w:val="18"/>
              </w:rPr>
              <w:t>) O</w:t>
            </w:r>
            <w:r w:rsidRPr="004C25B5">
              <w:rPr>
                <w:rFonts w:ascii="Arial" w:eastAsia="Times New Roman" w:hAnsi="Arial" w:cs="Arial"/>
                <w:sz w:val="18"/>
                <w:szCs w:val="18"/>
              </w:rPr>
              <w:t>utcome miscla</w:t>
            </w:r>
            <w:r>
              <w:rPr>
                <w:rFonts w:ascii="Arial" w:eastAsia="Times New Roman" w:hAnsi="Arial" w:cs="Arial"/>
                <w:sz w:val="18"/>
                <w:szCs w:val="18"/>
              </w:rPr>
              <w:t>ssification, 3) U</w:t>
            </w:r>
            <w:r w:rsidRPr="004C25B5">
              <w:rPr>
                <w:rFonts w:ascii="Arial" w:eastAsia="Times New Roman" w:hAnsi="Arial" w:cs="Arial"/>
                <w:sz w:val="18"/>
                <w:szCs w:val="18"/>
              </w:rPr>
              <w:t>nmeasured confounding factors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lastRenderedPageBreak/>
              <w:t xml:space="preserve">Wang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&lt;EndNote&gt;&lt;Cite&gt;&lt;Author&gt;Wang&lt;/Author&gt;&lt;Year&gt;2020&lt;/Year&gt;&lt;RecNum&gt;444&lt;/RecNum&gt;&lt;DisplayText&gt;&lt;style face="superscript"&gt;31&lt;/style&gt;&lt;/DisplayText&gt;&lt;record&gt;&lt;rec-number&gt;444&lt;/rec-number&gt;&lt;foreign-keys&gt;&lt;key app="EN" db-id="waeppwvvowz0z5es9scxvwwnwte25s55w2dp" timestamp="1624293117"&gt;444&lt;/key&gt;&lt;/foreign-keys&gt;&lt;ref-type name="Journal Article"&gt;17&lt;/ref-type&gt;&lt;contributors&gt;&lt;authors&gt;&lt;author&gt;Wang, Haixin&lt;/author&gt;&lt;author&gt;Deng, Yanhui&lt;/author&gt;&lt;author&gt;Wan, Ling&lt;/author&gt;&lt;author&gt;Huang, Lulin&lt;/author&gt;&lt;/authors&gt;&lt;/contributors&gt;&lt;titles&gt;&lt;title&gt;A comprehensive map of disease networks and molecular drug discoveries for glaucoma&lt;/title&gt;&lt;secondary-title&gt;Scientific reports&lt;/secondary-title&gt;&lt;/titles&gt;&lt;periodical&gt;&lt;full-title&gt;Scientific Reports&lt;/full-title&gt;&lt;/periodical&gt;&lt;pages&gt;1-13&lt;/pages&gt;&lt;volume&gt;10&lt;/volume&gt;&lt;number&gt;1&lt;/number&gt;&lt;dates&gt;&lt;year&gt;2020&lt;/year&gt;&lt;/dates&gt;&lt;isbn&gt;2045-2322&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31</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114 Distinct Drugs</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136,128 patients from Sichuan Provincial People’s Hospital from 2015 to 2018</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(drug-disease association)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Chi-squared 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Search EHR for candidate drugs and glaucoma</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40 drugs/chemicals most likely to prevent or treat glaucoma were identified by P-value and false discovery rate (FDR) ranking </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ncomplete</w:t>
            </w:r>
            <w:r>
              <w:rPr>
                <w:rFonts w:ascii="Arial" w:eastAsia="Times New Roman" w:hAnsi="Arial" w:cs="Arial"/>
                <w:sz w:val="18"/>
                <w:szCs w:val="18"/>
              </w:rPr>
              <w:t xml:space="preserve"> knowledge, 2)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Ghalwash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&lt;EndNote&gt;&lt;Cite&gt;&lt;Author&gt;Ghalwash&lt;/Author&gt;&lt;Year&gt;2017&lt;/Year&gt;&lt;RecNum&gt;450&lt;/RecNum&gt;&lt;DisplayText&gt;&lt;style face="superscript"&gt;32&lt;/style&gt;&lt;/DisplayText&gt;&lt;record&gt;&lt;rec-number&gt;450&lt;/rec-number&gt;&lt;foreign-keys&gt;&lt;key app="EN" db-id="waeppwvvowz0z5es9scxvwwnwte25s55w2dp" timestamp="1624298089"&gt;450&lt;/key&gt;&lt;/foreign-keys&gt;&lt;ref-type name="Conference Proceedings"&gt;10&lt;/ref-type&gt;&lt;contributors&gt;&lt;authors&gt;&lt;author&gt;Ghalwash, Mohamed&lt;/author&gt;&lt;author&gt;Li, Ying&lt;/author&gt;&lt;author&gt;Zhang, Ping&lt;/author&gt;&lt;author&gt;Hu, Jianying&lt;/author&gt;&lt;/authors&gt;&lt;/contributors&gt;&lt;titles&gt;&lt;title&gt;Exploiting electronic health records to mine drug effects on laboratory test results&lt;/title&gt;&lt;secondary-title&gt;Proceedings of the 2017 ACM on Conference on Information and Knowledge Management&lt;/secondary-title&gt;&lt;/titles&gt;&lt;pages&gt;1837-1846&lt;/pages&gt;&lt;dates&gt;&lt;year&gt;2017&lt;/year&gt;&lt;/dates&gt;&lt;urls&gt;&lt;/urls&gt;&lt;/record&gt;&lt;/Cite&gt;&lt;/EndNote&gt;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32</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Unspecified</w:t>
            </w:r>
            <w:r w:rsidRPr="004C25B5">
              <w:rPr>
                <w:rFonts w:ascii="Arial" w:eastAsia="Times New Roman" w:hAnsi="Arial" w:cs="Arial"/>
                <w:sz w:val="18"/>
                <w:szCs w:val="18"/>
                <w:highlight w:val="yellow"/>
              </w:rPr>
              <w:t xml:space="preserve"> drugs to lower low-density lipoproteins and glycated hemoglobin</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300,000 patients with their medical information from 2002 to 2005.</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(drug effect on lab test results)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Optimization-based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MEDication Indication resource (MEDI) for known drugs, 2) A manual internet search for potential drugs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DELT outperforms the Baseline Regularization (BR) in terms of precision. Top 20 drugs were identified to reduce the level of Glycated hemoglobin (HbA1c) and Low-Density Lipoproteins (LDL) for diabetes-related complications and cardiovascular problems.</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U</w:t>
            </w:r>
            <w:r w:rsidRPr="00A14F04">
              <w:rPr>
                <w:rFonts w:ascii="Arial" w:eastAsia="Times New Roman" w:hAnsi="Arial" w:cs="Arial"/>
                <w:sz w:val="18"/>
                <w:szCs w:val="18"/>
              </w:rPr>
              <w:t>nmeasured confounding factors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Liu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&lt;EndNote&gt;&lt;Cite&gt;&lt;Author&gt;Liu&lt;/Author&gt;&lt;Year&gt;2021&lt;/Year&gt;&lt;RecNum&gt;535&lt;/RecNum&gt;&lt;DisplayText&gt;&lt;style face="superscript"&gt;33&lt;/style&gt;&lt;/DisplayText&gt;&lt;record&gt;&lt;rec-number&gt;535&lt;/rec-number&gt;&lt;foreign-keys&gt;&lt;key app="EN" db-id="waeppwvvowz0z5es9scxvwwnwte25s55w2dp" timestamp="1642613131"&gt;535&lt;/key&gt;&lt;/foreign-keys&gt;&lt;ref-type name="Journal Article"&gt;17&lt;/ref-type&gt;&lt;contributors&gt;&lt;authors&gt;&lt;author&gt;Liu, Ruoqi&lt;/author&gt;&lt;author&gt;Wei, Lai&lt;/author&gt;&lt;author&gt;Zhang, Ping&lt;/author&gt;&lt;/authors&gt;&lt;/contributors&gt;&lt;titles&gt;&lt;title&gt;A deep learning framework for drug repurposing via emulating clinical trials on real-world patient data&lt;/title&gt;&lt;secondary-title&gt;Nature Machine Intelligence&lt;/secondary-title&gt;&lt;/titles&gt;&lt;periodical&gt;&lt;full-title&gt;Nature Machine Intelligence&lt;/full-title&gt;&lt;/periodical&gt;&lt;pages&gt;68-75&lt;/pages&gt;&lt;volume&gt;3&lt;/volume&gt;&lt;number&gt;1&lt;/number&gt;&lt;dates&gt;&lt;year&gt;2021&lt;/year&gt;&lt;/dates&gt;&lt;isbn&gt;2522-5839&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33</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55 Distinct Drug</w:t>
            </w:r>
            <w:r w:rsidRPr="004C25B5">
              <w:rPr>
                <w:rFonts w:ascii="Arial" w:eastAsia="Times New Roman" w:hAnsi="Arial" w:cs="Arial"/>
                <w:sz w:val="18"/>
                <w:szCs w:val="18"/>
                <w:highlight w:val="yellow"/>
              </w:rPr>
              <w:t>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107.5 million distinct patients in the MarketScan Commercial Claims and Encounters (CCAE) from 2012 to 2017</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(disease, medication, comorbidity)</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Recurrent neural network (LSTM)</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 the model through treatment effect estimation, 2) Validate the model performance by measuring feature balance</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proposed method performed better than the other three pre-clinical methods. 55 qualified drugs were identified, in which nine drugs yield a beneficial effect on disease outcomes among the sixteen selected significant drug candidates</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Cai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34</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IL6R blockading Drugs</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332,799 participants from Million Veteran Program</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(laboratory tests, diagnosis), validation (cancer patients with PheWAS codes)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Logistic regression, and 2) Linear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through medical record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IL6R SNP was most strongly associated with a reduced risk of aortic aneurysm phenotypes (odds ratio, 0.87-0.90; 95% CI, 0.84-0.93).</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Small sample size, 2) D</w:t>
            </w:r>
            <w:r w:rsidRPr="00A14F04">
              <w:rPr>
                <w:rFonts w:ascii="Arial" w:eastAsia="Times New Roman" w:hAnsi="Arial" w:cs="Arial"/>
                <w:sz w:val="18"/>
                <w:szCs w:val="18"/>
              </w:rPr>
              <w:t>iagnosis misclassification, 3)</w:t>
            </w:r>
            <w:r>
              <w:rPr>
                <w:rFonts w:ascii="Arial" w:eastAsia="Times New Roman" w:hAnsi="Arial" w:cs="Arial"/>
                <w:sz w:val="18"/>
                <w:szCs w:val="18"/>
              </w:rPr>
              <w:t xml:space="preserve"> </w:t>
            </w:r>
            <w:r>
              <w:rPr>
                <w:rFonts w:ascii="Arial" w:eastAsia="Times New Roman" w:hAnsi="Arial" w:cs="Arial"/>
                <w:sz w:val="18"/>
                <w:szCs w:val="18"/>
                <w:highlight w:val="yellow"/>
              </w:rPr>
              <w:t>L</w:t>
            </w:r>
            <w:r w:rsidRPr="00F90FEA">
              <w:rPr>
                <w:rFonts w:ascii="Arial" w:eastAsia="Times New Roman" w:hAnsi="Arial" w:cs="Arial"/>
                <w:sz w:val="18"/>
                <w:szCs w:val="18"/>
                <w:highlight w:val="yellow"/>
              </w:rPr>
              <w:t>ack of independent</w:t>
            </w:r>
            <w:r>
              <w:rPr>
                <w:rFonts w:ascii="Arial" w:eastAsia="Times New Roman" w:hAnsi="Arial" w:cs="Arial"/>
                <w:sz w:val="18"/>
                <w:szCs w:val="18"/>
              </w:rPr>
              <w:t xml:space="preserve"> validation,  4) D</w:t>
            </w:r>
            <w:r w:rsidRPr="00A14F04">
              <w:rPr>
                <w:rFonts w:ascii="Arial" w:eastAsia="Times New Roman" w:hAnsi="Arial" w:cs="Arial"/>
                <w:sz w:val="18"/>
                <w:szCs w:val="18"/>
              </w:rPr>
              <w:t>iscrepancy of different data sources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Xu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35</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Psychiatric drugs, Antihypertensive Calcium Channel Blockers</w:t>
            </w:r>
            <w:r w:rsidRPr="004C25B5">
              <w:rPr>
                <w:rFonts w:ascii="Arial" w:eastAsia="Times New Roman" w:hAnsi="Arial" w:cs="Arial"/>
                <w:sz w:val="18"/>
                <w:szCs w:val="18"/>
                <w:highlight w:val="yellow"/>
              </w:rPr>
              <w:t>, 7 drugs to target the AKT-FOXO and</w:t>
            </w:r>
            <w:r w:rsidRPr="004C25B5">
              <w:rPr>
                <w:rFonts w:ascii="Arial" w:eastAsia="Times New Roman" w:hAnsi="Arial" w:cs="Arial"/>
                <w:sz w:val="18"/>
                <w:szCs w:val="18"/>
                <w:highlight w:val="yellow"/>
              </w:rPr>
              <w:br/>
              <w:t>AMPK pathways</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7,216 cancer patients and 653 normal collected from RecData Technology Co, Ltd</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(drug and lab test)</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T-test, 2) Binomial test, 3) Hypergeometric test, 4) DeLong test, and 5) Log-rank test </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Calcium blockers predicted to target AKT and AMPK are validated based on EHR, 2) Seven drugs were repositioned to selectively target AKT-FOXO and AMPK and validated by Worm lifespan assay</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csD2G markedly outperformed both ping-pong algorithm (PPA) and multivariate analysis of variance (MANOVA) in drug-target prediction (area under the curve [AUC]: 0.743 for csD2G and 0.676 and 0.659 for PPA; AUC: 0.685 for csD2G, 0.486 for MANOVA; DeLong test p = 0.0367). 1) Category of psychiatric drugs to inhibit the TGF-b pathway, 2) antihypertensive calcium channel blockers to activate AMPK and inhibit AKT pathways, and 7 drugs targeted the AKT-FOXO and AMPK pathways were identified.</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N</w:t>
            </w:r>
            <w:r w:rsidRPr="00A14F04">
              <w:rPr>
                <w:rFonts w:ascii="Arial" w:eastAsia="Times New Roman" w:hAnsi="Arial" w:cs="Arial"/>
                <w:sz w:val="18"/>
                <w:szCs w:val="18"/>
              </w:rPr>
              <w:t xml:space="preserve">ot completely addressing the </w:t>
            </w:r>
            <w:r w:rsidRPr="00F90FEA">
              <w:rPr>
                <w:rFonts w:ascii="Arial" w:eastAsia="Times New Roman" w:hAnsi="Arial" w:cs="Arial"/>
                <w:sz w:val="18"/>
                <w:szCs w:val="18"/>
                <w:highlight w:val="yellow"/>
              </w:rPr>
              <w:t>drug side effects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Reznikov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&lt;EndNote&gt;&lt;Cite&gt;&lt;Author&gt;Reznikov&lt;/Author&gt;&lt;Year&gt;2021&lt;/Year&gt;&lt;RecNum&gt;538&lt;/RecNum&gt;&lt;DisplayText&gt;&lt;style face="superscript"&gt;46&lt;/style&gt;&lt;/DisplayText&gt;&lt;record&gt;&lt;rec-number&gt;538&lt;/rec-number&gt;&lt;foreign-keys&gt;&lt;key app="EN" db-id="waeppwvvowz0z5es9scxvwwnwte25s55w2dp" timestamp="1642613276"&gt;538&lt;/key&gt;&lt;/foreign-keys&gt;&lt;ref-type name="Journal Article"&gt;17&lt;/ref-type&gt;&lt;contributors&gt;&lt;authors&gt;&lt;author&gt;Reznikov, Leah R&lt;/author&gt;&lt;author&gt;Norris, Michael H&lt;/author&gt;&lt;author&gt;Vashisht, Rohit&lt;/author&gt;&lt;author&gt;Bluhm, Andrew P&lt;/author&gt;&lt;author&gt;Li, Danmeng&lt;/author&gt;&lt;author&gt;Liao, Yan-Shin J&lt;/author&gt;&lt;author&gt;Brown, Ashley&lt;/author&gt;&lt;author&gt;Butte, Atul J&lt;/author&gt;&lt;author&gt;Ostrov, David A&lt;/author&gt;&lt;/authors&gt;&lt;/contributors&gt;&lt;titles&gt;&lt;title&gt;Identification of antiviral antihistamines for COVID-19 repurposing&lt;/title&gt;&lt;secondary-title&gt;Biochemical and biophysical research communications&lt;/secondary-title&gt;&lt;/titles&gt;&lt;periodical&gt;&lt;full-title&gt;Biochemical and biophysical research communications&lt;/full-title&gt;&lt;/periodical&gt;&lt;pages&gt;173-179&lt;/pages&gt;&lt;volume&gt;538&lt;/volume&gt;&lt;dates&gt;&lt;year&gt;2021&lt;/year&gt;&lt;/dates&gt;&lt;isbn&gt;0006-291X&lt;/isbn&gt;&lt;urls&gt;&lt;/urls&gt;&lt;/record&gt;&lt;/Cite&gt;&lt;/EndNote&gt;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46</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hint="eastAsia"/>
                <w:sz w:val="18"/>
                <w:szCs w:val="18"/>
                <w:highlight w:val="yellow"/>
              </w:rPr>
              <w:t>A</w:t>
            </w:r>
            <w:r w:rsidRPr="004C25B5">
              <w:rPr>
                <w:rFonts w:ascii="Arial" w:eastAsia="Times New Roman" w:hAnsi="Arial" w:cs="Arial"/>
                <w:sz w:val="18"/>
                <w:szCs w:val="18"/>
                <w:highlight w:val="yellow"/>
              </w:rPr>
              <w:t>ntihistamine (i.e., diphenhydramine, hydroxyzine, and a</w:t>
            </w:r>
            <w:r w:rsidRPr="00786A4E">
              <w:rPr>
                <w:rFonts w:ascii="Arial" w:eastAsia="Times New Roman" w:hAnsi="Arial" w:cs="Arial"/>
                <w:sz w:val="18"/>
                <w:szCs w:val="18"/>
                <w:highlight w:val="yellow"/>
              </w:rPr>
              <w:t>zelastine</w:t>
            </w:r>
            <w:r w:rsidRPr="004C25B5">
              <w:rPr>
                <w:rFonts w:ascii="Arial" w:eastAsia="Times New Roman" w:hAnsi="Arial" w:cs="Arial"/>
                <w:sz w:val="18"/>
                <w:szCs w:val="18"/>
                <w:highlight w:val="yellow"/>
              </w:rPr>
              <w:t>)</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19,000 patients tested for SARS-CoV-2 within the </w:t>
            </w:r>
            <w:r w:rsidRPr="004C25B5">
              <w:rPr>
                <w:rFonts w:ascii="Arial" w:eastAsia="Times New Roman" w:hAnsi="Arial" w:cs="Arial"/>
                <w:sz w:val="18"/>
                <w:szCs w:val="18"/>
              </w:rPr>
              <w:lastRenderedPageBreak/>
              <w:t>University of California Health System.</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lastRenderedPageBreak/>
              <w:t>Validation (medication, severity, mortality)</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Logistic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Validated the potential drugs using logistic regression for </w:t>
            </w:r>
            <w:r w:rsidRPr="00A14F04">
              <w:rPr>
                <w:rFonts w:ascii="Arial" w:eastAsia="Times New Roman" w:hAnsi="Arial" w:cs="Arial"/>
                <w:sz w:val="18"/>
                <w:szCs w:val="18"/>
              </w:rPr>
              <w:lastRenderedPageBreak/>
              <w:t>association analysis, 2) Validated the candidate drugs using laboratory experiment</w:t>
            </w:r>
            <w:r>
              <w:rPr>
                <w:rFonts w:ascii="Arial" w:eastAsia="Times New Roman" w:hAnsi="Arial" w:cs="Arial"/>
                <w:sz w:val="18"/>
                <w:szCs w:val="18"/>
              </w:rPr>
              <w:t>s</w:t>
            </w:r>
            <w:r w:rsidRPr="00A14F04">
              <w:rPr>
                <w:rFonts w:ascii="Arial" w:eastAsia="Times New Roman" w:hAnsi="Arial" w:cs="Arial"/>
                <w:sz w:val="18"/>
                <w:szCs w:val="18"/>
              </w:rPr>
              <w:t xml:space="preserve"> (lentivirus pseudotyped, recombinant spike protein</w:t>
            </w:r>
            <w:r>
              <w:rPr>
                <w:rFonts w:ascii="Arial" w:eastAsia="Times New Roman" w:hAnsi="Arial" w:cs="Arial"/>
                <w:sz w:val="18"/>
                <w:szCs w:val="18"/>
              </w:rPr>
              <w:t>,</w:t>
            </w:r>
            <w:r w:rsidRPr="00A14F04">
              <w:rPr>
                <w:rFonts w:ascii="Arial" w:eastAsia="Times New Roman" w:hAnsi="Arial" w:cs="Arial"/>
                <w:sz w:val="18"/>
                <w:szCs w:val="18"/>
              </w:rPr>
              <w:t xml:space="preserve"> and the DMSO vehicle)</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lastRenderedPageBreak/>
              <w:t>Diphenhydramine, hydroxyzine</w:t>
            </w:r>
            <w:r>
              <w:rPr>
                <w:rFonts w:ascii="Arial" w:eastAsia="Times New Roman" w:hAnsi="Arial" w:cs="Arial"/>
                <w:sz w:val="18"/>
                <w:szCs w:val="18"/>
              </w:rPr>
              <w:t>,</w:t>
            </w:r>
            <w:r w:rsidRPr="00A14F04">
              <w:rPr>
                <w:rFonts w:ascii="Arial" w:eastAsia="Times New Roman" w:hAnsi="Arial" w:cs="Arial"/>
                <w:sz w:val="18"/>
                <w:szCs w:val="18"/>
              </w:rPr>
              <w:t xml:space="preserve"> and azelastine </w:t>
            </w:r>
            <w:r w:rsidRPr="00F90FEA">
              <w:rPr>
                <w:rFonts w:ascii="Arial" w:eastAsia="Times New Roman" w:hAnsi="Arial" w:cs="Arial"/>
                <w:sz w:val="18"/>
                <w:szCs w:val="18"/>
                <w:highlight w:val="yellow"/>
              </w:rPr>
              <w:t>were</w:t>
            </w:r>
            <w:r w:rsidRPr="00A14F04">
              <w:rPr>
                <w:rFonts w:ascii="Arial" w:eastAsia="Times New Roman" w:hAnsi="Arial" w:cs="Arial"/>
                <w:sz w:val="18"/>
                <w:szCs w:val="18"/>
              </w:rPr>
              <w:t xml:space="preserve"> associated with reduced incidence of SARS-CoV-2 positivity.</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U</w:t>
            </w:r>
            <w:r w:rsidRPr="00A14F04">
              <w:rPr>
                <w:rFonts w:ascii="Arial" w:eastAsia="Times New Roman" w:hAnsi="Arial" w:cs="Arial"/>
                <w:sz w:val="18"/>
                <w:szCs w:val="18"/>
              </w:rPr>
              <w:t>nmeasured confounding factors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Hsieh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&lt;EndNote&gt;&lt;Cite&gt;&lt;Author&gt;Hsieh&lt;/Author&gt;&lt;Year&gt;2021&lt;/Year&gt;&lt;RecNum&gt;534&lt;/RecNum&gt;&lt;DisplayText&gt;&lt;style face="superscript"&gt;36&lt;/style&gt;&lt;/DisplayText&gt;&lt;record&gt;&lt;rec-number&gt;534&lt;/rec-number&gt;&lt;foreign-keys&gt;&lt;key app="EN" db-id="waeppwvvowz0z5es9scxvwwnwte25s55w2dp" timestamp="1642613091"&gt;534&lt;/key&gt;&lt;/foreign-keys&gt;&lt;ref-type name="Journal Article"&gt;17&lt;/ref-type&gt;&lt;contributors&gt;&lt;authors&gt;&lt;author&gt;Hsieh, Kanglin&lt;/author&gt;&lt;author&gt;Wang, Yinyin&lt;/author&gt;&lt;author&gt;Chen, Luyao&lt;/author&gt;&lt;author&gt;Zhao, Zhongming&lt;/author&gt;&lt;author&gt;Savitz, Sean&lt;/author&gt;&lt;author&gt;Jiang, Xiaoqian&lt;/author&gt;&lt;author&gt;Tang, Jing&lt;/author&gt;&lt;author&gt;Kim, Yejin&lt;/author&gt;&lt;/authors&gt;&lt;/contributors&gt;&lt;titles&gt;&lt;title&gt;Drug repurposing for COVID-19 using graph neural network and harmonizing multiple evidence&lt;/title&gt;&lt;secondary-title&gt;Scientific reports&lt;/secondary-title&gt;&lt;/titles&gt;&lt;periodical&gt;&lt;full-title&gt;Scientific Reports&lt;/full-title&gt;&lt;/periodical&gt;&lt;pages&gt;1-13&lt;/pages&gt;&lt;volume&gt;11&lt;/volume&gt;&lt;number&gt;1&lt;/number&gt;&lt;dates&gt;&lt;year&gt;2021&lt;/year&gt;&lt;/dates&gt;&lt;isbn&gt;2045-2322&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36</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22 Distinct Drug</w:t>
            </w:r>
            <w:r w:rsidRPr="004C25B5">
              <w:rPr>
                <w:rFonts w:ascii="Arial" w:eastAsia="Times New Roman" w:hAnsi="Arial" w:cs="Arial"/>
                <w:sz w:val="18"/>
                <w:szCs w:val="18"/>
                <w:highlight w:val="yellow"/>
              </w:rPr>
              <w:t>s (e.g., azithromycin, atorvastatin, aspirin, acetaminophen, and albuterol)</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34,043 hospitalized COVID-19 patients in Optum deidentified EHR database</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(medication, laboratory tests)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Network-based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Validated the confidence of our knowledge graph embedding via link prediction, 2) Validated the potential drugs using gene expression signature, 3) Validated the potential drugs through in vitro drug screening studies, 4) Validated the potential drugs through population-based study</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 Recall (0.21 to 0.44) and a precision (0.04 to 0.18) implying moderate accuracy of the method. Ten (out of 138) drugs were effective (averaged treatment effect among treated or ATT &gt; 0 and p-value &lt; 0.05) in the EHRs. Among the ten positive drugs, our method identified six positive drugs: Acetaminophen (ATT = 0.25), Azithromycin (ATT = 0.18), Atorvastatin (ATT = 0.17), Albuterol (ATT = 0.14), Aspirin (ATT = 0.14), and Hydroxychloroquine (ATT = 0.08).</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Treatment misclassification, 2) U</w:t>
            </w:r>
            <w:r w:rsidRPr="00A14F04">
              <w:rPr>
                <w:rFonts w:ascii="Arial" w:eastAsia="Times New Roman" w:hAnsi="Arial" w:cs="Arial"/>
                <w:sz w:val="18"/>
                <w:szCs w:val="18"/>
              </w:rPr>
              <w:t>nmeasured confounding factors, 3)</w:t>
            </w:r>
            <w:r>
              <w:rPr>
                <w:rFonts w:ascii="Arial" w:eastAsia="Times New Roman" w:hAnsi="Arial" w:cs="Arial"/>
                <w:sz w:val="18"/>
                <w:szCs w:val="18"/>
              </w:rPr>
              <w:t xml:space="preserve"> D</w:t>
            </w:r>
            <w:r w:rsidRPr="00A14F04">
              <w:rPr>
                <w:rFonts w:ascii="Arial" w:eastAsia="Times New Roman" w:hAnsi="Arial" w:cs="Arial"/>
                <w:sz w:val="18"/>
                <w:szCs w:val="18"/>
              </w:rPr>
              <w:t>iscrepancy of different data sources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bCs/>
                <w:sz w:val="18"/>
                <w:szCs w:val="18"/>
              </w:rPr>
              <w:t xml:space="preserve">Koren et al </w:t>
            </w:r>
            <w:r w:rsidRPr="004C25B5">
              <w:rPr>
                <w:rFonts w:ascii="Arial" w:hAnsi="Arial" w:cs="Arial"/>
                <w:bCs/>
                <w:sz w:val="18"/>
                <w:szCs w:val="18"/>
              </w:rPr>
              <w:fldChar w:fldCharType="begin"/>
            </w:r>
            <w:r w:rsidRPr="004C25B5">
              <w:rPr>
                <w:rFonts w:ascii="Arial" w:hAnsi="Arial" w:cs="Arial"/>
                <w:bCs/>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4C25B5">
              <w:rPr>
                <w:rFonts w:ascii="Arial" w:hAnsi="Arial" w:cs="Arial"/>
                <w:bCs/>
                <w:sz w:val="18"/>
                <w:szCs w:val="18"/>
              </w:rPr>
              <w:fldChar w:fldCharType="separate"/>
            </w:r>
            <w:r w:rsidRPr="004C25B5">
              <w:rPr>
                <w:rFonts w:ascii="Arial" w:hAnsi="Arial" w:cs="Arial"/>
                <w:bCs/>
                <w:noProof/>
                <w:sz w:val="18"/>
                <w:szCs w:val="18"/>
                <w:vertAlign w:val="superscript"/>
              </w:rPr>
              <w:t>37</w:t>
            </w:r>
            <w:r w:rsidRPr="004C25B5">
              <w:rPr>
                <w:rFonts w:ascii="Arial" w:hAnsi="Arial" w:cs="Arial"/>
                <w:bCs/>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Drugs that control blood glucose (e.g., α1</w:t>
            </w:r>
            <w:r w:rsidRPr="004C25B5">
              <w:rPr>
                <w:rFonts w:ascii="Cambria Math" w:eastAsia="Times New Roman" w:hAnsi="Cambria Math" w:cs="Cambria Math"/>
                <w:sz w:val="18"/>
                <w:szCs w:val="18"/>
                <w:highlight w:val="yellow"/>
              </w:rPr>
              <w:t>‐</w:t>
            </w:r>
            <w:r w:rsidRPr="004C25B5">
              <w:rPr>
                <w:rFonts w:ascii="Arial" w:eastAsia="Times New Roman" w:hAnsi="Arial" w:cs="Arial"/>
                <w:sz w:val="18"/>
                <w:szCs w:val="18"/>
                <w:highlight w:val="yellow"/>
              </w:rPr>
              <w:t xml:space="preserve">adrenoceptor antagonists)  </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29,540 patients </w:t>
            </w:r>
            <w:r>
              <w:rPr>
                <w:rFonts w:ascii="Arial" w:eastAsia="Times New Roman" w:hAnsi="Arial" w:cs="Arial"/>
                <w:sz w:val="18"/>
                <w:szCs w:val="18"/>
              </w:rPr>
              <w:t xml:space="preserve">were </w:t>
            </w:r>
            <w:r w:rsidRPr="004C25B5">
              <w:rPr>
                <w:rFonts w:ascii="Arial" w:eastAsia="Times New Roman" w:hAnsi="Arial" w:cs="Arial"/>
                <w:sz w:val="18"/>
                <w:szCs w:val="18"/>
              </w:rPr>
              <w:t>diagnosed with type 2 diabetes between 2005 and mid</w:t>
            </w:r>
            <w:r w:rsidRPr="004C25B5">
              <w:rPr>
                <w:rFonts w:ascii="Cambria Math" w:eastAsia="Times New Roman" w:hAnsi="Cambria Math" w:cs="Cambria Math"/>
                <w:sz w:val="18"/>
                <w:szCs w:val="18"/>
              </w:rPr>
              <w:t>‐</w:t>
            </w:r>
            <w:r w:rsidRPr="004C25B5">
              <w:rPr>
                <w:rFonts w:ascii="Arial" w:eastAsia="Times New Roman" w:hAnsi="Arial" w:cs="Arial"/>
                <w:sz w:val="18"/>
                <w:szCs w:val="18"/>
              </w:rPr>
              <w:t>2016 from electronic medical charts of Maccabi Health Services</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(laboratory tests, drugs)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Chi-squared test, and 2) Logistic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Alpha 1</w:t>
            </w:r>
            <w:r w:rsidRPr="00A14F04">
              <w:rPr>
                <w:rFonts w:ascii="Cambria Math" w:eastAsia="Times New Roman" w:hAnsi="Cambria Math" w:cs="Cambria Math"/>
                <w:sz w:val="18"/>
                <w:szCs w:val="18"/>
              </w:rPr>
              <w:t>‐</w:t>
            </w:r>
            <w:r w:rsidRPr="00A14F04">
              <w:rPr>
                <w:rFonts w:ascii="Arial" w:eastAsia="Times New Roman" w:hAnsi="Arial" w:cs="Arial"/>
                <w:sz w:val="18"/>
                <w:szCs w:val="18"/>
              </w:rPr>
              <w:t xml:space="preserve">adrenoceptor antagonists were the only drug class that yielded a significantly better success rate in glucose control (61% success rate for </w:t>
            </w:r>
            <w:r>
              <w:rPr>
                <w:rFonts w:ascii="Arial" w:eastAsia="Times New Roman" w:hAnsi="Arial" w:cs="Arial"/>
                <w:sz w:val="18"/>
                <w:szCs w:val="18"/>
              </w:rPr>
              <w:t xml:space="preserve">the </w:t>
            </w:r>
            <w:r w:rsidRPr="00A14F04">
              <w:rPr>
                <w:rFonts w:ascii="Arial" w:eastAsia="Times New Roman" w:hAnsi="Arial" w:cs="Arial"/>
                <w:sz w:val="18"/>
                <w:szCs w:val="18"/>
              </w:rPr>
              <w:t xml:space="preserve">treated group and 53% success for </w:t>
            </w:r>
            <w:r>
              <w:rPr>
                <w:rFonts w:ascii="Arial" w:eastAsia="Times New Roman" w:hAnsi="Arial" w:cs="Arial"/>
                <w:sz w:val="18"/>
                <w:szCs w:val="18"/>
              </w:rPr>
              <w:t xml:space="preserve">the </w:t>
            </w:r>
            <w:r w:rsidRPr="00A14F04">
              <w:rPr>
                <w:rFonts w:ascii="Arial" w:eastAsia="Times New Roman" w:hAnsi="Arial" w:cs="Arial"/>
                <w:sz w:val="18"/>
                <w:szCs w:val="18"/>
              </w:rPr>
              <w:t>untreated group. P &lt; 0.0004 and test statistic of 16.7)</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Kuang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&lt;EndNote&gt;&lt;Cite&gt;&lt;Author&gt;Kuang&lt;/Author&gt;&lt;Year&gt;2019&lt;/Year&gt;&lt;RecNum&gt;452&lt;/RecNum&gt;&lt;DisplayText&gt;&lt;style face="superscript"&gt;38&lt;/style&gt;&lt;/DisplayText&gt;&lt;record&gt;&lt;rec-number&gt;452&lt;/rec-number&gt;&lt;foreign-keys&gt;&lt;key app="EN" db-id="waeppwvvowz0z5es9scxvwwnwte25s55w2dp" timestamp="1624298177"&gt;452&lt;/key&gt;&lt;/foreign-keys&gt;&lt;ref-type name="Book Section"&gt;5&lt;/ref-type&gt;&lt;contributors&gt;&lt;authors&gt;&lt;author&gt;Kuang, Zhaobin&lt;/author&gt;&lt;author&gt;Bao, Yujia&lt;/author&gt;&lt;author&gt;Thomson, James&lt;/author&gt;&lt;author&gt;Caldwell, Michael&lt;/author&gt;&lt;author&gt;Peissig, Peggy&lt;/author&gt;&lt;author&gt;Stewart, Ron&lt;/author&gt;&lt;author&gt;Willett, Rebecca&lt;/author&gt;&lt;author&gt;Page, David&lt;/author&gt;&lt;/authors&gt;&lt;/contributors&gt;&lt;titles&gt;&lt;title&gt;A machine-learning-based drug repurposing approach using baseline regularization&lt;/title&gt;&lt;secondary-title&gt;Computational Methods for Drug Repurposing&lt;/secondary-title&gt;&lt;/titles&gt;&lt;pages&gt;255-267&lt;/pages&gt;&lt;dates&gt;&lt;year&gt;2019&lt;/year&gt;&lt;/dates&gt;&lt;publisher&gt;Springer&lt;/publisher&gt;&lt;urls&gt;&lt;/urls&gt;&lt;/record&gt;&lt;/Cite&gt;&lt;/EndNote&gt;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38</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30 Distinct Drug</w:t>
            </w:r>
            <w:r w:rsidRPr="004C25B5">
              <w:rPr>
                <w:rFonts w:ascii="Arial" w:eastAsia="Times New Roman" w:hAnsi="Arial" w:cs="Arial"/>
                <w:sz w:val="18"/>
                <w:szCs w:val="18"/>
                <w:highlight w:val="yellow"/>
              </w:rPr>
              <w:t xml:space="preserve">s that </w:t>
            </w:r>
            <w:r w:rsidRPr="00786A4E">
              <w:rPr>
                <w:rFonts w:ascii="Arial" w:eastAsia="Times New Roman" w:hAnsi="Arial" w:cs="Arial"/>
                <w:sz w:val="18"/>
                <w:szCs w:val="18"/>
                <w:highlight w:val="yellow"/>
              </w:rPr>
              <w:t>control Fasting Blood Glucose (FBG) level</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75,146 patients with 333,907 Fasting blood sugar (FBG) measurements from Marshfield Clinic.</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(laboratory tests, drugs)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Optimization-based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Evaluated based on literature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180 drugs generated by the baseline regularization using λ1 = 86 and λ2 = 2.841977 × 10−4</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lastRenderedPageBreak/>
              <w:t xml:space="preserve">Kuang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&lt;EndNote&gt;&lt;Cite&gt;&lt;Author&gt;Kuang&lt;/Author&gt;&lt;Year&gt;2016&lt;/Year&gt;&lt;RecNum&gt;453&lt;/RecNum&gt;&lt;DisplayText&gt;&lt;style face="superscript"&gt;39&lt;/style&gt;&lt;/DisplayText&gt;&lt;record&gt;&lt;rec-number&gt;453&lt;/rec-number&gt;&lt;foreign-keys&gt;&lt;key app="EN" db-id="waeppwvvowz0z5es9scxvwwnwte25s55w2dp" timestamp="1624298302"&gt;453&lt;/key&gt;&lt;/foreign-keys&gt;&lt;ref-type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David&lt;/author&gt;&lt;/authors&gt;&lt;/contributors&gt;&lt;titles&gt;&lt;title&gt;Baseline regularization for computational drug repositioning with longitudinal observational data&lt;/title&gt;&lt;secondary-title&gt;IJCAI: proceedings of the conference&lt;/secondary-title&gt;&lt;/titles&gt;&lt;pages&gt;2521&lt;/pages&gt;&lt;volume&gt;2016&lt;/volume&gt;&lt;dates&gt;&lt;year&gt;2016&lt;/year&gt;&lt;/dates&gt;&lt;publisher&gt;NIH Public Access&lt;/publisher&gt;&lt;urls&gt;&lt;/urls&gt;&lt;/record&gt;&lt;/Cite&gt;&lt;/EndNote&gt;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39</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2</w:t>
            </w:r>
            <w:r w:rsidRPr="00786A4E">
              <w:rPr>
                <w:rFonts w:ascii="Arial" w:eastAsia="Times New Roman" w:hAnsi="Arial" w:cs="Arial"/>
                <w:sz w:val="18"/>
                <w:szCs w:val="18"/>
                <w:highlight w:val="yellow"/>
              </w:rPr>
              <w:t>0 Distinct Drug</w:t>
            </w:r>
            <w:r w:rsidRPr="004C25B5">
              <w:rPr>
                <w:rFonts w:ascii="Arial" w:eastAsia="Times New Roman" w:hAnsi="Arial" w:cs="Arial"/>
                <w:sz w:val="18"/>
                <w:szCs w:val="18"/>
                <w:highlight w:val="yellow"/>
              </w:rPr>
              <w:t xml:space="preserve">s that </w:t>
            </w:r>
            <w:r w:rsidRPr="00786A4E">
              <w:rPr>
                <w:rFonts w:ascii="Arial" w:eastAsia="Times New Roman" w:hAnsi="Arial" w:cs="Arial"/>
                <w:sz w:val="18"/>
                <w:szCs w:val="18"/>
                <w:highlight w:val="yellow"/>
              </w:rPr>
              <w:t>control Fasting Blood Glucose (FBG) level</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64,515 patients with 219,306 Fasting blood sugar (FBG) measurements from Marshfield Clinic.</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(laboratory tests, drugs)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Optimization-based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Evaluated based on literature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Baseline Regularization (BR) and ABR outperformed continuous Self-controlled Case Series (CSCCS) and CSCCSA in terms of AUC ROC. One hundred drugs were identified, in which the top 20 were validated.</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Kuang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&lt;EndNote&gt;&lt;Cite&gt;&lt;Author&gt;Kuang&lt;/Author&gt;&lt;Year&gt;2016&lt;/Year&gt;&lt;RecNum&gt;454&lt;/RecNum&gt;&lt;DisplayText&gt;&lt;style face="superscript"&gt;40&lt;/style&gt;&lt;/DisplayText&gt;&lt;record&gt;&lt;rec-number&gt;454&lt;/rec-number&gt;&lt;foreign-keys&gt;&lt;key app="EN" db-id="waeppwvvowz0z5es9scxvwwnwte25s55w2dp" timestamp="1624298344"&gt;454&lt;/key&gt;&lt;/foreign-keys&gt;&lt;ref-type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David&lt;/author&gt;&lt;/authors&gt;&lt;/contributors&gt;&lt;titles&gt;&lt;title&gt;Computational drug repositioning using continuous self-controlled case series&lt;/title&gt;&lt;secondary-title&gt;Proceedings of the 22nd ACM SIGKDD international conference on knowledge discovery and data mining&lt;/secondary-title&gt;&lt;/titles&gt;&lt;pages&gt;491-500&lt;/pages&gt;&lt;dates&gt;&lt;year&gt;2016&lt;/year&gt;&lt;/dates&gt;&lt;urls&gt;&lt;/urls&gt;&lt;/record&gt;&lt;/Cite&gt;&lt;/EndNote&gt;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40</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4</w:t>
            </w:r>
            <w:r w:rsidRPr="00786A4E">
              <w:rPr>
                <w:rFonts w:ascii="Arial" w:eastAsia="Times New Roman" w:hAnsi="Arial" w:cs="Arial"/>
                <w:sz w:val="18"/>
                <w:szCs w:val="18"/>
                <w:highlight w:val="yellow"/>
              </w:rPr>
              <w:t>0 Distinct Drug</w:t>
            </w:r>
            <w:r w:rsidRPr="004C25B5">
              <w:rPr>
                <w:rFonts w:ascii="Arial" w:eastAsia="Times New Roman" w:hAnsi="Arial" w:cs="Arial"/>
                <w:sz w:val="18"/>
                <w:szCs w:val="18"/>
                <w:highlight w:val="yellow"/>
              </w:rPr>
              <w:t xml:space="preserve">s that </w:t>
            </w:r>
            <w:r w:rsidRPr="00786A4E">
              <w:rPr>
                <w:rFonts w:ascii="Arial" w:eastAsia="Times New Roman" w:hAnsi="Arial" w:cs="Arial"/>
                <w:sz w:val="18"/>
                <w:szCs w:val="18"/>
                <w:highlight w:val="yellow"/>
              </w:rPr>
              <w:t>control Fasting Blood Glucose (FBG) level</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64,515 patients with 219,306 Fasting blood sugar (FBG) measurements from Marshfield Clinic.</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(drug, diagnosis, laboratory tests)</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Optimization-based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Evaluated based on literature review</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continuous Self-controlled Case Series (CSCCS) and CSCCSA models achieved promising results in AUCROC and precision at top K.  Two hundred drugs were identified, in which the top 40 were validated.</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w:t>
            </w:r>
            <w:r w:rsidRPr="00A14F04">
              <w:rPr>
                <w:rFonts w:ascii="Arial" w:eastAsia="Times New Roman" w:hAnsi="Arial" w:cs="Arial"/>
                <w:sz w:val="18"/>
                <w:szCs w:val="18"/>
              </w:rPr>
              <w:t>imited data elements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Jang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&lt;EndNote&gt;&lt;Cite&gt;&lt;Author&gt;Jang&lt;/Author&gt;&lt;Year&gt;2016&lt;/Year&gt;&lt;RecNum&gt;443&lt;/RecNum&gt;&lt;DisplayText&gt;&lt;style face="superscript"&gt;41&lt;/style&gt;&lt;/DisplayText&gt;&lt;record&gt;&lt;rec-number&gt;443&lt;/rec-number&gt;&lt;foreign-keys&gt;&lt;key app="EN" db-id="waeppwvvowz0z5es9scxvwwnwte25s55w2dp" timestamp="1624292980"&gt;443&lt;/key&gt;&lt;/foreign-keys&gt;&lt;ref-type name="Journal Article"&gt;17&lt;/ref-type&gt;&lt;contributors&gt;&lt;authors&gt;&lt;author&gt;Jang, Dongjin&lt;/author&gt;&lt;author&gt;Lee, Sejoon&lt;/author&gt;&lt;author&gt;Lee, Jaehyun&lt;/author&gt;&lt;author&gt;Kim, Kiseong&lt;/author&gt;&lt;author&gt;Lee, Doheon&lt;/author&gt;&lt;/authors&gt;&lt;/contributors&gt;&lt;titles&gt;&lt;title&gt;Inferring new drug indications using the complementarity between clinical disease signatures and drug effects&lt;/title&gt;&lt;secondary-title&gt;Journal of biomedical informatics&lt;/secondary-title&gt;&lt;/titles&gt;&lt;periodical&gt;&lt;full-title&gt;Journal of biomedical informatics&lt;/full-title&gt;&lt;/periodical&gt;&lt;pages&gt;248-257&lt;/pages&gt;&lt;volume&gt;59&lt;/volume&gt;&lt;dates&gt;&lt;year&gt;2016&lt;/year&gt;&lt;/dates&gt;&lt;isbn&gt;1532-0464&lt;/isbn&gt;&lt;urls&gt;&lt;/urls&gt;&lt;/record&gt;&lt;/Cite&gt;&lt;/EndNote&gt;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41</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Glutathione and edetic-acid highlighted, amongst others discovered</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59,205 patients from National Health and Nutrition Examination Survey (NHANES).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(disease, medication, labtest)</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Wilcoxon rank-sum test, Fisher’s exact 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with Comparative Toxicogenomics Database (CTD), Clinical Trials, and published literature</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A total of 121 drugs were identified for type 2 diabetes, 85 for myocardial ischemia, 102 for stroke, 118 for congestive heart failure, </w:t>
            </w:r>
            <w:r>
              <w:rPr>
                <w:rFonts w:ascii="Arial" w:eastAsia="Times New Roman" w:hAnsi="Arial" w:cs="Arial"/>
                <w:sz w:val="18"/>
                <w:szCs w:val="18"/>
              </w:rPr>
              <w:t xml:space="preserve">and </w:t>
            </w:r>
            <w:r w:rsidRPr="00F90FEA">
              <w:rPr>
                <w:rFonts w:ascii="Arial" w:eastAsia="Times New Roman" w:hAnsi="Arial" w:cs="Arial"/>
                <w:sz w:val="18"/>
                <w:szCs w:val="18"/>
                <w:highlight w:val="yellow"/>
              </w:rPr>
              <w:t>36 for asthma. A</w:t>
            </w:r>
            <w:r w:rsidRPr="00A14F04">
              <w:rPr>
                <w:rFonts w:ascii="Arial" w:eastAsia="Times New Roman" w:hAnsi="Arial" w:cs="Arial"/>
                <w:sz w:val="18"/>
                <w:szCs w:val="18"/>
              </w:rPr>
              <w:t xml:space="preserve"> top 15 drugs were further validated with a literature search.</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Small sample size, 2) B</w:t>
            </w:r>
            <w:r w:rsidRPr="00A14F04">
              <w:rPr>
                <w:rFonts w:ascii="Arial" w:eastAsia="Times New Roman" w:hAnsi="Arial" w:cs="Arial"/>
                <w:sz w:val="18"/>
                <w:szCs w:val="18"/>
              </w:rPr>
              <w:t>ias created by a</w:t>
            </w:r>
            <w:r>
              <w:rPr>
                <w:rFonts w:ascii="Arial" w:eastAsia="Times New Roman" w:hAnsi="Arial" w:cs="Arial"/>
                <w:sz w:val="18"/>
                <w:szCs w:val="18"/>
              </w:rPr>
              <w:t>n</w:t>
            </w:r>
            <w:r w:rsidRPr="00A14F04">
              <w:rPr>
                <w:rFonts w:ascii="Arial" w:eastAsia="Times New Roman" w:hAnsi="Arial" w:cs="Arial"/>
                <w:sz w:val="18"/>
                <w:szCs w:val="18"/>
              </w:rPr>
              <w:t xml:space="preserve"> upper stream applicat</w:t>
            </w:r>
            <w:r>
              <w:rPr>
                <w:rFonts w:ascii="Arial" w:eastAsia="Times New Roman" w:hAnsi="Arial" w:cs="Arial"/>
                <w:sz w:val="18"/>
                <w:szCs w:val="18"/>
              </w:rPr>
              <w:t>ion, 3) D</w:t>
            </w:r>
            <w:r w:rsidRPr="00A14F04">
              <w:rPr>
                <w:rFonts w:ascii="Arial" w:eastAsia="Times New Roman" w:hAnsi="Arial" w:cs="Arial"/>
                <w:sz w:val="18"/>
                <w:szCs w:val="18"/>
              </w:rPr>
              <w:t>iscrepancy</w:t>
            </w:r>
            <w:r>
              <w:rPr>
                <w:rFonts w:ascii="Arial" w:eastAsia="Times New Roman" w:hAnsi="Arial" w:cs="Arial"/>
                <w:sz w:val="18"/>
                <w:szCs w:val="18"/>
              </w:rPr>
              <w:t xml:space="preserve"> of different data sources, 4) I</w:t>
            </w:r>
            <w:r w:rsidRPr="00A14F04">
              <w:rPr>
                <w:rFonts w:ascii="Arial" w:eastAsia="Times New Roman" w:hAnsi="Arial" w:cs="Arial"/>
                <w:sz w:val="18"/>
                <w:szCs w:val="18"/>
              </w:rPr>
              <w:t>ncomplete knowledge</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Wen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&lt;EndNote&gt;&lt;Cite&gt;&lt;Author&gt;Wen&lt;/Author&gt;&lt;Year&gt;2021&lt;/Year&gt;&lt;RecNum&gt;539&lt;/RecNum&gt;&lt;DisplayText&gt;&lt;style face="superscript"&gt;42&lt;/style&gt;&lt;/DisplayText&gt;&lt;record&gt;&lt;rec-number&gt;539&lt;/rec-number&gt;&lt;foreign-keys&gt;&lt;key app="EN" db-id="waeppwvvowz0z5es9scxvwwnwte25s55w2dp" timestamp="1642613318"&gt;539&lt;/key&gt;&lt;/foreign-keys&gt;&lt;ref-type name="Journal Article"&gt;17&lt;/ref-type&gt;&lt;contributors&gt;&lt;authors&gt;&lt;author&gt;Wen, Qianlong&lt;/author&gt;&lt;author&gt;Liu, Ruoqi&lt;/author&gt;&lt;author&gt;Zhang, Ping&lt;/author&gt;&lt;/authors&gt;&lt;/contributors&gt;&lt;titles&gt;&lt;title&gt;Clinical connectivity map for drug repurposing: using laboratory results to bridge drugs and diseases&lt;/title&gt;&lt;secondary-title&gt;BMC medical informatics and decision making&lt;/secondary-title&gt;&lt;/titles&gt;&lt;periodical&gt;&lt;full-title&gt;BMC medical informatics and decision making&lt;/full-title&gt;&lt;/periodical&gt;&lt;pages&gt;1-11&lt;/pages&gt;&lt;volume&gt;21&lt;/volume&gt;&lt;number&gt;8&lt;/number&gt;&lt;dates&gt;&lt;year&gt;2021&lt;/year&gt;&lt;/dates&gt;&lt;isbn&gt;1472-6947&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42</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153 Distinct Drug</w:t>
            </w:r>
            <w:r w:rsidRPr="004C25B5">
              <w:rPr>
                <w:rFonts w:ascii="Arial" w:eastAsia="Times New Roman" w:hAnsi="Arial" w:cs="Arial"/>
                <w:sz w:val="18"/>
                <w:szCs w:val="18"/>
                <w:highlight w:val="yellow"/>
              </w:rPr>
              <w:t>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91,934 patients from National Health and Nutrition Examination Survey (NHANES).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(medication)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Wilcoxon rank-sum test, and 2) Machine-learning/similarity</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 the method using the repurposing possibility score, precision at K</w:t>
            </w:r>
            <w:r>
              <w:rPr>
                <w:rFonts w:ascii="Arial" w:eastAsia="Times New Roman" w:hAnsi="Arial" w:cs="Arial"/>
                <w:sz w:val="18"/>
                <w:szCs w:val="18"/>
              </w:rPr>
              <w:t>,</w:t>
            </w:r>
            <w:r w:rsidRPr="00A14F04">
              <w:rPr>
                <w:rFonts w:ascii="Arial" w:eastAsia="Times New Roman" w:hAnsi="Arial" w:cs="Arial"/>
                <w:sz w:val="18"/>
                <w:szCs w:val="18"/>
              </w:rPr>
              <w:t xml:space="preserve"> and Fold-enrichment test. </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392 drugs for 6 important chronic diseases (including asthma, coronary heart disease, congestive heart failure, heart attack, type 2 diabetes, and stroke) were evaluated by precision.</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Limited prediction, 2) D</w:t>
            </w:r>
            <w:r w:rsidRPr="00A14F04">
              <w:rPr>
                <w:rFonts w:ascii="Arial" w:eastAsia="Times New Roman" w:hAnsi="Arial" w:cs="Arial"/>
                <w:sz w:val="18"/>
                <w:szCs w:val="18"/>
              </w:rPr>
              <w:t xml:space="preserve">iscrepancy of different data sources </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Stenner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&lt;EndNote&gt;&lt;Cite&gt;&lt;Author&gt;Stenner&lt;/Author&gt;&lt;Year&gt;2016&lt;/Year&gt;&lt;RecNum&gt;448&lt;/RecNum&gt;&lt;DisplayText&gt;&lt;style face="superscript"&gt;43&lt;/style&gt;&lt;/DisplayText&gt;&lt;record&gt;&lt;rec-number&gt;448&lt;/rec-number&gt;&lt;foreign-keys&gt;&lt;key app="EN" db-id="waeppwvvowz0z5es9scxvwwnwte25s55w2dp" timestamp="1624294249"&gt;448&lt;/key&gt;&lt;/foreign-keys&gt;&lt;ref-type name="Journal Article"&gt;17&lt;/ref-type&gt;&lt;contributors&gt;&lt;authors&gt;&lt;author&gt;Stenner, Shane P&lt;/author&gt;&lt;author&gt;Chakravarthy, Rohini&lt;/author&gt;&lt;author&gt;Johnson, Kevin B&lt;/author&gt;&lt;author&gt;Miller, William L&lt;/author&gt;&lt;author&gt;Olson, Julie&lt;/author&gt;&lt;author&gt;Wickizer, Marleen&lt;/author&gt;&lt;author&gt;Johnson, Nate N&lt;/author&gt;&lt;author&gt;Ohmer, Rick&lt;/author&gt;&lt;author&gt;Uskavitch, David R&lt;/author&gt;&lt;author&gt;Bernard, Gordon R&lt;/author&gt;&lt;/authors&gt;&lt;/contributors&gt;&lt;titles&gt;&lt;title&gt;ePrescribing: reducing costs through in-class therapeutic interchange&lt;/title&gt;&lt;secondary-title&gt;Applied clinical informatics&lt;/secondary-title&gt;&lt;/titles&gt;&lt;periodical&gt;&lt;full-title&gt;Applied clinical informatics&lt;/full-title&gt;&lt;/periodical&gt;&lt;pages&gt;1168&lt;/pages&gt;&lt;volume&gt;7&lt;/volume&gt;&lt;number&gt;4&lt;/number&gt;&lt;dates&gt;&lt;year&gt;2016&lt;/year&gt;&lt;/dates&gt;&lt;urls&gt;&lt;/urls&gt;&lt;/record&gt;&lt;/Cite&gt;&lt;/EndNote&gt;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43</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HMG-CoA reductase inhibitors, serotonin receptor agonists, intranasal steroid sprays, and proton-pump inhibitor</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45,000 members from Vanderbilt University Medical Center</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(disease, medication, prescribing behavior, genetic mutation)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Compliance Ratio, and 2) Chi-squared 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significant improvements of proton-pump inhibitors (PPI) were analyzed.</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Lack of generalizability, 2) Data quality, 3) I</w:t>
            </w:r>
            <w:r w:rsidRPr="00A14F04">
              <w:rPr>
                <w:rFonts w:ascii="Arial" w:eastAsia="Times New Roman" w:hAnsi="Arial" w:cs="Arial"/>
                <w:sz w:val="18"/>
                <w:szCs w:val="18"/>
              </w:rPr>
              <w:t>ncomprehensive validation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bCs/>
                <w:sz w:val="18"/>
                <w:szCs w:val="18"/>
              </w:rPr>
              <w:t xml:space="preserve">Malki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&lt;EndNote&gt;&lt;Cite&gt;&lt;Author&gt;Malki&lt;/Author&gt;&lt;Year&gt;2021&lt;/Year&gt;&lt;RecNum&gt;536&lt;/RecNum&gt;&lt;DisplayText&gt;&lt;style face="superscript"&gt;44&lt;/style&gt;&lt;/DisplayText&gt;&lt;record&gt;&lt;rec-number&gt;536&lt;/rec-number&gt;&lt;foreign-keys&gt;&lt;key app="EN" db-id="waeppwvvowz0z5es9scxvwwnwte25s55w2dp" timestamp="1642613174"&gt;536&lt;/key&gt;&lt;/foreign-keys&gt;&lt;ref-type name="Journal Article"&gt;17&lt;/ref-type&gt;&lt;contributors&gt;&lt;authors&gt;&lt;author&gt;Malki, Mustafa Adnan&lt;/author&gt;&lt;author&gt;Dawed, Adem Y&lt;/author&gt;&lt;author&gt;Hayward, Caroline&lt;/author&gt;&lt;author&gt;Doney, Alex&lt;/author&gt;&lt;author&gt;Pearson, Ewan R&lt;/author&gt;&lt;/authors&gt;&lt;/contributors&gt;&lt;titles&gt;&lt;title&gt;Utilizing Large Electronic Medical Record Data Sets to Identify Novel Drug–Gene Interactions for Commonly Used Drugs&lt;/title&gt;&lt;secondary-title&gt;Clinical Pharmacology &amp;amp; Therapeutics&lt;/secondary-title&gt;&lt;/titles&gt;&lt;periodical&gt;&lt;full-title&gt;Clinical Pharmacology &amp;amp; Therapeutics&lt;/full-title&gt;&lt;/periodical&gt;&lt;pages&gt;816-825&lt;/pages&gt;&lt;volume&gt;110&lt;/volume&gt;&lt;number&gt;3&lt;/number&gt;&lt;dates&gt;&lt;year&gt;2021&lt;/year&gt;&lt;/dates&gt;&lt;isbn&gt;0009-9236&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44</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13 distinct d</w:t>
            </w:r>
            <w:r w:rsidRPr="00786A4E">
              <w:rPr>
                <w:rFonts w:ascii="Arial" w:eastAsia="Times New Roman" w:hAnsi="Arial" w:cs="Arial"/>
                <w:sz w:val="18"/>
                <w:szCs w:val="18"/>
                <w:highlight w:val="yellow"/>
              </w:rPr>
              <w:t>rug</w:t>
            </w:r>
            <w:r w:rsidRPr="004C25B5">
              <w:rPr>
                <w:rFonts w:ascii="Arial" w:eastAsia="Times New Roman" w:hAnsi="Arial" w:cs="Arial"/>
                <w:sz w:val="18"/>
                <w:szCs w:val="18"/>
                <w:highlight w:val="yellow"/>
              </w:rPr>
              <w:t xml:space="preserve">s </w:t>
            </w:r>
            <w:r w:rsidRPr="00786A4E">
              <w:rPr>
                <w:rFonts w:ascii="Arial" w:eastAsia="Times New Roman" w:hAnsi="Arial" w:cs="Arial"/>
                <w:sz w:val="18"/>
                <w:szCs w:val="18"/>
                <w:highlight w:val="yellow"/>
              </w:rPr>
              <w:t>with</w:t>
            </w:r>
            <w:r w:rsidRPr="004C25B5">
              <w:rPr>
                <w:rFonts w:ascii="Arial" w:eastAsia="Times New Roman" w:hAnsi="Arial" w:cs="Arial"/>
                <w:sz w:val="18"/>
                <w:szCs w:val="18"/>
                <w:highlight w:val="yellow"/>
              </w:rPr>
              <w:t xml:space="preserve"> </w:t>
            </w:r>
            <w:r w:rsidRPr="00786A4E">
              <w:rPr>
                <w:rFonts w:ascii="Arial" w:eastAsia="Times New Roman" w:hAnsi="Arial" w:cs="Arial"/>
                <w:sz w:val="18"/>
                <w:szCs w:val="18"/>
                <w:highlight w:val="yellow"/>
              </w:rPr>
              <w:t>19 drug-gene</w:t>
            </w:r>
            <w:r w:rsidRPr="004C25B5">
              <w:rPr>
                <w:rFonts w:ascii="Arial" w:eastAsia="Times New Roman" w:hAnsi="Arial" w:cs="Arial"/>
                <w:sz w:val="18"/>
                <w:szCs w:val="18"/>
                <w:highlight w:val="yellow"/>
              </w:rPr>
              <w:t xml:space="preserve"> associations among the 50 most commonly used drugs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 18,306 participants from GoDARTS study, 2) 20,000 from GS:SFHS study, 3) 5,000 from GoSHARE, and 4) 230,000 from UKBB study.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(diagnosis, medication, radiation, surgery, mortality)</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Logistic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Validated the association using logistic regression for association analysis, 2) Validated the association from existing literature</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For 50 commonly used drugs and 162 independent genetic variants, 815 drug-gene interactions (DGIs) with a significance level of P ≤ 0.05 were identified; 8 of these were significant after Bonferroni correction and a further 11 were validated with a literature search.</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Lack of data, 2) D</w:t>
            </w:r>
            <w:r w:rsidRPr="00A14F04">
              <w:rPr>
                <w:rFonts w:ascii="Arial" w:eastAsia="Times New Roman" w:hAnsi="Arial" w:cs="Arial"/>
                <w:sz w:val="18"/>
                <w:szCs w:val="18"/>
              </w:rPr>
              <w:t>iscrepancy</w:t>
            </w:r>
            <w:r>
              <w:rPr>
                <w:rFonts w:ascii="Arial" w:eastAsia="Times New Roman" w:hAnsi="Arial" w:cs="Arial"/>
                <w:sz w:val="18"/>
                <w:szCs w:val="18"/>
              </w:rPr>
              <w:t xml:space="preserve"> of different data sources, 3) W</w:t>
            </w:r>
            <w:r w:rsidRPr="00A14F04">
              <w:rPr>
                <w:rFonts w:ascii="Arial" w:eastAsia="Times New Roman" w:hAnsi="Arial" w:cs="Arial"/>
                <w:sz w:val="18"/>
                <w:szCs w:val="18"/>
              </w:rPr>
              <w:t>ithout consider</w:t>
            </w:r>
            <w:r>
              <w:rPr>
                <w:rFonts w:ascii="Arial" w:eastAsia="Times New Roman" w:hAnsi="Arial" w:cs="Arial"/>
                <w:sz w:val="18"/>
                <w:szCs w:val="18"/>
              </w:rPr>
              <w:t>ing</w:t>
            </w:r>
            <w:r w:rsidRPr="00A14F04">
              <w:rPr>
                <w:rFonts w:ascii="Arial" w:eastAsia="Times New Roman" w:hAnsi="Arial" w:cs="Arial"/>
                <w:sz w:val="18"/>
                <w:szCs w:val="18"/>
              </w:rPr>
              <w:t xml:space="preserve"> drug-drug interaction (concomitant medication)</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lastRenderedPageBreak/>
              <w:t xml:space="preserve">Bi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&lt;EndNote&gt;&lt;Cite&gt;&lt;Author&gt;Bi&lt;/Author&gt;&lt;Year&gt;2021&lt;/Year&gt;&lt;RecNum&gt;532&lt;/RecNum&gt;&lt;DisplayText&gt;&lt;style face="superscript"&gt;45&lt;/style&gt;&lt;/DisplayText&gt;&lt;record&gt;&lt;rec-number&gt;532&lt;/rec-number&gt;&lt;foreign-keys&gt;&lt;key app="EN" db-id="waeppwvvowz0z5es9scxvwwnwte25s55w2dp" timestamp="1642612988"&gt;532&lt;/key&gt;&lt;/foreign-keys&gt;&lt;ref-type name="Journal Article"&gt;17&lt;/ref-type&gt;&lt;contributors&gt;&lt;authors&gt;&lt;author&gt;Bi, Junfeng&lt;/author&gt;&lt;author&gt;Khan, Atif&lt;/author&gt;&lt;author&gt;Tang, Jun&lt;/author&gt;&lt;author&gt;Armando, Aaron M&lt;/author&gt;&lt;author&gt;Wu, Sihan&lt;/author&gt;&lt;author&gt;Zhang, Wei&lt;/author&gt;&lt;author&gt;Gimple, Ryan C&lt;/author&gt;&lt;author&gt;Reed, Alex&lt;/author&gt;&lt;author&gt;Jing, Hui&lt;/author&gt;&lt;author&gt;Koga, Tomoyuki&lt;/author&gt;&lt;/authors&gt;&lt;/contributors&gt;&lt;titles&gt;&lt;title&gt;Targeting glioblastoma signaling and metabolism with a re-purposed brain-penetrant drug&lt;/title&gt;&lt;secondary-title&gt;Cell reports&lt;/secondary-title&gt;&lt;/titles&gt;&lt;periodical&gt;&lt;full-title&gt;Cell Reports&lt;/full-title&gt;&lt;/periodical&gt;&lt;pages&gt;109957&lt;/pages&gt;&lt;volume&gt;37&lt;/volume&gt;&lt;number&gt;5&lt;/number&gt;&lt;dates&gt;&lt;year&gt;2021&lt;/year&gt;&lt;/dates&gt;&lt;isbn&gt;2211-1247&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45</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Fluoxetine</w:t>
            </w:r>
          </w:p>
        </w:tc>
        <w:tc>
          <w:tcPr>
            <w:tcW w:w="1450"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238 patients with brain cancer glioblastoma (GBM)from IBM Health MarketScan database (2003-2017)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(medication, labtest)</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T-test</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the potential drugs using survival analysis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 significantly increased survival in brain cancer glioblastoma (GBM) patients treated with fluoxetine. The age, sex, and baseline comorbidity score</w:t>
            </w:r>
            <w:r>
              <w:rPr>
                <w:rFonts w:ascii="Arial" w:eastAsia="Times New Roman" w:hAnsi="Arial" w:cs="Arial"/>
                <w:sz w:val="18"/>
                <w:szCs w:val="18"/>
              </w:rPr>
              <w:t>-</w:t>
            </w:r>
            <w:r w:rsidRPr="00A14F04">
              <w:rPr>
                <w:rFonts w:ascii="Arial" w:eastAsia="Times New Roman" w:hAnsi="Arial" w:cs="Arial"/>
                <w:sz w:val="18"/>
                <w:szCs w:val="18"/>
              </w:rPr>
              <w:t xml:space="preserve">adjusted hazard ratio of all-cause death in the fluoxetine-treated group were 0.42 (95% confidence interval [CI], 0.20–0.88; p = 0.022).  </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D</w:t>
            </w:r>
            <w:r w:rsidRPr="00A14F04">
              <w:rPr>
                <w:rFonts w:ascii="Arial" w:eastAsia="Times New Roman" w:hAnsi="Arial" w:cs="Arial"/>
                <w:sz w:val="18"/>
                <w:szCs w:val="18"/>
              </w:rPr>
              <w:t>ata bias</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Bejan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&lt;EndNote&gt;&lt;Cite&gt;&lt;Author&gt;Bejan&lt;/Author&gt;&lt;Year&gt;2021&lt;/Year&gt;&lt;RecNum&gt;531&lt;/RecNum&gt;&lt;DisplayText&gt;&lt;style face="superscript"&gt;47&lt;/style&gt;&lt;/DisplayText&gt;&lt;record&gt;&lt;rec-number&gt;531&lt;/rec-number&gt;&lt;foreign-keys&gt;&lt;key app="EN" db-id="waeppwvvowz0z5es9scxvwwnwte25s55w2dp" timestamp="1642612951"&gt;531&lt;/key&gt;&lt;/foreign-keys&gt;&lt;ref-type name="Journal Article"&gt;17&lt;/ref-type&gt;&lt;contributors&gt;&lt;authors&gt;&lt;author&gt;Bejan, Cosmin A&lt;/author&gt;&lt;author&gt;Cahill, Katherine N&lt;/author&gt;&lt;author&gt;Staso, Patrick J&lt;/author&gt;&lt;author&gt;Choi, Leena&lt;/author&gt;&lt;aut</w:instrText>
            </w:r>
            <w:r w:rsidRPr="004C25B5">
              <w:rPr>
                <w:rFonts w:ascii="Arial" w:hAnsi="Arial" w:cs="Arial" w:hint="eastAsia"/>
                <w:sz w:val="18"/>
                <w:szCs w:val="18"/>
              </w:rPr>
              <w:instrText>hor&gt;Peterson, Josh F&lt;/author&gt;&lt;author&gt;Phillips, Elizabeth J&lt;/author&gt;&lt;/authors&gt;&lt;/contributors&gt;&lt;titles&gt;&lt;title&gt;DrugWAS: Drug</w:instrText>
            </w:r>
            <w:r w:rsidRPr="004C25B5">
              <w:rPr>
                <w:rFonts w:ascii="Arial" w:hAnsi="Arial" w:cs="Arial" w:hint="eastAsia"/>
                <w:sz w:val="18"/>
                <w:szCs w:val="18"/>
              </w:rPr>
              <w:instrText>‐</w:instrText>
            </w:r>
            <w:r w:rsidRPr="004C25B5">
              <w:rPr>
                <w:rFonts w:ascii="Arial" w:hAnsi="Arial" w:cs="Arial" w:hint="eastAsia"/>
                <w:sz w:val="18"/>
                <w:szCs w:val="18"/>
              </w:rPr>
              <w:instrText>wide Association Studies for COVID</w:instrText>
            </w:r>
            <w:r w:rsidRPr="004C25B5">
              <w:rPr>
                <w:rFonts w:ascii="Arial" w:hAnsi="Arial" w:cs="Arial" w:hint="eastAsia"/>
                <w:sz w:val="18"/>
                <w:szCs w:val="18"/>
              </w:rPr>
              <w:instrText>‐</w:instrText>
            </w:r>
            <w:r w:rsidRPr="004C25B5">
              <w:rPr>
                <w:rFonts w:ascii="Arial" w:hAnsi="Arial" w:cs="Arial" w:hint="eastAsia"/>
                <w:sz w:val="18"/>
                <w:szCs w:val="18"/>
              </w:rPr>
              <w:instrText>19 Drug Repurposing&lt;/title&gt;&lt;secondary-title&gt;Clinical Pharmacology &amp;amp; Therapeutics&lt;/secondary-tit</w:instrText>
            </w:r>
            <w:r w:rsidRPr="004C25B5">
              <w:rPr>
                <w:rFonts w:ascii="Arial" w:hAnsi="Arial" w:cs="Arial"/>
                <w:sz w:val="18"/>
                <w:szCs w:val="18"/>
              </w:rPr>
              <w:instrText>le&gt;&lt;/titles&gt;&lt;periodical&gt;&lt;full-title&gt;Clinical Pharmacology &amp;amp; Therapeutics&lt;/full-title&gt;&lt;/periodical&gt;&lt;pages&gt;1537-1546&lt;/pages&gt;&lt;volume&gt;110&lt;/volume&gt;&lt;number&gt;6&lt;/number&gt;&lt;dates&gt;&lt;year&gt;2021&lt;/year&gt;&lt;/dates&gt;&lt;isbn&gt;0009-9236&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47</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17 distinct d</w:t>
            </w:r>
            <w:r w:rsidRPr="00786A4E">
              <w:rPr>
                <w:rFonts w:ascii="Arial" w:eastAsia="Times New Roman" w:hAnsi="Arial" w:cs="Arial"/>
                <w:sz w:val="18"/>
                <w:szCs w:val="18"/>
                <w:highlight w:val="yellow"/>
              </w:rPr>
              <w:t>rug</w:t>
            </w:r>
            <w:r w:rsidRPr="004C25B5">
              <w:rPr>
                <w:rFonts w:ascii="Arial" w:eastAsia="Times New Roman" w:hAnsi="Arial" w:cs="Arial"/>
                <w:sz w:val="18"/>
                <w:szCs w:val="18"/>
                <w:highlight w:val="yellow"/>
              </w:rPr>
              <w:t>s</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9,748 patients with COVID-19 at Vanderbilt University Medical Center (VUMC).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(medication, severity e..g, (1) never hospitalized, (2) hospitalized with mild conditions and without intensive treatment (hospitalized-mild), (3) admitted to the intensive care unit (ICU), (4) on mechanical ventilation, and (5) dead, and comorbidity)</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Logistic regression, and 2) Multivariate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17 drugs were significantly associated with decreased COVID-19 severity. Previous exposure to two types of 13-valent pneumococcal conjugate vaccines, PCV13 (odds ratio (OR), 0.31, 95% confidence interval (CI), 0.12–0.81 and OR, 0.33, 95% CI, 0.15–0.73), diphtheria toxoid and tetanus toxoid vaccine (OR, 0.38, 95% CI, 0.15 0.93) were significantly associated with a decreased risk of death (primary outcome). Secondary analyses identified several other significant associations showing lower risk for COVID-19 outcomes: acellular pertussis vaccine, 23-valent pneumococcal polysaccharide vaccine (PPSV23), flaxseed extract, ethinyl estradiol, estradiol, turmeric extract, ubidecarenone, azelastine, pseudoephedrine, dextromethorphan, omega-3 fatty acids, fluticasone, and ibuprofen.</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U</w:t>
            </w:r>
            <w:r w:rsidRPr="00A14F04">
              <w:rPr>
                <w:rFonts w:ascii="Arial" w:eastAsia="Times New Roman" w:hAnsi="Arial" w:cs="Arial"/>
                <w:sz w:val="18"/>
                <w:szCs w:val="18"/>
              </w:rPr>
              <w:t>nmeasured confoundin</w:t>
            </w:r>
            <w:r>
              <w:rPr>
                <w:rFonts w:ascii="Arial" w:eastAsia="Times New Roman" w:hAnsi="Arial" w:cs="Arial"/>
                <w:sz w:val="18"/>
                <w:szCs w:val="18"/>
              </w:rPr>
              <w:t>g factors, 2) T</w:t>
            </w:r>
            <w:r w:rsidRPr="00A14F04">
              <w:rPr>
                <w:rFonts w:ascii="Arial" w:eastAsia="Times New Roman" w:hAnsi="Arial" w:cs="Arial"/>
                <w:sz w:val="18"/>
                <w:szCs w:val="18"/>
              </w:rPr>
              <w:t>reatment and</w:t>
            </w:r>
            <w:r>
              <w:rPr>
                <w:rFonts w:ascii="Arial" w:eastAsia="Times New Roman" w:hAnsi="Arial" w:cs="Arial"/>
                <w:sz w:val="18"/>
                <w:szCs w:val="18"/>
              </w:rPr>
              <w:t xml:space="preserve"> outcome misclassification, 3) L</w:t>
            </w:r>
            <w:r w:rsidRPr="00A14F04">
              <w:rPr>
                <w:rFonts w:ascii="Arial" w:eastAsia="Times New Roman" w:hAnsi="Arial" w:cs="Arial"/>
                <w:sz w:val="18"/>
                <w:szCs w:val="18"/>
              </w:rPr>
              <w:t>ack of generalizability</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Muraki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&lt;EndNote&gt;&lt;Cite&gt;&lt;Author&gt;Muraki&lt;/Author&gt;&lt;Year&gt;2018&lt;/Year&gt;&lt;RecNum&gt;457&lt;/RecNum&gt;&lt;DisplayText&gt;&lt;style face="superscript"&gt;48&lt;/style&gt;&lt;/DisplayText&gt;&lt;record&gt;&lt;rec-number&gt;457&lt;/rec-number&gt;&lt;foreign-keys&gt;&lt;key app="EN" db-id="waeppwvvowz0z5es9scxvwwnwte25s55w2dp" timestamp="1624301791"&gt;457&lt;/key&gt;&lt;/foreign-keys&gt;&lt;ref-type name="Journal Article"&gt;17&lt;/ref-type&gt;&lt;contributors&gt;&lt;authors&gt;&lt;author&gt;Muraki, Shota&lt;/author&gt;&lt;author&gt;Moriki, Kuniaki&lt;/author&gt;&lt;author&gt;Shigematsu, Saki&lt;/author&gt;&lt;author&gt;Fukae, Masato&lt;/author&gt;&lt;author&gt;Kakara, Makoto&lt;/author&gt;&lt;author&gt;Yamashita, Daiki&lt;/author&gt;&lt;author&gt;Hirota, Takeshi&lt;/author&gt;&lt;author&gt;Takane, Hiroshi&lt;/author&gt;&lt;author&gt;Shimada, Miki&lt;/author&gt;&lt;author&gt;Hirakawa, Masaaki&lt;/author&gt;&lt;/authors&gt;&lt;/contributors&gt;&lt;titles&gt;&lt;title&gt;Population Pharmacodynamic Analysis of Uric Acid–Lowering Effects of Febuxostat Based on Electronic Medical Records in Two Hospitals&lt;/title&gt;&lt;secondary-title&gt;The Journal of Clinical Pharmacology&lt;/secondary-title&gt;&lt;/titles&gt;&lt;periodical&gt;&lt;full-title&gt;The Journal of Clinical Pharmacology&lt;/full-title&gt;&lt;/periodical&gt;&lt;pages&gt;304-313&lt;/pages&gt;&lt;volume&gt;58&lt;/volume&gt;&lt;number&gt;3&lt;/number&gt;&lt;dates&gt;&lt;year&gt;2018&lt;/year&gt;&lt;/dates&gt;&lt;isbn&gt;0091-2700&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48</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Febuxostat</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358 patients from Tottori University Hospital and Fukuoka Tokushukai Medical Center</w:t>
            </w:r>
          </w:p>
        </w:tc>
        <w:tc>
          <w:tcPr>
            <w:tcW w:w="1560" w:type="dxa"/>
            <w:shd w:val="clear" w:color="auto" w:fill="auto"/>
            <w:noWrap/>
            <w:vAlign w:val="center"/>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Prediction (medication, laboratory tests)</w:t>
            </w:r>
          </w:p>
        </w:tc>
        <w:tc>
          <w:tcPr>
            <w:tcW w:w="1677"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 Covariate analysis, and 2) Wilcoxon </w:t>
            </w:r>
            <w:r w:rsidRPr="00F90FEA">
              <w:rPr>
                <w:rFonts w:ascii="Arial" w:eastAsia="Times New Roman" w:hAnsi="Arial" w:cs="Arial"/>
                <w:sz w:val="18"/>
                <w:szCs w:val="18"/>
                <w:highlight w:val="yellow"/>
              </w:rPr>
              <w:t>signed-rank test</w:t>
            </w:r>
          </w:p>
        </w:tc>
        <w:tc>
          <w:tcPr>
            <w:tcW w:w="1696"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p>
        </w:tc>
        <w:tc>
          <w:tcPr>
            <w:tcW w:w="3865"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The study provides a precise description of the time course of the UA-lowering effects of febuxostat and quantitatively detect</w:t>
            </w:r>
            <w:r>
              <w:rPr>
                <w:rFonts w:ascii="Arial" w:eastAsia="Times New Roman" w:hAnsi="Arial" w:cs="Arial"/>
                <w:sz w:val="18"/>
                <w:szCs w:val="18"/>
              </w:rPr>
              <w:t>s</w:t>
            </w:r>
            <w:r w:rsidRPr="004C25B5">
              <w:rPr>
                <w:rFonts w:ascii="Arial" w:eastAsia="Times New Roman" w:hAnsi="Arial" w:cs="Arial"/>
                <w:sz w:val="18"/>
                <w:szCs w:val="18"/>
              </w:rPr>
              <w:t xml:space="preserve"> an interhospital difference in the UA baseline level. A covariate analysis indicated that loops and thiazides increased describe uric acid (UA) baseline levels by 7%–14% and 6%–11%, respectively. “hospital” was identified as a significant covariate for the UA baseline level; the baseline level was 7% higher in the city hospital. </w:t>
            </w:r>
          </w:p>
        </w:tc>
        <w:tc>
          <w:tcPr>
            <w:tcW w:w="1975" w:type="dxa"/>
            <w:vAlign w:val="center"/>
          </w:tcPr>
          <w:p w:rsidR="00575628" w:rsidRPr="004C25B5"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R</w:t>
            </w:r>
            <w:r w:rsidRPr="004C25B5">
              <w:rPr>
                <w:rFonts w:ascii="Arial" w:eastAsia="Times New Roman" w:hAnsi="Arial" w:cs="Arial"/>
                <w:sz w:val="18"/>
                <w:szCs w:val="18"/>
              </w:rPr>
              <w:t xml:space="preserve">obustness and reliability </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Cummings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&lt;EndNote&gt;&lt;Cite&gt;&lt;Author&gt;Cummings&lt;/Author&gt;&lt;Year&gt;2021&lt;/Year&gt;&lt;RecNum&gt;533&lt;/RecNum&gt;&lt;DisplayText&gt;&lt;style face="superscript"&gt;49&lt;/style&gt;&lt;/DisplayText&gt;&lt;record&gt;&lt;rec-number&gt;533&lt;/rec-number&gt;&lt;foreign-keys&gt;&lt;key app="EN" db-id="waeppwvvowz0z5es9scxvwwnwte25s55w2dp" timestamp="1642613040"&gt;533&lt;/key&gt;&lt;/foreign-keys&gt;&lt;ref-type name="Journal Article"&gt;17&lt;/ref-type&gt;&lt;contributors&gt;&lt;authors&gt;&lt;author&gt;Cummings, Tammy H&lt;/author&gt;&lt;author&gt;Magagnoli, Joseph&lt;/author&gt;&lt;author&gt;Hardin, James W&lt;/author&gt;&lt;author&gt;Sutton, S Scott&lt;/author&gt;&lt;/authors&gt;&lt;/contributors&gt;&lt;titles&gt;&lt;title&gt;Drug repurposing of dextromethorphan as a cellular target for the management of influenza&lt;/title&gt;&lt;secondary-title&gt;Pharmacotherapy: The Journal of Human Pharmacology and Drug Therapy&lt;/secondary-title&gt;&lt;/titles&gt;&lt;periodical&gt;&lt;full-title&gt;Pharmacotherapy: The Journal of Human Pharmacology and Drug Therapy&lt;/full-title&gt;&lt;/periodical&gt;&lt;pages&gt;796-803&lt;/pages&gt;&lt;volume&gt;41&lt;/volume&gt;&lt;number&gt;10&lt;/number&gt;&lt;dates&gt;&lt;year&gt;2021&lt;/year&gt;&lt;/dates&gt;&lt;isbn&gt;0277-0008&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49</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Dextromethorphan</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18,677 patients from </w:t>
            </w:r>
            <w:r w:rsidRPr="00F90FEA">
              <w:rPr>
                <w:rFonts w:ascii="Arial" w:eastAsia="Times New Roman" w:hAnsi="Arial" w:cs="Arial"/>
                <w:sz w:val="18"/>
                <w:szCs w:val="18"/>
                <w:highlight w:val="yellow"/>
              </w:rPr>
              <w:t>the US Department</w:t>
            </w:r>
            <w:r w:rsidRPr="004C25B5">
              <w:rPr>
                <w:rFonts w:ascii="Arial" w:eastAsia="Times New Roman" w:hAnsi="Arial" w:cs="Arial"/>
                <w:sz w:val="18"/>
                <w:szCs w:val="18"/>
              </w:rPr>
              <w:t xml:space="preserve"> of Veterans Affairs.</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(diagnosis, severity, medication, mortality )</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Linear regression</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the potential drugs using Poisson generalized linear model</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 relative risk reduction of 34% for all-cause hospitalizations (Relative Risk (RR) 0.66, 95% Confidence Interval (CI) 0.525-0.832) and 40% for respiratory hospitalizations (RR 0.597, 95% CI 0.423-0.843) in patients with influenza treated with dextromethorphan.</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Lack of data, 2) Treatment misclassification,3) L</w:t>
            </w:r>
            <w:r w:rsidRPr="00A14F04">
              <w:rPr>
                <w:rFonts w:ascii="Arial" w:eastAsia="Times New Roman" w:hAnsi="Arial" w:cs="Arial"/>
                <w:sz w:val="18"/>
                <w:szCs w:val="18"/>
              </w:rPr>
              <w:t>ack of generalizability</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lastRenderedPageBreak/>
              <w:t xml:space="preserve">Zhou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&lt;EndNote&gt;&lt;Cite&gt;&lt;Author&gt;Zhou&lt;/Author&gt;&lt;Year&gt;2021&lt;/Year&gt;&lt;RecNum&gt;540&lt;/RecNum&gt;&lt;DisplayText&gt;&lt;style face="superscript"&gt;50&lt;/style&gt;&lt;/DisplayText&gt;&lt;record&gt;&lt;rec-number&gt;540&lt;/rec-number&gt;&lt;foreign-keys&gt;&lt;key app="EN" db-id="waeppwvvowz0z5es9scxvwwnwte25s55w2dp" timestamp="1642613357"&gt;540&lt;/key&gt;&lt;/foreign-keys&gt;&lt;ref-type name="Journal Article"&gt;17&lt;/ref-type&gt;&lt;contributors&gt;&lt;authors&gt;&lt;author&gt;Zhou, Mengshi&lt;/author&gt;&lt;author&gt;Wang, QuanQiu&lt;/author&gt;&lt;author&gt;Zheng, Chunlei&lt;/author&gt;&lt;author&gt;Rush, A John&lt;/author&gt;&lt;author&gt;Volkow, Nora D&lt;/author&gt;&lt;author&gt;Xu, Rong&lt;/author&gt;&lt;/authors&gt;&lt;/contributors&gt;&lt;titles&gt;&lt;title&gt;Drug repurposing for opioid use disorders: integration of computational prediction, clinical corroboration, and mechanism of action analyses&lt;/title&gt;&lt;secondary-title&gt;Molecular psychiatry&lt;/secondary-title&gt;&lt;/titles&gt;&lt;periodical&gt;&lt;full-title&gt;Molecular psychiatry&lt;/full-title&gt;&lt;/periodical&gt;&lt;pages&gt;1-11&lt;/pages&gt;&lt;dates&gt;&lt;year&gt;2021&lt;/year&gt;&lt;/dates&gt;&lt;isbn&gt;1476-5578&lt;/isbn&gt;&lt;urls&gt;&lt;/urls&gt;&lt;/record&gt;&lt;/Cite&gt;&lt;/EndNote&gt;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50</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Tramadol, olanzapine, mirtazapine, bupropion, and a</w:t>
            </w:r>
            <w:r w:rsidRPr="00786A4E">
              <w:rPr>
                <w:rFonts w:ascii="Arial" w:eastAsia="Times New Roman" w:hAnsi="Arial" w:cs="Arial"/>
                <w:sz w:val="18"/>
                <w:szCs w:val="18"/>
                <w:highlight w:val="yellow"/>
              </w:rPr>
              <w:t>tomoxetine</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72.9 million patients of IBM Watson Health from 1999 up to August 2020</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Validation (disease, medication)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Network-based</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1) Validate the method by drug ranking and comparing with literature, 2) Validated the potential drugs using </w:t>
            </w:r>
            <w:r w:rsidRPr="00F90FEA">
              <w:rPr>
                <w:rFonts w:ascii="Arial" w:eastAsia="Times New Roman" w:hAnsi="Arial" w:cs="Arial"/>
                <w:sz w:val="18"/>
                <w:szCs w:val="18"/>
                <w:highlight w:val="yellow"/>
              </w:rPr>
              <w:t>the</w:t>
            </w:r>
            <w:r>
              <w:rPr>
                <w:rFonts w:ascii="Arial" w:eastAsia="Times New Roman" w:hAnsi="Arial" w:cs="Arial"/>
                <w:sz w:val="18"/>
                <w:szCs w:val="18"/>
              </w:rPr>
              <w:t xml:space="preserve"> </w:t>
            </w:r>
            <w:r w:rsidRPr="00A14F04">
              <w:rPr>
                <w:rFonts w:ascii="Arial" w:eastAsia="Times New Roman" w:hAnsi="Arial" w:cs="Arial"/>
                <w:sz w:val="18"/>
                <w:szCs w:val="18"/>
              </w:rPr>
              <w:t>Cochran Mantel Haenszel method</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The proposed method prioritized these four drugs (methadone, buprenorphine, naltrexone, and naloxone) within the top 3.4% among 1430 FDA-approved drugs on the network. 17 out of the top 20 are implicated as SUD treatments through different sources. Tramadol, olanzapine, mirtazapine, bupropion, and atomoxetine were associated with increased odds of opioid use disorders (OUD) remission (adjusted odds ratio: 1.51 [1.38–1.66], 1.90 [1.66–2.18], 1.38 [1.31 1.46], 1.37 [1.29–1.46], 1.48 [1.25–1.76], p</w:t>
            </w:r>
            <w:r>
              <w:rPr>
                <w:rFonts w:ascii="Arial" w:eastAsia="Times New Roman" w:hAnsi="Arial" w:cs="Arial"/>
                <w:sz w:val="18"/>
                <w:szCs w:val="18"/>
              </w:rPr>
              <w:t>-</w:t>
            </w:r>
            <w:r w:rsidRPr="00A14F04">
              <w:rPr>
                <w:rFonts w:ascii="Arial" w:eastAsia="Times New Roman" w:hAnsi="Arial" w:cs="Arial"/>
                <w:sz w:val="18"/>
                <w:szCs w:val="18"/>
              </w:rPr>
              <w:t xml:space="preserve">value &lt; 0.001, respectively). Genetic and functional analyses showed these five candidate drugs directly target multiple OUD-associated genes including BDNF, CYP2D6, OPRD1, OPRK1, OPRM1, HTR1B, </w:t>
            </w:r>
            <w:r>
              <w:rPr>
                <w:rFonts w:ascii="Arial" w:eastAsia="Times New Roman" w:hAnsi="Arial" w:cs="Arial"/>
                <w:sz w:val="18"/>
                <w:szCs w:val="18"/>
              </w:rPr>
              <w:t xml:space="preserve">and </w:t>
            </w:r>
            <w:r w:rsidRPr="00A14F04">
              <w:rPr>
                <w:rFonts w:ascii="Arial" w:eastAsia="Times New Roman" w:hAnsi="Arial" w:cs="Arial"/>
                <w:sz w:val="18"/>
                <w:szCs w:val="18"/>
              </w:rPr>
              <w:t>POMC, SLC6A4</w:t>
            </w:r>
            <w:r>
              <w:rPr>
                <w:rFonts w:ascii="Arial" w:eastAsia="Times New Roman" w:hAnsi="Arial" w:cs="Arial"/>
                <w:sz w:val="18"/>
                <w:szCs w:val="18"/>
              </w:rPr>
              <w:t>,</w:t>
            </w:r>
            <w:r w:rsidRPr="00A14F04">
              <w:rPr>
                <w:rFonts w:ascii="Arial" w:eastAsia="Times New Roman" w:hAnsi="Arial" w:cs="Arial"/>
                <w:sz w:val="18"/>
                <w:szCs w:val="18"/>
              </w:rPr>
              <w:t xml:space="preserve"> and OUD-associated pathways, including opioid signaling, G protein activation, serotonin receptors, and GPCR signaling.</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Data bias, 2) D</w:t>
            </w:r>
            <w:r w:rsidRPr="00A14F04">
              <w:rPr>
                <w:rFonts w:ascii="Arial" w:eastAsia="Times New Roman" w:hAnsi="Arial" w:cs="Arial"/>
                <w:sz w:val="18"/>
                <w:szCs w:val="18"/>
              </w:rPr>
              <w:t>iscrepancy</w:t>
            </w:r>
            <w:r>
              <w:rPr>
                <w:rFonts w:ascii="Arial" w:eastAsia="Times New Roman" w:hAnsi="Arial" w:cs="Arial"/>
                <w:sz w:val="18"/>
                <w:szCs w:val="18"/>
              </w:rPr>
              <w:t xml:space="preserve"> of different data sources, 3) Lack of generalizability, 4) I</w:t>
            </w:r>
            <w:r w:rsidRPr="00A14F04">
              <w:rPr>
                <w:rFonts w:ascii="Arial" w:eastAsia="Times New Roman" w:hAnsi="Arial" w:cs="Arial"/>
                <w:sz w:val="18"/>
                <w:szCs w:val="18"/>
              </w:rPr>
              <w:t>ncomplete knowledge</w:t>
            </w:r>
          </w:p>
        </w:tc>
      </w:tr>
      <w:tr w:rsidR="00575628" w:rsidRPr="00A14F04" w:rsidTr="006B7DC3">
        <w:trPr>
          <w:trHeight w:val="300"/>
        </w:trPr>
        <w:tc>
          <w:tcPr>
            <w:tcW w:w="1037" w:type="dxa"/>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Ozery-Flato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&lt;EndNote&gt;&lt;Cite&gt;&lt;Author&gt;Ozery-Flato&lt;/Author&gt;&lt;Year&gt;2020&lt;/Year&gt;&lt;RecNum&gt;537&lt;/RecNum&gt;&lt;DisplayText&gt;&lt;style face="superscript"&gt;51&lt;/style&gt;&lt;/DisplayText&gt;&lt;record&gt;&lt;rec-number&gt;537&lt;/rec-number&gt;&lt;foreign-keys&gt;&lt;key app="EN" db-id="waeppwvvowz0z5es9scxvwwnwte25s55w2dp" timestamp="1642613231"&gt;537&lt;/key&gt;&lt;/foreign-keys&gt;&lt;ref-type name="Journal Article"&gt;17&lt;/ref-type&gt;&lt;contributors&gt;&lt;authors&gt;&lt;author&gt;Ozery-Flato, Michal&lt;/author&gt;&lt;author&gt;Goldschmidt, Yaara&lt;/author&gt;&lt;author&gt;Shaham, Oded&lt;/author&gt;&lt;author&gt;Ravid, Sivan&lt;/author&gt;&lt;author&gt;Yanover, Chen&lt;/author&gt;&lt;/authors&gt;&lt;/contributors&gt;&lt;titles&gt;&lt;title&gt;Framework for identifying drug repurposing candidates from observational healthcare data&lt;/title&gt;&lt;secondary-title&gt;JAMIA open&lt;/secondary-title&gt;&lt;/titles&gt;&lt;periodical&gt;&lt;full-title&gt;JAMIA Open&lt;/full-title&gt;&lt;/periodical&gt;&lt;pages&gt;536-544&lt;/pages&gt;&lt;volume&gt;3&lt;/volume&gt;&lt;number&gt;4&lt;/number&gt;&lt;dates&gt;&lt;year&gt;2020&lt;/year&gt;&lt;/dates&gt;&lt;isbn&gt;2574-2531&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51</w:t>
            </w:r>
            <w:r w:rsidRPr="004C25B5">
              <w:rPr>
                <w:rFonts w:ascii="Arial" w:hAnsi="Arial" w:cs="Arial"/>
                <w:sz w:val="18"/>
                <w:szCs w:val="18"/>
              </w:rPr>
              <w:fldChar w:fldCharType="end"/>
            </w:r>
          </w:p>
        </w:tc>
        <w:tc>
          <w:tcPr>
            <w:tcW w:w="1130" w:type="dxa"/>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4C25B5">
              <w:rPr>
                <w:rFonts w:ascii="Arial" w:eastAsia="Times New Roman" w:hAnsi="Arial" w:cs="Arial"/>
                <w:sz w:val="18"/>
                <w:szCs w:val="18"/>
                <w:highlight w:val="yellow"/>
              </w:rPr>
              <w:t>Rasagiline, zolpidem, azithromycin, and v</w:t>
            </w:r>
            <w:r w:rsidRPr="00786A4E">
              <w:rPr>
                <w:rFonts w:ascii="Arial" w:eastAsia="Times New Roman" w:hAnsi="Arial" w:cs="Arial"/>
                <w:sz w:val="18"/>
                <w:szCs w:val="18"/>
                <w:highlight w:val="yellow"/>
              </w:rPr>
              <w:t>alsartan</w:t>
            </w:r>
          </w:p>
        </w:tc>
        <w:tc>
          <w:tcPr>
            <w:tcW w:w="1450" w:type="dxa"/>
            <w:shd w:val="clear" w:color="auto" w:fill="auto"/>
            <w:noWrap/>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 xml:space="preserve">1) 60 million patients from IBM Explorys Therapeutic Dataset, and 2) 120 million patients from IBM MarketScan Research Databases </w:t>
            </w:r>
          </w:p>
        </w:tc>
        <w:tc>
          <w:tcPr>
            <w:tcW w:w="1560" w:type="dxa"/>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t>Prediction (disease, medication)</w:t>
            </w:r>
          </w:p>
        </w:tc>
        <w:tc>
          <w:tcPr>
            <w:tcW w:w="1677"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F84E44">
              <w:rPr>
                <w:rFonts w:ascii="Arial" w:eastAsia="Times New Roman" w:hAnsi="Arial" w:cs="Arial"/>
                <w:sz w:val="18"/>
                <w:szCs w:val="18"/>
                <w:highlight w:val="yellow"/>
              </w:rPr>
              <w:t>Causative inference methods</w:t>
            </w:r>
          </w:p>
        </w:tc>
        <w:tc>
          <w:tcPr>
            <w:tcW w:w="1696"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1) Applied a meta-analysis of estimated effects and assessed the level of agreement between the two different causal inference methods</w:t>
            </w:r>
          </w:p>
        </w:tc>
        <w:tc>
          <w:tcPr>
            <w:tcW w:w="3865" w:type="dxa"/>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 xml:space="preserve">The effect of 259 drugs on psychosis </w:t>
            </w:r>
            <w:r>
              <w:rPr>
                <w:rFonts w:ascii="Arial" w:eastAsia="Times New Roman" w:hAnsi="Arial" w:cs="Arial"/>
                <w:sz w:val="18"/>
                <w:szCs w:val="18"/>
              </w:rPr>
              <w:t xml:space="preserve">and </w:t>
            </w:r>
            <w:r w:rsidRPr="00A14F04">
              <w:rPr>
                <w:rFonts w:ascii="Arial" w:eastAsia="Times New Roman" w:hAnsi="Arial" w:cs="Arial"/>
                <w:sz w:val="18"/>
                <w:szCs w:val="18"/>
              </w:rPr>
              <w:t xml:space="preserve">dementia was measured based on 1453 emulated trials. Only 4 (0.3%) of the 1,453 trials ended with significant beneficial effects at </w:t>
            </w:r>
            <w:r>
              <w:rPr>
                <w:rFonts w:ascii="Arial" w:eastAsia="Times New Roman" w:hAnsi="Arial" w:cs="Arial"/>
                <w:sz w:val="18"/>
                <w:szCs w:val="18"/>
              </w:rPr>
              <w:t xml:space="preserve">a </w:t>
            </w:r>
            <w:r w:rsidRPr="00A14F04">
              <w:rPr>
                <w:rFonts w:ascii="Arial" w:eastAsia="Times New Roman" w:hAnsi="Arial" w:cs="Arial"/>
                <w:sz w:val="18"/>
                <w:szCs w:val="18"/>
              </w:rPr>
              <w:t xml:space="preserve">false discovery rate (FDR) </w:t>
            </w:r>
            <w:r>
              <w:rPr>
                <w:rFonts w:ascii="Arial" w:eastAsia="Times New Roman" w:hAnsi="Arial" w:cs="Arial"/>
                <w:sz w:val="18"/>
                <w:szCs w:val="18"/>
              </w:rPr>
              <w:t xml:space="preserve">of </w:t>
            </w:r>
            <w:r w:rsidRPr="00A14F04">
              <w:rPr>
                <w:rFonts w:ascii="Arial" w:eastAsia="Times New Roman" w:hAnsi="Arial" w:cs="Arial"/>
                <w:sz w:val="18"/>
                <w:szCs w:val="18"/>
              </w:rPr>
              <w:t>5% by the two causal estimation methods and in both databases. These 4 trials involved 4 distinct drugs: rasagiline, zolpidem, azithromycin, and valsartan. A strong and significant correlation was observed between the effects estimated by the two causal inference methods (focusing on drugs where at least one of the estimated effects is significant at FDR of 5%)</w:t>
            </w:r>
          </w:p>
        </w:tc>
        <w:tc>
          <w:tcPr>
            <w:tcW w:w="1975" w:type="dxa"/>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B</w:t>
            </w:r>
            <w:r w:rsidRPr="00A14F04">
              <w:rPr>
                <w:rFonts w:ascii="Arial" w:eastAsia="Times New Roman" w:hAnsi="Arial" w:cs="Arial"/>
                <w:sz w:val="18"/>
                <w:szCs w:val="18"/>
              </w:rPr>
              <w:t xml:space="preserve">ias generated in </w:t>
            </w:r>
            <w:r>
              <w:rPr>
                <w:rFonts w:ascii="Arial" w:eastAsia="Times New Roman" w:hAnsi="Arial" w:cs="Arial"/>
                <w:sz w:val="18"/>
                <w:szCs w:val="18"/>
              </w:rPr>
              <w:t xml:space="preserve">the </w:t>
            </w:r>
            <w:r w:rsidRPr="00A14F04">
              <w:rPr>
                <w:rFonts w:ascii="Arial" w:eastAsia="Times New Roman" w:hAnsi="Arial" w:cs="Arial"/>
                <w:sz w:val="18"/>
                <w:szCs w:val="18"/>
              </w:rPr>
              <w:t>data processing</w:t>
            </w:r>
          </w:p>
        </w:tc>
      </w:tr>
      <w:tr w:rsidR="00575628" w:rsidRPr="00A14F04" w:rsidTr="006B7DC3">
        <w:trPr>
          <w:trHeight w:val="300"/>
        </w:trPr>
        <w:tc>
          <w:tcPr>
            <w:tcW w:w="1037" w:type="dxa"/>
            <w:tcBorders>
              <w:bottom w:val="single" w:sz="4" w:space="0" w:color="auto"/>
            </w:tcBorders>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hAnsi="Arial" w:cs="Arial"/>
                <w:sz w:val="18"/>
                <w:szCs w:val="18"/>
              </w:rPr>
              <w:t xml:space="preserve">Bai et al </w:t>
            </w:r>
            <w:r w:rsidRPr="004C25B5">
              <w:rPr>
                <w:rFonts w:ascii="Arial" w:hAnsi="Arial" w:cs="Arial"/>
                <w:sz w:val="18"/>
                <w:szCs w:val="18"/>
              </w:rPr>
              <w:fldChar w:fldCharType="begin"/>
            </w:r>
            <w:r w:rsidRPr="004C25B5">
              <w:rPr>
                <w:rFonts w:ascii="Arial" w:hAnsi="Arial" w:cs="Arial"/>
                <w:sz w:val="18"/>
                <w:szCs w:val="18"/>
              </w:rPr>
              <w:instrText xml:space="preserve"> ADDIN EN.CITE &lt;EndNote&gt;&lt;Cite&gt;&lt;Author&gt;Bai&lt;/Author&gt;&lt;Year&gt;2021&lt;/Year&gt;&lt;RecNum&gt;529&lt;/RecNum&gt;&lt;DisplayText&gt;&lt;style face="superscript"&gt;52&lt;/style&gt;&lt;/DisplayText&gt;&lt;record&gt;&lt;rec-number&gt;529&lt;/rec-number&gt;&lt;foreign-keys&gt;&lt;key app="EN" db-id="waeppwvvowz0z5es9scxvwwnwte25s55w2dp" timestamp="1642612820"&gt;529&lt;/key&gt;&lt;/foreign-keys&gt;&lt;ref-type name="Journal Article"&gt;17&lt;/ref-type&gt;&lt;contributors&gt;&lt;authors&gt;&lt;author&gt;Bai, Lawrence&lt;/author&gt;&lt;author&gt;Scott, Madeleine KD&lt;/author&gt;&lt;author&gt;Steinberg, Ethan&lt;/author&gt;&lt;author&gt;Kalesinskas, Laurynas&lt;/author&gt;&lt;author&gt;Habtezion, Aida&lt;/author&gt;&lt;author&gt;Shah, Nigam H&lt;/author&gt;&lt;author&gt;Khatri, Purvesh&lt;/author&gt;&lt;/authors&gt;&lt;/contributors&gt;&lt;titles&gt;&lt;title&gt;Computational drug repositioning of atorvastatin for ulcerative colitis&lt;/title&gt;&lt;secondary-title&gt;Journal of the American Medical Informatics Association&lt;/secondary-title&gt;&lt;/titles&gt;&lt;periodical&gt;&lt;full-title&gt;Journal of the American Medical Informatics Association&lt;/full-title&gt;&lt;/periodical&gt;&lt;pages&gt;2325-2335&lt;/pages&gt;&lt;volume&gt;28&lt;/volume&gt;&lt;number&gt;11&lt;/number&gt;&lt;dates&gt;&lt;year&gt;2021&lt;/year&gt;&lt;/dates&gt;&lt;isbn&gt;1527-974X&lt;/isbn&gt;&lt;urls&gt;&lt;/urls&gt;&lt;/record&gt;&lt;/Cite&gt;&lt;/EndNote&gt;</w:instrText>
            </w:r>
            <w:r w:rsidRPr="004C25B5">
              <w:rPr>
                <w:rFonts w:ascii="Arial" w:hAnsi="Arial" w:cs="Arial"/>
                <w:sz w:val="18"/>
                <w:szCs w:val="18"/>
              </w:rPr>
              <w:fldChar w:fldCharType="separate"/>
            </w:r>
            <w:r w:rsidRPr="004C25B5">
              <w:rPr>
                <w:rFonts w:ascii="Arial" w:hAnsi="Arial" w:cs="Arial"/>
                <w:noProof/>
                <w:sz w:val="18"/>
                <w:szCs w:val="18"/>
                <w:vertAlign w:val="superscript"/>
              </w:rPr>
              <w:t>52</w:t>
            </w:r>
            <w:r w:rsidRPr="004C25B5">
              <w:rPr>
                <w:rFonts w:ascii="Arial" w:hAnsi="Arial" w:cs="Arial"/>
                <w:sz w:val="18"/>
                <w:szCs w:val="18"/>
              </w:rPr>
              <w:fldChar w:fldCharType="end"/>
            </w:r>
          </w:p>
        </w:tc>
        <w:tc>
          <w:tcPr>
            <w:tcW w:w="1130" w:type="dxa"/>
            <w:tcBorders>
              <w:bottom w:val="single" w:sz="4" w:space="0" w:color="auto"/>
            </w:tcBorders>
            <w:vAlign w:val="center"/>
          </w:tcPr>
          <w:p w:rsidR="00575628" w:rsidRPr="004C25B5" w:rsidRDefault="00575628" w:rsidP="006B7DC3">
            <w:pPr>
              <w:spacing w:after="0" w:line="240" w:lineRule="auto"/>
              <w:rPr>
                <w:rFonts w:ascii="Arial" w:eastAsia="Times New Roman" w:hAnsi="Arial" w:cs="Arial"/>
                <w:sz w:val="18"/>
                <w:szCs w:val="18"/>
                <w:highlight w:val="yellow"/>
              </w:rPr>
            </w:pPr>
            <w:r w:rsidRPr="00786A4E">
              <w:rPr>
                <w:rFonts w:ascii="Arial" w:eastAsia="Times New Roman" w:hAnsi="Arial" w:cs="Arial"/>
                <w:sz w:val="18"/>
                <w:szCs w:val="18"/>
                <w:highlight w:val="yellow"/>
              </w:rPr>
              <w:t>Atorvastatin</w:t>
            </w:r>
          </w:p>
        </w:tc>
        <w:tc>
          <w:tcPr>
            <w:tcW w:w="1450" w:type="dxa"/>
            <w:tcBorders>
              <w:bottom w:val="single" w:sz="4" w:space="0" w:color="auto"/>
            </w:tcBorders>
            <w:shd w:val="clear" w:color="auto" w:fill="auto"/>
            <w:vAlign w:val="center"/>
            <w:hideMark/>
          </w:tcPr>
          <w:p w:rsidR="00575628" w:rsidRPr="004C25B5" w:rsidRDefault="00575628" w:rsidP="006B7DC3">
            <w:pPr>
              <w:spacing w:after="0" w:line="240" w:lineRule="auto"/>
              <w:rPr>
                <w:rFonts w:ascii="Arial" w:eastAsia="Times New Roman" w:hAnsi="Arial" w:cs="Arial"/>
                <w:sz w:val="18"/>
                <w:szCs w:val="18"/>
              </w:rPr>
            </w:pPr>
            <w:r w:rsidRPr="004C25B5">
              <w:rPr>
                <w:rFonts w:ascii="Arial" w:eastAsia="Times New Roman" w:hAnsi="Arial" w:cs="Arial"/>
                <w:sz w:val="18"/>
                <w:szCs w:val="18"/>
              </w:rPr>
              <w:t>1) 1.8 million adult and pediatric patients seen at Stanford University Medical Center from Jan 1, 2008, to Dec 31, 2015, and 2) 63 million US residents from Jan 1, 2004, to Dec 31, 2016</w:t>
            </w:r>
            <w:r>
              <w:rPr>
                <w:rFonts w:ascii="Arial" w:eastAsia="Times New Roman" w:hAnsi="Arial" w:cs="Arial"/>
                <w:sz w:val="18"/>
                <w:szCs w:val="18"/>
              </w:rPr>
              <w:t>,</w:t>
            </w:r>
            <w:r w:rsidRPr="004C25B5">
              <w:rPr>
                <w:rFonts w:ascii="Arial" w:eastAsia="Times New Roman" w:hAnsi="Arial" w:cs="Arial"/>
                <w:sz w:val="18"/>
                <w:szCs w:val="18"/>
              </w:rPr>
              <w:t xml:space="preserve"> from Optum </w:t>
            </w:r>
            <w:r w:rsidRPr="004C25B5">
              <w:rPr>
                <w:rFonts w:ascii="Arial" w:eastAsia="Times New Roman" w:hAnsi="Arial" w:cs="Arial"/>
                <w:sz w:val="18"/>
                <w:szCs w:val="18"/>
              </w:rPr>
              <w:lastRenderedPageBreak/>
              <w:t>Clinformatics DataMart</w:t>
            </w:r>
          </w:p>
        </w:tc>
        <w:tc>
          <w:tcPr>
            <w:tcW w:w="1560" w:type="dxa"/>
            <w:tcBorders>
              <w:bottom w:val="single" w:sz="4" w:space="0" w:color="auto"/>
            </w:tcBorders>
            <w:shd w:val="clear" w:color="auto" w:fill="auto"/>
            <w:noWrap/>
            <w:vAlign w:val="center"/>
          </w:tcPr>
          <w:p w:rsidR="00575628" w:rsidRPr="00A14F04" w:rsidRDefault="00575628" w:rsidP="006B7DC3">
            <w:pPr>
              <w:spacing w:after="0" w:line="240" w:lineRule="auto"/>
              <w:rPr>
                <w:rFonts w:ascii="Arial" w:eastAsia="Times New Roman" w:hAnsi="Arial" w:cs="Arial"/>
                <w:sz w:val="18"/>
                <w:szCs w:val="18"/>
              </w:rPr>
            </w:pPr>
            <w:r w:rsidRPr="00A14F04">
              <w:rPr>
                <w:rFonts w:ascii="Arial" w:hAnsi="Arial" w:cs="Arial"/>
                <w:sz w:val="18"/>
                <w:szCs w:val="18"/>
              </w:rPr>
              <w:lastRenderedPageBreak/>
              <w:t>Prediction (disease, medication, surgery)</w:t>
            </w:r>
          </w:p>
        </w:tc>
        <w:tc>
          <w:tcPr>
            <w:tcW w:w="1677"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Meta-analysis</w:t>
            </w:r>
          </w:p>
        </w:tc>
        <w:tc>
          <w:tcPr>
            <w:tcW w:w="1696"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Validated the potential drugs using Cox proportional hazard model</w:t>
            </w:r>
          </w:p>
        </w:tc>
        <w:tc>
          <w:tcPr>
            <w:tcW w:w="3865"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Arial" w:eastAsia="Times New Roman" w:hAnsi="Arial" w:cs="Arial"/>
                <w:sz w:val="18"/>
                <w:szCs w:val="18"/>
              </w:rPr>
            </w:pPr>
            <w:r w:rsidRPr="00A14F04">
              <w:rPr>
                <w:rFonts w:ascii="Arial" w:eastAsia="Times New Roman" w:hAnsi="Arial" w:cs="Arial"/>
                <w:sz w:val="18"/>
                <w:szCs w:val="18"/>
              </w:rPr>
              <w:t>Atorvastatin treatment had the highest inverse</w:t>
            </w:r>
            <w:r>
              <w:rPr>
                <w:rFonts w:ascii="Arial" w:eastAsia="Times New Roman" w:hAnsi="Arial" w:cs="Arial"/>
                <w:sz w:val="18"/>
                <w:szCs w:val="18"/>
              </w:rPr>
              <w:t xml:space="preserve"> </w:t>
            </w:r>
            <w:r w:rsidRPr="00A14F04">
              <w:rPr>
                <w:rFonts w:ascii="Arial" w:eastAsia="Times New Roman" w:hAnsi="Arial" w:cs="Arial"/>
                <w:sz w:val="18"/>
                <w:szCs w:val="18"/>
              </w:rPr>
              <w:t>correlation with the UC gene signature among nononcolytic FDA-approved therapies. Atorvastatin intake was significantly associated with a decreased risk of colectomy, a marker of treatment-refractory disease, compared to patients prescribed a comparator drug (Stanford Research Repository (STARR): HR = 0.47, P = 0.03; Optum Clinformatics DataMart: HR = 0.66, P = 0.03), irrespective of age and length of atorvastatin treatment.</w:t>
            </w:r>
          </w:p>
        </w:tc>
        <w:tc>
          <w:tcPr>
            <w:tcW w:w="1975" w:type="dxa"/>
            <w:tcBorders>
              <w:bottom w:val="single" w:sz="4" w:space="0" w:color="auto"/>
            </w:tcBorders>
            <w:vAlign w:val="center"/>
          </w:tcPr>
          <w:p w:rsidR="00575628" w:rsidRPr="00A14F04" w:rsidRDefault="00575628" w:rsidP="006B7DC3">
            <w:pPr>
              <w:spacing w:after="0" w:line="240" w:lineRule="auto"/>
              <w:rPr>
                <w:rFonts w:ascii="Arial" w:eastAsia="Times New Roman" w:hAnsi="Arial" w:cs="Arial"/>
                <w:sz w:val="18"/>
                <w:szCs w:val="18"/>
              </w:rPr>
            </w:pPr>
            <w:r>
              <w:rPr>
                <w:rFonts w:ascii="Arial" w:eastAsia="Times New Roman" w:hAnsi="Arial" w:cs="Arial"/>
                <w:sz w:val="18"/>
                <w:szCs w:val="18"/>
              </w:rPr>
              <w:t>1) Data bias, 2) L</w:t>
            </w:r>
            <w:r w:rsidRPr="00A14F04">
              <w:rPr>
                <w:rFonts w:ascii="Arial" w:eastAsia="Times New Roman" w:hAnsi="Arial" w:cs="Arial"/>
                <w:sz w:val="18"/>
                <w:szCs w:val="18"/>
              </w:rPr>
              <w:t>ack of data</w:t>
            </w:r>
          </w:p>
        </w:tc>
      </w:tr>
    </w:tbl>
    <w:p w:rsidR="00575628" w:rsidRPr="00A14F04" w:rsidRDefault="00575628" w:rsidP="00575628">
      <w:pPr>
        <w:rPr>
          <w:rFonts w:ascii="Arial" w:eastAsia="Times New Roman" w:hAnsi="Arial" w:cs="Arial"/>
          <w:b/>
          <w:noProof/>
          <w:snapToGrid w:val="0"/>
          <w:szCs w:val="20"/>
          <w:lang w:eastAsia="de-DE" w:bidi="en-US"/>
        </w:rPr>
      </w:pPr>
      <w:r w:rsidRPr="00A14F04">
        <w:rPr>
          <w:rFonts w:ascii="Arial" w:hAnsi="Arial" w:cs="Arial"/>
          <w:b/>
          <w:i/>
          <w:szCs w:val="20"/>
        </w:rPr>
        <w:br w:type="page"/>
      </w:r>
    </w:p>
    <w:p w:rsidR="00575628" w:rsidRPr="00A14F04" w:rsidRDefault="00575628" w:rsidP="00575628">
      <w:pPr>
        <w:pStyle w:val="MDPI22heading2"/>
        <w:spacing w:before="240" w:line="480" w:lineRule="auto"/>
        <w:ind w:left="0"/>
        <w:rPr>
          <w:rFonts w:ascii="Arial" w:hAnsi="Arial" w:cs="Arial"/>
          <w:b/>
          <w:i w:val="0"/>
          <w:color w:val="auto"/>
          <w:sz w:val="22"/>
          <w:szCs w:val="20"/>
        </w:rPr>
        <w:sectPr w:rsidR="00575628" w:rsidRPr="00A14F04" w:rsidSect="005C6978">
          <w:pgSz w:w="15840" w:h="12240" w:orient="landscape"/>
          <w:pgMar w:top="720" w:right="720" w:bottom="720" w:left="720" w:header="720" w:footer="720" w:gutter="0"/>
          <w:lnNumType w:countBy="1" w:restart="continuous"/>
          <w:cols w:space="720"/>
          <w:docGrid w:linePitch="360"/>
        </w:sectPr>
      </w:pP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4748BE">
        <w:rPr>
          <w:rFonts w:ascii="Arial" w:hAnsi="Arial" w:cs="Arial"/>
          <w:color w:val="auto"/>
          <w:sz w:val="24"/>
          <w:szCs w:val="20"/>
          <w:highlight w:val="yellow"/>
          <w:lang w:eastAsia="zh-CN"/>
        </w:rPr>
        <w:lastRenderedPageBreak/>
        <w:t xml:space="preserve">Supplementary </w:t>
      </w:r>
      <w:r>
        <w:rPr>
          <w:rFonts w:ascii="Arial" w:hAnsi="Arial" w:cs="Arial"/>
          <w:color w:val="auto"/>
          <w:sz w:val="24"/>
          <w:szCs w:val="20"/>
          <w:highlight w:val="yellow"/>
          <w:lang w:eastAsia="zh-CN"/>
        </w:rPr>
        <w:t>M</w:t>
      </w:r>
      <w:r w:rsidRPr="004748BE">
        <w:rPr>
          <w:rFonts w:ascii="Arial" w:hAnsi="Arial" w:cs="Arial"/>
          <w:color w:val="auto"/>
          <w:sz w:val="24"/>
          <w:szCs w:val="20"/>
          <w:highlight w:val="yellow"/>
          <w:lang w:eastAsia="zh-CN"/>
        </w:rPr>
        <w:t>ethod 1</w:t>
      </w:r>
    </w:p>
    <w:p w:rsidR="00575628" w:rsidRPr="00A14F04" w:rsidRDefault="00575628" w:rsidP="00575628">
      <w:pPr>
        <w:pStyle w:val="MDPI31text"/>
        <w:spacing w:line="480" w:lineRule="auto"/>
        <w:ind w:left="0" w:firstLine="0"/>
        <w:rPr>
          <w:rFonts w:ascii="Arial" w:hAnsi="Arial" w:cs="Arial"/>
          <w:color w:val="auto"/>
          <w:szCs w:val="20"/>
        </w:rPr>
      </w:pPr>
      <w:r w:rsidRPr="00A14F04">
        <w:rPr>
          <w:rFonts w:ascii="Arial" w:hAnsi="Arial" w:cs="Arial"/>
          <w:color w:val="auto"/>
          <w:szCs w:val="20"/>
        </w:rPr>
        <w:t xml:space="preserve">We abstracted the articles with the following flow, 1) journal and articles, 2) data used, 3) methods, and 4) results of </w:t>
      </w:r>
      <w:r>
        <w:rPr>
          <w:rFonts w:ascii="Arial" w:hAnsi="Arial" w:cs="Arial"/>
          <w:color w:val="auto"/>
          <w:szCs w:val="20"/>
        </w:rPr>
        <w:t>repurposing (see Supplementary Figure 1</w:t>
      </w:r>
      <w:r w:rsidRPr="00A14F04">
        <w:rPr>
          <w:rFonts w:ascii="Arial" w:hAnsi="Arial" w:cs="Arial"/>
          <w:color w:val="auto"/>
          <w:szCs w:val="20"/>
        </w:rPr>
        <w:t xml:space="preserve">). For journals and articles, we investigated the journal types, the article publication year, and geographic locations of institution of the authors. For data used, we examined the data source (e.g., EHR only, literature, or knowledgebase) and the type of EHR data included (e.g., diagnosis, medication). We investigated the methods designed in three primary ways, 1) data processing, 2) the computational methods to find the drugs for certain diseases or specific targets, and 3) the experiment and validation. For the results of repurposing, we investigated the 1) diseases targeted, 2) drug explored, and 3) data and tools published. With respect to those studies that conducted cross-validation in their experiments, it is less informative to illustrate the performance (e.g., AUC ROC) as the experiment is conducted to alleviate concerns of validation cross-contamination and/or bias in the validation process and, thus, such metrics are not comparable. Therefore, the results of repurposing were focused on the drugs explored in these studies in this survey. </w:t>
      </w:r>
    </w:p>
    <w:p w:rsidR="00575628" w:rsidRPr="004748BE" w:rsidRDefault="00575628" w:rsidP="00575628">
      <w:pPr>
        <w:pStyle w:val="MDPI21heading1"/>
        <w:spacing w:line="480" w:lineRule="auto"/>
        <w:ind w:left="0"/>
        <w:rPr>
          <w:rFonts w:ascii="Arial" w:hAnsi="Arial" w:cs="Arial"/>
          <w:color w:val="auto"/>
          <w:sz w:val="24"/>
          <w:szCs w:val="20"/>
          <w:lang w:eastAsia="zh-CN"/>
        </w:rPr>
      </w:pPr>
      <w:r>
        <w:rPr>
          <w:rFonts w:ascii="Arial" w:hAnsi="Arial" w:cs="Arial"/>
          <w:sz w:val="24"/>
          <w:szCs w:val="20"/>
        </w:rPr>
        <w:br w:type="page"/>
      </w:r>
      <w:r w:rsidRPr="004748BE">
        <w:rPr>
          <w:rFonts w:ascii="Arial" w:hAnsi="Arial" w:cs="Arial"/>
          <w:color w:val="auto"/>
          <w:sz w:val="24"/>
          <w:szCs w:val="20"/>
          <w:highlight w:val="yellow"/>
          <w:lang w:eastAsia="zh-CN"/>
        </w:rPr>
        <w:lastRenderedPageBreak/>
        <w:t xml:space="preserve">Supplementary </w:t>
      </w:r>
      <w:r>
        <w:rPr>
          <w:rFonts w:ascii="Arial" w:hAnsi="Arial" w:cs="Arial"/>
          <w:color w:val="auto"/>
          <w:sz w:val="24"/>
          <w:szCs w:val="20"/>
          <w:highlight w:val="yellow"/>
          <w:lang w:eastAsia="zh-CN"/>
        </w:rPr>
        <w:t>Figure 1</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575628" w:rsidRPr="00A14F04" w:rsidTr="006B7DC3">
        <w:trPr>
          <w:trHeight w:val="20"/>
        </w:trPr>
        <w:tc>
          <w:tcPr>
            <w:tcW w:w="10800" w:type="dxa"/>
            <w:vAlign w:val="center"/>
          </w:tcPr>
          <w:p w:rsidR="00575628" w:rsidRPr="00A14F04" w:rsidRDefault="00575628" w:rsidP="006B7DC3">
            <w:pPr>
              <w:pStyle w:val="MDPI52figure"/>
              <w:tabs>
                <w:tab w:val="left" w:pos="1332"/>
              </w:tabs>
              <w:rPr>
                <w:rFonts w:ascii="Arial" w:hAnsi="Arial" w:cs="Arial"/>
                <w:noProof/>
                <w:color w:val="auto"/>
                <w:lang w:eastAsia="zh-CN" w:bidi="ar-SA"/>
              </w:rPr>
            </w:pPr>
            <w:r w:rsidRPr="00A14F04">
              <w:rPr>
                <w:rFonts w:ascii="Arial" w:hAnsi="Arial" w:cs="Arial"/>
                <w:noProof/>
                <w:color w:val="auto"/>
                <w:lang w:eastAsia="zh-CN" w:bidi="ar-SA"/>
              </w:rPr>
              <w:drawing>
                <wp:inline distT="0" distB="0" distL="0" distR="0" wp14:anchorId="49637CE8" wp14:editId="08BBB537">
                  <wp:extent cx="4775163" cy="3293534"/>
                  <wp:effectExtent l="0" t="0" r="6985"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81424" cy="3366824"/>
                          </a:xfrm>
                          <a:prstGeom prst="rect">
                            <a:avLst/>
                          </a:prstGeom>
                        </pic:spPr>
                      </pic:pic>
                    </a:graphicData>
                  </a:graphic>
                </wp:inline>
              </w:drawing>
            </w:r>
          </w:p>
        </w:tc>
      </w:tr>
      <w:tr w:rsidR="00575628" w:rsidRPr="00A14F04" w:rsidTr="006B7DC3">
        <w:trPr>
          <w:trHeight w:val="20"/>
        </w:trPr>
        <w:tc>
          <w:tcPr>
            <w:tcW w:w="10800" w:type="dxa"/>
          </w:tcPr>
          <w:p w:rsidR="00575628" w:rsidRPr="00A14F04" w:rsidRDefault="00575628" w:rsidP="006B7DC3">
            <w:pPr>
              <w:pStyle w:val="MDPI51figurecaption"/>
              <w:tabs>
                <w:tab w:val="left" w:pos="1332"/>
              </w:tabs>
              <w:spacing w:line="240" w:lineRule="auto"/>
              <w:ind w:left="0"/>
              <w:jc w:val="center"/>
              <w:rPr>
                <w:rFonts w:ascii="Arial" w:hAnsi="Arial" w:cs="Arial"/>
                <w:noProof/>
                <w:color w:val="auto"/>
                <w:sz w:val="20"/>
                <w:lang w:eastAsia="zh-CN" w:bidi="ar-SA"/>
              </w:rPr>
            </w:pPr>
            <w:r>
              <w:rPr>
                <w:rFonts w:ascii="Arial" w:hAnsi="Arial" w:cs="Arial"/>
                <w:b/>
                <w:color w:val="auto"/>
                <w:sz w:val="20"/>
              </w:rPr>
              <w:t>Supplementary Figure 1</w:t>
            </w:r>
            <w:r w:rsidRPr="00A14F04">
              <w:rPr>
                <w:rFonts w:ascii="Arial" w:hAnsi="Arial" w:cs="Arial"/>
                <w:b/>
                <w:color w:val="auto"/>
                <w:sz w:val="20"/>
              </w:rPr>
              <w:t xml:space="preserve">. </w:t>
            </w:r>
            <w:r w:rsidRPr="00A14F04">
              <w:rPr>
                <w:rFonts w:ascii="Arial" w:hAnsi="Arial" w:cs="Arial"/>
                <w:color w:val="auto"/>
                <w:sz w:val="20"/>
              </w:rPr>
              <w:t>Flow chart for article review.</w:t>
            </w:r>
          </w:p>
        </w:tc>
      </w:tr>
    </w:tbl>
    <w:p w:rsidR="00575628" w:rsidRDefault="00575628" w:rsidP="00575628">
      <w:pPr>
        <w:rPr>
          <w:rFonts w:ascii="Arial" w:eastAsia="Times New Roman" w:hAnsi="Arial" w:cs="Arial"/>
          <w:b/>
          <w:snapToGrid w:val="0"/>
          <w:sz w:val="24"/>
          <w:szCs w:val="20"/>
          <w:highlight w:val="yellow"/>
          <w:lang w:bidi="en-US"/>
        </w:rPr>
      </w:pPr>
      <w:r>
        <w:rPr>
          <w:rFonts w:ascii="Arial" w:hAnsi="Arial" w:cs="Arial"/>
          <w:sz w:val="24"/>
          <w:szCs w:val="20"/>
          <w:highlight w:val="yellow"/>
        </w:rPr>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4748BE">
        <w:rPr>
          <w:rFonts w:ascii="Arial" w:hAnsi="Arial" w:cs="Arial"/>
          <w:color w:val="auto"/>
          <w:sz w:val="24"/>
          <w:szCs w:val="20"/>
          <w:highlight w:val="yellow"/>
          <w:lang w:eastAsia="zh-CN"/>
        </w:rPr>
        <w:lastRenderedPageBreak/>
        <w:t xml:space="preserve">Supplementary </w:t>
      </w:r>
      <w:r>
        <w:rPr>
          <w:rFonts w:ascii="Arial" w:hAnsi="Arial" w:cs="Arial"/>
          <w:color w:val="auto"/>
          <w:sz w:val="24"/>
          <w:szCs w:val="20"/>
          <w:highlight w:val="yellow"/>
          <w:lang w:eastAsia="zh-CN"/>
        </w:rPr>
        <w:t>F</w:t>
      </w:r>
      <w:r w:rsidRPr="004748BE">
        <w:rPr>
          <w:rFonts w:ascii="Arial" w:hAnsi="Arial" w:cs="Arial"/>
          <w:color w:val="auto"/>
          <w:sz w:val="24"/>
          <w:szCs w:val="20"/>
          <w:highlight w:val="yellow"/>
          <w:lang w:eastAsia="zh-CN"/>
        </w:rPr>
        <w:t xml:space="preserve">igure </w:t>
      </w:r>
      <w:r>
        <w:rPr>
          <w:rFonts w:ascii="Arial" w:hAnsi="Arial" w:cs="Arial"/>
          <w:color w:val="auto"/>
          <w:sz w:val="24"/>
          <w:szCs w:val="20"/>
          <w:lang w:eastAsia="zh-CN"/>
        </w:rPr>
        <w:t>2</w:t>
      </w:r>
    </w:p>
    <w:tbl>
      <w:tblPr>
        <w:tblStyle w:val="a5"/>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400"/>
      </w:tblGrid>
      <w:tr w:rsidR="00575628" w:rsidRPr="00A14F04" w:rsidTr="006B7DC3">
        <w:tc>
          <w:tcPr>
            <w:tcW w:w="5400" w:type="dxa"/>
          </w:tcPr>
          <w:p w:rsidR="00575628" w:rsidRPr="00A14F04" w:rsidRDefault="00575628" w:rsidP="006B7DC3">
            <w:pPr>
              <w:pStyle w:val="MDPI52figure"/>
              <w:spacing w:before="0" w:after="160"/>
              <w:jc w:val="left"/>
              <w:rPr>
                <w:rFonts w:ascii="Arial" w:hAnsi="Arial" w:cs="Arial"/>
                <w:noProof/>
                <w:color w:val="auto"/>
                <w:lang w:eastAsia="zh-CN" w:bidi="ar-SA"/>
              </w:rPr>
            </w:pPr>
            <w:r w:rsidRPr="00A14F04">
              <w:rPr>
                <w:noProof/>
                <w:color w:val="auto"/>
                <w:lang w:eastAsia="zh-CN" w:bidi="ar-SA"/>
              </w:rPr>
              <w:drawing>
                <wp:inline distT="0" distB="0" distL="0" distR="0" wp14:anchorId="2423A5CC" wp14:editId="069C3A09">
                  <wp:extent cx="3139440" cy="2247900"/>
                  <wp:effectExtent l="0" t="0" r="381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c>
          <w:tcPr>
            <w:tcW w:w="5400" w:type="dxa"/>
          </w:tcPr>
          <w:p w:rsidR="00575628" w:rsidRPr="00A14F04" w:rsidRDefault="00575628" w:rsidP="006B7DC3">
            <w:pPr>
              <w:pStyle w:val="MDPI52figure"/>
              <w:spacing w:before="0" w:after="160"/>
              <w:rPr>
                <w:rFonts w:ascii="Arial" w:hAnsi="Arial" w:cs="Arial"/>
                <w:noProof/>
                <w:color w:val="auto"/>
                <w:lang w:eastAsia="zh-CN" w:bidi="ar-SA"/>
              </w:rPr>
            </w:pPr>
            <w:r w:rsidRPr="00A14F04">
              <w:rPr>
                <w:noProof/>
                <w:color w:val="auto"/>
                <w:lang w:eastAsia="zh-CN" w:bidi="ar-SA"/>
              </w:rPr>
              <w:drawing>
                <wp:inline distT="0" distB="0" distL="0" distR="0" wp14:anchorId="326B2437" wp14:editId="53592D9E">
                  <wp:extent cx="3253740" cy="2202180"/>
                  <wp:effectExtent l="0" t="0" r="3810" b="762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575628" w:rsidRPr="00A14F04" w:rsidTr="006B7DC3">
        <w:trPr>
          <w:trHeight w:val="203"/>
        </w:trPr>
        <w:tc>
          <w:tcPr>
            <w:tcW w:w="5400" w:type="dxa"/>
          </w:tcPr>
          <w:p w:rsidR="00575628" w:rsidRPr="00A14F04" w:rsidRDefault="00575628" w:rsidP="006B7DC3">
            <w:pPr>
              <w:pStyle w:val="MDPI52figure"/>
              <w:numPr>
                <w:ilvl w:val="0"/>
                <w:numId w:val="11"/>
              </w:numPr>
              <w:spacing w:before="0" w:after="160"/>
              <w:ind w:left="0" w:firstLine="0"/>
              <w:rPr>
                <w:rFonts w:ascii="Arial" w:hAnsi="Arial" w:cs="Arial"/>
                <w:noProof/>
                <w:color w:val="auto"/>
                <w:lang w:eastAsia="zh-CN" w:bidi="ar-SA"/>
              </w:rPr>
            </w:pPr>
            <w:r w:rsidRPr="00A14F04">
              <w:rPr>
                <w:rFonts w:ascii="Arial" w:hAnsi="Arial" w:cs="Arial"/>
                <w:noProof/>
                <w:color w:val="auto"/>
                <w:lang w:eastAsia="zh-CN" w:bidi="ar-SA"/>
              </w:rPr>
              <w:t>sources</w:t>
            </w:r>
          </w:p>
        </w:tc>
        <w:tc>
          <w:tcPr>
            <w:tcW w:w="5400" w:type="dxa"/>
          </w:tcPr>
          <w:p w:rsidR="00575628" w:rsidRPr="00A14F04" w:rsidRDefault="00575628" w:rsidP="006B7DC3">
            <w:pPr>
              <w:pStyle w:val="MDPI52figure"/>
              <w:numPr>
                <w:ilvl w:val="0"/>
                <w:numId w:val="11"/>
              </w:numPr>
              <w:spacing w:before="0" w:after="160"/>
              <w:ind w:left="0" w:firstLine="0"/>
              <w:rPr>
                <w:rFonts w:ascii="Arial" w:hAnsi="Arial" w:cs="Arial"/>
                <w:noProof/>
                <w:color w:val="auto"/>
                <w:lang w:eastAsia="zh-CN" w:bidi="ar-SA"/>
              </w:rPr>
            </w:pPr>
            <w:r w:rsidRPr="00A14F04">
              <w:rPr>
                <w:rFonts w:ascii="Arial" w:hAnsi="Arial" w:cs="Arial"/>
                <w:noProof/>
                <w:color w:val="auto"/>
                <w:lang w:eastAsia="zh-CN" w:bidi="ar-SA"/>
              </w:rPr>
              <w:t>knowledgebase used</w:t>
            </w:r>
          </w:p>
        </w:tc>
      </w:tr>
      <w:tr w:rsidR="00575628" w:rsidRPr="00A14F04" w:rsidTr="006B7DC3">
        <w:tc>
          <w:tcPr>
            <w:tcW w:w="10800" w:type="dxa"/>
            <w:gridSpan w:val="2"/>
          </w:tcPr>
          <w:p w:rsidR="00575628" w:rsidRPr="00A14F04" w:rsidRDefault="00575628" w:rsidP="006B7DC3">
            <w:pPr>
              <w:pStyle w:val="MDPI51figurecaption"/>
              <w:spacing w:before="0" w:after="160" w:line="240" w:lineRule="auto"/>
              <w:ind w:left="0"/>
              <w:jc w:val="center"/>
              <w:rPr>
                <w:rFonts w:ascii="Arial" w:hAnsi="Arial" w:cs="Arial"/>
                <w:b/>
                <w:color w:val="auto"/>
                <w:sz w:val="20"/>
              </w:rPr>
            </w:pPr>
            <w:r w:rsidRPr="00A14F04">
              <w:rPr>
                <w:rFonts w:ascii="Arial" w:hAnsi="Arial" w:cs="Arial"/>
                <w:b/>
                <w:color w:val="auto"/>
                <w:sz w:val="20"/>
              </w:rPr>
              <w:t xml:space="preserve">Supplementary Figure </w:t>
            </w:r>
            <w:r>
              <w:rPr>
                <w:rFonts w:ascii="Arial" w:hAnsi="Arial" w:cs="Arial"/>
                <w:b/>
                <w:color w:val="auto"/>
                <w:sz w:val="20"/>
              </w:rPr>
              <w:t>2</w:t>
            </w:r>
            <w:r w:rsidRPr="00A14F04">
              <w:rPr>
                <w:rFonts w:ascii="Arial" w:hAnsi="Arial" w:cs="Arial"/>
                <w:b/>
                <w:color w:val="auto"/>
                <w:sz w:val="20"/>
              </w:rPr>
              <w:t xml:space="preserve">. </w:t>
            </w:r>
            <w:r w:rsidRPr="00A14F04">
              <w:rPr>
                <w:rFonts w:ascii="Arial" w:hAnsi="Arial" w:cs="Arial"/>
                <w:color w:val="auto"/>
                <w:sz w:val="20"/>
              </w:rPr>
              <w:t>Distribution of sources and knowledgebase.</w:t>
            </w:r>
          </w:p>
        </w:tc>
      </w:tr>
    </w:tbl>
    <w:p w:rsidR="00575628" w:rsidRDefault="00575628" w:rsidP="00575628">
      <w:pPr>
        <w:rPr>
          <w:rFonts w:ascii="Arial" w:eastAsia="Times New Roman" w:hAnsi="Arial" w:cs="Arial"/>
          <w:b/>
          <w:snapToGrid w:val="0"/>
          <w:sz w:val="24"/>
          <w:szCs w:val="20"/>
          <w:highlight w:val="yellow"/>
          <w:lang w:bidi="en-US"/>
        </w:rPr>
      </w:pPr>
      <w:r>
        <w:rPr>
          <w:rFonts w:ascii="Arial" w:hAnsi="Arial" w:cs="Arial"/>
          <w:sz w:val="24"/>
          <w:szCs w:val="20"/>
          <w:highlight w:val="yellow"/>
        </w:rPr>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4B5220">
        <w:rPr>
          <w:rFonts w:ascii="Arial" w:hAnsi="Arial" w:cs="Arial"/>
          <w:color w:val="auto"/>
          <w:sz w:val="24"/>
          <w:szCs w:val="20"/>
          <w:highlight w:val="yellow"/>
          <w:lang w:eastAsia="zh-CN"/>
        </w:rPr>
        <w:lastRenderedPageBreak/>
        <w:t>Supplementary Table 2</w:t>
      </w:r>
    </w:p>
    <w:p w:rsidR="00575628" w:rsidRPr="00A14F04" w:rsidRDefault="00575628" w:rsidP="00575628">
      <w:pPr>
        <w:pStyle w:val="MDPI41tablecaption"/>
        <w:tabs>
          <w:tab w:val="left" w:pos="0"/>
        </w:tabs>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2.</w:t>
      </w:r>
      <w:r w:rsidRPr="00A14F04">
        <w:rPr>
          <w:rFonts w:ascii="Arial" w:hAnsi="Arial" w:cs="Arial"/>
          <w:b/>
          <w:color w:val="auto"/>
          <w:sz w:val="20"/>
          <w:szCs w:val="20"/>
        </w:rPr>
        <w:t xml:space="preserve"> </w:t>
      </w:r>
      <w:r w:rsidRPr="00A14F04">
        <w:rPr>
          <w:rFonts w:ascii="Arial" w:hAnsi="Arial" w:cs="Arial"/>
          <w:color w:val="auto"/>
          <w:sz w:val="20"/>
          <w:szCs w:val="20"/>
        </w:rPr>
        <w:t>Summary of articles included that used external data sources.</w:t>
      </w:r>
      <w:r w:rsidRPr="00A14F04">
        <w:rPr>
          <w:rFonts w:ascii="Arial" w:hAnsi="Arial" w:cs="Arial"/>
          <w:b/>
          <w:color w:val="auto"/>
          <w:sz w:val="20"/>
          <w:szCs w:val="20"/>
        </w:rPr>
        <w:t xml:space="preserve"> </w:t>
      </w:r>
    </w:p>
    <w:tbl>
      <w:tblPr>
        <w:tblStyle w:val="a5"/>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43" w:type="dxa"/>
          <w:bottom w:w="72" w:type="dxa"/>
          <w:right w:w="43" w:type="dxa"/>
        </w:tblCellMar>
        <w:tblLook w:val="04A0" w:firstRow="1" w:lastRow="0" w:firstColumn="1" w:lastColumn="0" w:noHBand="0" w:noVBand="1"/>
      </w:tblPr>
      <w:tblGrid>
        <w:gridCol w:w="2250"/>
        <w:gridCol w:w="8370"/>
      </w:tblGrid>
      <w:tr w:rsidR="00575628" w:rsidRPr="00A14F04" w:rsidTr="006B7DC3">
        <w:tc>
          <w:tcPr>
            <w:tcW w:w="2250" w:type="dxa"/>
            <w:tcBorders>
              <w:top w:val="single" w:sz="4" w:space="0" w:color="auto"/>
              <w:bottom w:val="single" w:sz="4" w:space="0" w:color="auto"/>
            </w:tcBorders>
            <w:vAlign w:val="center"/>
          </w:tcPr>
          <w:p w:rsidR="00575628" w:rsidRPr="00A14F04" w:rsidRDefault="00575628" w:rsidP="006B7DC3">
            <w:pPr>
              <w:pStyle w:val="MDPI42tablebody"/>
              <w:spacing w:line="240" w:lineRule="auto"/>
              <w:jc w:val="left"/>
              <w:rPr>
                <w:rFonts w:ascii="Arial" w:hAnsi="Arial" w:cs="Arial"/>
                <w:b/>
                <w:bCs/>
                <w:color w:val="auto"/>
              </w:rPr>
            </w:pPr>
            <w:r w:rsidRPr="00A14F04">
              <w:rPr>
                <w:rFonts w:ascii="Arial" w:hAnsi="Arial" w:cs="Arial"/>
                <w:b/>
                <w:bCs/>
                <w:color w:val="auto"/>
              </w:rPr>
              <w:t xml:space="preserve">Paper </w:t>
            </w:r>
          </w:p>
        </w:tc>
        <w:tc>
          <w:tcPr>
            <w:tcW w:w="8370" w:type="dxa"/>
            <w:tcBorders>
              <w:top w:val="single" w:sz="4" w:space="0" w:color="auto"/>
              <w:bottom w:val="single" w:sz="4" w:space="0" w:color="auto"/>
            </w:tcBorders>
            <w:vAlign w:val="center"/>
          </w:tcPr>
          <w:p w:rsidR="00575628" w:rsidRPr="00A14F04" w:rsidRDefault="00575628" w:rsidP="006B7DC3">
            <w:pPr>
              <w:pStyle w:val="MDPI42tablebody"/>
              <w:spacing w:line="240" w:lineRule="auto"/>
              <w:jc w:val="left"/>
              <w:rPr>
                <w:rFonts w:ascii="Arial" w:hAnsi="Arial" w:cs="Arial"/>
                <w:b/>
                <w:bCs/>
                <w:color w:val="auto"/>
              </w:rPr>
            </w:pPr>
            <w:r w:rsidRPr="00A14F04">
              <w:rPr>
                <w:rFonts w:ascii="Arial" w:hAnsi="Arial" w:cs="Arial"/>
                <w:b/>
                <w:bCs/>
                <w:color w:val="auto"/>
              </w:rPr>
              <w:t>External sources</w:t>
            </w:r>
          </w:p>
        </w:tc>
      </w:tr>
      <w:tr w:rsidR="00575628" w:rsidRPr="00A14F04" w:rsidTr="006B7DC3">
        <w:tc>
          <w:tcPr>
            <w:tcW w:w="2250" w:type="dxa"/>
            <w:tcBorders>
              <w:top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Zhou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20</w:t>
            </w:r>
            <w:r w:rsidRPr="00A14F04">
              <w:rPr>
                <w:rFonts w:ascii="Arial" w:hAnsi="Arial" w:cs="Arial"/>
                <w:bCs/>
                <w:color w:val="auto"/>
                <w:sz w:val="18"/>
                <w:szCs w:val="18"/>
              </w:rPr>
              <w:fldChar w:fldCharType="end"/>
            </w:r>
          </w:p>
        </w:tc>
        <w:tc>
          <w:tcPr>
            <w:tcW w:w="8370" w:type="dxa"/>
            <w:tcBorders>
              <w:top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TreatKB, SIDER, UMLS, Disease Comorbidity Network (DCN), STRING database, DrugBank, OMIM</w:t>
            </w:r>
          </w:p>
        </w:tc>
      </w:tr>
      <w:tr w:rsidR="00575628" w:rsidRPr="00A14F04" w:rsidTr="006B7DC3">
        <w:trPr>
          <w:trHeight w:val="368"/>
        </w:trPr>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Goldstein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&lt;EndNote&gt;&lt;Cite&gt;&lt;Author&gt;Goldstein&lt;/Author&gt;&lt;Year&gt;2018&lt;/Year&gt;&lt;RecNum&gt;431&lt;/RecNum&gt;&lt;DisplayText&gt;&lt;style face="superscript"&gt;17&lt;/style&gt;&lt;/DisplayText&gt;&lt;record&gt;&lt;rec-number&gt;431&lt;/rec-number&gt;&lt;foreign-keys&gt;&lt;key app="EN" db-id="waeppwvvowz0z5es9scxvwwnwte25s55w2dp" timestamp="1623948380"&gt;431&lt;/key&gt;&lt;/foreign-keys&gt;&lt;ref-type name="Journal Article"&gt;17&lt;/ref-type&gt;&lt;contributors&gt;&lt;authors&gt;&lt;author&gt;Goldstein, Jeffery A&lt;/author&gt;&lt;author&gt;Bastarache, Lisa A&lt;/author&gt;&lt;author&gt;Denny, Joshua C&lt;/author&gt;&lt;author&gt;Roden, Dan M&lt;/author&gt;&lt;author&gt;Pulley, Jill M&lt;/author&gt;&lt;author&gt;Aronoff, David M&lt;/author&gt;&lt;/authors&gt;&lt;/contributors&gt;&lt;titles&gt;&lt;title&gt;Calcium channel blockers as drug repurposing candidates for gestational diabetes: Mining large scale genomic and electronic health records data to repurpose medications&lt;/title&gt;&lt;secondary-title&gt;Pharmacological research&lt;/secondary-title&gt;&lt;/titles&gt;&lt;periodical&gt;&lt;full-title&gt;Pharmacological research&lt;/full-title&gt;&lt;/periodical&gt;&lt;pages&gt;44-51&lt;/pages&gt;&lt;volume&gt;130&lt;/volume&gt;&lt;dates&gt;&lt;year&gt;2018&lt;/year&gt;&lt;/dates&gt;&lt;isbn&gt;1043-6618&lt;/isbn&gt;&lt;urls&gt;&lt;/urls&gt;&lt;/record&gt;&lt;/Cite&gt;&lt;/EndNote&gt;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17</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SNP genotyping data from BioVU, DrugBank</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Wu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19</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Biomedical literature, </w:t>
            </w:r>
            <w:r w:rsidRPr="00A14F04">
              <w:rPr>
                <w:rFonts w:ascii="Arial" w:hAnsi="Arial" w:cs="Arial" w:hint="eastAsia"/>
                <w:bCs/>
                <w:color w:val="auto"/>
                <w:sz w:val="18"/>
                <w:szCs w:val="18"/>
              </w:rPr>
              <w:t>C</w:t>
            </w:r>
            <w:r w:rsidRPr="00A14F04">
              <w:rPr>
                <w:rFonts w:ascii="Arial" w:hAnsi="Arial" w:cs="Arial"/>
                <w:bCs/>
                <w:color w:val="auto"/>
                <w:sz w:val="18"/>
                <w:szCs w:val="18"/>
              </w:rPr>
              <w:t>ancer trials indexed in ClinicalTrials.gov</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Ghalwash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&lt;EndNote&gt;&lt;Cite&gt;&lt;Author&gt;Ghalwash&lt;/Author&gt;&lt;Year&gt;2017&lt;/Year&gt;&lt;RecNum&gt;450&lt;/RecNum&gt;&lt;DisplayText&gt;&lt;style face="superscript"&gt;32&lt;/style&gt;&lt;/DisplayText&gt;&lt;record&gt;&lt;rec-number&gt;450&lt;/rec-number&gt;&lt;foreign-keys&gt;&lt;key app="EN" db-id="waeppwvvowz0z5es9scxvwwnwte25s55w2dp" timestamp="1624298089"&gt;450&lt;/key&gt;&lt;/foreign-keys&gt;&lt;ref-type name="Conference Proceedings"&gt;10&lt;/ref-type&gt;&lt;contributors&gt;&lt;authors&gt;&lt;author&gt;Ghalwash, Mohamed&lt;/author&gt;&lt;author&gt;Li, Ying&lt;/author&gt;&lt;author&gt;Zhang, Ping&lt;/author&gt;&lt;author&gt;Hu, Jianying&lt;/author&gt;&lt;/authors&gt;&lt;/contributors&gt;&lt;titles&gt;&lt;title&gt;Exploiting electronic health records to mine drug effects on laboratory test results&lt;/title&gt;&lt;secondary-title&gt;Proceedings of the 2017 ACM on Conference on Information and Knowledge Management&lt;/secondary-title&gt;&lt;/titles&gt;&lt;pages&gt;1837-1846&lt;/pages&gt;&lt;dates&gt;&lt;year&gt;2017&lt;/year&gt;&lt;/dates&gt;&lt;urls&gt;&lt;/urls&gt;&lt;/record&gt;&lt;/Cite&gt;&lt;/EndNote&gt;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32</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Drugbank, PubChem, RedBook</w:t>
            </w:r>
          </w:p>
        </w:tc>
      </w:tr>
      <w:tr w:rsidR="00575628" w:rsidRPr="00A14F04" w:rsidTr="006B7DC3">
        <w:trPr>
          <w:trHeight w:val="575"/>
        </w:trPr>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Xu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35</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Genomics data, Animal Transcription Factor Database, DGIdb, STITCH, BindingDB,  KEGG, Reactome, CMap, DrugBank, ChEBI, USP drug classification system</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Paik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27</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DrugBank, CTD, STITCH, HPRD, BioGrid, IntAct, MINT, DIP, GO</w:t>
            </w:r>
            <w:r w:rsidRPr="00A14F04">
              <w:rPr>
                <w:rFonts w:ascii="Arial" w:hAnsi="Arial" w:cs="Arial"/>
                <w:bCs/>
                <w:color w:val="auto"/>
                <w:sz w:val="18"/>
                <w:szCs w:val="18"/>
              </w:rPr>
              <w:tab/>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Wang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&lt;EndNote&gt;&lt;Cite&gt;&lt;Author&gt;Wang&lt;/Author&gt;&lt;Year&gt;2020&lt;/Year&gt;&lt;RecNum&gt;444&lt;/RecNum&gt;&lt;DisplayText&gt;&lt;style face="superscript"&gt;31&lt;/style&gt;&lt;/DisplayText&gt;&lt;record&gt;&lt;rec-number&gt;444&lt;/rec-number&gt;&lt;foreign-keys&gt;&lt;key app="EN" db-id="waeppwvvowz0z5es9scxvwwnwte25s55w2dp" timestamp="1624293117"&gt;444&lt;/key&gt;&lt;/foreign-keys&gt;&lt;ref-type name="Journal Article"&gt;17&lt;/ref-type&gt;&lt;contributors&gt;&lt;authors&gt;&lt;author&gt;Wang, Haixin&lt;/author&gt;&lt;author&gt;Deng, Yanhui&lt;/author&gt;&lt;author&gt;Wan, Ling&lt;/author&gt;&lt;author&gt;Huang, Lulin&lt;/author&gt;&lt;/authors&gt;&lt;/contributors&gt;&lt;titles&gt;&lt;title&gt;A comprehensive map of disease networks and molecular drug discoveries for glaucoma&lt;/title&gt;&lt;secondary-title&gt;Scientific reports&lt;/secondary-title&gt;&lt;/titles&gt;&lt;periodical&gt;&lt;full-title&gt;Scientific Reports&lt;/full-title&gt;&lt;/periodical&gt;&lt;pages&gt;1-13&lt;/pages&gt;&lt;volume&gt;10&lt;/volume&gt;&lt;number&gt;1&lt;/number&gt;&lt;dates&gt;&lt;year&gt;2020&lt;/year&gt;&lt;/dates&gt;&lt;isbn&gt;2045-2322&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31</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OMIM, GWAS catalog, Phenolyzer database, GEO database, DAVID database, DBIdb, CLUE database, KEGG drug</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Tatonetti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&lt;EndNote&gt;&lt;Cite&gt;&lt;Author&gt;Tatonetti&lt;/Author&gt;&lt;Year&gt;2012&lt;/Year&gt;&lt;RecNum&gt;435&lt;/RecNum&gt;&lt;DisplayText&gt;&lt;style face="superscript"&gt;22&lt;/style&gt;&lt;/DisplayText&gt;&lt;record&gt;&lt;rec-number&gt;435&lt;/rec-number&gt;&lt;foreign-keys&gt;&lt;key app="EN" db-id="waeppwvvowz0z5es9scxvwwnwte25s55w2dp" timestamp="1623948838"&gt;435&lt;/key&gt;&lt;/foreign-keys&gt;&lt;ref-type name="Journal Article"&gt;17&lt;/ref-type&gt;&lt;contributors&gt;&lt;authors&gt;&lt;author&gt;Tatonetti, Nicholas P&lt;/author&gt;&lt;author&gt;Patrick, P Ye&lt;/author&gt;&lt;author&gt;Daneshjou, Roxana&lt;/author&gt;&lt;author&gt;Altman, Russ B&lt;/author&gt;&lt;/authors&gt;&lt;/contributors&gt;&lt;titles&gt;&lt;title&gt;Data-driven prediction of drug effects and interactions&lt;/title&gt;&lt;secondary-title&gt;Science translational medicine&lt;/secondary-title&gt;&lt;/titles&gt;&lt;periodical&gt;&lt;full-title&gt;Science translational medicine&lt;/full-title&gt;&lt;/periodical&gt;&lt;pages&gt;125ra31-125ra31&lt;/pages&gt;&lt;volume&gt;4&lt;/volume&gt;&lt;number&gt;125&lt;/number&gt;&lt;dates&gt;&lt;year&gt;2012&lt;/year&gt;&lt;/dates&gt;&lt;isbn&gt;1946-6234&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22</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SIDER, DrugBank,  Matador, Psychoactive Drug Screening Program (PDSP)</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Cai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34</w:t>
            </w:r>
            <w:r w:rsidRPr="00A14F04">
              <w:rPr>
                <w:rFonts w:ascii="Arial" w:hAnsi="Arial" w:cs="Arial"/>
                <w:bCs/>
                <w:color w:val="auto"/>
                <w:sz w:val="18"/>
                <w:szCs w:val="18"/>
              </w:rPr>
              <w:fldChar w:fldCharType="end"/>
            </w:r>
            <w:r w:rsidRPr="00A14F04">
              <w:rPr>
                <w:rFonts w:ascii="Arial" w:hAnsi="Arial" w:cs="Arial"/>
                <w:bCs/>
                <w:color w:val="auto"/>
                <w:sz w:val="18"/>
                <w:szCs w:val="18"/>
              </w:rPr>
              <w:t xml:space="preserve"> </w:t>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UKBiobank, Vanderbilt University Biobank (BioVU)</w:t>
            </w:r>
          </w:p>
        </w:tc>
      </w:tr>
      <w:tr w:rsidR="00575628" w:rsidRPr="00A14F04" w:rsidTr="006B7DC3">
        <w:tc>
          <w:tcPr>
            <w:tcW w:w="2250" w:type="dxa"/>
            <w:vAlign w:val="center"/>
          </w:tcPr>
          <w:p w:rsidR="00575628" w:rsidRPr="0007710C" w:rsidRDefault="00575628" w:rsidP="006B7DC3">
            <w:pPr>
              <w:pStyle w:val="MDPI42tablebody"/>
              <w:spacing w:line="240" w:lineRule="auto"/>
              <w:jc w:val="left"/>
              <w:rPr>
                <w:rFonts w:ascii="Arial" w:hAnsi="Arial" w:cs="Arial"/>
                <w:bCs/>
                <w:color w:val="auto"/>
                <w:sz w:val="18"/>
                <w:szCs w:val="18"/>
              </w:rPr>
            </w:pPr>
            <w:r w:rsidRPr="0007710C">
              <w:rPr>
                <w:rFonts w:ascii="Arial" w:hAnsi="Arial" w:cs="Arial"/>
                <w:bCs/>
                <w:color w:val="auto"/>
                <w:sz w:val="18"/>
                <w:szCs w:val="18"/>
              </w:rPr>
              <w:t xml:space="preserve">Pinoges et al </w:t>
            </w:r>
            <w:r w:rsidRPr="0007710C">
              <w:rPr>
                <w:rFonts w:ascii="Arial" w:hAnsi="Arial" w:cs="Arial"/>
                <w:bCs/>
                <w:color w:val="auto"/>
                <w:sz w:val="18"/>
                <w:szCs w:val="18"/>
              </w:rPr>
              <w:fldChar w:fldCharType="begin"/>
            </w:r>
            <w:r w:rsidRPr="0007710C">
              <w:rPr>
                <w:rFonts w:ascii="Arial" w:hAnsi="Arial" w:cs="Arial"/>
                <w:bCs/>
                <w:color w:val="auto"/>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07710C">
              <w:rPr>
                <w:rFonts w:ascii="Arial" w:hAnsi="Arial" w:cs="Arial"/>
                <w:bCs/>
                <w:color w:val="auto"/>
                <w:sz w:val="18"/>
                <w:szCs w:val="18"/>
              </w:rPr>
              <w:fldChar w:fldCharType="separate"/>
            </w:r>
            <w:r w:rsidRPr="0007710C">
              <w:rPr>
                <w:rFonts w:ascii="Arial" w:hAnsi="Arial" w:cs="Arial"/>
                <w:bCs/>
                <w:noProof/>
                <w:color w:val="auto"/>
                <w:sz w:val="18"/>
                <w:szCs w:val="18"/>
                <w:vertAlign w:val="superscript"/>
              </w:rPr>
              <w:t>30</w:t>
            </w:r>
            <w:r w:rsidRPr="0007710C">
              <w:rPr>
                <w:rFonts w:ascii="Arial" w:hAnsi="Arial" w:cs="Arial"/>
                <w:bCs/>
                <w:color w:val="auto"/>
                <w:sz w:val="18"/>
                <w:szCs w:val="18"/>
              </w:rPr>
              <w:fldChar w:fldCharType="end"/>
            </w:r>
          </w:p>
        </w:tc>
        <w:tc>
          <w:tcPr>
            <w:tcW w:w="8370" w:type="dxa"/>
            <w:vAlign w:val="center"/>
          </w:tcPr>
          <w:p w:rsidR="00575628" w:rsidRPr="0007710C" w:rsidRDefault="00575628" w:rsidP="006B7DC3">
            <w:pPr>
              <w:pStyle w:val="MDPI42tablebody"/>
              <w:spacing w:line="240" w:lineRule="auto"/>
              <w:jc w:val="left"/>
              <w:rPr>
                <w:rFonts w:ascii="Arial" w:hAnsi="Arial" w:cs="Arial"/>
                <w:bCs/>
                <w:color w:val="auto"/>
                <w:sz w:val="18"/>
                <w:szCs w:val="18"/>
              </w:rPr>
            </w:pPr>
            <w:r w:rsidRPr="0007710C">
              <w:rPr>
                <w:rFonts w:ascii="Arial" w:hAnsi="Arial" w:cs="Arial"/>
                <w:bCs/>
                <w:color w:val="auto"/>
                <w:sz w:val="18"/>
                <w:szCs w:val="18"/>
              </w:rPr>
              <w:t>Genotype testing</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Dang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21</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Drugs.com, DrugBank, Biomedical literature</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Koren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37</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Biomedical literature</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Challa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28</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DrugBank</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Khatri </w:t>
            </w:r>
            <w:r w:rsidRPr="00A14F04">
              <w:rPr>
                <w:rFonts w:ascii="Arial" w:hAnsi="Arial" w:cs="Arial" w:hint="eastAsia"/>
                <w:bCs/>
                <w:color w:val="auto"/>
                <w:sz w:val="18"/>
                <w:szCs w:val="18"/>
              </w:rPr>
              <w:t>et</w:t>
            </w:r>
            <w:r w:rsidRPr="00A14F04">
              <w:rPr>
                <w:rFonts w:ascii="Arial" w:hAnsi="Arial" w:cs="Arial"/>
                <w:bCs/>
                <w:color w:val="auto"/>
                <w:sz w:val="18"/>
                <w:szCs w:val="18"/>
              </w:rPr>
              <w:t xml:space="preserve">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&lt;EndNote&gt;&lt;Cite&gt;&lt;Author&gt;Bai&lt;/Author&gt;&lt;Year&gt;2021&lt;/Year&gt;&lt;RecNum&gt;529&lt;/RecNum&gt;&lt;DisplayText&gt;&lt;style face="superscript"&gt;52&lt;/style&gt;&lt;/DisplayText&gt;&lt;record&gt;&lt;rec-number&gt;529&lt;/rec-number&gt;&lt;foreign-keys&gt;&lt;key app="EN" db-id="waeppwvvowz0z5es9scxvwwnwte25s55w2dp" timestamp="1642612820"&gt;529&lt;/key&gt;&lt;/foreign-keys&gt;&lt;ref-type name="Journal Article"&gt;17&lt;/ref-type&gt;&lt;contributors&gt;&lt;authors&gt;&lt;author&gt;Bai, Lawrence&lt;/author&gt;&lt;author&gt;Scott, Madeleine KD&lt;/author&gt;&lt;author&gt;Steinberg, Ethan&lt;/author&gt;&lt;author&gt;Kalesinskas, Laurynas&lt;/author&gt;&lt;author&gt;Habtezion, Aida&lt;/author&gt;&lt;author&gt;Shah, Nigam H&lt;/author&gt;&lt;author&gt;Khatri, Purvesh&lt;/author&gt;&lt;/authors&gt;&lt;/contributors&gt;&lt;titles&gt;&lt;title&gt;Computational drug repositioning of atorvastatin for ulcerative colitis&lt;/title&gt;&lt;secondary-title&gt;Journal of the American Medical Informatics Association&lt;/secondary-title&gt;&lt;/titles&gt;&lt;periodical&gt;&lt;full-title&gt;Journal of the American Medical Informatics Association&lt;/full-title&gt;&lt;/periodical&gt;&lt;pages&gt;2325-2335&lt;/pages&gt;&lt;volume&gt;28&lt;/volume&gt;&lt;number&gt;11&lt;/number&gt;&lt;dates&gt;&lt;year&gt;2021&lt;/year&gt;&lt;/dates&gt;&lt;isbn&gt;1527-974X&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52</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Omics data</w:t>
            </w:r>
          </w:p>
        </w:tc>
      </w:tr>
      <w:tr w:rsidR="00575628" w:rsidRPr="00A14F04" w:rsidTr="006B7DC3">
        <w:tc>
          <w:tcPr>
            <w:tcW w:w="225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Mischel </w:t>
            </w:r>
            <w:r w:rsidRPr="00A14F04">
              <w:rPr>
                <w:rFonts w:ascii="Arial" w:hAnsi="Arial" w:cs="Arial" w:hint="eastAsia"/>
                <w:bCs/>
                <w:color w:val="auto"/>
                <w:sz w:val="18"/>
                <w:szCs w:val="18"/>
              </w:rPr>
              <w:t>e</w:t>
            </w:r>
            <w:r w:rsidRPr="00A14F04">
              <w:rPr>
                <w:rFonts w:ascii="Arial" w:hAnsi="Arial" w:cs="Arial"/>
                <w:bCs/>
                <w:color w:val="auto"/>
                <w:sz w:val="18"/>
                <w:szCs w:val="18"/>
              </w:rPr>
              <w:t xml:space="preserv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&lt;EndNote&gt;&lt;Cite&gt;&lt;Author&gt;Bi&lt;/Author&gt;&lt;Year&gt;2021&lt;/Year&gt;&lt;RecNum&gt;532&lt;/RecNum&gt;&lt;DisplayText&gt;&lt;style face="superscript"&gt;45&lt;/style&gt;&lt;/DisplayText&gt;&lt;record&gt;&lt;rec-number&gt;532&lt;/rec-number&gt;&lt;foreign-keys&gt;&lt;key app="EN" db-id="waeppwvvowz0z5es9scxvwwnwte25s55w2dp" timestamp="1642612988"&gt;532&lt;/key&gt;&lt;/foreign-keys&gt;&lt;ref-type name="Journal Article"&gt;17&lt;/ref-type&gt;&lt;contributors&gt;&lt;authors&gt;&lt;author&gt;Bi, Junfeng&lt;/author&gt;&lt;author&gt;Khan, Atif&lt;/author&gt;&lt;author&gt;Tang, Jun&lt;/author&gt;&lt;author&gt;Armando, Aaron M&lt;/author&gt;&lt;author&gt;Wu, Sihan&lt;/author&gt;&lt;author&gt;Zhang, Wei&lt;/author&gt;&lt;author&gt;Gimple, Ryan C&lt;/author&gt;&lt;author&gt;Reed, Alex&lt;/author&gt;&lt;author&gt;Jing, Hui&lt;/author&gt;&lt;author&gt;Koga, Tomoyuki&lt;/author&gt;&lt;/authors&gt;&lt;/contributors&gt;&lt;titles&gt;&lt;title&gt;Targeting glioblastoma signaling and metabolism with a re-purposed brain-penetrant drug&lt;/title&gt;&lt;secondary-title&gt;Cell reports&lt;/secondary-title&gt;&lt;/titles&gt;&lt;periodical&gt;&lt;full-title&gt;Cell Reports&lt;/full-title&gt;&lt;/periodical&gt;&lt;pages&gt;109957&lt;/pages&gt;&lt;volume&gt;37&lt;/volume&gt;&lt;number&gt;5&lt;/number&gt;&lt;dates&gt;&lt;year&gt;2021&lt;/year&gt;&lt;/dates&gt;&lt;isbn&gt;2211-1247&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45</w:t>
            </w:r>
            <w:r w:rsidRPr="00A14F04">
              <w:rPr>
                <w:rFonts w:ascii="Arial" w:hAnsi="Arial" w:cs="Arial"/>
                <w:bCs/>
                <w:color w:val="auto"/>
                <w:sz w:val="18"/>
                <w:szCs w:val="18"/>
              </w:rPr>
              <w:fldChar w:fldCharType="end"/>
            </w:r>
          </w:p>
        </w:tc>
        <w:tc>
          <w:tcPr>
            <w:tcW w:w="8370" w:type="dxa"/>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Omics data</w:t>
            </w:r>
          </w:p>
        </w:tc>
      </w:tr>
      <w:tr w:rsidR="00575628" w:rsidRPr="00A14F04" w:rsidTr="006B7DC3">
        <w:tc>
          <w:tcPr>
            <w:tcW w:w="2250" w:type="dxa"/>
            <w:tcBorders>
              <w:bottom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Radinsky </w:t>
            </w:r>
            <w:r w:rsidRPr="00A14F04">
              <w:rPr>
                <w:rFonts w:ascii="Arial" w:hAnsi="Arial" w:cs="Arial" w:hint="eastAsia"/>
                <w:bCs/>
                <w:color w:val="auto"/>
                <w:sz w:val="18"/>
                <w:szCs w:val="18"/>
              </w:rPr>
              <w:t>et</w:t>
            </w:r>
            <w:r w:rsidRPr="00A14F04">
              <w:rPr>
                <w:rFonts w:ascii="Arial" w:hAnsi="Arial" w:cs="Arial"/>
                <w:bCs/>
                <w:color w:val="auto"/>
                <w:sz w:val="18"/>
                <w:szCs w:val="18"/>
              </w:rPr>
              <w:t xml:space="preserve">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29</w:t>
            </w:r>
            <w:r w:rsidRPr="00A14F04">
              <w:rPr>
                <w:rFonts w:ascii="Arial" w:hAnsi="Arial" w:cs="Arial"/>
                <w:bCs/>
                <w:color w:val="auto"/>
                <w:sz w:val="18"/>
                <w:szCs w:val="18"/>
              </w:rPr>
              <w:fldChar w:fldCharType="end"/>
            </w:r>
          </w:p>
        </w:tc>
        <w:tc>
          <w:tcPr>
            <w:tcW w:w="8370" w:type="dxa"/>
            <w:tcBorders>
              <w:bottom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Biomedical literature</w:t>
            </w:r>
          </w:p>
        </w:tc>
      </w:tr>
    </w:tbl>
    <w:p w:rsidR="00575628" w:rsidRPr="00A14F04" w:rsidRDefault="00575628" w:rsidP="00575628"/>
    <w:p w:rsidR="00575628" w:rsidRPr="00A14F04" w:rsidRDefault="00575628" w:rsidP="00575628">
      <w:pPr>
        <w:rPr>
          <w:rFonts w:ascii="Arial" w:eastAsia="Times New Roman" w:hAnsi="Arial" w:cs="Arial"/>
          <w:b/>
          <w:snapToGrid w:val="0"/>
          <w:sz w:val="24"/>
          <w:szCs w:val="20"/>
          <w:lang w:bidi="en-US"/>
        </w:rPr>
      </w:pPr>
      <w:r w:rsidRPr="00A14F04">
        <w:rPr>
          <w:rFonts w:ascii="Arial" w:hAnsi="Arial" w:cs="Arial"/>
          <w:sz w:val="24"/>
          <w:szCs w:val="20"/>
        </w:rPr>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C95FAC">
        <w:rPr>
          <w:rFonts w:ascii="Arial" w:hAnsi="Arial" w:cs="Arial"/>
          <w:color w:val="auto"/>
          <w:sz w:val="24"/>
          <w:szCs w:val="20"/>
          <w:highlight w:val="yellow"/>
          <w:lang w:eastAsia="zh-CN"/>
        </w:rPr>
        <w:lastRenderedPageBreak/>
        <w:t xml:space="preserve">Supplementary </w:t>
      </w:r>
      <w:r w:rsidRPr="004B5220">
        <w:rPr>
          <w:rFonts w:ascii="Arial" w:hAnsi="Arial" w:cs="Arial"/>
          <w:color w:val="auto"/>
          <w:sz w:val="24"/>
          <w:szCs w:val="20"/>
          <w:highlight w:val="yellow"/>
          <w:lang w:eastAsia="zh-CN"/>
        </w:rPr>
        <w:t xml:space="preserve">Table </w:t>
      </w:r>
      <w:r>
        <w:rPr>
          <w:rFonts w:ascii="Arial" w:hAnsi="Arial" w:cs="Arial"/>
          <w:color w:val="auto"/>
          <w:sz w:val="24"/>
          <w:szCs w:val="20"/>
          <w:lang w:eastAsia="zh-CN"/>
        </w:rPr>
        <w:t>3</w:t>
      </w:r>
    </w:p>
    <w:p w:rsidR="00575628" w:rsidRPr="00A14F04" w:rsidRDefault="00575628" w:rsidP="00575628">
      <w:pPr>
        <w:pStyle w:val="MDPI41tablecaption"/>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3</w:t>
      </w:r>
      <w:r w:rsidRPr="00A14F04">
        <w:rPr>
          <w:rFonts w:ascii="Arial" w:hAnsi="Arial" w:cs="Arial"/>
          <w:b/>
          <w:color w:val="auto"/>
          <w:sz w:val="20"/>
          <w:szCs w:val="20"/>
        </w:rPr>
        <w:t xml:space="preserve">. </w:t>
      </w:r>
      <w:r w:rsidRPr="00A14F04">
        <w:rPr>
          <w:rFonts w:ascii="Arial" w:hAnsi="Arial" w:cs="Arial"/>
          <w:color w:val="auto"/>
          <w:sz w:val="20"/>
          <w:szCs w:val="20"/>
        </w:rPr>
        <w:t>Summary of data processing in the studies.</w:t>
      </w:r>
    </w:p>
    <w:tbl>
      <w:tblPr>
        <w:tblStyle w:val="a5"/>
        <w:tblW w:w="10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43" w:type="dxa"/>
          <w:bottom w:w="72" w:type="dxa"/>
          <w:right w:w="43" w:type="dxa"/>
        </w:tblCellMar>
        <w:tblLook w:val="04A0" w:firstRow="1" w:lastRow="0" w:firstColumn="1" w:lastColumn="0" w:noHBand="0" w:noVBand="1"/>
      </w:tblPr>
      <w:tblGrid>
        <w:gridCol w:w="65"/>
        <w:gridCol w:w="1260"/>
        <w:gridCol w:w="25"/>
        <w:gridCol w:w="3125"/>
        <w:gridCol w:w="115"/>
        <w:gridCol w:w="3220"/>
        <w:gridCol w:w="200"/>
        <w:gridCol w:w="2790"/>
        <w:gridCol w:w="65"/>
      </w:tblGrid>
      <w:tr w:rsidR="00575628" w:rsidRPr="00A14F04" w:rsidTr="006B7DC3">
        <w:trPr>
          <w:gridAfter w:val="1"/>
          <w:wAfter w:w="65" w:type="dxa"/>
        </w:trPr>
        <w:tc>
          <w:tcPr>
            <w:tcW w:w="1350" w:type="dxa"/>
            <w:gridSpan w:val="3"/>
            <w:tcBorders>
              <w:top w:val="single" w:sz="4" w:space="0" w:color="auto"/>
              <w:bottom w:val="single" w:sz="4" w:space="0" w:color="auto"/>
            </w:tcBorders>
            <w:vAlign w:val="center"/>
          </w:tcPr>
          <w:p w:rsidR="00575628" w:rsidRPr="00A14F04" w:rsidRDefault="00575628" w:rsidP="006B7DC3">
            <w:pPr>
              <w:pStyle w:val="MDPI42tablebody"/>
              <w:spacing w:line="240" w:lineRule="auto"/>
              <w:rPr>
                <w:rFonts w:ascii="Arial" w:hAnsi="Arial" w:cs="Arial"/>
                <w:b/>
                <w:bCs/>
                <w:color w:val="auto"/>
                <w:szCs w:val="18"/>
              </w:rPr>
            </w:pPr>
            <w:r w:rsidRPr="00A14F04">
              <w:rPr>
                <w:rFonts w:ascii="Arial" w:hAnsi="Arial" w:cs="Arial"/>
                <w:b/>
                <w:bCs/>
                <w:color w:val="auto"/>
                <w:szCs w:val="18"/>
              </w:rPr>
              <w:t>Paper</w:t>
            </w:r>
          </w:p>
        </w:tc>
        <w:tc>
          <w:tcPr>
            <w:tcW w:w="3240" w:type="dxa"/>
            <w:gridSpan w:val="2"/>
            <w:tcBorders>
              <w:top w:val="single" w:sz="4" w:space="0" w:color="auto"/>
              <w:bottom w:val="single" w:sz="4" w:space="0" w:color="auto"/>
            </w:tcBorders>
            <w:vAlign w:val="center"/>
          </w:tcPr>
          <w:p w:rsidR="00575628" w:rsidRPr="00A14F04" w:rsidRDefault="00575628" w:rsidP="006B7DC3">
            <w:pPr>
              <w:pStyle w:val="MDPI42tablebody"/>
              <w:spacing w:line="240" w:lineRule="auto"/>
              <w:rPr>
                <w:rFonts w:ascii="Arial" w:hAnsi="Arial" w:cs="Arial"/>
                <w:b/>
                <w:bCs/>
                <w:color w:val="auto"/>
                <w:szCs w:val="18"/>
              </w:rPr>
            </w:pPr>
            <w:r w:rsidRPr="00A14F04">
              <w:rPr>
                <w:rFonts w:ascii="Arial" w:hAnsi="Arial" w:cs="Arial"/>
                <w:b/>
                <w:bCs/>
                <w:color w:val="auto"/>
                <w:szCs w:val="18"/>
              </w:rPr>
              <w:t>NLP used</w:t>
            </w:r>
          </w:p>
        </w:tc>
        <w:tc>
          <w:tcPr>
            <w:tcW w:w="3420" w:type="dxa"/>
            <w:gridSpan w:val="2"/>
            <w:tcBorders>
              <w:top w:val="single" w:sz="4" w:space="0" w:color="auto"/>
              <w:bottom w:val="single" w:sz="4" w:space="0" w:color="auto"/>
            </w:tcBorders>
            <w:vAlign w:val="center"/>
          </w:tcPr>
          <w:p w:rsidR="00575628" w:rsidRPr="00A14F04" w:rsidRDefault="00575628" w:rsidP="006B7DC3">
            <w:pPr>
              <w:pStyle w:val="MDPI42tablebody"/>
              <w:spacing w:line="240" w:lineRule="auto"/>
              <w:rPr>
                <w:rFonts w:ascii="Arial" w:hAnsi="Arial" w:cs="Arial"/>
                <w:b/>
                <w:bCs/>
                <w:color w:val="auto"/>
                <w:szCs w:val="18"/>
              </w:rPr>
            </w:pPr>
            <w:r w:rsidRPr="00A14F04">
              <w:rPr>
                <w:rFonts w:ascii="Arial" w:hAnsi="Arial" w:cs="Arial"/>
                <w:b/>
                <w:bCs/>
                <w:color w:val="auto"/>
                <w:szCs w:val="18"/>
              </w:rPr>
              <w:tab/>
              <w:t>Standardization used</w:t>
            </w:r>
          </w:p>
        </w:tc>
        <w:tc>
          <w:tcPr>
            <w:tcW w:w="2790" w:type="dxa"/>
            <w:tcBorders>
              <w:top w:val="single" w:sz="4" w:space="0" w:color="auto"/>
              <w:bottom w:val="single" w:sz="4" w:space="0" w:color="auto"/>
            </w:tcBorders>
            <w:vAlign w:val="center"/>
          </w:tcPr>
          <w:p w:rsidR="00575628" w:rsidRPr="00A14F04" w:rsidRDefault="00575628" w:rsidP="006B7DC3">
            <w:pPr>
              <w:spacing w:line="240" w:lineRule="auto"/>
              <w:rPr>
                <w:rFonts w:ascii="Arial" w:eastAsia="Times New Roman" w:hAnsi="Arial" w:cs="Arial"/>
                <w:b/>
                <w:bCs/>
                <w:snapToGrid w:val="0"/>
                <w:color w:val="auto"/>
                <w:szCs w:val="18"/>
                <w:lang w:eastAsia="de-DE" w:bidi="en-US"/>
              </w:rPr>
            </w:pPr>
            <w:r w:rsidRPr="00A14F04">
              <w:rPr>
                <w:rFonts w:ascii="Arial" w:eastAsia="Times New Roman" w:hAnsi="Arial" w:cs="Arial"/>
                <w:b/>
                <w:bCs/>
                <w:snapToGrid w:val="0"/>
                <w:color w:val="auto"/>
                <w:szCs w:val="18"/>
                <w:lang w:eastAsia="de-DE" w:bidi="en-US"/>
              </w:rPr>
              <w:t xml:space="preserve">Temporal information </w:t>
            </w:r>
            <w:r w:rsidRPr="00A14F04">
              <w:rPr>
                <w:rFonts w:ascii="Arial" w:hAnsi="Arial" w:cs="Arial"/>
                <w:b/>
                <w:bCs/>
                <w:color w:val="auto"/>
                <w:szCs w:val="18"/>
              </w:rPr>
              <w:t>used</w:t>
            </w:r>
          </w:p>
        </w:tc>
      </w:tr>
      <w:tr w:rsidR="00575628" w:rsidRPr="00A14F04" w:rsidTr="006B7DC3">
        <w:trPr>
          <w:gridAfter w:val="1"/>
          <w:wAfter w:w="65" w:type="dxa"/>
        </w:trPr>
        <w:tc>
          <w:tcPr>
            <w:tcW w:w="1350" w:type="dxa"/>
            <w:gridSpan w:val="3"/>
            <w:tcBorders>
              <w:top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Wu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19</w:t>
            </w:r>
            <w:r w:rsidRPr="00A14F04">
              <w:rPr>
                <w:rFonts w:ascii="Arial" w:hAnsi="Arial" w:cs="Arial"/>
                <w:bCs/>
                <w:color w:val="auto"/>
                <w:sz w:val="18"/>
                <w:szCs w:val="18"/>
              </w:rPr>
              <w:fldChar w:fldCharType="end"/>
            </w:r>
          </w:p>
        </w:tc>
        <w:tc>
          <w:tcPr>
            <w:tcW w:w="3240" w:type="dxa"/>
            <w:gridSpan w:val="2"/>
            <w:tcBorders>
              <w:top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Medication information was extracted from unstructured (ie, clinical notes) data using MedEx</w:t>
            </w:r>
          </w:p>
        </w:tc>
        <w:tc>
          <w:tcPr>
            <w:tcW w:w="3420" w:type="dxa"/>
            <w:gridSpan w:val="2"/>
            <w:tcBorders>
              <w:top w:val="single" w:sz="4" w:space="0" w:color="auto"/>
            </w:tcBorders>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RxNorm was used for medication</w:t>
            </w:r>
          </w:p>
        </w:tc>
        <w:tc>
          <w:tcPr>
            <w:tcW w:w="2790" w:type="dxa"/>
            <w:tcBorders>
              <w:top w:val="single" w:sz="4" w:space="0" w:color="auto"/>
            </w:tcBorders>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07710C" w:rsidTr="006B7DC3">
        <w:trPr>
          <w:gridAfter w:val="1"/>
          <w:wAfter w:w="65" w:type="dxa"/>
        </w:trPr>
        <w:tc>
          <w:tcPr>
            <w:tcW w:w="1350" w:type="dxa"/>
            <w:gridSpan w:val="3"/>
            <w:vAlign w:val="center"/>
          </w:tcPr>
          <w:p w:rsidR="00575628" w:rsidRPr="0007710C" w:rsidRDefault="00575628" w:rsidP="006B7DC3">
            <w:pPr>
              <w:pStyle w:val="MDPI42tablebody"/>
              <w:spacing w:line="240" w:lineRule="auto"/>
              <w:jc w:val="left"/>
              <w:rPr>
                <w:rFonts w:ascii="Arial" w:hAnsi="Arial" w:cs="Arial"/>
                <w:bCs/>
                <w:color w:val="auto"/>
                <w:sz w:val="18"/>
                <w:szCs w:val="18"/>
              </w:rPr>
            </w:pPr>
            <w:r w:rsidRPr="0007710C">
              <w:rPr>
                <w:rFonts w:ascii="Arial" w:hAnsi="Arial" w:cs="Arial"/>
                <w:bCs/>
                <w:color w:val="auto"/>
                <w:sz w:val="18"/>
                <w:szCs w:val="18"/>
              </w:rPr>
              <w:t xml:space="preserve">Pinoges et al </w:t>
            </w:r>
            <w:r w:rsidRPr="0007710C">
              <w:rPr>
                <w:rFonts w:ascii="Arial" w:hAnsi="Arial" w:cs="Arial"/>
                <w:bCs/>
                <w:color w:val="auto"/>
                <w:sz w:val="18"/>
                <w:szCs w:val="18"/>
              </w:rPr>
              <w:fldChar w:fldCharType="begin"/>
            </w:r>
            <w:r w:rsidRPr="0007710C">
              <w:rPr>
                <w:rFonts w:ascii="Arial" w:hAnsi="Arial" w:cs="Arial"/>
                <w:bCs/>
                <w:color w:val="auto"/>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07710C">
              <w:rPr>
                <w:rFonts w:ascii="Arial" w:hAnsi="Arial" w:cs="Arial"/>
                <w:bCs/>
                <w:color w:val="auto"/>
                <w:sz w:val="18"/>
                <w:szCs w:val="18"/>
              </w:rPr>
              <w:fldChar w:fldCharType="separate"/>
            </w:r>
            <w:r w:rsidRPr="0007710C">
              <w:rPr>
                <w:rFonts w:ascii="Arial" w:hAnsi="Arial" w:cs="Arial"/>
                <w:bCs/>
                <w:noProof/>
                <w:color w:val="auto"/>
                <w:sz w:val="18"/>
                <w:szCs w:val="18"/>
                <w:vertAlign w:val="superscript"/>
              </w:rPr>
              <w:t>30</w:t>
            </w:r>
            <w:r w:rsidRPr="0007710C">
              <w:rPr>
                <w:rFonts w:ascii="Arial" w:hAnsi="Arial" w:cs="Arial"/>
                <w:bCs/>
                <w:color w:val="auto"/>
                <w:sz w:val="18"/>
                <w:szCs w:val="18"/>
              </w:rPr>
              <w:fldChar w:fldCharType="end"/>
            </w:r>
          </w:p>
        </w:tc>
        <w:tc>
          <w:tcPr>
            <w:tcW w:w="3240" w:type="dxa"/>
            <w:gridSpan w:val="2"/>
            <w:vAlign w:val="center"/>
          </w:tcPr>
          <w:p w:rsidR="00575628" w:rsidRPr="0007710C" w:rsidRDefault="00575628" w:rsidP="006B7DC3">
            <w:pPr>
              <w:pStyle w:val="MDPI42tablebody"/>
              <w:spacing w:line="240" w:lineRule="auto"/>
              <w:jc w:val="left"/>
              <w:rPr>
                <w:rFonts w:ascii="Arial" w:hAnsi="Arial" w:cs="Arial"/>
                <w:bCs/>
                <w:color w:val="auto"/>
                <w:sz w:val="18"/>
                <w:szCs w:val="18"/>
              </w:rPr>
            </w:pPr>
          </w:p>
        </w:tc>
        <w:tc>
          <w:tcPr>
            <w:tcW w:w="3420" w:type="dxa"/>
            <w:gridSpan w:val="2"/>
            <w:vAlign w:val="center"/>
          </w:tcPr>
          <w:p w:rsidR="00575628" w:rsidRPr="0007710C" w:rsidRDefault="00575628" w:rsidP="006B7DC3">
            <w:pPr>
              <w:pStyle w:val="MDPI42tablebody"/>
              <w:spacing w:line="240" w:lineRule="auto"/>
              <w:jc w:val="left"/>
              <w:rPr>
                <w:rFonts w:ascii="Arial" w:hAnsi="Arial" w:cs="Arial"/>
                <w:bCs/>
                <w:color w:val="auto"/>
                <w:sz w:val="18"/>
                <w:szCs w:val="18"/>
              </w:rPr>
            </w:pPr>
          </w:p>
        </w:tc>
        <w:tc>
          <w:tcPr>
            <w:tcW w:w="2790" w:type="dxa"/>
            <w:vAlign w:val="center"/>
          </w:tcPr>
          <w:p w:rsidR="00575628" w:rsidRPr="0007710C" w:rsidRDefault="00575628" w:rsidP="006B7DC3">
            <w:pPr>
              <w:spacing w:line="240" w:lineRule="auto"/>
              <w:jc w:val="left"/>
              <w:rPr>
                <w:rFonts w:ascii="Arial" w:eastAsia="Times New Roman" w:hAnsi="Arial" w:cs="Arial"/>
                <w:bCs/>
                <w:snapToGrid w:val="0"/>
                <w:color w:val="auto"/>
                <w:sz w:val="18"/>
                <w:szCs w:val="18"/>
                <w:lang w:eastAsia="de-DE" w:bidi="en-US"/>
              </w:rPr>
            </w:pPr>
            <w:r>
              <w:rPr>
                <w:rFonts w:ascii="Arial" w:eastAsia="Times New Roman" w:hAnsi="Arial" w:cs="Arial"/>
                <w:bCs/>
                <w:snapToGrid w:val="0"/>
                <w:color w:val="auto"/>
                <w:sz w:val="18"/>
                <w:szCs w:val="18"/>
                <w:lang w:eastAsia="de-DE" w:bidi="en-US"/>
              </w:rPr>
              <w:t>V</w:t>
            </w:r>
            <w:r w:rsidRPr="0007710C">
              <w:rPr>
                <w:rFonts w:ascii="Arial" w:eastAsia="Times New Roman" w:hAnsi="Arial" w:cs="Arial"/>
                <w:bCs/>
                <w:snapToGrid w:val="0"/>
                <w:color w:val="auto"/>
                <w:sz w:val="18"/>
                <w:szCs w:val="18"/>
                <w:lang w:eastAsia="de-DE" w:bidi="en-US"/>
              </w:rPr>
              <w:t>irological status of patients and all-cause mortality in the 4 years</w:t>
            </w: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Paik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27</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Proteomics Standard Initiative − Molecular Interactions (PSI-MI) codes; 2) Gene Ontology (GO) from NCBI; 3) ATC codes to drugs, and ICD-10 and OMIM identifiers to diseases</w:t>
            </w: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Zhou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20</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color w:val="auto"/>
                <w:sz w:val="18"/>
                <w:szCs w:val="18"/>
              </w:rPr>
              <w:t>Disease names were normalized with SNOMED-CT; Individual drug names were normalized with RxNorm; Laboratory tests were normalized by LOINC.</w:t>
            </w: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Xu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&lt;EndNote&gt;&lt;Cite&gt;&lt;Author&gt;Xu&lt;/Author&gt;&lt;Year&gt;2014&lt;/Year&gt;&lt;RecNum&gt;100&lt;/RecNum&gt;&lt;DisplayText&gt;&lt;style face="superscript"&gt;18&lt;/style&gt;&lt;/DisplayText&gt;&lt;record&gt;&lt;rec-number&gt;100&lt;/rec-number&gt;&lt;foreign-keys&gt;&lt;key app="EN" db-id="waeppwvvowz0z5es9scxvwwnwte25s55w2dp" timestamp="1549223345"&gt;100&lt;/key&gt;&lt;/foreign-keys&gt;&lt;ref-type name="Journal Article"&gt;17&lt;/ref-type&gt;&lt;contributors&gt;&lt;authors&gt;&lt;author&gt;Xu, Hua&lt;/author&gt;&lt;author&gt;Aldrich, Melinda C&lt;/author&gt;&lt;author&gt;Chen, Qingxia&lt;/author&gt;&lt;author&gt;Liu, Hongfang&lt;/author&gt;&lt;author&gt;Peterson, Neeraja B&lt;/author&gt;&lt;author&gt;Dai, Qi&lt;/author&gt;&lt;author&gt;Levy, Mia&lt;/author&gt;&lt;author&gt;Shah, Anushi&lt;/author&gt;&lt;author&gt;Han, Xue&lt;/author&gt;&lt;author&gt;Ruan, Xiaoyang&lt;/author&gt;&lt;/authors&gt;&lt;/contributors&gt;&lt;titles&gt;&lt;title&gt;Validating drug repurposing signals using electronic health records: a case study of metformin associated with reduced cancer mortality&lt;/title&gt;&lt;secondary-title&gt;Journal of the American Medical Informatics Association&lt;/secondary-title&gt;&lt;/titles&gt;&lt;periodical&gt;&lt;full-title&gt;Journal of the American Medical Informatics Association&lt;/full-title&gt;&lt;/periodical&gt;&lt;pages&gt;179-191&lt;/pages&gt;&lt;volume&gt;22&lt;/volume&gt;&lt;number&gt;1&lt;/number&gt;&lt;dates&gt;&lt;year&gt;2014&lt;/year&gt;&lt;/dates&gt;&lt;isbn&gt;1527-974X&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18</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1) MedEx was used to extract medication names and signature information from unstructured clinical text.</w:t>
            </w:r>
          </w:p>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2) a recently developed smoking status extraction NLP algorithm was utilized.</w:t>
            </w:r>
          </w:p>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3) a regular expression-based program was developed to extract height and weight information from clinical notes.</w:t>
            </w: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Dang et al </w:t>
            </w:r>
            <w:r w:rsidRPr="00A14F04">
              <w:rPr>
                <w:rFonts w:ascii="Arial" w:hAnsi="Arial" w:cs="Arial"/>
                <w:bCs/>
                <w:color w:val="auto"/>
                <w:sz w:val="18"/>
                <w:szCs w:val="18"/>
              </w:rPr>
              <w:fldChar w:fldCharType="begin"/>
            </w:r>
            <w:r w:rsidRPr="00A14F04">
              <w:rPr>
                <w:rFonts w:ascii="Arial" w:hAnsi="Arial" w:cs="Arial"/>
                <w:bCs/>
                <w:color w:val="auto"/>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A14F04">
              <w:rPr>
                <w:rFonts w:ascii="Arial" w:hAnsi="Arial" w:cs="Arial"/>
                <w:bCs/>
                <w:color w:val="auto"/>
                <w:sz w:val="18"/>
                <w:szCs w:val="18"/>
              </w:rPr>
              <w:fldChar w:fldCharType="separate"/>
            </w:r>
            <w:r w:rsidRPr="00A14F04">
              <w:rPr>
                <w:rFonts w:ascii="Arial" w:hAnsi="Arial" w:cs="Arial"/>
                <w:bCs/>
                <w:noProof/>
                <w:color w:val="auto"/>
                <w:sz w:val="18"/>
                <w:szCs w:val="18"/>
                <w:vertAlign w:val="superscript"/>
              </w:rPr>
              <w:t>21</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The terms indicating drugs and diseases were extracted from the triads of sentences by MetaMap.</w:t>
            </w: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Challa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28</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Clinical phenotypes were standardized by billing codes.</w:t>
            </w: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Koren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37</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Weight, age, BMI, and smoking status were extracted from the electronic medical charts. </w:t>
            </w: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p>
        </w:tc>
      </w:tr>
      <w:tr w:rsidR="00575628" w:rsidRPr="00A14F04" w:rsidTr="006B7DC3">
        <w:trPr>
          <w:gridAfter w:val="1"/>
          <w:wAfter w:w="65" w:type="dxa"/>
        </w:trPr>
        <w:tc>
          <w:tcPr>
            <w:tcW w:w="1350" w:type="dxa"/>
            <w:gridSpan w:val="3"/>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338</w:t>
            </w:r>
          </w:p>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Kim et al </w:t>
            </w:r>
            <w:r w:rsidRPr="00A14F04">
              <w:rPr>
                <w:rFonts w:ascii="Arial" w:hAnsi="Arial" w:cs="Arial"/>
                <w:bCs/>
                <w:color w:val="auto"/>
                <w:sz w:val="18"/>
                <w:szCs w:val="18"/>
              </w:rPr>
              <w:fldChar w:fldCharType="begin"/>
            </w:r>
            <w:r>
              <w:rPr>
                <w:rFonts w:ascii="Arial" w:hAnsi="Arial" w:cs="Arial"/>
                <w:bCs/>
                <w:color w:val="auto"/>
                <w:sz w:val="18"/>
                <w:szCs w:val="18"/>
              </w:rPr>
              <w:instrText xml:space="preserve"> ADDIN EN.CITE &lt;EndNote&gt;&lt;Cite&gt;&lt;Author&gt;Kim&lt;/Author&gt;&lt;Year&gt;2020&lt;/Year&gt;&lt;RecNum&gt;438&lt;/RecNum&gt;&lt;DisplayText&gt;&lt;style face="superscript"&gt;26&lt;/style&gt;&lt;/DisplayText&gt;&lt;record&gt;&lt;rec-number&gt;438&lt;/rec-number&gt;&lt;foreign-keys&gt;&lt;key app="EN" db-id="waeppwvvowz0z5es9scxvwwnwte25s55w2dp" timestamp="1624049224"&gt;438&lt;/key&gt;&lt;/foreign-keys&gt;&lt;ref-type name="Journal Article"&gt;17&lt;/ref-type&gt;&lt;contributors&gt;&lt;authors&gt;&lt;author&gt;Kim, Do</w:instrText>
            </w:r>
            <w:r>
              <w:rPr>
                <w:rFonts w:ascii="Cambria Math" w:hAnsi="Cambria Math" w:cs="Cambria Math"/>
                <w:bCs/>
                <w:color w:val="auto"/>
                <w:sz w:val="18"/>
                <w:szCs w:val="18"/>
              </w:rPr>
              <w:instrText>‐</w:instrText>
            </w:r>
            <w:r>
              <w:rPr>
                <w:rFonts w:ascii="Arial" w:hAnsi="Arial" w:cs="Arial"/>
                <w:bCs/>
                <w:color w:val="auto"/>
                <w:sz w:val="18"/>
                <w:szCs w:val="18"/>
              </w:rPr>
              <w:instrText>Hoon&lt;/author&gt;&lt;author&gt;Lee, Jung</w:instrText>
            </w:r>
            <w:r>
              <w:rPr>
                <w:rFonts w:ascii="Cambria Math" w:hAnsi="Cambria Math" w:cs="Cambria Math"/>
                <w:bCs/>
                <w:color w:val="auto"/>
                <w:sz w:val="18"/>
                <w:szCs w:val="18"/>
              </w:rPr>
              <w:instrText>‐</w:instrText>
            </w:r>
            <w:r>
              <w:rPr>
                <w:rFonts w:ascii="Arial" w:hAnsi="Arial" w:cs="Arial"/>
                <w:bCs/>
                <w:color w:val="auto"/>
                <w:sz w:val="18"/>
                <w:szCs w:val="18"/>
              </w:rPr>
              <w:instrText>Eun&lt;/author&gt;&lt;author&gt;Kim, Yong</w:instrText>
            </w:r>
            <w:r>
              <w:rPr>
                <w:rFonts w:ascii="Cambria Math" w:hAnsi="Cambria Math" w:cs="Cambria Math"/>
                <w:bCs/>
                <w:color w:val="auto"/>
                <w:sz w:val="18"/>
                <w:szCs w:val="18"/>
              </w:rPr>
              <w:instrText>‐</w:instrText>
            </w:r>
            <w:r>
              <w:rPr>
                <w:rFonts w:ascii="Arial" w:hAnsi="Arial" w:cs="Arial"/>
                <w:bCs/>
                <w:color w:val="auto"/>
                <w:sz w:val="18"/>
                <w:szCs w:val="18"/>
              </w:rPr>
              <w:instrText>Gil&lt;/author&gt;&lt;author&gt;Lee, Yura&lt;/author&gt;&lt;author&gt;Seo, Dong</w:instrText>
            </w:r>
            <w:r>
              <w:rPr>
                <w:rFonts w:ascii="Cambria Math" w:hAnsi="Cambria Math" w:cs="Cambria Math"/>
                <w:bCs/>
                <w:color w:val="auto"/>
                <w:sz w:val="18"/>
                <w:szCs w:val="18"/>
              </w:rPr>
              <w:instrText>‐</w:instrText>
            </w:r>
            <w:r>
              <w:rPr>
                <w:rFonts w:ascii="Arial" w:hAnsi="Arial" w:cs="Arial"/>
                <w:bCs/>
                <w:color w:val="auto"/>
                <w:sz w:val="18"/>
                <w:szCs w:val="18"/>
              </w:rPr>
              <w:instrText>Woo&lt;/author&gt;&lt;author&gt;Lee, Kye Hwa&lt;/author&gt;&lt;author&gt;Lee, Jae</w:instrText>
            </w:r>
            <w:r>
              <w:rPr>
                <w:rFonts w:ascii="Cambria Math" w:hAnsi="Cambria Math" w:cs="Cambria Math"/>
                <w:bCs/>
                <w:color w:val="auto"/>
                <w:sz w:val="18"/>
                <w:szCs w:val="18"/>
              </w:rPr>
              <w:instrText>‐</w:instrText>
            </w:r>
            <w:r>
              <w:rPr>
                <w:rFonts w:ascii="Arial" w:hAnsi="Arial" w:cs="Arial"/>
                <w:bCs/>
                <w:color w:val="auto"/>
                <w:sz w:val="18"/>
                <w:szCs w:val="18"/>
              </w:rPr>
              <w:instrText>Ho&lt;/author&gt;&lt;author&gt;Kim, Woo Sung&lt;/author&gt;&lt;author&gt;Kim, Young</w:instrText>
            </w:r>
            <w:r>
              <w:rPr>
                <w:rFonts w:ascii="Cambria Math" w:hAnsi="Cambria Math" w:cs="Cambria Math"/>
                <w:bCs/>
                <w:color w:val="auto"/>
                <w:sz w:val="18"/>
                <w:szCs w:val="18"/>
              </w:rPr>
              <w:instrText>‐</w:instrText>
            </w:r>
            <w:r>
              <w:rPr>
                <w:rFonts w:ascii="Arial" w:hAnsi="Arial" w:cs="Arial"/>
                <w:bCs/>
                <w:color w:val="auto"/>
                <w:sz w:val="18"/>
                <w:szCs w:val="18"/>
              </w:rPr>
              <w:instrText>Hak&lt;/author&gt;&lt;author&gt;Oh, Ji Seon&lt;/author&gt;&lt;/authors&gt;&lt;/contributors&gt;&lt;titles&gt;&lt;title&gt;High</w:instrText>
            </w:r>
            <w:r>
              <w:rPr>
                <w:rFonts w:ascii="Cambria Math" w:hAnsi="Cambria Math" w:cs="Cambria Math"/>
                <w:bCs/>
                <w:color w:val="auto"/>
                <w:sz w:val="18"/>
                <w:szCs w:val="18"/>
              </w:rPr>
              <w:instrText>‐</w:instrText>
            </w:r>
            <w:r>
              <w:rPr>
                <w:rFonts w:ascii="Arial" w:hAnsi="Arial" w:cs="Arial"/>
                <w:bCs/>
                <w:color w:val="auto"/>
                <w:sz w:val="18"/>
                <w:szCs w:val="18"/>
              </w:rPr>
              <w:instrText>Throughput Algorithm for Discovering New Drug Indications by Utilizing Large</w:instrText>
            </w:r>
            <w:r>
              <w:rPr>
                <w:rFonts w:ascii="Cambria Math" w:hAnsi="Cambria Math" w:cs="Cambria Math"/>
                <w:bCs/>
                <w:color w:val="auto"/>
                <w:sz w:val="18"/>
                <w:szCs w:val="18"/>
              </w:rPr>
              <w:instrText>‐</w:instrText>
            </w:r>
            <w:r>
              <w:rPr>
                <w:rFonts w:ascii="Arial" w:hAnsi="Arial" w:cs="Arial"/>
                <w:bCs/>
                <w:color w:val="auto"/>
                <w:sz w:val="18"/>
                <w:szCs w:val="18"/>
              </w:rPr>
              <w:instrText>Scale Electronic Medical Record Data&lt;/title&gt;&lt;secondary-title&gt;Clinical Pharmacology &amp;amp; Therapeutics&lt;/secondary-title&gt;&lt;/titles&gt;&lt;periodical&gt;&lt;full-title&gt;Clinical Pharmacology &amp;amp; Therapeutics&lt;/full-title&gt;&lt;/periodical&gt;&lt;pages&gt;1299-1307&lt;/pages&gt;&lt;volume&gt;108&lt;/volume&gt;&lt;number&gt;6&lt;/number&gt;&lt;dates&gt;&lt;year&gt;2020&lt;/year&gt;&lt;/dates&gt;&lt;isbn&gt;0009-9236&lt;/isbn&gt;&lt;urls&gt;&lt;/urls&gt;&lt;/record&gt;&lt;/Cite&gt;&lt;/EndNote&gt;</w:instrText>
            </w:r>
            <w:r w:rsidRPr="00A14F04">
              <w:rPr>
                <w:rFonts w:ascii="Arial" w:hAnsi="Arial" w:cs="Arial"/>
                <w:bCs/>
                <w:color w:val="auto"/>
                <w:sz w:val="18"/>
                <w:szCs w:val="18"/>
              </w:rPr>
              <w:fldChar w:fldCharType="separate"/>
            </w:r>
            <w:r w:rsidRPr="00303171">
              <w:rPr>
                <w:rFonts w:ascii="Arial" w:hAnsi="Arial" w:cs="Arial"/>
                <w:bCs/>
                <w:noProof/>
                <w:color w:val="auto"/>
                <w:sz w:val="18"/>
                <w:szCs w:val="18"/>
                <w:vertAlign w:val="superscript"/>
              </w:rPr>
              <w:t>26</w:t>
            </w:r>
            <w:r w:rsidRPr="00A14F04">
              <w:rPr>
                <w:rFonts w:ascii="Arial" w:hAnsi="Arial" w:cs="Arial"/>
                <w:bCs/>
                <w:color w:val="auto"/>
                <w:sz w:val="18"/>
                <w:szCs w:val="18"/>
              </w:rPr>
              <w:fldChar w:fldCharType="end"/>
            </w:r>
          </w:p>
        </w:tc>
        <w:tc>
          <w:tcPr>
            <w:tcW w:w="324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420" w:type="dxa"/>
            <w:gridSpan w:val="2"/>
            <w:vAlign w:val="center"/>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EHR data were converted to a common data model (CDM) version 5.0. </w:t>
            </w:r>
          </w:p>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For a specific laboratory test, every result of each person was labeled as either exposed or unexposed for each drug, and the averages of the labeled values were paired according to the individual drug.</w:t>
            </w:r>
          </w:p>
        </w:tc>
        <w:tc>
          <w:tcPr>
            <w:tcW w:w="2790" w:type="dxa"/>
            <w:vAlign w:val="center"/>
          </w:tcPr>
          <w:p w:rsidR="00575628" w:rsidRPr="00A14F04" w:rsidRDefault="00575628" w:rsidP="006B7DC3">
            <w:pPr>
              <w:spacing w:line="240" w:lineRule="auto"/>
              <w:jc w:val="left"/>
              <w:rPr>
                <w:rFonts w:ascii="Arial" w:eastAsia="Times New Roman" w:hAnsi="Arial" w:cs="Arial"/>
                <w:bCs/>
                <w:snapToGrid w:val="0"/>
                <w:color w:val="auto"/>
                <w:sz w:val="18"/>
                <w:szCs w:val="18"/>
                <w:lang w:eastAsia="de-DE" w:bidi="en-US"/>
              </w:rPr>
            </w:pPr>
            <w:r w:rsidRPr="00A14F04">
              <w:rPr>
                <w:rFonts w:ascii="Arial" w:eastAsia="Times New Roman" w:hAnsi="Arial" w:cs="Arial"/>
                <w:bCs/>
                <w:snapToGrid w:val="0"/>
                <w:color w:val="auto"/>
                <w:sz w:val="18"/>
                <w:szCs w:val="18"/>
                <w:lang w:eastAsia="de-DE" w:bidi="en-US"/>
              </w:rPr>
              <w:t>Only the records with intervals (&lt; 1 year) between the date of drug prescription and laboratory tests were selected for analysis</w:t>
            </w:r>
          </w:p>
        </w:tc>
      </w:tr>
      <w:tr w:rsidR="00575628" w:rsidRPr="00A14F04" w:rsidTr="006B7DC3">
        <w:trPr>
          <w:gridBefore w:val="1"/>
          <w:wBefore w:w="65" w:type="dxa"/>
        </w:trPr>
        <w:tc>
          <w:tcPr>
            <w:tcW w:w="1260" w:type="dxa"/>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Bejan et al </w:t>
            </w:r>
            <w:r w:rsidRPr="00A14F04">
              <w:rPr>
                <w:rFonts w:ascii="Arial" w:hAnsi="Arial" w:cs="Arial"/>
                <w:color w:val="auto"/>
                <w:sz w:val="18"/>
                <w:szCs w:val="18"/>
              </w:rPr>
              <w:fldChar w:fldCharType="begin"/>
            </w:r>
            <w:r>
              <w:rPr>
                <w:rFonts w:ascii="Arial" w:hAnsi="Arial" w:cs="Arial"/>
                <w:color w:val="auto"/>
                <w:sz w:val="18"/>
                <w:szCs w:val="18"/>
              </w:rPr>
              <w:instrText xml:space="preserve"> ADDIN EN.CITE &lt;EndNote&gt;&lt;Cite&gt;&lt;Author&gt;Bejan&lt;/Author&gt;&lt;Year&gt;2021&lt;/Year&gt;&lt;RecNum&gt;531&lt;/RecNum&gt;&lt;DisplayText&gt;&lt;style face="superscript"&gt;47&lt;/style&gt;&lt;/DisplayText&gt;&lt;record&gt;&lt;rec-number&gt;531&lt;/rec-number&gt;&lt;foreign-keys&gt;&lt;key app="EN" db-id="waeppwvvowz0z5es9scxvwwnwte25s55w2dp" timestamp="1642612951"&gt;531&lt;/key&gt;&lt;/foreign-keys&gt;&lt;ref-type name="Journal Article"&gt;17&lt;/ref-type&gt;&lt;contributors&gt;&lt;authors&gt;&lt;author&gt;Bejan, Cosmin A&lt;/author&gt;&lt;author&gt;Cahill, Katherine N&lt;/author&gt;&lt;author&gt;Staso, Patrick J&lt;/author&gt;&lt;author&gt;Choi, Leena&lt;/author&gt;&lt;author&gt;Peterson, Josh F&lt;/author&gt;&lt;author&gt;Phillips, Elizabeth J&lt;/author&gt;&lt;/authors&gt;&lt;/contributors&gt;&lt;titles&gt;&lt;title&gt;DrugWAS: Drug</w:instrText>
            </w:r>
            <w:r>
              <w:rPr>
                <w:rFonts w:ascii="Cambria Math" w:hAnsi="Cambria Math" w:cs="Cambria Math"/>
                <w:color w:val="auto"/>
                <w:sz w:val="18"/>
                <w:szCs w:val="18"/>
              </w:rPr>
              <w:instrText>‐</w:instrText>
            </w:r>
            <w:r>
              <w:rPr>
                <w:rFonts w:ascii="Arial" w:hAnsi="Arial" w:cs="Arial"/>
                <w:color w:val="auto"/>
                <w:sz w:val="18"/>
                <w:szCs w:val="18"/>
              </w:rPr>
              <w:instrText>wide Association Studies for COVID</w:instrText>
            </w:r>
            <w:r>
              <w:rPr>
                <w:rFonts w:ascii="Cambria Math" w:hAnsi="Cambria Math" w:cs="Cambria Math"/>
                <w:color w:val="auto"/>
                <w:sz w:val="18"/>
                <w:szCs w:val="18"/>
              </w:rPr>
              <w:instrText>‐</w:instrText>
            </w:r>
            <w:r>
              <w:rPr>
                <w:rFonts w:ascii="Arial" w:hAnsi="Arial" w:cs="Arial"/>
                <w:color w:val="auto"/>
                <w:sz w:val="18"/>
                <w:szCs w:val="18"/>
              </w:rPr>
              <w:instrText>19 Drug Repurposing&lt;/title&gt;&lt;secondary-title&gt;Clinical Pharmacology &amp;amp; Therapeutics&lt;/secondary-title&gt;&lt;/titles&gt;&lt;periodical&gt;&lt;full-title&gt;Clinical Pharmacology &amp;amp; Therapeutics&lt;/full-title&gt;&lt;/periodical&gt;&lt;pages&gt;1537-1546&lt;/pages&gt;&lt;volume&gt;110&lt;/volume&gt;&lt;number&gt;6&lt;/number&gt;&lt;dates&gt;&lt;year&gt;2021&lt;/year&gt;&lt;/dates&gt;&lt;isbn&gt;0009-9236&lt;/isbn&gt;&lt;urls&gt;&lt;/urls&gt;&lt;/record&gt;&lt;/Cite&gt;&lt;/EndNote&gt;</w:instrText>
            </w:r>
            <w:r w:rsidRPr="00A14F04">
              <w:rPr>
                <w:rFonts w:ascii="Arial" w:hAnsi="Arial" w:cs="Arial"/>
                <w:color w:val="auto"/>
                <w:sz w:val="18"/>
                <w:szCs w:val="18"/>
              </w:rPr>
              <w:fldChar w:fldCharType="separate"/>
            </w:r>
            <w:r w:rsidRPr="00303171">
              <w:rPr>
                <w:rFonts w:ascii="Arial" w:hAnsi="Arial" w:cs="Arial"/>
                <w:noProof/>
                <w:color w:val="auto"/>
                <w:sz w:val="18"/>
                <w:szCs w:val="18"/>
                <w:vertAlign w:val="superscript"/>
              </w:rPr>
              <w:t>47</w:t>
            </w:r>
            <w:r w:rsidRPr="00A14F04">
              <w:rPr>
                <w:rFonts w:ascii="Arial" w:hAnsi="Arial" w:cs="Arial"/>
                <w:color w:val="auto"/>
                <w:sz w:val="18"/>
                <w:szCs w:val="18"/>
              </w:rPr>
              <w:fldChar w:fldCharType="end"/>
            </w:r>
          </w:p>
        </w:tc>
        <w:tc>
          <w:tcPr>
            <w:tcW w:w="3150" w:type="dxa"/>
            <w:gridSpan w:val="2"/>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MedXN was used to extract drug information</w:t>
            </w:r>
          </w:p>
        </w:tc>
        <w:tc>
          <w:tcPr>
            <w:tcW w:w="3335" w:type="dxa"/>
            <w:gridSpan w:val="2"/>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055" w:type="dxa"/>
            <w:gridSpan w:val="3"/>
          </w:tcPr>
          <w:p w:rsidR="00575628" w:rsidRPr="00A14F04" w:rsidRDefault="00575628" w:rsidP="006B7DC3">
            <w:pPr>
              <w:spacing w:line="240" w:lineRule="auto"/>
              <w:rPr>
                <w:rFonts w:ascii="Arial" w:eastAsia="Times New Roman" w:hAnsi="Arial" w:cs="Arial"/>
                <w:bCs/>
                <w:snapToGrid w:val="0"/>
                <w:color w:val="auto"/>
                <w:sz w:val="18"/>
                <w:szCs w:val="18"/>
                <w:lang w:eastAsia="de-DE" w:bidi="en-US"/>
              </w:rPr>
            </w:pPr>
          </w:p>
        </w:tc>
      </w:tr>
      <w:tr w:rsidR="00575628" w:rsidRPr="00A14F04" w:rsidTr="006B7DC3">
        <w:trPr>
          <w:gridBefore w:val="1"/>
          <w:wBefore w:w="65" w:type="dxa"/>
        </w:trPr>
        <w:tc>
          <w:tcPr>
            <w:tcW w:w="1260" w:type="dxa"/>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 xml:space="preserve">Liu et al </w:t>
            </w:r>
            <w:r w:rsidRPr="00A14F04">
              <w:rPr>
                <w:rFonts w:ascii="Arial" w:hAnsi="Arial" w:cs="Arial"/>
                <w:color w:val="auto"/>
                <w:sz w:val="18"/>
                <w:szCs w:val="18"/>
              </w:rPr>
              <w:fldChar w:fldCharType="begin"/>
            </w:r>
            <w:r>
              <w:rPr>
                <w:rFonts w:ascii="Arial" w:hAnsi="Arial" w:cs="Arial"/>
                <w:color w:val="auto"/>
                <w:sz w:val="18"/>
                <w:szCs w:val="18"/>
              </w:rPr>
              <w:instrText xml:space="preserve"> ADDIN EN.CITE &lt;EndNote&gt;&lt;Cite&gt;&lt;Author&gt;Liu&lt;/Author&gt;&lt;Year&gt;2021&lt;/Year&gt;&lt;RecNum&gt;535&lt;/RecNum&gt;&lt;DisplayText&gt;&lt;style face="superscript"&gt;33&lt;/style&gt;&lt;/DisplayText&gt;&lt;record&gt;&lt;rec-number&gt;535&lt;/rec-number&gt;&lt;foreign-keys&gt;&lt;key app="EN" db-id="waeppwvvowz0z5es9scxvwwnwte25s55w2dp" timestamp="1642613131"&gt;535&lt;/key&gt;&lt;/foreign-keys&gt;&lt;ref-type name="Journal Article"&gt;17&lt;/ref-type&gt;&lt;contributors&gt;&lt;authors&gt;&lt;author&gt;Liu, Ruoqi&lt;/author&gt;&lt;author&gt;Wei, Lai&lt;/author&gt;&lt;author&gt;Zhang, Ping&lt;/author&gt;&lt;/authors&gt;&lt;/contributors&gt;&lt;titles&gt;&lt;title&gt;A deep learning framework for drug repurposing via emulating clinical trials on real-world patient data&lt;/title&gt;&lt;secondary-title&gt;Nature Machine Intelligence&lt;/secondary-title&gt;&lt;/titles&gt;&lt;periodical&gt;&lt;full-title&gt;Nature Machine Intelligence&lt;/full-title&gt;&lt;/periodical&gt;&lt;pages&gt;68-75&lt;/pages&gt;&lt;volume&gt;3&lt;/volume&gt;&lt;number&gt;1&lt;/number&gt;&lt;dates&gt;&lt;year&gt;2021&lt;/year&gt;&lt;/dates&gt;&lt;isbn&gt;2522-5839&lt;/isbn&gt;&lt;urls&gt;&lt;/urls&gt;&lt;/record&gt;&lt;/Cite&gt;&lt;/EndNote&gt;</w:instrText>
            </w:r>
            <w:r w:rsidRPr="00A14F04">
              <w:rPr>
                <w:rFonts w:ascii="Arial" w:hAnsi="Arial" w:cs="Arial"/>
                <w:color w:val="auto"/>
                <w:sz w:val="18"/>
                <w:szCs w:val="18"/>
              </w:rPr>
              <w:fldChar w:fldCharType="separate"/>
            </w:r>
            <w:r w:rsidRPr="00303171">
              <w:rPr>
                <w:rFonts w:ascii="Arial" w:hAnsi="Arial" w:cs="Arial"/>
                <w:noProof/>
                <w:color w:val="auto"/>
                <w:sz w:val="18"/>
                <w:szCs w:val="18"/>
                <w:vertAlign w:val="superscript"/>
              </w:rPr>
              <w:t>33</w:t>
            </w:r>
            <w:r w:rsidRPr="00A14F04">
              <w:rPr>
                <w:rFonts w:ascii="Arial" w:hAnsi="Arial" w:cs="Arial"/>
                <w:color w:val="auto"/>
                <w:sz w:val="18"/>
                <w:szCs w:val="18"/>
              </w:rPr>
              <w:fldChar w:fldCharType="end"/>
            </w:r>
          </w:p>
        </w:tc>
        <w:tc>
          <w:tcPr>
            <w:tcW w:w="3150" w:type="dxa"/>
            <w:gridSpan w:val="2"/>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335" w:type="dxa"/>
            <w:gridSpan w:val="2"/>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The drug code (NDC) in MarketScan database were mapped to OMOP standard concept IDs.</w:t>
            </w:r>
          </w:p>
        </w:tc>
        <w:tc>
          <w:tcPr>
            <w:tcW w:w="3055" w:type="dxa"/>
            <w:gridSpan w:val="3"/>
          </w:tcPr>
          <w:p w:rsidR="00575628" w:rsidRPr="00A14F04" w:rsidRDefault="00575628" w:rsidP="006B7DC3">
            <w:pPr>
              <w:spacing w:line="240" w:lineRule="auto"/>
              <w:rPr>
                <w:rFonts w:ascii="Arial" w:eastAsia="Times New Roman" w:hAnsi="Arial" w:cs="Arial"/>
                <w:bCs/>
                <w:snapToGrid w:val="0"/>
                <w:color w:val="auto"/>
                <w:sz w:val="18"/>
                <w:szCs w:val="18"/>
                <w:lang w:eastAsia="de-DE" w:bidi="en-US"/>
              </w:rPr>
            </w:pPr>
            <w:r w:rsidRPr="00A14F04">
              <w:rPr>
                <w:rFonts w:ascii="Arial" w:eastAsia="Times New Roman" w:hAnsi="Arial" w:cs="Arial"/>
                <w:bCs/>
                <w:snapToGrid w:val="0"/>
                <w:color w:val="auto"/>
                <w:sz w:val="18"/>
                <w:szCs w:val="18"/>
                <w:lang w:eastAsia="de-DE" w:bidi="en-US"/>
              </w:rPr>
              <w:t>Drug, outcomes temporal sequence data and existing confounding variables were used as the input data for the predictive model</w:t>
            </w:r>
          </w:p>
        </w:tc>
      </w:tr>
      <w:tr w:rsidR="00575628" w:rsidRPr="00A14F04" w:rsidTr="006B7DC3">
        <w:trPr>
          <w:gridBefore w:val="1"/>
          <w:wBefore w:w="65" w:type="dxa"/>
        </w:trPr>
        <w:tc>
          <w:tcPr>
            <w:tcW w:w="1260" w:type="dxa"/>
          </w:tcPr>
          <w:p w:rsidR="00575628" w:rsidRPr="00A14F04" w:rsidRDefault="00575628" w:rsidP="006B7DC3">
            <w:pPr>
              <w:pStyle w:val="MDPI42tablebody"/>
              <w:spacing w:line="240" w:lineRule="auto"/>
              <w:jc w:val="left"/>
              <w:rPr>
                <w:rFonts w:ascii="Arial" w:hAnsi="Arial" w:cs="Arial"/>
                <w:bCs/>
                <w:color w:val="auto"/>
                <w:sz w:val="18"/>
                <w:szCs w:val="18"/>
                <w:lang w:eastAsia="zh-CN"/>
              </w:rPr>
            </w:pPr>
            <w:r w:rsidRPr="00A14F04">
              <w:rPr>
                <w:rFonts w:ascii="Arial" w:hAnsi="Arial" w:cs="Arial"/>
                <w:bCs/>
                <w:color w:val="auto"/>
                <w:sz w:val="18"/>
                <w:szCs w:val="18"/>
              </w:rPr>
              <w:t xml:space="preserve">Nordon et al </w:t>
            </w:r>
            <w:r w:rsidRPr="00A14F04">
              <w:rPr>
                <w:rFonts w:ascii="Arial" w:hAnsi="Arial" w:cs="Arial"/>
                <w:color w:val="auto"/>
                <w:sz w:val="18"/>
                <w:szCs w:val="18"/>
              </w:rPr>
              <w:fldChar w:fldCharType="begin"/>
            </w:r>
            <w:r>
              <w:rPr>
                <w:rFonts w:ascii="Arial" w:hAnsi="Arial" w:cs="Arial"/>
                <w:color w:val="auto"/>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Arial" w:hAnsi="Arial" w:cs="Arial"/>
                <w:color w:val="auto"/>
                <w:sz w:val="18"/>
                <w:szCs w:val="18"/>
              </w:rPr>
              <w:fldChar w:fldCharType="separate"/>
            </w:r>
            <w:r w:rsidRPr="00303171">
              <w:rPr>
                <w:rFonts w:ascii="Arial" w:hAnsi="Arial" w:cs="Arial"/>
                <w:noProof/>
                <w:color w:val="auto"/>
                <w:sz w:val="18"/>
                <w:szCs w:val="18"/>
                <w:vertAlign w:val="superscript"/>
              </w:rPr>
              <w:t>29</w:t>
            </w:r>
            <w:r w:rsidRPr="00A14F04">
              <w:rPr>
                <w:rFonts w:ascii="Arial" w:hAnsi="Arial" w:cs="Arial"/>
                <w:color w:val="auto"/>
                <w:sz w:val="18"/>
                <w:szCs w:val="18"/>
              </w:rPr>
              <w:fldChar w:fldCharType="end"/>
            </w:r>
          </w:p>
        </w:tc>
        <w:tc>
          <w:tcPr>
            <w:tcW w:w="3150" w:type="dxa"/>
            <w:gridSpan w:val="2"/>
          </w:tcPr>
          <w:p w:rsidR="00575628" w:rsidRPr="00A14F04" w:rsidRDefault="00575628" w:rsidP="006B7DC3">
            <w:pPr>
              <w:pStyle w:val="MDPI42tablebody"/>
              <w:spacing w:line="240" w:lineRule="auto"/>
              <w:jc w:val="left"/>
              <w:rPr>
                <w:rFonts w:ascii="Arial" w:hAnsi="Arial" w:cs="Arial"/>
                <w:bCs/>
                <w:color w:val="auto"/>
                <w:sz w:val="18"/>
                <w:szCs w:val="18"/>
                <w:lang w:eastAsia="zh-CN"/>
              </w:rPr>
            </w:pPr>
          </w:p>
        </w:tc>
        <w:tc>
          <w:tcPr>
            <w:tcW w:w="3335" w:type="dxa"/>
            <w:gridSpan w:val="2"/>
          </w:tcPr>
          <w:p w:rsidR="00575628" w:rsidRPr="00A14F04" w:rsidRDefault="00575628" w:rsidP="006B7DC3">
            <w:pPr>
              <w:pStyle w:val="MDPI42tablebody"/>
              <w:spacing w:line="240" w:lineRule="auto"/>
              <w:jc w:val="left"/>
              <w:rPr>
                <w:rFonts w:ascii="Arial" w:hAnsi="Arial" w:cs="Arial"/>
                <w:bCs/>
                <w:color w:val="auto"/>
                <w:sz w:val="18"/>
                <w:szCs w:val="18"/>
              </w:rPr>
            </w:pPr>
            <w:r w:rsidRPr="00A14F04">
              <w:rPr>
                <w:rFonts w:ascii="Arial" w:hAnsi="Arial" w:cs="Arial"/>
                <w:bCs/>
                <w:color w:val="auto"/>
                <w:sz w:val="18"/>
                <w:szCs w:val="18"/>
              </w:rPr>
              <w:t>UMLS was used to standardize the node in the Knowledge graph.</w:t>
            </w:r>
          </w:p>
        </w:tc>
        <w:tc>
          <w:tcPr>
            <w:tcW w:w="3055" w:type="dxa"/>
            <w:gridSpan w:val="3"/>
          </w:tcPr>
          <w:p w:rsidR="00575628" w:rsidRPr="00A14F04" w:rsidRDefault="00575628" w:rsidP="006B7DC3">
            <w:pPr>
              <w:spacing w:line="240" w:lineRule="auto"/>
              <w:rPr>
                <w:rFonts w:ascii="Arial" w:eastAsia="Times New Roman" w:hAnsi="Arial" w:cs="Arial"/>
                <w:bCs/>
                <w:snapToGrid w:val="0"/>
                <w:color w:val="auto"/>
                <w:sz w:val="18"/>
                <w:szCs w:val="18"/>
                <w:lang w:eastAsia="de-DE" w:bidi="en-US"/>
              </w:rPr>
            </w:pPr>
          </w:p>
        </w:tc>
      </w:tr>
      <w:tr w:rsidR="00575628" w:rsidRPr="00A14F04" w:rsidTr="006B7DC3">
        <w:trPr>
          <w:gridBefore w:val="1"/>
          <w:wBefore w:w="65" w:type="dxa"/>
        </w:trPr>
        <w:tc>
          <w:tcPr>
            <w:tcW w:w="1260" w:type="dxa"/>
            <w:tcBorders>
              <w:bottom w:val="single" w:sz="4" w:space="0" w:color="auto"/>
            </w:tcBorders>
          </w:tcPr>
          <w:p w:rsidR="00575628" w:rsidRPr="00A14F04" w:rsidRDefault="00575628" w:rsidP="006B7DC3">
            <w:pPr>
              <w:pStyle w:val="MDPI42tablebody"/>
              <w:spacing w:line="240" w:lineRule="auto"/>
              <w:jc w:val="left"/>
              <w:rPr>
                <w:rFonts w:ascii="Arial" w:hAnsi="Arial" w:cs="Arial"/>
                <w:bCs/>
                <w:color w:val="auto"/>
                <w:sz w:val="18"/>
                <w:szCs w:val="18"/>
                <w:lang w:eastAsia="zh-CN"/>
              </w:rPr>
            </w:pPr>
            <w:r w:rsidRPr="00A14F04">
              <w:rPr>
                <w:rFonts w:ascii="Arial" w:hAnsi="Arial" w:cs="Arial"/>
                <w:bCs/>
                <w:color w:val="auto"/>
                <w:sz w:val="18"/>
                <w:szCs w:val="18"/>
              </w:rPr>
              <w:t xml:space="preserve">Ozery-Flato et al </w:t>
            </w:r>
            <w:r w:rsidRPr="00A14F04">
              <w:rPr>
                <w:rFonts w:ascii="Arial" w:hAnsi="Arial" w:cs="Arial"/>
                <w:color w:val="auto"/>
                <w:sz w:val="18"/>
                <w:szCs w:val="18"/>
              </w:rPr>
              <w:fldChar w:fldCharType="begin"/>
            </w:r>
            <w:r>
              <w:rPr>
                <w:rFonts w:ascii="Arial" w:hAnsi="Arial" w:cs="Arial"/>
                <w:color w:val="auto"/>
                <w:sz w:val="18"/>
                <w:szCs w:val="18"/>
              </w:rPr>
              <w:instrText xml:space="preserve"> ADDIN EN.CITE &lt;EndNote&gt;&lt;Cite&gt;&lt;Author&gt;Ozery-Flato&lt;/Author&gt;&lt;Year&gt;2020&lt;/Year&gt;&lt;RecNum&gt;537&lt;/RecNum&gt;&lt;DisplayText&gt;&lt;style face="superscript"&gt;51&lt;/style&gt;&lt;/DisplayText&gt;&lt;record&gt;&lt;rec-number&gt;537&lt;/rec-number&gt;&lt;foreign-keys&gt;&lt;key app="EN" db-id="waeppwvvowz0z5es9scxvwwnwte25s55w2dp" timestamp="1642613231"&gt;537&lt;/key&gt;&lt;/foreign-keys&gt;&lt;ref-type name="Journal Article"&gt;17&lt;/ref-type&gt;&lt;contributors&gt;&lt;authors&gt;&lt;author&gt;Ozery-Flato, Michal&lt;/author&gt;&lt;author&gt;Goldschmidt, Yaara&lt;/author&gt;&lt;author&gt;Shaham, Oded&lt;/author&gt;&lt;author&gt;Ravid, Sivan&lt;/author&gt;&lt;author&gt;Yanover, Chen&lt;/author&gt;&lt;/authors&gt;&lt;/contributors&gt;&lt;titles&gt;&lt;title&gt;Framework for identifying drug repurposing candidates from observational healthcare data&lt;/title&gt;&lt;secondary-title&gt;JAMIA open&lt;/secondary-title&gt;&lt;/titles&gt;&lt;periodical&gt;&lt;full-title&gt;JAMIA Open&lt;/full-title&gt;&lt;/periodical&gt;&lt;pages&gt;536-544&lt;/pages&gt;&lt;volume&gt;3&lt;/volume&gt;&lt;number&gt;4&lt;/number&gt;&lt;dates&gt;&lt;year&gt;2020&lt;/year&gt;&lt;/dates&gt;&lt;isbn&gt;2574-2531&lt;/isbn&gt;&lt;urls&gt;&lt;/urls&gt;&lt;/record&gt;&lt;/Cite&gt;&lt;/EndNote&gt;</w:instrText>
            </w:r>
            <w:r w:rsidRPr="00A14F04">
              <w:rPr>
                <w:rFonts w:ascii="Arial" w:hAnsi="Arial" w:cs="Arial"/>
                <w:color w:val="auto"/>
                <w:sz w:val="18"/>
                <w:szCs w:val="18"/>
              </w:rPr>
              <w:fldChar w:fldCharType="separate"/>
            </w:r>
            <w:r w:rsidRPr="00303171">
              <w:rPr>
                <w:rFonts w:ascii="Arial" w:hAnsi="Arial" w:cs="Arial"/>
                <w:noProof/>
                <w:color w:val="auto"/>
                <w:sz w:val="18"/>
                <w:szCs w:val="18"/>
                <w:vertAlign w:val="superscript"/>
              </w:rPr>
              <w:t>51</w:t>
            </w:r>
            <w:r w:rsidRPr="00A14F04">
              <w:rPr>
                <w:rFonts w:ascii="Arial" w:hAnsi="Arial" w:cs="Arial"/>
                <w:color w:val="auto"/>
                <w:sz w:val="18"/>
                <w:szCs w:val="18"/>
              </w:rPr>
              <w:fldChar w:fldCharType="end"/>
            </w:r>
          </w:p>
        </w:tc>
        <w:tc>
          <w:tcPr>
            <w:tcW w:w="3150" w:type="dxa"/>
            <w:gridSpan w:val="2"/>
            <w:tcBorders>
              <w:bottom w:val="single" w:sz="4" w:space="0" w:color="auto"/>
            </w:tcBorders>
          </w:tcPr>
          <w:p w:rsidR="00575628" w:rsidRPr="00A14F04" w:rsidRDefault="00575628" w:rsidP="006B7DC3">
            <w:pPr>
              <w:pStyle w:val="MDPI42tablebody"/>
              <w:spacing w:line="240" w:lineRule="auto"/>
              <w:jc w:val="left"/>
              <w:rPr>
                <w:rFonts w:ascii="Arial" w:hAnsi="Arial" w:cs="Arial"/>
                <w:bCs/>
                <w:color w:val="auto"/>
                <w:sz w:val="18"/>
                <w:szCs w:val="18"/>
                <w:lang w:eastAsia="zh-CN"/>
              </w:rPr>
            </w:pPr>
          </w:p>
        </w:tc>
        <w:tc>
          <w:tcPr>
            <w:tcW w:w="3335" w:type="dxa"/>
            <w:gridSpan w:val="2"/>
            <w:tcBorders>
              <w:bottom w:val="single" w:sz="4" w:space="0" w:color="auto"/>
            </w:tcBorders>
          </w:tcPr>
          <w:p w:rsidR="00575628" w:rsidRPr="00A14F04" w:rsidRDefault="00575628" w:rsidP="006B7DC3">
            <w:pPr>
              <w:pStyle w:val="MDPI42tablebody"/>
              <w:spacing w:line="240" w:lineRule="auto"/>
              <w:jc w:val="left"/>
              <w:rPr>
                <w:rFonts w:ascii="Arial" w:hAnsi="Arial" w:cs="Arial"/>
                <w:bCs/>
                <w:color w:val="auto"/>
                <w:sz w:val="18"/>
                <w:szCs w:val="18"/>
              </w:rPr>
            </w:pPr>
          </w:p>
        </w:tc>
        <w:tc>
          <w:tcPr>
            <w:tcW w:w="3055" w:type="dxa"/>
            <w:gridSpan w:val="3"/>
            <w:tcBorders>
              <w:bottom w:val="single" w:sz="4" w:space="0" w:color="auto"/>
            </w:tcBorders>
          </w:tcPr>
          <w:p w:rsidR="00575628" w:rsidRPr="00A14F04" w:rsidRDefault="00575628" w:rsidP="006B7DC3">
            <w:pPr>
              <w:spacing w:line="240" w:lineRule="auto"/>
              <w:rPr>
                <w:rFonts w:ascii="Arial" w:eastAsia="Times New Roman" w:hAnsi="Arial" w:cs="Arial"/>
                <w:bCs/>
                <w:snapToGrid w:val="0"/>
                <w:color w:val="auto"/>
                <w:sz w:val="18"/>
                <w:szCs w:val="18"/>
                <w:lang w:eastAsia="de-DE" w:bidi="en-US"/>
              </w:rPr>
            </w:pPr>
            <w:r w:rsidRPr="00A14F04">
              <w:rPr>
                <w:rFonts w:ascii="Arial" w:eastAsia="Times New Roman" w:hAnsi="Arial" w:cs="Arial"/>
                <w:bCs/>
                <w:snapToGrid w:val="0"/>
                <w:color w:val="auto"/>
                <w:sz w:val="18"/>
                <w:szCs w:val="18"/>
                <w:lang w:eastAsia="de-DE" w:bidi="en-US"/>
              </w:rPr>
              <w:t>Drug temporal data was used to build the cohort for the emulated RCTs</w:t>
            </w:r>
          </w:p>
        </w:tc>
      </w:tr>
    </w:tbl>
    <w:p w:rsidR="00575628" w:rsidRPr="00A14F04" w:rsidRDefault="00575628" w:rsidP="00575628">
      <w:pPr>
        <w:pStyle w:val="MDPI21heading1"/>
        <w:spacing w:line="480" w:lineRule="auto"/>
        <w:ind w:left="0"/>
        <w:rPr>
          <w:rFonts w:ascii="Arial" w:hAnsi="Arial" w:cs="Arial"/>
          <w:color w:val="auto"/>
          <w:sz w:val="24"/>
          <w:szCs w:val="20"/>
          <w:lang w:eastAsia="zh-CN"/>
        </w:rPr>
        <w:sectPr w:rsidR="00575628" w:rsidRPr="00A14F04" w:rsidSect="005E5254">
          <w:pgSz w:w="12240" w:h="15840"/>
          <w:pgMar w:top="720" w:right="720" w:bottom="720" w:left="720" w:header="720" w:footer="720" w:gutter="0"/>
          <w:lnNumType w:countBy="1" w:restart="continuous"/>
          <w:cols w:space="720"/>
          <w:docGrid w:linePitch="360"/>
        </w:sectPr>
      </w:pPr>
    </w:p>
    <w:p w:rsidR="00575628" w:rsidRPr="00A14F04" w:rsidRDefault="00575628" w:rsidP="00575628">
      <w:pPr>
        <w:pStyle w:val="MDPI21heading1"/>
        <w:spacing w:line="480" w:lineRule="auto"/>
        <w:ind w:left="0"/>
        <w:rPr>
          <w:rFonts w:ascii="Arial" w:hAnsi="Arial" w:cs="Arial"/>
          <w:color w:val="auto"/>
          <w:sz w:val="24"/>
          <w:szCs w:val="20"/>
          <w:lang w:eastAsia="zh-CN"/>
        </w:rPr>
      </w:pPr>
      <w:r>
        <w:rPr>
          <w:rFonts w:ascii="Arial" w:hAnsi="Arial" w:cs="Arial"/>
          <w:color w:val="auto"/>
          <w:sz w:val="24"/>
          <w:szCs w:val="20"/>
          <w:highlight w:val="yellow"/>
          <w:lang w:eastAsia="zh-CN"/>
        </w:rPr>
        <w:lastRenderedPageBreak/>
        <w:t xml:space="preserve">Supplementary </w:t>
      </w:r>
      <w:r w:rsidRPr="004B5220">
        <w:rPr>
          <w:rFonts w:ascii="Arial" w:hAnsi="Arial" w:cs="Arial"/>
          <w:color w:val="auto"/>
          <w:sz w:val="24"/>
          <w:szCs w:val="20"/>
          <w:highlight w:val="yellow"/>
          <w:lang w:eastAsia="zh-CN"/>
        </w:rPr>
        <w:t xml:space="preserve">Table </w:t>
      </w:r>
      <w:r>
        <w:rPr>
          <w:rFonts w:ascii="Arial" w:hAnsi="Arial" w:cs="Arial"/>
          <w:color w:val="auto"/>
          <w:sz w:val="24"/>
          <w:szCs w:val="20"/>
          <w:lang w:eastAsia="zh-CN"/>
        </w:rPr>
        <w:t>4</w:t>
      </w:r>
    </w:p>
    <w:p w:rsidR="00575628" w:rsidRPr="00A14F04" w:rsidRDefault="00575628" w:rsidP="00575628">
      <w:pPr>
        <w:pStyle w:val="MDPI41tablecaption"/>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4.</w:t>
      </w:r>
      <w:r w:rsidRPr="00A14F04">
        <w:rPr>
          <w:rFonts w:ascii="Arial" w:hAnsi="Arial" w:cs="Arial"/>
          <w:b/>
          <w:color w:val="auto"/>
          <w:sz w:val="20"/>
          <w:szCs w:val="20"/>
        </w:rPr>
        <w:t xml:space="preserve"> </w:t>
      </w:r>
      <w:r w:rsidRPr="00A14F04">
        <w:rPr>
          <w:rFonts w:ascii="Arial" w:hAnsi="Arial" w:cs="Arial"/>
          <w:color w:val="auto"/>
          <w:sz w:val="20"/>
          <w:szCs w:val="20"/>
        </w:rPr>
        <w:t>Summary of computational methods for repurposing drugs.</w:t>
      </w:r>
    </w:p>
    <w:tbl>
      <w:tblPr>
        <w:tblW w:w="14395" w:type="dxa"/>
        <w:tblCellMar>
          <w:top w:w="72" w:type="dxa"/>
          <w:left w:w="43" w:type="dxa"/>
          <w:bottom w:w="72" w:type="dxa"/>
          <w:right w:w="43" w:type="dxa"/>
        </w:tblCellMar>
        <w:tblLook w:val="04A0" w:firstRow="1" w:lastRow="0" w:firstColumn="1" w:lastColumn="0" w:noHBand="0" w:noVBand="1"/>
      </w:tblPr>
      <w:tblGrid>
        <w:gridCol w:w="1335"/>
        <w:gridCol w:w="1247"/>
        <w:gridCol w:w="1282"/>
        <w:gridCol w:w="10536"/>
      </w:tblGrid>
      <w:tr w:rsidR="00575628" w:rsidRPr="00A14F04" w:rsidTr="006B7DC3">
        <w:trPr>
          <w:trHeight w:val="288"/>
        </w:trPr>
        <w:tc>
          <w:tcPr>
            <w:tcW w:w="1345"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b/>
                <w:sz w:val="20"/>
                <w:szCs w:val="18"/>
              </w:rPr>
            </w:pPr>
            <w:r w:rsidRPr="00A14F04">
              <w:rPr>
                <w:rFonts w:ascii="Times New Roman" w:eastAsia="Times New Roman" w:hAnsi="Times New Roman" w:cs="Times New Roman"/>
                <w:b/>
                <w:sz w:val="20"/>
                <w:szCs w:val="18"/>
              </w:rPr>
              <w:t>Method Type</w:t>
            </w: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b/>
                <w:sz w:val="20"/>
                <w:szCs w:val="18"/>
              </w:rPr>
            </w:pPr>
            <w:r w:rsidRPr="00A14F04">
              <w:rPr>
                <w:rFonts w:ascii="Times New Roman" w:eastAsia="Times New Roman" w:hAnsi="Times New Roman" w:cs="Times New Roman"/>
                <w:b/>
                <w:sz w:val="20"/>
                <w:szCs w:val="18"/>
              </w:rPr>
              <w:t>Method</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b/>
                <w:sz w:val="20"/>
                <w:szCs w:val="18"/>
              </w:rPr>
            </w:pPr>
            <w:r w:rsidRPr="00A14F04">
              <w:rPr>
                <w:rFonts w:ascii="Times New Roman" w:eastAsia="Times New Roman" w:hAnsi="Times New Roman" w:cs="Times New Roman"/>
                <w:b/>
                <w:sz w:val="20"/>
                <w:szCs w:val="18"/>
              </w:rPr>
              <w:t>Paper</w:t>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b/>
                <w:sz w:val="20"/>
                <w:szCs w:val="18"/>
              </w:rPr>
            </w:pPr>
            <w:r w:rsidRPr="00A14F04">
              <w:rPr>
                <w:rFonts w:ascii="Times New Roman" w:eastAsia="Times New Roman" w:hAnsi="Times New Roman" w:cs="Times New Roman"/>
                <w:b/>
                <w:sz w:val="20"/>
                <w:szCs w:val="18"/>
              </w:rPr>
              <w:t>Summary of method</w:t>
            </w:r>
          </w:p>
        </w:tc>
      </w:tr>
      <w:tr w:rsidR="00575628" w:rsidRPr="00A14F04" w:rsidTr="006B7DC3">
        <w:trPr>
          <w:trHeight w:val="324"/>
        </w:trPr>
        <w:tc>
          <w:tcPr>
            <w:tcW w:w="1345"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Machine learning</w:t>
            </w: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Deep learning</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Liu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&lt;EndNote&gt;&lt;Cite&gt;&lt;Author&gt;Liu&lt;/Author&gt;&lt;Year&gt;2021&lt;/Year&gt;&lt;RecNum&gt;535&lt;/RecNum&gt;&lt;DisplayText&gt;&lt;style face="superscript"&gt;33&lt;/style&gt;&lt;/DisplayText&gt;&lt;record&gt;&lt;rec-number&gt;535&lt;/rec-number&gt;&lt;foreign-keys&gt;&lt;key app="EN" db-id="waeppwvvowz0z5es9scxvwwnwte25s55w2dp" timestamp="1642613131"&gt;535&lt;/key&gt;&lt;/foreign-keys&gt;&lt;ref-type name="Journal Article"&gt;17&lt;/ref-type&gt;&lt;contributors&gt;&lt;authors&gt;&lt;author&gt;Liu, Ruoqi&lt;/author&gt;&lt;author&gt;Wei, Lai&lt;/author&gt;&lt;author&gt;Zhang, Ping&lt;/author&gt;&lt;/authors&gt;&lt;/contributors&gt;&lt;titles&gt;&lt;title&gt;A deep learning framework for drug repurposing via emulating clinical trials on real-world patient data&lt;/title&gt;&lt;secondary-title&gt;Nature Machine Intelligence&lt;/secondary-title&gt;&lt;/titles&gt;&lt;periodical&gt;&lt;full-title&gt;Nature Machine Intelligence&lt;/full-title&gt;&lt;/periodical&gt;&lt;pages&gt;68-75&lt;/pages&gt;&lt;volume&gt;3&lt;/volume&gt;&lt;number&gt;1&lt;/number&gt;&lt;dates&gt;&lt;year&gt;2021&lt;/year&gt;&lt;/dates&gt;&lt;isbn&gt;2522-5839&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33</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high-throughput screening framework was developed for on-market drugs by emulating a randomized clinical trial to evaluate the effectiveness of each drug with existing large-scale real-world data. The framework extracts a list of potential repurposing drug ingredients, identifies the corresponding user and non-user sub-cohorts, computes features and disease progression outcomes for all patients in both sub-cohorts, and estimates the treatment effects using deep learning methods.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Network</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Zhou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20</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standard random walker with restart network ranking algorithm was applied to predict potential drug-disease interactions and repositioned drug candidates.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Paik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27</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Given a drug-disease pair for query, the algorithm found similar drugs and diseases via the similarity matrices, checked the association of similar drug-disease pairs via a bipartite network, and predicted a score for each edge for the drug-disease pair to determine the repositioning ability of the candidate.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Hsieh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&lt;EndNote&gt;&lt;Cite&gt;&lt;Author&gt;Hsieh&lt;/Author&gt;&lt;Year&gt;2021&lt;/Year&gt;&lt;RecNum&gt;534&lt;/RecNum&gt;&lt;DisplayText&gt;&lt;style face="superscript"&gt;36&lt;/style&gt;&lt;/DisplayText&gt;&lt;record&gt;&lt;rec-number&gt;534&lt;/rec-number&gt;&lt;foreign-keys&gt;&lt;key app="EN" db-id="waeppwvvowz0z5es9scxvwwnwte25s55w2dp" timestamp="1642613091"&gt;534&lt;/key&gt;&lt;/foreign-keys&gt;&lt;ref-type name="Journal Article"&gt;17&lt;/ref-type&gt;&lt;contributors&gt;&lt;authors&gt;&lt;author&gt;Hsieh, Kanglin&lt;/author&gt;&lt;author&gt;Wang, Yinyin&lt;/author&gt;&lt;author&gt;Chen, Luyao&lt;/author&gt;&lt;author&gt;Zhao, Zhongming&lt;/author&gt;&lt;author&gt;Savitz, Sean&lt;/author&gt;&lt;author&gt;Jiang, Xiaoqian&lt;/author&gt;&lt;author&gt;Tang, Jing&lt;/author&gt;&lt;author&gt;Kim, Yejin&lt;/author&gt;&lt;/authors&gt;&lt;/contributors&gt;&lt;titles&gt;&lt;title&gt;Drug repurposing for COVID-19 using graph neural network and harmonizing multiple evidence&lt;/title&gt;&lt;secondary-title&gt;Scientific reports&lt;/secondary-title&gt;&lt;/titles&gt;&lt;periodical&gt;&lt;full-title&gt;Scientific Reports&lt;/full-title&gt;&lt;/periodical&gt;&lt;pages&gt;1-13&lt;/pages&gt;&lt;volume&gt;11&lt;/volume&gt;&lt;number&gt;1&lt;/number&gt;&lt;dates&gt;&lt;year&gt;2021&lt;/year&gt;&lt;/dates&gt;&lt;isbn&gt;2045-2322&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36</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COVID-19 knowledge graph was developed to represent interactions between SARS-CoV-2 baits, host genes, pathways, targets, drugs, and phenotype using a deep graph neural network (GCN) embedding. GCN was then used to predict the candidate drugs based on the interaction network.</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Nordon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29</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drug repurposing system was developed by jointly harnessing large-scale electronic health records (EHR) data and a concept graph from the medical literature. An EHR database was mined to discover the correlation between drugs and diseases via a chi-square test of identified case and control groups. The reasoning for the correlation is further induced by a biomedical knowledge graph extracted from a medical literature data repository.</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Zhou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&lt;EndNote&gt;&lt;Cite&gt;&lt;Author&gt;Zhou&lt;/Author&gt;&lt;Year&gt;2021&lt;/Year&gt;&lt;RecNum&gt;540&lt;/RecNum&gt;&lt;DisplayText&gt;&lt;style face="superscript"&gt;50&lt;/style&gt;&lt;/DisplayText&gt;&lt;record&gt;&lt;rec-number&gt;540&lt;/rec-number&gt;&lt;foreign-keys&gt;&lt;key app="EN" db-id="waeppwvvowz0z5es9scxvwwnwte25s55w2dp" timestamp="1642613357"&gt;540&lt;/key&gt;&lt;/foreign-keys&gt;&lt;ref-type name="Journal Article"&gt;17&lt;/ref-type&gt;&lt;contributors&gt;&lt;authors&gt;&lt;author&gt;Zhou, Mengshi&lt;/author&gt;&lt;author&gt;Wang, QuanQiu&lt;/author&gt;&lt;author&gt;Zheng, Chunlei&lt;/author&gt;&lt;author&gt;Rush, A John&lt;/author&gt;&lt;author&gt;Volkow, Nora D&lt;/author&gt;&lt;author&gt;Xu, Rong&lt;/author&gt;&lt;/authors&gt;&lt;/contributors&gt;&lt;titles&gt;&lt;title&gt;Drug repurposing for opioid use disorders: integration of computational prediction, clinical corroboration, and mechanism of action analyses&lt;/title&gt;&lt;secondary-title&gt;Molecular psychiatry&lt;/secondary-title&gt;&lt;/titles&gt;&lt;periodical&gt;&lt;full-title&gt;Molecular psychiatry&lt;/full-title&gt;&lt;/periodical&gt;&lt;pages&gt;1-11&lt;/pages&gt;&lt;dates&gt;&lt;year&gt;2021&lt;/year&gt;&lt;/dates&gt;&lt;isbn&gt;1476-5578&lt;/isbn&gt;&lt;urls&gt;&lt;/urls&gt;&lt;/record&gt;&lt;/Cite&gt;&lt;/EndNote&gt;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50</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drug prediction system was developed to model the interconnections among drugs, side effects, and genes. The candidate drugs were predicted using the network-based ranking algorithms.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Optimization</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Ghalwash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&lt;EndNote&gt;&lt;Cite&gt;&lt;Author&gt;Ghalwash&lt;/Author&gt;&lt;Year&gt;2017&lt;/Year&gt;&lt;RecNum&gt;450&lt;/RecNum&gt;&lt;DisplayText&gt;&lt;style face="superscript"&gt;32&lt;/style&gt;&lt;/DisplayText&gt;&lt;record&gt;&lt;rec-number&gt;450&lt;/rec-number&gt;&lt;foreign-keys&gt;&lt;key app="EN" db-id="waeppwvvowz0z5es9scxvwwnwte25s55w2dp" timestamp="1624298089"&gt;450&lt;/key&gt;&lt;/foreign-keys&gt;&lt;ref-type name="Conference Proceedings"&gt;10&lt;/ref-type&gt;&lt;contributors&gt;&lt;authors&gt;&lt;author&gt;Ghalwash, Mohamed&lt;/author&gt;&lt;author&gt;Li, Ying&lt;/author&gt;&lt;author&gt;Zhang, Ping&lt;/author&gt;&lt;author&gt;Hu, Jianying&lt;/author&gt;&lt;/authors&gt;&lt;/contributors&gt;&lt;titles&gt;&lt;title&gt;Exploiting electronic health records to mine drug effects on laboratory test results&lt;/title&gt;&lt;secondary-title&gt;Proceedings of the 2017 ACM on Conference on Information and Knowledge Management&lt;/secondary-title&gt;&lt;/titles&gt;&lt;pages&gt;1837-1846&lt;/pages&gt;&lt;dates&gt;&lt;year&gt;2017&lt;/year&gt;&lt;/dates&gt;&lt;urls&gt;&lt;/urls&gt;&lt;/record&gt;&lt;/Cite&gt;&lt;/EndNote&gt;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32</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interactions of drugs and laboratory test results were formulated as a regularized least-square unconstrained convex optimization problem. The least-square objective function modeled the effects of drugs (independent variables) on the levels of laboratory test results (dependent variables) as coefficients of independent variables.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Kuang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&lt;EndNote&gt;&lt;Cite&gt;&lt;Author&gt;Kuang&lt;/Author&gt;&lt;Year&gt;2016&lt;/Year&gt;&lt;RecNum&gt;454&lt;/RecNum&gt;&lt;DisplayText&gt;&lt;style face="superscript"&gt;40&lt;/style&gt;&lt;/DisplayText&gt;&lt;record&gt;&lt;rec-number&gt;454&lt;/rec-number&gt;&lt;foreign-keys&gt;&lt;key app="EN" db-id="waeppwvvowz0z5es9scxvwwnwte25s55w2dp" timestamp="1624298344"&gt;454&lt;/key&gt;&lt;/foreign-keys&gt;&lt;ref-type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David&lt;/author&gt;&lt;/authors&gt;&lt;/contributors&gt;&lt;titles&gt;&lt;title&gt;Computational drug repositioning using continuous self-controlled case series&lt;/title&gt;&lt;secondary-title&gt;Proceedings of the 22nd ACM SIGKDD international conference on knowledge discovery and data mining&lt;/secondary-title&gt;&lt;/titles&gt;&lt;pages&gt;491-500&lt;/pages&gt;&lt;dates&gt;&lt;year&gt;2016&lt;/year&gt;&lt;/dates&gt;&lt;urls&gt;&lt;/urls&gt;&lt;/record&gt;&lt;/Cite&gt;&lt;/EndNote&gt;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40</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Continuous Self-controlled Case Series (CSCCS) method was to model the interaction between physiological measurements and drug prescriptions by using a linear fixed-effect model, which was equivalent to solving a least-squares optimization problem.</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Kuang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&lt;EndNote&gt;&lt;Cite&gt;&lt;Author&gt;Kuang&lt;/Author&gt;&lt;Year&gt;2019&lt;/Year&gt;&lt;RecNum&gt;452&lt;/RecNum&gt;&lt;DisplayText&gt;&lt;style face="superscript"&gt;38&lt;/style&gt;&lt;/DisplayText&gt;&lt;record&gt;&lt;rec-number&gt;452&lt;/rec-number&gt;&lt;foreign-keys&gt;&lt;key app="EN" db-id="waeppwvvowz0z5es9scxvwwnwte25s55w2dp" timestamp="1624298177"&gt;452&lt;/key&gt;&lt;/foreign-keys&gt;&lt;ref-type name="Book Section"&gt;5&lt;/ref-type&gt;&lt;contributors&gt;&lt;authors&gt;&lt;author&gt;Kuang, Zhaobin&lt;/author&gt;&lt;author&gt;Bao, Yujia&lt;/author&gt;&lt;author&gt;Thomson, James&lt;/author&gt;&lt;author&gt;Caldwell, Michael&lt;/author&gt;&lt;author&gt;Peissig, Peggy&lt;/author&gt;&lt;author&gt;Stewart, Ron&lt;/author&gt;&lt;author&gt;Willett, Rebecca&lt;/author&gt;&lt;author&gt;Page, David&lt;/author&gt;&lt;/authors&gt;&lt;/contributors&gt;&lt;titles&gt;&lt;title&gt;A machine-learning-based drug repurposing approach using baseline regularization&lt;/title&gt;&lt;secondary-title&gt;Computational Methods for Drug Repurposing&lt;/secondary-title&gt;&lt;/titles&gt;&lt;pages&gt;255-267&lt;/pages&gt;&lt;dates&gt;&lt;year&gt;2019&lt;/year&gt;&lt;/dates&gt;&lt;publisher&gt;Springer&lt;/publisher&gt;&lt;urls&gt;&lt;/urls&gt;&lt;/record&gt;&lt;/Cite&gt;&lt;/EndNote&gt;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38</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baseline regularization (BR) method was developed to model how the potential influence of various drugs over time on the value of fasting blood glucose (FBG) measurements using the baseline regularization, a regularized least square function, to identify potential repurposing opportunities.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Kuang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&lt;EndNote&gt;&lt;Cite&gt;&lt;Author&gt;Kuang&lt;/Author&gt;&lt;Year&gt;2016&lt;/Year&gt;&lt;RecNum&gt;453&lt;/RecNum&gt;&lt;DisplayText&gt;&lt;style face="superscript"&gt;39&lt;/style&gt;&lt;/DisplayText&gt;&lt;record&gt;&lt;rec-number&gt;453&lt;/rec-number&gt;&lt;foreign-keys&gt;&lt;key app="EN" db-id="waeppwvvowz0z5es9scxvwwnwte25s55w2dp" timestamp="1624298302"&gt;453&lt;/key&gt;&lt;/foreign-keys&gt;&lt;ref-type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David&lt;/author&gt;&lt;/authors&gt;&lt;/contributors&gt;&lt;titles&gt;&lt;title&gt;Baseline regularization for computational drug repositioning with longitudinal observational data&lt;/title&gt;&lt;secondary-title&gt;IJCAI: proceedings of the conference&lt;/secondary-title&gt;&lt;/titles&gt;&lt;pages&gt;2521&lt;/pages&gt;&lt;volume&gt;2016&lt;/volume&gt;&lt;dates&gt;&lt;year&gt;2016&lt;/year&gt;&lt;/dates&gt;&lt;publisher&gt;NIH Public Access&lt;/publisher&gt;&lt;urls&gt;&lt;/urls&gt;&lt;/record&gt;&lt;/Cite&gt;&lt;/EndNote&gt;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39</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baseline regularization (BR) model was developed to extend the one-way fixed-effect model (a least-square method) by considering the baseline value and its joint effect with drugs and introducing regularization to the baseline model parameters.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Similarity</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Paik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27</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Given a drug-disease pair for query, the algorithm found similar drugs and diseases via the similarity matrices, checked the association of similar drug-disease pairs via a bipartite network, and predicted a score for each edge for the drug-disease pair to determine the repositioning ability of the candidate.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Tatonetti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&lt;EndNote&gt;&lt;Cite&gt;&lt;Author&gt;Tatonetti&lt;/Author&gt;&lt;Year&gt;2012&lt;/Year&gt;&lt;RecNum&gt;435&lt;/RecNum&gt;&lt;DisplayText&gt;&lt;style face="superscript"&gt;22&lt;/style&gt;&lt;/DisplayText&gt;&lt;record&gt;&lt;rec-number&gt;435&lt;/rec-number&gt;&lt;foreign-keys&gt;&lt;key app="EN" db-id="waeppwvvowz0z5es9scxvwwnwte25s55w2dp" timestamp="1623948838"&gt;435&lt;/key&gt;&lt;/foreign-keys&gt;&lt;ref-type name="Journal Article"&gt;17&lt;/ref-type&gt;&lt;contributors&gt;&lt;authors&gt;&lt;author&gt;Tatonetti, Nicholas P&lt;/author&gt;&lt;author&gt;Patrick, P Ye&lt;/author&gt;&lt;author&gt;Daneshjou, Roxana&lt;/author&gt;&lt;author&gt;Altman, Russ B&lt;/author&gt;&lt;/authors&gt;&lt;/contributors&gt;&lt;titles&gt;&lt;title&gt;Data-driven prediction of drug effects and interactions&lt;/title&gt;&lt;secondary-title&gt;Science translational medicine&lt;/secondary-title&gt;&lt;/titles&gt;&lt;periodical&gt;&lt;full-title&gt;Science translational medicine&lt;/full-title&gt;&lt;/periodical&gt;&lt;pages&gt;125ra31-125ra31&lt;/pages&gt;&lt;volume&gt;4&lt;/volume&gt;&lt;number&gt;125&lt;/number&gt;&lt;dates&gt;&lt;year&gt;2012&lt;/year&gt;&lt;/dates&gt;&lt;isbn&gt;1946-6234&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22</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pairwise similarity metrics between all drugs in the side effect databases were computed to predict new drug indications. The side-effect similarity between the two drugs was measured by computing the Tanimoto coefficient between their side-effect profiles and its z-score normalization.</w:t>
            </w:r>
          </w:p>
        </w:tc>
      </w:tr>
      <w:tr w:rsidR="00575628" w:rsidRPr="00A14F04" w:rsidTr="006B7DC3">
        <w:trPr>
          <w:trHeight w:val="324"/>
        </w:trPr>
        <w:tc>
          <w:tcPr>
            <w:tcW w:w="1345"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Wen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&lt;EndNote&gt;&lt;Cite&gt;&lt;Author&gt;Wen&lt;/Author&gt;&lt;Year&gt;2021&lt;/Year&gt;&lt;RecNum&gt;539&lt;/RecNum&gt;&lt;DisplayText&gt;&lt;style face="superscript"&gt;42&lt;/style&gt;&lt;/DisplayText&gt;&lt;record&gt;&lt;rec-number&gt;539&lt;/rec-number&gt;&lt;foreign-keys&gt;&lt;key app="EN" db-id="waeppwvvowz0z5es9scxvwwnwte25s55w2dp" timestamp="1642613318"&gt;539&lt;/key&gt;&lt;/foreign-keys&gt;&lt;ref-type name="Journal Article"&gt;17&lt;/ref-type&gt;&lt;contributors&gt;&lt;authors&gt;&lt;author&gt;Wen, Qianlong&lt;/author&gt;&lt;author&gt;Liu, Ruoqi&lt;/author&gt;&lt;author&gt;Zhang, Ping&lt;/author&gt;&lt;/authors&gt;&lt;/contributors&gt;&lt;titles&gt;&lt;title&gt;Clinical connectivity map for drug repurposing: using laboratory results to bridge drugs and diseases&lt;/title&gt;&lt;secondary-title&gt;BMC medical informatics and decision making&lt;/secondary-title&gt;&lt;/titles&gt;&lt;periodical&gt;&lt;full-title&gt;BMC medical informatics and decision making&lt;/full-title&gt;&lt;/periodical&gt;&lt;pages&gt;1-11&lt;/pages&gt;&lt;volume&gt;21&lt;/volume&gt;&lt;number&gt;8&lt;/number&gt;&lt;dates&gt;&lt;year&gt;2021&lt;/year&gt;&lt;/dates&gt;&lt;isbn&gt;1472-6947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42</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Clinical drug effect vectors were built with a continuous self-controlled case series model on longitudinal electronic health record data. The clinical disease sign vectors were created using a Wilcoxon rank-sum test on large-scale national survey data.  The repurposing possibility score for each drug-disease pair was calculated via a dot product-based scoring function on clinical disease sign vectors and clinical drug effect vectors.</w:t>
            </w:r>
          </w:p>
        </w:tc>
      </w:tr>
      <w:tr w:rsidR="00575628" w:rsidRPr="00A14F04" w:rsidTr="006B7DC3">
        <w:trPr>
          <w:trHeight w:val="324"/>
        </w:trPr>
        <w:tc>
          <w:tcPr>
            <w:tcW w:w="1345"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Statistical analysis</w:t>
            </w:r>
          </w:p>
        </w:tc>
        <w:tc>
          <w:tcPr>
            <w:tcW w:w="1138" w:type="dxa"/>
            <w:tcBorders>
              <w:top w:val="single" w:sz="4" w:space="0" w:color="auto"/>
              <w:bottom w:val="single" w:sz="4" w:space="0" w:color="auto"/>
            </w:tcBorders>
            <w:shd w:val="clear" w:color="auto" w:fill="auto"/>
            <w:noWrap/>
            <w:vAlign w:val="center"/>
            <w:hideMark/>
          </w:tcPr>
          <w:p w:rsidR="00575628" w:rsidRPr="0007710C" w:rsidRDefault="00575628" w:rsidP="006B7DC3">
            <w:pPr>
              <w:spacing w:after="0" w:line="240" w:lineRule="auto"/>
              <w:rPr>
                <w:rFonts w:ascii="Times New Roman" w:eastAsia="Times New Roman" w:hAnsi="Times New Roman" w:cs="Times New Roman"/>
                <w:sz w:val="18"/>
                <w:szCs w:val="18"/>
              </w:rPr>
            </w:pPr>
            <w:r w:rsidRPr="0007710C">
              <w:rPr>
                <w:rFonts w:ascii="Times New Roman" w:eastAsia="Times New Roman" w:hAnsi="Times New Roman" w:cs="Times New Roman"/>
                <w:sz w:val="18"/>
                <w:szCs w:val="18"/>
              </w:rPr>
              <w:t>Adjusted logistic</w:t>
            </w:r>
          </w:p>
        </w:tc>
        <w:tc>
          <w:tcPr>
            <w:tcW w:w="1292" w:type="dxa"/>
            <w:tcBorders>
              <w:top w:val="single" w:sz="4" w:space="0" w:color="auto"/>
              <w:bottom w:val="single" w:sz="4" w:space="0" w:color="auto"/>
            </w:tcBorders>
            <w:shd w:val="clear" w:color="auto" w:fill="auto"/>
            <w:noWrap/>
            <w:vAlign w:val="center"/>
            <w:hideMark/>
          </w:tcPr>
          <w:p w:rsidR="00575628" w:rsidRPr="0007710C" w:rsidRDefault="00575628" w:rsidP="006B7DC3">
            <w:pPr>
              <w:spacing w:after="0" w:line="240" w:lineRule="auto"/>
              <w:rPr>
                <w:rFonts w:ascii="Times New Roman" w:eastAsia="Times New Roman" w:hAnsi="Times New Roman" w:cs="Times New Roman"/>
                <w:sz w:val="18"/>
                <w:szCs w:val="18"/>
              </w:rPr>
            </w:pPr>
            <w:r w:rsidRPr="0007710C">
              <w:rPr>
                <w:rFonts w:ascii="Times New Roman" w:hAnsi="Times New Roman" w:cs="Times New Roman"/>
                <w:sz w:val="18"/>
                <w:szCs w:val="18"/>
              </w:rPr>
              <w:t xml:space="preserve">Pinoges et al </w:t>
            </w:r>
            <w:r w:rsidRPr="0007710C">
              <w:rPr>
                <w:rFonts w:ascii="Times New Roman" w:hAnsi="Times New Roman" w:cs="Times New Roman"/>
                <w:sz w:val="18"/>
                <w:szCs w:val="18"/>
              </w:rPr>
              <w:fldChar w:fldCharType="begin"/>
            </w:r>
            <w:r w:rsidRPr="0007710C">
              <w:rPr>
                <w:rFonts w:ascii="Times New Roman" w:hAnsi="Times New Roman" w:cs="Times New Roman"/>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07710C">
              <w:rPr>
                <w:rFonts w:ascii="Times New Roman" w:hAnsi="Times New Roman" w:cs="Times New Roman"/>
                <w:sz w:val="18"/>
                <w:szCs w:val="18"/>
              </w:rPr>
              <w:fldChar w:fldCharType="separate"/>
            </w:r>
            <w:r w:rsidRPr="0007710C">
              <w:rPr>
                <w:rFonts w:ascii="Times New Roman" w:hAnsi="Times New Roman" w:cs="Times New Roman"/>
                <w:noProof/>
                <w:sz w:val="18"/>
                <w:szCs w:val="18"/>
                <w:vertAlign w:val="superscript"/>
              </w:rPr>
              <w:t>30</w:t>
            </w:r>
            <w:r w:rsidRPr="0007710C">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07710C" w:rsidRDefault="00575628" w:rsidP="006B7DC3">
            <w:pPr>
              <w:spacing w:after="0" w:line="240" w:lineRule="auto"/>
              <w:rPr>
                <w:rFonts w:ascii="Times New Roman" w:eastAsia="Times New Roman" w:hAnsi="Times New Roman" w:cs="Times New Roman"/>
                <w:sz w:val="18"/>
                <w:szCs w:val="18"/>
              </w:rPr>
            </w:pPr>
            <w:r w:rsidRPr="0007710C">
              <w:rPr>
                <w:rFonts w:ascii="Times New Roman" w:eastAsia="Times New Roman" w:hAnsi="Times New Roman" w:cs="Times New Roman"/>
                <w:sz w:val="18"/>
                <w:szCs w:val="18"/>
              </w:rPr>
              <w:t>In cross-sectional analyses, multivariable logistic regression was used to investigate risk factors for resistance. In longitudinal analyses, multivariable proportional Cox models were fitted to investigate the association between the virological status of patients and all-cause mortality in the following 4 years and to assess associations with other individual-level factors.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Binomial test</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35</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drug-gene interaction (DGIs) were generated by drug-to-gene normalized enrichment score (d2gNES) based on up-and downregulated core signatures (CSS) of human genes.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Causal inference methods</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Ozery-Flato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&lt;EndNote&gt;&lt;Cite&gt;&lt;Author&gt;Ozery-Flato&lt;/Author&gt;&lt;Year&gt;2020&lt;/Year&gt;&lt;RecNum&gt;537&lt;/RecNum&gt;&lt;DisplayText&gt;&lt;style face="superscript"&gt;51&lt;/style&gt;&lt;/DisplayText&gt;&lt;record&gt;&lt;rec-number&gt;537&lt;/rec-number&gt;&lt;foreign-keys&gt;&lt;key app="EN" db-id="waeppwvvowz0z5es9scxvwwnwte25s55w2dp" timestamp="1642613231"&gt;537&lt;/key&gt;&lt;/foreign-keys&gt;&lt;ref-type name="Journal Article"&gt;17&lt;/ref-type&gt;&lt;contributors&gt;&lt;authors&gt;&lt;author&gt;Ozery-Flato, Michal&lt;/author&gt;&lt;author&gt;Goldschmidt, Yaara&lt;/author&gt;&lt;author&gt;Shaham, Oded&lt;/author&gt;&lt;author&gt;Ravid, Sivan&lt;/author&gt;&lt;author&gt;Yanover, Chen&lt;/author&gt;&lt;/authors&gt;&lt;/contributors&gt;&lt;titles&gt;&lt;title&gt;Framework for identifying drug repurposing candidates from observational healthcare data&lt;/title&gt;&lt;secondary-title&gt;JAMIA open&lt;/secondary-title&gt;&lt;/titles&gt;&lt;periodical&gt;&lt;full-title&gt;JAMIA Open&lt;/full-title&gt;&lt;/periodical&gt;&lt;pages&gt;536-544&lt;/pages&gt;&lt;volume&gt;3&lt;/volume&gt;&lt;number&gt;4&lt;/number&gt;&lt;dates&gt;&lt;year&gt;2020&lt;/year&gt;&lt;/dates&gt;&lt;isbn&gt;2574-2531&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51</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framework for Randomized Controlled Trial (RCT) emulation was developed identifying drug repurposing candidates from observational healthcare data. The RCT emulator identifies a list of repurposing candidates, assigns patients to the respective cohorts for each candidate, computes a baseline and follow-up attributes for patients in both cohorts, and estimates its effect on disease outcomes in the treatment versus control cohorts via causal inference.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Chi-squared test</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Koren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37</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Logistic regression was used for predicting the probability of treatment success of a specific drug (the propensity score). Pearson's chi-squared test was used to determine whether a specific drug treatment achieved independently higher success rates.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Wang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&lt;EndNote&gt;&lt;Cite&gt;&lt;Author&gt;Wang&lt;/Author&gt;&lt;Year&gt;2020&lt;/Year&gt;&lt;RecNum&gt;444&lt;/RecNum&gt;&lt;DisplayText&gt;&lt;style face="superscript"&gt;31&lt;/style&gt;&lt;/DisplayText&gt;&lt;record&gt;&lt;rec-number&gt;444&lt;/rec-number&gt;&lt;foreign-keys&gt;&lt;key app="EN" db-id="waeppwvvowz0z5es9scxvwwnwte25s55w2dp" timestamp="1624293117"&gt;444&lt;/key&gt;&lt;/foreign-keys&gt;&lt;ref-type name="Journal Article"&gt;17&lt;/ref-type&gt;&lt;contributors&gt;&lt;authors&gt;&lt;author&gt;Wang, Haixin&lt;/author&gt;&lt;author&gt;Deng, Yanhui&lt;/author&gt;&lt;author&gt;Wan, Ling&lt;/author&gt;&lt;author&gt;Huang, Lulin&lt;/author&gt;&lt;/authors&gt;&lt;/contributors&gt;&lt;titles&gt;&lt;title&gt;A comprehensive map of disease networks and molecular drug discoveries for glaucoma&lt;/title&gt;&lt;secondary-title&gt;Scientific reports&lt;/secondary-title&gt;&lt;/titles&gt;&lt;periodical&gt;&lt;full-title&gt;Scientific Reports&lt;/full-title&gt;&lt;/periodical&gt;&lt;pages&gt;1-13&lt;/pages&gt;&lt;volume&gt;10&lt;/volume&gt;&lt;number&gt;1&lt;/number&gt;&lt;dates&gt;&lt;year&gt;2020&lt;/year&gt;&lt;/dates&gt;&lt;isbn&gt;2045-2322&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31</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p-values of the chi-squared test for drugs targeted to glaucoma genes and diseases were calculated.</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Challa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28</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algorithm integrated the drug data and single-nucleotide polymorphism(SNP)/single nucleotide variant (SNV) data through target genomics for generating a shortlist of candidates for PheWAS call quality for prioritizing repurposable drug candidates.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Nordon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29</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drug repurposing system was developed by jointly harnessing large-scale electronic health records (EHR) data and a concept graph from the medical literature. An EHR database was mined to discover the correlation between drugs and diseases via a chi-square test of identified case and control groups. The reasoning for the correlation is further induced by a biomedical knowledge graph extracted from a medical literature data repository.</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Stenner et al</w:t>
            </w:r>
            <w:r w:rsidRPr="00A14F04">
              <w:rPr>
                <w:rFonts w:ascii="Times New Roman" w:eastAsia="Times New Roman" w:hAnsi="Times New Roman" w:cs="Times New Roman"/>
                <w:b/>
                <w:bCs/>
                <w:sz w:val="18"/>
                <w:szCs w:val="18"/>
              </w:rPr>
              <w:t xml:space="preserve"> </w:t>
            </w:r>
            <w:r w:rsidRPr="00A14F04">
              <w:rPr>
                <w:rFonts w:ascii="Times New Roman" w:eastAsia="Times New Roman" w:hAnsi="Times New Roman" w:cs="Times New Roman"/>
                <w:sz w:val="18"/>
                <w:szCs w:val="18"/>
                <w:vertAlign w:val="superscript"/>
              </w:rPr>
              <w:t>42</w:t>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Compliance Ratio (CR) was calculated by dividing the number of prescriptions with recommended therapeutic interchange medications by the number of prescriptions with non-recommended medications to measure effectiveness. The Chi-squared tests were used to explore statistical significance.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Compliance ratio</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Stenner et al</w:t>
            </w:r>
            <w:r w:rsidRPr="00A14F04">
              <w:rPr>
                <w:rFonts w:ascii="Times New Roman" w:hAnsi="Times New Roman" w:cs="Times New Roman"/>
                <w:b/>
                <w:sz w:val="18"/>
                <w:szCs w:val="18"/>
              </w:rPr>
              <w:t xml:space="preserve">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&lt;EndNote&gt;&lt;Cite&gt;&lt;Author&gt;Stenner&lt;/Author&gt;&lt;Year&gt;2016&lt;/Year&gt;&lt;RecNum&gt;448&lt;/RecNum&gt;&lt;DisplayText&gt;&lt;style face="superscript"&gt;43&lt;/style&gt;&lt;/DisplayText&gt;&lt;record&gt;&lt;rec-number&gt;448&lt;/rec-number&gt;&lt;foreign-keys&gt;&lt;key app="EN" db-id="waeppwvvowz0z5es9scxvwwnwte25s55w2dp" timestamp="1624294249"&gt;448&lt;/key&gt;&lt;/foreign-keys&gt;&lt;ref-type name="Journal Article"&gt;17&lt;/ref-type&gt;&lt;contributors&gt;&lt;authors&gt;&lt;author&gt;Stenner, Shane P&lt;/author&gt;&lt;author&gt;Chakravarthy, Rohini&lt;/author&gt;&lt;author&gt;Johnson, Kevin B&lt;/author&gt;&lt;author&gt;Miller, William L&lt;/author&gt;&lt;author&gt;Olson, Julie&lt;/author&gt;&lt;author&gt;Wickizer, Marleen&lt;/author&gt;&lt;author&gt;Johnson, Nate N&lt;/author&gt;&lt;author&gt;Ohmer, Rick&lt;/author&gt;&lt;author&gt;Uskavitch, David R&lt;/author&gt;&lt;author&gt;Bernard, Gordon R&lt;/author&gt;&lt;/authors&gt;&lt;/contributors&gt;&lt;titles&gt;&lt;title&gt;ePrescribing: reducing costs through in-class therapeutic interchange&lt;/title&gt;&lt;secondary-title&gt;Applied clinical informatics&lt;/secondary-title&gt;&lt;/titles&gt;&lt;periodical&gt;&lt;full-title&gt;Applied clinical informatics&lt;/full-title&gt;&lt;/periodical&gt;&lt;pages&gt;1168&lt;/pages&gt;&lt;volume&gt;7&lt;/volume&gt;&lt;number&gt;4&lt;/number&gt;&lt;dates&gt;&lt;year&gt;2016&lt;/year&gt;&lt;/dates&gt;&lt;urls&gt;&lt;/urls&gt;&lt;/record&gt;&lt;/Cite&gt;&lt;/EndNote&gt;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43</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Compliance Ratio (CR) was calculated by dividing the number of prescriptions with recommended therapeutic interchange medications by the number of prescriptions with non-recommended medications to measure effectiveness. The Chi-squared tests were used to explore statistical significance.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Covariate analysis</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Muraki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&lt;EndNote&gt;&lt;Cite&gt;&lt;Author&gt;Muraki&lt;/Author&gt;&lt;Year&gt;2018&lt;/Year&gt;&lt;RecNum&gt;457&lt;/RecNum&gt;&lt;DisplayText&gt;&lt;style face="superscript"&gt;48&lt;/style&gt;&lt;/DisplayText&gt;&lt;record&gt;&lt;rec-number&gt;457&lt;/rec-number&gt;&lt;foreign-keys&gt;&lt;key app="EN" db-id="waeppwvvowz0z5es9scxvwwnwte25s55w2dp" timestamp="1624301791"&gt;457&lt;/key&gt;&lt;/foreign-keys&gt;&lt;ref-type name="Journal Article"&gt;17&lt;/ref-type&gt;&lt;contributors&gt;&lt;authors&gt;&lt;author&gt;Muraki, Shota&lt;/author&gt;&lt;author&gt;Moriki, Kuniaki&lt;/author&gt;&lt;author&gt;Shigematsu, Saki&lt;/author&gt;&lt;author&gt;Fukae, Masato&lt;/author&gt;&lt;author&gt;Kakara, Makoto&lt;/author&gt;&lt;author&gt;Yamashita, Daiki&lt;/author&gt;&lt;author&gt;Hirota, Takeshi&lt;/author&gt;&lt;author&gt;Takane, Hiroshi&lt;/author&gt;&lt;author&gt;Shimada, Miki&lt;/author&gt;&lt;author&gt;Hirakawa, Masaaki&lt;/author&gt;&lt;/authors&gt;&lt;/contributors&gt;&lt;titles&gt;&lt;title&gt;Population Pharmacodynamic Analysis of Uric Acid–Lowering Effects of Febuxostat Based on Electronic Medical Records in Two Hospitals&lt;/title&gt;&lt;secondary-title&gt;The Journal of Clinical Pharmacology&lt;/secondary-title&gt;&lt;/titles&gt;&lt;periodical&gt;&lt;full-title&gt;The Journal of Clinical Pharmacology&lt;/full-title&gt;&lt;/periodical&gt;&lt;pages&gt;304-313&lt;/pages&gt;&lt;volume&gt;58&lt;/volume&gt;&lt;number&gt;3&lt;/number&gt;&lt;dates&gt;&lt;year&gt;2018&lt;/year&gt;&lt;/dates&gt;&lt;isbn&gt;0091-2700&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48</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For approach A, structural models and covariates between the two hospitals were compared. For approach B, differences between the 2 hospitals were evaluated by performing a covariate analysis on all population pharmacodynamic (PPD) parameters. In addition, differences between the 2 hospitals were evaluated using the Wilcoxon signed-rank test.</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Cox regression</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&lt;EndNote&gt;&lt;Cite&gt;&lt;Author&gt;Xu&lt;/Author&gt;&lt;Year&gt;2014&lt;/Year&gt;&lt;RecNum&gt;100&lt;/RecNum&gt;&lt;DisplayText&gt;&lt;style face="superscript"&gt;18&lt;/style&gt;&lt;/DisplayText&gt;&lt;record&gt;&lt;rec-number&gt;100&lt;/rec-number&gt;&lt;foreign-keys&gt;&lt;key app="EN" db-id="waeppwvvowz0z5es9scxvwwnwte25s55w2dp" timestamp="1549223345"&gt;100&lt;/key&gt;&lt;/foreign-keys&gt;&lt;ref-type name="Journal Article"&gt;17&lt;/ref-type&gt;&lt;contributors&gt;&lt;authors&gt;&lt;author&gt;Xu, Hua&lt;/author&gt;&lt;author&gt;Aldrich, Melinda C&lt;/author&gt;&lt;author&gt;Chen, Qingxia&lt;/author&gt;&lt;author&gt;Liu, Hongfang&lt;/author&gt;&lt;author&gt;Peterson, Neeraja B&lt;/author&gt;&lt;author&gt;Dai, Qi&lt;/author&gt;&lt;author&gt;Levy, Mia&lt;/author&gt;&lt;author&gt;Shah, Anushi&lt;/author&gt;&lt;author&gt;Han, Xue&lt;/author&gt;&lt;author&gt;Ruan, Xiaoyang&lt;/author&gt;&lt;/authors&gt;&lt;/contributors&gt;&lt;titles&gt;&lt;title&gt;Validating drug repurposing signals using electronic health records: a case study of metformin associated with reduced cancer mortality&lt;/title&gt;&lt;secondary-title&gt;Journal of the American Medical Informatics Association&lt;/secondary-title&gt;&lt;/titles&gt;&lt;periodical&gt;&lt;full-title&gt;Journal of the American Medical Informatics Association&lt;/full-title&gt;&lt;/periodical&gt;&lt;pages&gt;179-191&lt;/pages&gt;&lt;volume&gt;22&lt;/volume&gt;&lt;number&gt;1&lt;/number&gt;&lt;dates&gt;&lt;year&gt;2014&lt;/year&gt;&lt;/dates&gt;&lt;isbn&gt;1527-974X&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18</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Cox regression models were used to determine the influence of metformin on cancer mortality.</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Wu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19</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Cox proportional hazards regression modeling was applied to measure the association of drug exposure with cancer survival.</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07710C" w:rsidRDefault="00575628" w:rsidP="006B7DC3">
            <w:pPr>
              <w:spacing w:after="0" w:line="240" w:lineRule="auto"/>
              <w:rPr>
                <w:rFonts w:ascii="Times New Roman" w:eastAsia="Times New Roman" w:hAnsi="Times New Roman" w:cs="Times New Roman"/>
                <w:sz w:val="18"/>
                <w:szCs w:val="18"/>
              </w:rPr>
            </w:pPr>
            <w:r w:rsidRPr="0007710C">
              <w:rPr>
                <w:rFonts w:ascii="Times New Roman" w:hAnsi="Times New Roman" w:cs="Times New Roman"/>
                <w:sz w:val="18"/>
                <w:szCs w:val="18"/>
              </w:rPr>
              <w:t xml:space="preserve">Pinoges et al </w:t>
            </w:r>
            <w:r w:rsidRPr="0007710C">
              <w:rPr>
                <w:rFonts w:ascii="Times New Roman" w:hAnsi="Times New Roman" w:cs="Times New Roman"/>
                <w:sz w:val="18"/>
                <w:szCs w:val="18"/>
              </w:rPr>
              <w:fldChar w:fldCharType="begin"/>
            </w:r>
            <w:r w:rsidRPr="0007710C">
              <w:rPr>
                <w:rFonts w:ascii="Times New Roman" w:hAnsi="Times New Roman" w:cs="Times New Roman"/>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07710C">
              <w:rPr>
                <w:rFonts w:ascii="Times New Roman" w:hAnsi="Times New Roman" w:cs="Times New Roman"/>
                <w:sz w:val="18"/>
                <w:szCs w:val="18"/>
              </w:rPr>
              <w:fldChar w:fldCharType="separate"/>
            </w:r>
            <w:r w:rsidRPr="0007710C">
              <w:rPr>
                <w:rFonts w:ascii="Times New Roman" w:hAnsi="Times New Roman" w:cs="Times New Roman"/>
                <w:noProof/>
                <w:sz w:val="18"/>
                <w:szCs w:val="18"/>
                <w:vertAlign w:val="superscript"/>
              </w:rPr>
              <w:t>30</w:t>
            </w:r>
            <w:r w:rsidRPr="0007710C">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07710C" w:rsidRDefault="00575628" w:rsidP="006B7DC3">
            <w:pPr>
              <w:spacing w:after="0" w:line="240" w:lineRule="auto"/>
              <w:rPr>
                <w:rFonts w:ascii="Times New Roman" w:eastAsia="Times New Roman" w:hAnsi="Times New Roman" w:cs="Times New Roman"/>
                <w:sz w:val="18"/>
                <w:szCs w:val="18"/>
              </w:rPr>
            </w:pPr>
            <w:r w:rsidRPr="0007710C">
              <w:rPr>
                <w:rFonts w:ascii="Times New Roman" w:eastAsia="Times New Roman" w:hAnsi="Times New Roman" w:cs="Times New Roman"/>
                <w:sz w:val="18"/>
                <w:szCs w:val="18"/>
              </w:rPr>
              <w:t>In cross-sectional analyses, multivariable logistic regression was used to investigate risk factors for resistance. In longitudinal analyses, multivariable proportional Cox models were fitted to investigate the association between the virological status of patients and all-cause mortality in the following 4 years and to assess associations with other individual-level factors.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DeLong test</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35</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drug-gene interaction (DGIs) were generated by drug-to-gene normalized enrichment score (d2gNES) based on up-and downregulated core signatures (CSS) of human genes.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Fisher’s exact test</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Challa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28</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algorithm integrated the drug data and single-nucleotide polymorphism(SNP)/single nucleotide variant (SNV) data through target genomics for generating a shortlist of candidates for PheWAS call quality for prioritizing repurposable drug candidates.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Jang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&lt;EndNote&gt;&lt;Cite&gt;&lt;Author&gt;Jang&lt;/Author&gt;&lt;Year&gt;2016&lt;/Year&gt;&lt;RecNum&gt;443&lt;/RecNum&gt;&lt;DisplayText&gt;&lt;style face="superscript"&gt;41&lt;/style&gt;&lt;/DisplayText&gt;&lt;record&gt;&lt;rec-number&gt;443&lt;/rec-number&gt;&lt;foreign-keys&gt;&lt;key app="EN" db-id="waeppwvvowz0z5es9scxvwwnwte25s55w2dp" timestamp="1624292980"&gt;443&lt;/key&gt;&lt;/foreign-keys&gt;&lt;ref-type name="Journal Article"&gt;17&lt;/ref-type&gt;&lt;contributors&gt;&lt;authors&gt;&lt;author&gt;Jang, Dongjin&lt;/author&gt;&lt;author&gt;Lee, Sejoon&lt;/author&gt;&lt;author&gt;Lee, Jaehyun&lt;/author&gt;&lt;author&gt;Kim, Kiseong&lt;/author&gt;&lt;author&gt;Lee, Doheon&lt;/author&gt;&lt;/authors&gt;&lt;/contributors&gt;&lt;titles&gt;&lt;title&gt;Inferring new drug indications using the complementarity between clinical disease signatures and drug effects&lt;/title&gt;&lt;secondary-title&gt;Journal of biomedical informatics&lt;/secondary-title&gt;&lt;/titles&gt;&lt;periodical&gt;&lt;full-title&gt;Journal of biomedical informatics&lt;/full-title&gt;&lt;/periodical&gt;&lt;pages&gt;248-257&lt;/pages&gt;&lt;volume&gt;59&lt;/volume&gt;&lt;dates&gt;&lt;year&gt;2016&lt;/year&gt;&lt;/dates&gt;&lt;isbn&gt;1532-0464&lt;/isbn&gt;&lt;urls&gt;&lt;/urls&gt;&lt;/record&gt;&lt;/Cite&gt;&lt;/EndNote&gt;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41</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score for each disease-drug pair was calculated by a comparison of complementarity and association between the clinical disease signature and drug effect vectors. The clinical disease signature vector was obtained from the Wilcoxon rank-sum test. The clinical drug effect vector was obtained from Fisher’s exact test.</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Hypergeometric test</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35</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drug-gene interaction (DGIs) were generated by drug-to-gene normalized enrichment score (d2gNES) based on up-and downregulated core signatures (CSS) of human genes.</w:t>
            </w:r>
          </w:p>
        </w:tc>
      </w:tr>
      <w:tr w:rsidR="00575628" w:rsidRPr="00A14F04" w:rsidTr="006B7DC3">
        <w:trPr>
          <w:trHeight w:val="288"/>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Linear regression</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Cai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34</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phenome-wide association study (PheWAS) used logistic regression models for testing associations of the IL6R SNP with phenotype groups and linear regression models for testing associations of the IL6R SNP with laboratory measurements.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Cummings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&lt;EndNote&gt;&lt;Cite&gt;&lt;Author&gt;Cummings&lt;/Author&gt;&lt;Year&gt;2021&lt;/Year&gt;&lt;RecNum&gt;533&lt;/RecNum&gt;&lt;DisplayText&gt;&lt;style face="superscript"&gt;49&lt;/style&gt;&lt;/DisplayText&gt;&lt;record&gt;&lt;rec-number&gt;533&lt;/rec-number&gt;&lt;foreign-keys&gt;&lt;key app="EN" db-id="waeppwvvowz0z5es9scxvwwnwte25s55w2dp" timestamp="1642613040"&gt;533&lt;/key&gt;&lt;/foreign-keys&gt;&lt;ref-type name="Journal Article"&gt;17&lt;/ref-type&gt;&lt;contributors&gt;&lt;authors&gt;&lt;author&gt;Cummings, Tammy H&lt;/author&gt;&lt;author&gt;Magagnoli, Joseph&lt;/author&gt;&lt;author&gt;Hardin, James W&lt;/author&gt;&lt;author&gt;Sutton, S Scott&lt;/author&gt;&lt;/authors&gt;&lt;/contributors&gt;&lt;titles&gt;&lt;title&gt;Drug repurposing of dextromethorphan as a cellular target for the management of influenza&lt;/title&gt;&lt;secondary-title&gt;Pharmacotherapy: The Journal of Human Pharmacology and Drug Therapy&lt;/secondary-title&gt;&lt;/titles&gt;&lt;periodical&gt;&lt;full-title&gt;Pharmacotherapy: The Journal of Human Pharmacology and Drug Therapy&lt;/full-title&gt;&lt;/periodical&gt;&lt;pages&gt;796-803&lt;/pages&gt;&lt;volume&gt;41&lt;/volume&gt;&lt;number&gt;10&lt;/number&gt;&lt;dates&gt;&lt;year&gt;2021&lt;/year&gt;&lt;/dates&gt;&lt;isbn&gt;0277-0008&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49</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Poisson generalized linear model was used to estimate the relative risk for all-cause and respiratory hospitalizations between treated patients and untreated patients to identify potential drugs for influenza.</w:t>
            </w:r>
          </w:p>
        </w:tc>
      </w:tr>
      <w:tr w:rsidR="00575628" w:rsidRPr="00A14F04" w:rsidTr="006B7DC3">
        <w:trPr>
          <w:trHeight w:val="696"/>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Logistic regression</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Cai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34</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phenome-wide association study (PheWAS) used logistic regression models for testing associations of the IL6R SNP with phenotype groups and linear regression models for testing associations of the IL6R SNP with laboratory measurements.</w:t>
            </w:r>
          </w:p>
        </w:tc>
      </w:tr>
      <w:tr w:rsidR="00575628" w:rsidRPr="00A14F04" w:rsidTr="006B7DC3">
        <w:trPr>
          <w:trHeight w:val="756"/>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Koren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37</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Logistic regression was used for predicting the probability of treatment success of a specific drug (the propensity score). Pearson's chi-squared test was used to determine whether a specific drug treatment achieved independently higher success rates.</w:t>
            </w:r>
          </w:p>
        </w:tc>
      </w:tr>
      <w:tr w:rsidR="00575628" w:rsidRPr="00A14F04" w:rsidTr="006B7DC3">
        <w:trPr>
          <w:trHeight w:val="288"/>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Goldstein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&lt;EndNote&gt;&lt;Cite&gt;&lt;Author&gt;Goldstein&lt;/Author&gt;&lt;Year&gt;2018&lt;/Year&gt;&lt;RecNum&gt;431&lt;/RecNum&gt;&lt;DisplayText&gt;&lt;style face="superscript"&gt;17&lt;/style&gt;&lt;/DisplayText&gt;&lt;record&gt;&lt;rec-number&gt;431&lt;/rec-number&gt;&lt;foreign-keys&gt;&lt;key app="EN" db-id="waeppwvvowz0z5es9scxvwwnwte25s55w2dp" timestamp="1623948380"&gt;431&lt;/key&gt;&lt;/foreign-keys&gt;&lt;ref-type name="Journal Article"&gt;17&lt;/ref-type&gt;&lt;contributors&gt;&lt;authors&gt;&lt;author&gt;Goldstein, Jeffery A&lt;/author&gt;&lt;author&gt;Bastarache, Lisa A&lt;/author&gt;&lt;author&gt;Denny, Joshua C&lt;/author&gt;&lt;author&gt;Roden, Dan M&lt;/author&gt;&lt;author&gt;Pulley, Jill M&lt;/author&gt;&lt;author&gt;Aronoff, David M&lt;/author&gt;&lt;/authors&gt;&lt;/contributors&gt;&lt;titles&gt;&lt;title&gt;Calcium channel blockers as drug repurposing candidates for gestational diabetes: Mining large scale genomic and electronic health records data to repurpose medications&lt;/title&gt;&lt;secondary-title&gt;Pharmacological research&lt;/secondary-title&gt;&lt;/titles&gt;&lt;periodical&gt;&lt;full-title&gt;Pharmacological research&lt;/full-title&gt;&lt;/periodical&gt;&lt;pages&gt;44-51&lt;/pages&gt;&lt;volume&gt;130&lt;/volume&gt;&lt;dates&gt;&lt;year&gt;2018&lt;/year&gt;&lt;/dates&gt;&lt;isbn&gt;1043-6618&lt;/isbn&gt;&lt;urls&gt;&lt;/urls&gt;&lt;/record&gt;&lt;/Cite&gt;&lt;/EndNote&gt;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17</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SNP genotyping data were identified for the patients with gestational diabetes and type 2 diabetes and their association with drug candidates were analyzed using logistic regression. The effect of drug exposure on glucose tolerance test (GTT) values was examined with multivariate regression.</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Malki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&lt;EndNote&gt;&lt;Cite&gt;&lt;Author&gt;Malki&lt;/Author&gt;&lt;Year&gt;2021&lt;/Year&gt;&lt;RecNum&gt;536&lt;/RecNum&gt;&lt;DisplayText&gt;&lt;style face="superscript"&gt;44&lt;/style&gt;&lt;/DisplayText&gt;&lt;record&gt;&lt;rec-number&gt;536&lt;/rec-number&gt;&lt;foreign-keys&gt;&lt;key app="EN" db-id="waeppwvvowz0z5es9scxvwwnwte25s55w2dp" timestamp="1642613174"&gt;536&lt;/key&gt;&lt;/foreign-keys&gt;&lt;ref-type name="Journal Article"&gt;17&lt;/ref-type&gt;&lt;contributors&gt;&lt;authors&gt;&lt;author&gt;Malki, Mustafa Adnan&lt;/author&gt;&lt;author&gt;Dawed, Adem Y&lt;/author&gt;&lt;author&gt;Hayward, Caroline&lt;/author&gt;&lt;author&gt;Doney, Alex&lt;/author&gt;&lt;author&gt;Pearson, Ewan R&lt;/author&gt;&lt;/authors&gt;&lt;/contributors&gt;&lt;titles&gt;&lt;title&gt;Utilizing Large Electronic Medical Record Data Sets to Identify Novel Drug–Gene Interactions for Commonly Used Drugs&lt;/title&gt;&lt;secondary-title&gt;Clinical Pharmacology &amp;amp; Therapeutics&lt;/secondary-title&gt;&lt;/titles&gt;&lt;periodical&gt;&lt;full-title&gt;Clinical Pharmacology &amp;amp; Therapeutics&lt;/full-title&gt;&lt;/periodical&gt;&lt;pages&gt;816-825&lt;/pages&gt;&lt;volume&gt;110&lt;/volume&gt;&lt;number&gt;3&lt;/number&gt;&lt;dates&gt;&lt;year&gt;2021&lt;/year&gt;&lt;/dates&gt;&lt;isbn&gt;0009-9236&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44</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logistic regression model for the drug-stop or dose-decrease phenotype was used together with a log-additive genetic model to identify the associations between the genetic variants and both phenotypes for all drugs.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Reznikov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&lt;EndNote&gt;&lt;Cite&gt;&lt;Author&gt;Reznikov&lt;/Author&gt;&lt;Year&gt;2021&lt;/Year&gt;&lt;RecNum&gt;538&lt;/RecNum&gt;&lt;DisplayText&gt;&lt;style face="superscript"&gt;46&lt;/style&gt;&lt;/DisplayText&gt;&lt;record&gt;&lt;rec-number&gt;538&lt;/rec-number&gt;&lt;foreign-keys&gt;&lt;key app="EN" db-id="waeppwvvowz0z5es9scxvwwnwte25s55w2dp" timestamp="1642613276"&gt;538&lt;/key&gt;&lt;/foreign-keys&gt;&lt;ref-type name="Journal Article"&gt;17&lt;/ref-type&gt;&lt;contributors&gt;&lt;authors&gt;&lt;author&gt;Reznikov, Leah R&lt;/author&gt;&lt;author&gt;Norris, Michael H&lt;/author&gt;&lt;author&gt;Vashisht, Rohit&lt;/author&gt;&lt;author&gt;Bluhm, Andrew P&lt;/author&gt;&lt;author&gt;Li, Danmeng&lt;/author&gt;&lt;author&gt;Liao, Yan-Shin J&lt;/author&gt;&lt;author&gt;Brown, Ashley&lt;/author&gt;&lt;author&gt;Butte, Atul J&lt;/author&gt;&lt;author&gt;Ostrov, David A&lt;/author&gt;&lt;/authors&gt;&lt;/contributors&gt;&lt;titles&gt;&lt;title&gt;Identification of antiviral antihistamines for COVID-19 repurposing&lt;/title&gt;&lt;secondary-title&gt;Biochemical and biophysical research communications&lt;/secondary-title&gt;&lt;/titles&gt;&lt;periodical&gt;&lt;full-title&gt;Biochemical and biophysical research communications&lt;/full-title&gt;&lt;/periodical&gt;&lt;pages&gt;173-179&lt;/pages&gt;&lt;volume&gt;538&lt;/volume&gt;&lt;dates&gt;&lt;year&gt;2021&lt;/year&gt;&lt;/dates&gt;&lt;isbn&gt;0006-291X&lt;/isbn&gt;&lt;urls&gt;&lt;/urls&gt;&lt;/record&gt;&lt;/Cite&gt;&lt;/EndNote&gt;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46</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antihistamine candidates for COVID-19 repurposing were identified by mining electronic health records of a large number of patients tested for SARS-CoV-2. Logistic regression was used for association analysis between candidates and COVID-19 by measuring odds ratio, confidence interval, and p-value.</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Bejan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&lt;EndNote&gt;&lt;Cite&gt;&lt;Author&gt;Bejan&lt;/Author&gt;&lt;Year&gt;2021&lt;/Year&gt;&lt;RecNum&gt;531&lt;/RecNum&gt;&lt;DisplayText&gt;&lt;style face="superscript"&gt;47&lt;/style&gt;&lt;/DisplayText&gt;&lt;record&gt;&lt;rec-number&gt;531&lt;/rec-number&gt;&lt;foreign-keys&gt;&lt;key app="EN" db-id="waeppwvvowz0z5es9scxvwwnwte25s55w2dp" timestamp="1642612951"&gt;531&lt;/key&gt;&lt;/foreign-keys&gt;&lt;ref-type name="Journal Article"&gt;17&lt;/ref-type&gt;&lt;contributors&gt;&lt;authors&gt;&lt;author&gt;Bejan, Cosmin A&lt;/author&gt;&lt;author&gt;Cahill, Katherine N&lt;/author&gt;&lt;author&gt;Staso, Patrick J&lt;/author&gt;&lt;author&gt;Choi, Leena&lt;/author&gt;&lt;aut</w:instrText>
            </w:r>
            <w:r>
              <w:rPr>
                <w:rFonts w:ascii="Times New Roman" w:hAnsi="Times New Roman" w:cs="Times New Roman" w:hint="eastAsia"/>
                <w:sz w:val="18"/>
                <w:szCs w:val="18"/>
              </w:rPr>
              <w:instrText>hor&gt;Peterson, Josh F&lt;/author&gt;&lt;author&gt;Phillips, Elizabeth J&lt;/author&gt;&lt;/authors&gt;&lt;/contributors&gt;&lt;titles&gt;&lt;title&gt;DrugWAS: Drug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wide Association Studies for COVID</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19 Drug Repurposing&lt;/title&gt;&lt;secondary-title&gt;Clinical Pharmacology &amp;amp; Therapeutics&lt;/secondary-tit</w:instrText>
            </w:r>
            <w:r>
              <w:rPr>
                <w:rFonts w:ascii="Times New Roman" w:hAnsi="Times New Roman" w:cs="Times New Roman"/>
                <w:sz w:val="18"/>
                <w:szCs w:val="18"/>
              </w:rPr>
              <w:instrText>le&gt;&lt;/titles&gt;&lt;periodical&gt;&lt;full-title&gt;Clinical Pharmacology &amp;amp; Therapeutics&lt;/full-title&gt;&lt;/periodical&gt;&lt;pages&gt;1537-1546&lt;/pages&gt;&lt;volume&gt;110&lt;/volume&gt;&lt;number&gt;6&lt;/number&gt;&lt;dates&gt;&lt;year&gt;2021&lt;/year&gt;&lt;/dates&gt;&lt;isbn&gt;0009-9236&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47</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Drug-wide association studies were performed on the patients with COVID-19 in the electronic health records to identify potential treatment for COVID-19. Multivariable logistic regression was applied to estimate the effect of drug exposure on COVID-19 disease outcomes with overlap weighting using propensity score.</w:t>
            </w:r>
          </w:p>
        </w:tc>
      </w:tr>
      <w:tr w:rsidR="00575628" w:rsidRPr="00A14F04" w:rsidTr="006B7DC3">
        <w:trPr>
          <w:trHeight w:val="720"/>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Log-rank test</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35</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drug-gene interaction (DGIs) were generated by drug-to-gene normalized enrichment score (d2gNES) based on up-and downregulated core signatures (CSS) of human genes.</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Meta-analysis</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Bai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&lt;EndNote&gt;&lt;Cite&gt;&lt;Author&gt;Bai&lt;/Author&gt;&lt;Year&gt;2021&lt;/Year&gt;&lt;RecNum&gt;529&lt;/RecNum&gt;&lt;DisplayText&gt;&lt;style face="superscript"&gt;52&lt;/style&gt;&lt;/DisplayText&gt;&lt;record&gt;&lt;rec-number&gt;529&lt;/rec-number&gt;&lt;foreign-keys&gt;&lt;key app="EN" db-id="waeppwvvowz0z5es9scxvwwnwte25s55w2dp" timestamp="1642612820"&gt;529&lt;/key&gt;&lt;/foreign-keys&gt;&lt;ref-type name="Journal Article"&gt;17&lt;/ref-type&gt;&lt;contributors&gt;&lt;authors&gt;&lt;author&gt;Bai, Lawrence&lt;/author&gt;&lt;author&gt;Scott, Madeleine KD&lt;/author&gt;&lt;author&gt;Steinberg, Ethan&lt;/author&gt;&lt;author&gt;Kalesinskas, Laurynas&lt;/author&gt;&lt;author&gt;Habtezion, Aida&lt;/author&gt;&lt;author&gt;Shah, Nigam H&lt;/author&gt;&lt;author&gt;Khatri, Purvesh&lt;/author&gt;&lt;/authors&gt;&lt;/contributors&gt;&lt;titles&gt;&lt;title&gt;Computational drug repositioning of atorvastatin for ulcerative colitis&lt;/title&gt;&lt;secondary-title&gt;Journal of the American Medical Informatics Association&lt;/secondary-title&gt;&lt;/titles&gt;&lt;periodical&gt;&lt;full-title&gt;Journal of the American Medical Informatics Association&lt;/full-title&gt;&lt;/periodical&gt;&lt;pages&gt;2325-2335&lt;/pages&gt;&lt;volume&gt;28&lt;/volume&gt;&lt;number&gt;11&lt;/number&gt;&lt;dates&gt;&lt;year&gt;2021&lt;/year&gt;&lt;/dates&gt;&lt;isbn&gt;1527-974X&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52</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multi-cohort meta-analysis was performed for colon biopsy transcriptome samples from publicly available datasets to identify a robust disease gene signature. The gene signature was compared to transcriptomic profiles induced by FDA-approved drugs to identify potential drug targets for Ulcerative colitis.</w:t>
            </w:r>
          </w:p>
        </w:tc>
      </w:tr>
      <w:tr w:rsidR="00575628" w:rsidRPr="00A14F04" w:rsidTr="006B7DC3">
        <w:trPr>
          <w:trHeight w:val="348"/>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Multivariate regression</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Goldstein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&lt;EndNote&gt;&lt;Cite&gt;&lt;Author&gt;Goldstein&lt;/Author&gt;&lt;Year&gt;2018&lt;/Year&gt;&lt;RecNum&gt;431&lt;/RecNum&gt;&lt;DisplayText&gt;&lt;style face="superscript"&gt;17&lt;/style&gt;&lt;/DisplayText&gt;&lt;record&gt;&lt;rec-number&gt;431&lt;/rec-number&gt;&lt;foreign-keys&gt;&lt;key app="EN" db-id="waeppwvvowz0z5es9scxvwwnwte25s55w2dp" timestamp="1623948380"&gt;431&lt;/key&gt;&lt;/foreign-keys&gt;&lt;ref-type name="Journal Article"&gt;17&lt;/ref-type&gt;&lt;contributors&gt;&lt;authors&gt;&lt;author&gt;Goldstein, Jeffery A&lt;/author&gt;&lt;author&gt;Bastarache, Lisa A&lt;/author&gt;&lt;author&gt;Denny, Joshua C&lt;/author&gt;&lt;author&gt;Roden, Dan M&lt;/author&gt;&lt;author&gt;Pulley, Jill M&lt;/author&gt;&lt;author&gt;Aronoff, David M&lt;/author&gt;&lt;/authors&gt;&lt;/contributors&gt;&lt;titles&gt;&lt;title&gt;Calcium channel blockers as drug repurposing candidates for gestational diabetes: Mining large scale genomic and electronic health records data to repurpose medications&lt;/title&gt;&lt;secondary-title&gt;Pharmacological research&lt;/secondary-title&gt;&lt;/titles&gt;&lt;periodical&gt;&lt;full-title&gt;Pharmacological research&lt;/full-title&gt;&lt;/periodical&gt;&lt;pages&gt;44-51&lt;/pages&gt;&lt;volume&gt;130&lt;/volume&gt;&lt;dates&gt;&lt;year&gt;2018&lt;/year&gt;&lt;/dates&gt;&lt;isbn&gt;1043-6618&lt;/isbn&gt;&lt;urls&gt;&lt;/urls&gt;&lt;/record&gt;&lt;/Cite&gt;&lt;/EndNote&gt;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17</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SNP genotyping data were identified for the patients with gestational diabetes and type 2 diabetes and their association with drug candidates were analyzed using logistic regression. The effect of drug exposure on glucose tolerance test (GTT) values was examined with multivariate regression.</w:t>
            </w:r>
          </w:p>
        </w:tc>
      </w:tr>
      <w:tr w:rsidR="00575628" w:rsidRPr="00A14F04" w:rsidTr="006B7DC3">
        <w:trPr>
          <w:trHeight w:val="276"/>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Bejan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&lt;EndNote&gt;&lt;Cite&gt;&lt;Author&gt;Bejan&lt;/Author&gt;&lt;Year&gt;2021&lt;/Year&gt;&lt;RecNum&gt;531&lt;/RecNum&gt;&lt;DisplayText&gt;&lt;style face="superscript"&gt;47&lt;/style&gt;&lt;/DisplayText&gt;&lt;record&gt;&lt;rec-number&gt;531&lt;/rec-number&gt;&lt;foreign-keys&gt;&lt;key app="EN" db-id="waeppwvvowz0z5es9scxvwwnwte25s55w2dp" timestamp="1642612951"&gt;531&lt;/key&gt;&lt;/foreign-keys&gt;&lt;ref-type name="Journal Article"&gt;17&lt;/ref-type&gt;&lt;contributors&gt;&lt;authors&gt;&lt;author&gt;Bejan, Cosmin A&lt;/author&gt;&lt;author&gt;Cahill, Katherine N&lt;/author&gt;&lt;author&gt;Staso, Patrick J&lt;/author&gt;&lt;author&gt;Choi, Leena&lt;/author&gt;&lt;aut</w:instrText>
            </w:r>
            <w:r>
              <w:rPr>
                <w:rFonts w:ascii="Times New Roman" w:hAnsi="Times New Roman" w:cs="Times New Roman" w:hint="eastAsia"/>
                <w:sz w:val="18"/>
                <w:szCs w:val="18"/>
              </w:rPr>
              <w:instrText>hor&gt;Peterson, Josh F&lt;/author&gt;&lt;author&gt;Phillips, Elizabeth J&lt;/author&gt;&lt;/authors&gt;&lt;/contributors&gt;&lt;titles&gt;&lt;title&gt;DrugWAS: Drug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wide Association Studies for COVID</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19 Drug Repurposing&lt;/title&gt;&lt;secondary-title&gt;Clinical Pharmacology &amp;amp; Therapeutics&lt;/secondary-tit</w:instrText>
            </w:r>
            <w:r>
              <w:rPr>
                <w:rFonts w:ascii="Times New Roman" w:hAnsi="Times New Roman" w:cs="Times New Roman"/>
                <w:sz w:val="18"/>
                <w:szCs w:val="18"/>
              </w:rPr>
              <w:instrText>le&gt;&lt;/titles&gt;&lt;periodical&gt;&lt;full-title&gt;Clinical Pharmacology &amp;amp; Therapeutics&lt;/full-title&gt;&lt;/periodical&gt;&lt;pages&gt;1537-1546&lt;/pages&gt;&lt;volume&gt;110&lt;/volume&gt;&lt;number&gt;6&lt;/number&gt;&lt;dates&gt;&lt;year&gt;2021&lt;/year&gt;&lt;/dates&gt;&lt;isbn&gt;0009-9236&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47</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Drug-wide association studies were performed on the patients with COVID-19 in the electronic health records to identify potential treatment for COVID-19. Multivariable logistic regression was applied to estimate the effect of drug exposure on COVID-19 disease outcomes with overlap weighting using propensity score.</w:t>
            </w:r>
          </w:p>
        </w:tc>
      </w:tr>
      <w:tr w:rsidR="00575628" w:rsidRPr="00A14F04" w:rsidTr="006B7DC3">
        <w:trPr>
          <w:trHeight w:val="360"/>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Pairwise mutual information</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Dang et al </w:t>
            </w:r>
            <w:r w:rsidRPr="00A14F04">
              <w:rPr>
                <w:rFonts w:ascii="Times New Roman" w:hAnsi="Times New Roman" w:cs="Times New Roman"/>
                <w:sz w:val="18"/>
                <w:szCs w:val="18"/>
              </w:rPr>
              <w:fldChar w:fldCharType="begin"/>
            </w:r>
            <w:r w:rsidRPr="00A14F04">
              <w:rPr>
                <w:rFonts w:ascii="Times New Roman" w:hAnsi="Times New Roman" w:cs="Times New Roman"/>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A14F04">
              <w:rPr>
                <w:rFonts w:ascii="Times New Roman" w:hAnsi="Times New Roman" w:cs="Times New Roman"/>
                <w:sz w:val="18"/>
                <w:szCs w:val="18"/>
              </w:rPr>
              <w:fldChar w:fldCharType="separate"/>
            </w:r>
            <w:r w:rsidRPr="00A14F04">
              <w:rPr>
                <w:rFonts w:ascii="Times New Roman" w:hAnsi="Times New Roman" w:cs="Times New Roman"/>
                <w:noProof/>
                <w:sz w:val="18"/>
                <w:szCs w:val="18"/>
                <w:vertAlign w:val="superscript"/>
              </w:rPr>
              <w:t>21</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drug-disease pairs were extracted from the clinical notes and determined by using pairwise mutual information and step activation function.</w:t>
            </w:r>
          </w:p>
        </w:tc>
      </w:tr>
      <w:tr w:rsidR="00575628" w:rsidRPr="00A14F04" w:rsidTr="006B7DC3">
        <w:trPr>
          <w:trHeight w:val="408"/>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T-test</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Xu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35</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The drug-gene interaction (DGIs) were generated by drug-to-gene normalized enrichment score (d2gNES) based on up-and downregulated core signatures (CSS) of human genes.</w:t>
            </w:r>
          </w:p>
        </w:tc>
      </w:tr>
      <w:tr w:rsidR="00575628" w:rsidRPr="00A14F04" w:rsidTr="006B7DC3">
        <w:trPr>
          <w:trHeight w:val="408"/>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Kim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&lt;EndNote&gt;&lt;Cite&gt;&lt;Author&gt;Kim&lt;/Author&gt;&lt;Year&gt;2020&lt;/Year&gt;&lt;RecNum&gt;438&lt;/RecNum&gt;&lt;DisplayText&gt;&lt;style face="superscript"&gt;26&lt;/style&gt;&lt;/DisplayText&gt;&lt;record&gt;&lt;rec-number&gt;438&lt;/rec-number&gt;&lt;foreign-keys&gt;&lt;key app="EN" db-id="waeppwvvowz0z5es9scxvwwnwte25s55w2</w:instrText>
            </w:r>
            <w:r>
              <w:rPr>
                <w:rFonts w:ascii="Times New Roman" w:hAnsi="Times New Roman" w:cs="Times New Roman" w:hint="eastAsia"/>
                <w:sz w:val="18"/>
                <w:szCs w:val="18"/>
              </w:rPr>
              <w:instrText>dp" timestamp="1624049224"&gt;438&lt;/key&gt;&lt;/foreign-keys&gt;&lt;ref-type name="Journal Article"&gt;17&lt;/ref-type&gt;&lt;contributors&gt;&lt;authors&gt;&lt;author&gt;Kim, Do</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Hoon&lt;/author&gt;&lt;author&gt;Lee, Jung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Eun&lt;/author&gt;&lt;author&gt;Kim, Yong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Gil&lt;/author&gt;&lt;author&gt;Lee, Yura&lt;/author&gt;&lt;author&gt;Seo, Dong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Woo&lt;/author&gt;&lt;author&gt;Lee, Kye Hwa&lt;/author&gt;&lt;author&gt;Lee, Jae</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Ho&lt;/author&gt;&lt;author&gt;Kim, Woo Sung&lt;/author&gt;&lt;author&gt;Kim, Young</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Hak&lt;/author&gt;&lt;author&gt;Oh, Ji Seon&lt;/author&gt;&lt;/authors&gt;&lt;/contributors&gt;&lt;titles&gt;&lt;title&gt;High</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Throughput Algorithm for Discovering New Drug Indications by Utilizing Large</w:instrText>
            </w:r>
            <w:r>
              <w:rPr>
                <w:rFonts w:ascii="Times New Roman" w:hAnsi="Times New Roman" w:cs="Times New Roman" w:hint="eastAsia"/>
                <w:sz w:val="18"/>
                <w:szCs w:val="18"/>
              </w:rPr>
              <w:instrText>‐</w:instrText>
            </w:r>
            <w:r>
              <w:rPr>
                <w:rFonts w:ascii="Times New Roman" w:hAnsi="Times New Roman" w:cs="Times New Roman" w:hint="eastAsia"/>
                <w:sz w:val="18"/>
                <w:szCs w:val="18"/>
              </w:rPr>
              <w:instrText>Scale Electronic Medical Record Data&lt;/title&gt;&lt;secondary-title&gt;Clinical Pharmacology &amp;amp; Therapeutics&lt;/secondary-title&gt;&lt;/titles&gt;&lt;periodical&gt;&lt;full-title&gt;Clinical Pharmacology &amp;amp; Therapeutics&lt;/full-title&gt;&lt;/periodical&gt;&lt;pages&gt;1299-13</w:instrText>
            </w:r>
            <w:r>
              <w:rPr>
                <w:rFonts w:ascii="Times New Roman" w:hAnsi="Times New Roman" w:cs="Times New Roman"/>
                <w:sz w:val="18"/>
                <w:szCs w:val="18"/>
              </w:rPr>
              <w:instrText>07&lt;/pages&gt;&lt;volume&gt;108&lt;/volume&gt;&lt;number&gt;6&lt;/number&gt;&lt;dates&gt;&lt;year&gt;2020&lt;/year&gt;&lt;/dates&gt;&lt;isbn&gt;0009-9236&lt;/isbn&gt;&lt;urls&gt;&lt;/urls&gt;&lt;/record&gt;&lt;/Cite&gt;&lt;/EndNote&gt;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26</w:t>
            </w:r>
            <w:r w:rsidRPr="00A14F04">
              <w:rPr>
                <w:rFonts w:ascii="Times New Roman" w:hAnsi="Times New Roman" w:cs="Times New Roman"/>
                <w:sz w:val="18"/>
                <w:szCs w:val="18"/>
              </w:rPr>
              <w:fldChar w:fldCharType="end"/>
            </w:r>
          </w:p>
        </w:tc>
        <w:tc>
          <w:tcPr>
            <w:tcW w:w="10620" w:type="dxa"/>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one-sample t-test with the Bonferroni correction was conducted for the estimation of the effect of an individual drug on specific laboratory tests.</w:t>
            </w:r>
          </w:p>
        </w:tc>
      </w:tr>
      <w:tr w:rsidR="00575628" w:rsidRPr="00A14F04" w:rsidTr="006B7DC3">
        <w:trPr>
          <w:trHeight w:val="68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Bi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&lt;EndNote&gt;&lt;Cite&gt;&lt;Author&gt;Bi&lt;/Author&gt;&lt;Year&gt;2021&lt;/Year&gt;&lt;RecNum&gt;532&lt;/RecNum&gt;&lt;DisplayText&gt;&lt;style face="superscript"&gt;45&lt;/style&gt;&lt;/DisplayText&gt;&lt;record&gt;&lt;rec-number&gt;532&lt;/rec-number&gt;&lt;foreign-keys&gt;&lt;key app="EN" db-id="waeppwvvowz0z5es9scxvwwnwte25s55w2dp" timestamp="1642612988"&gt;532&lt;/key&gt;&lt;/foreign-keys&gt;&lt;ref-type name="Journal Article"&gt;17&lt;/ref-type&gt;&lt;contributors&gt;&lt;authors&gt;&lt;author&gt;Bi, Junfeng&lt;/author&gt;&lt;author&gt;Khan, Atif&lt;/author&gt;&lt;author&gt;Tang, Jun&lt;/author&gt;&lt;author&gt;Armando, Aaron M&lt;/author&gt;&lt;author&gt;Wu, Sihan&lt;/author&gt;&lt;author&gt;Zhang, Wei&lt;/author&gt;&lt;author&gt;Gimple, Ryan C&lt;/author&gt;&lt;author&gt;Reed, Alex&lt;/author&gt;&lt;author&gt;Jing, Hui&lt;/author&gt;&lt;author&gt;Koga, Tomoyuki&lt;/author&gt;&lt;/authors&gt;&lt;/contributors&gt;&lt;titles&gt;&lt;title&gt;Targeting glioblastoma signaling and metabolism with a re-purposed brain-penetrant drug&lt;/title&gt;&lt;secondary-title&gt;Cell reports&lt;/secondary-title&gt;&lt;/titles&gt;&lt;periodical&gt;&lt;full-title&gt;Cell Reports&lt;/full-title&gt;&lt;/periodical&gt;&lt;pages&gt;109957&lt;/pages&gt;&lt;volume&gt;37&lt;/volume&gt;&lt;number&gt;5&lt;/number&gt;&lt;dates&gt;&lt;year&gt;2021&lt;/year&gt;&lt;/dates&gt;&lt;isbn&gt;2211-1247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45</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statistical t-test was applied to compare the case and control groups identified from the real-world electronic medical record to measure a significant difference of prolongs survival of patients.</w:t>
            </w:r>
          </w:p>
        </w:tc>
      </w:tr>
      <w:tr w:rsidR="00575628" w:rsidRPr="00A14F04" w:rsidTr="006B7DC3">
        <w:trPr>
          <w:trHeight w:val="68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val="restart"/>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Wilcoxon rank-sum test</w:t>
            </w:r>
          </w:p>
        </w:tc>
        <w:tc>
          <w:tcPr>
            <w:tcW w:w="1292"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Jang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&lt;EndNote&gt;&lt;Cite&gt;&lt;Author&gt;Jang&lt;/Author&gt;&lt;Year&gt;2016&lt;/Year&gt;&lt;RecNum&gt;443&lt;/RecNum&gt;&lt;DisplayText&gt;&lt;style face="superscript"&gt;41&lt;/style&gt;&lt;/DisplayText&gt;&lt;record&gt;&lt;rec-number&gt;443&lt;/rec-number&gt;&lt;foreign-keys&gt;&lt;key app="EN" db-id="waeppwvvowz0z5es9scxvwwnwte25s55w2dp" timestamp="1624292980"&gt;443&lt;/key&gt;&lt;/foreign-keys&gt;&lt;ref-type name="Journal Article"&gt;17&lt;/ref-type&gt;&lt;contributors&gt;&lt;authors&gt;&lt;author&gt;Jang, Dongjin&lt;/author&gt;&lt;author&gt;Lee, Sejoon&lt;/author&gt;&lt;author&gt;Lee, Jaehyun&lt;/author&gt;&lt;author&gt;Kim, Kiseong&lt;/author&gt;&lt;author&gt;Lee, Doheon&lt;/author&gt;&lt;/authors&gt;&lt;/contributors&gt;&lt;titles&gt;&lt;title&gt;Inferring new drug indications using the complementarity between clinical disease signatures and drug effects&lt;/title&gt;&lt;secondary-title&gt;Journal of biomedical informatics&lt;/secondary-title&gt;&lt;/titles&gt;&lt;periodical&gt;&lt;full-title&gt;Journal of biomedical informatics&lt;/full-title&gt;&lt;/periodical&gt;&lt;pages&gt;248-257&lt;/pages&gt;&lt;volume&gt;59&lt;/volume&gt;&lt;dates&gt;&lt;year&gt;2016&lt;/year&gt;&lt;/dates&gt;&lt;isbn&gt;1532-0464&lt;/isbn&gt;&lt;urls&gt;&lt;/urls&gt;&lt;/record&gt;&lt;/Cite&gt;&lt;/EndNote&gt;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41</w:t>
            </w:r>
            <w:r w:rsidRPr="00A14F04">
              <w:rPr>
                <w:rFonts w:ascii="Times New Roman" w:hAnsi="Times New Roman" w:cs="Times New Roman"/>
                <w:sz w:val="18"/>
                <w:szCs w:val="18"/>
              </w:rPr>
              <w:fldChar w:fldCharType="end"/>
            </w:r>
          </w:p>
        </w:tc>
        <w:tc>
          <w:tcPr>
            <w:tcW w:w="10620" w:type="dxa"/>
            <w:tcBorders>
              <w:top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A score for each disease-drug pair was calculated by a comparison of complementarity and association between the clinical disease signature and drug effect vectors. The clinical disease signature vector was obtained from the Wilcoxon rank-sum test. The clinical drug effect vector was obtained from Fisher’s exact test.</w:t>
            </w:r>
          </w:p>
        </w:tc>
      </w:tr>
      <w:tr w:rsidR="00575628" w:rsidRPr="00A14F04" w:rsidTr="006B7DC3">
        <w:trPr>
          <w:trHeight w:val="324"/>
        </w:trPr>
        <w:tc>
          <w:tcPr>
            <w:tcW w:w="1345" w:type="dxa"/>
            <w:vMerge/>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292"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Wen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&lt;EndNote&gt;&lt;Cite&gt;&lt;Author&gt;Wen&lt;/Author&gt;&lt;Year&gt;2021&lt;/Year&gt;&lt;RecNum&gt;539&lt;/RecNum&gt;&lt;DisplayText&gt;&lt;style face="superscript"&gt;42&lt;/style&gt;&lt;/DisplayText&gt;&lt;record&gt;&lt;rec-number&gt;539&lt;/rec-number&gt;&lt;foreign-keys&gt;&lt;key app="EN" db-id="waeppwvvowz0z5es9scxvwwnwte25s55w2dp" timestamp="1642613318"&gt;539&lt;/key&gt;&lt;/foreign-keys&gt;&lt;ref-type name="Journal Article"&gt;17&lt;/ref-type&gt;&lt;contributors&gt;&lt;authors&gt;&lt;author&gt;Wen, Qianlong&lt;/author&gt;&lt;author&gt;Liu, Ruoqi&lt;/author&gt;&lt;author&gt;Zhang, Ping&lt;/author&gt;&lt;/authors&gt;&lt;/contributors&gt;&lt;titles&gt;&lt;title&gt;Clinical connectivity map for drug repurposing: using laboratory results to bridge drugs and diseases&lt;/title&gt;&lt;secondary-title&gt;BMC medical informatics and decision making&lt;/secondary-title&gt;&lt;/titles&gt;&lt;periodical&gt;&lt;full-title&gt;BMC medical informatics and decision making&lt;/full-title&gt;&lt;/periodical&gt;&lt;pages&gt;1-11&lt;/pages&gt;&lt;volume&gt;21&lt;/volume&gt;&lt;number&gt;8&lt;/number&gt;&lt;dates&gt;&lt;year&gt;2021&lt;/year&gt;&lt;/dates&gt;&lt;isbn&gt;1472-6947&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42</w:t>
            </w:r>
            <w:r w:rsidRPr="00A14F04">
              <w:rPr>
                <w:rFonts w:ascii="Times New Roman" w:hAnsi="Times New Roman" w:cs="Times New Roman"/>
                <w:sz w:val="18"/>
                <w:szCs w:val="18"/>
              </w:rPr>
              <w:fldChar w:fldCharType="end"/>
            </w:r>
          </w:p>
        </w:tc>
        <w:tc>
          <w:tcPr>
            <w:tcW w:w="10620" w:type="dxa"/>
            <w:tcBorders>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Clinical drug effect vectors were built with a continuous self-controlled case series model on longitudinal electronic health record data. The clinical disease sign vectors were created using a Wilcoxon rank-sum test on large-scale national survey data.  The repurposing possibility score for each drug-disease pair was calculated via a dot product-based scoring function on clinical disease sign vectors and clinical drug effect vectors.</w:t>
            </w:r>
          </w:p>
        </w:tc>
      </w:tr>
      <w:tr w:rsidR="00575628" w:rsidRPr="00A14F04" w:rsidTr="006B7DC3">
        <w:trPr>
          <w:trHeight w:val="324"/>
        </w:trPr>
        <w:tc>
          <w:tcPr>
            <w:tcW w:w="1345" w:type="dxa"/>
            <w:vMerge/>
            <w:tcBorders>
              <w:bottom w:val="single" w:sz="4" w:space="0" w:color="auto"/>
            </w:tcBorders>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p>
        </w:tc>
        <w:tc>
          <w:tcPr>
            <w:tcW w:w="1138"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Wilcoxon signed-rank test</w:t>
            </w:r>
          </w:p>
        </w:tc>
        <w:tc>
          <w:tcPr>
            <w:tcW w:w="1292"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hAnsi="Times New Roman" w:cs="Times New Roman"/>
                <w:sz w:val="18"/>
                <w:szCs w:val="18"/>
              </w:rPr>
              <w:t xml:space="preserve">Muraki et al </w:t>
            </w:r>
            <w:r w:rsidRPr="00A14F04">
              <w:rPr>
                <w:rFonts w:ascii="Times New Roman" w:hAnsi="Times New Roman" w:cs="Times New Roman"/>
                <w:sz w:val="18"/>
                <w:szCs w:val="18"/>
              </w:rPr>
              <w:fldChar w:fldCharType="begin"/>
            </w:r>
            <w:r>
              <w:rPr>
                <w:rFonts w:ascii="Times New Roman" w:hAnsi="Times New Roman" w:cs="Times New Roman"/>
                <w:sz w:val="18"/>
                <w:szCs w:val="18"/>
              </w:rPr>
              <w:instrText xml:space="preserve"> ADDIN EN.CITE &lt;EndNote&gt;&lt;Cite&gt;&lt;Author&gt;Muraki&lt;/Author&gt;&lt;Year&gt;2018&lt;/Year&gt;&lt;RecNum&gt;457&lt;/RecNum&gt;&lt;DisplayText&gt;&lt;style face="superscript"&gt;48&lt;/style&gt;&lt;/DisplayText&gt;&lt;record&gt;&lt;rec-number&gt;457&lt;/rec-number&gt;&lt;foreign-keys&gt;&lt;key app="EN" db-id="waeppwvvowz0z5es9scxvwwnwte25s55w2dp" timestamp="1624301791"&gt;457&lt;/key&gt;&lt;/foreign-keys&gt;&lt;ref-type name="Journal Article"&gt;17&lt;/ref-type&gt;&lt;contributors&gt;&lt;authors&gt;&lt;author&gt;Muraki, Shota&lt;/author&gt;&lt;author&gt;Moriki, Kuniaki&lt;/author&gt;&lt;author&gt;Shigematsu, Saki&lt;/author&gt;&lt;author&gt;Fukae, Masato&lt;/author&gt;&lt;author&gt;Kakara, Makoto&lt;/author&gt;&lt;author&gt;Yamashita, Daiki&lt;/author&gt;&lt;author&gt;Hirota, Takeshi&lt;/author&gt;&lt;author&gt;Takane, Hiroshi&lt;/author&gt;&lt;author&gt;Shimada, Miki&lt;/author&gt;&lt;author&gt;Hirakawa, Masaaki&lt;/author&gt;&lt;/authors&gt;&lt;/contributors&gt;&lt;titles&gt;&lt;title&gt;Population Pharmacodynamic Analysis of Uric Acid–Lowering Effects of Febuxostat Based on Electronic Medical Records in Two Hospitals&lt;/title&gt;&lt;secondary-title&gt;The Journal of Clinical Pharmacology&lt;/secondary-title&gt;&lt;/titles&gt;&lt;periodical&gt;&lt;full-title&gt;The Journal of Clinical Pharmacology&lt;/full-title&gt;&lt;/periodical&gt;&lt;pages&gt;304-313&lt;/pages&gt;&lt;volume&gt;58&lt;/volume&gt;&lt;number&gt;3&lt;/number&gt;&lt;dates&gt;&lt;year&gt;2018&lt;/year&gt;&lt;/dates&gt;&lt;isbn&gt;0091-2700&lt;/isbn&gt;&lt;urls&gt;&lt;/urls&gt;&lt;/record&gt;&lt;/Cite&gt;&lt;/EndNote&gt;</w:instrText>
            </w:r>
            <w:r w:rsidRPr="00A14F04">
              <w:rPr>
                <w:rFonts w:ascii="Times New Roman" w:hAnsi="Times New Roman" w:cs="Times New Roman"/>
                <w:sz w:val="18"/>
                <w:szCs w:val="18"/>
              </w:rPr>
              <w:fldChar w:fldCharType="separate"/>
            </w:r>
            <w:r w:rsidRPr="00303171">
              <w:rPr>
                <w:rFonts w:ascii="Times New Roman" w:hAnsi="Times New Roman" w:cs="Times New Roman"/>
                <w:noProof/>
                <w:sz w:val="18"/>
                <w:szCs w:val="18"/>
                <w:vertAlign w:val="superscript"/>
              </w:rPr>
              <w:t>48</w:t>
            </w:r>
            <w:r w:rsidRPr="00A14F04">
              <w:rPr>
                <w:rFonts w:ascii="Times New Roman" w:hAnsi="Times New Roman" w:cs="Times New Roman"/>
                <w:sz w:val="18"/>
                <w:szCs w:val="18"/>
              </w:rPr>
              <w:fldChar w:fldCharType="end"/>
            </w:r>
          </w:p>
        </w:tc>
        <w:tc>
          <w:tcPr>
            <w:tcW w:w="10620" w:type="dxa"/>
            <w:tcBorders>
              <w:top w:val="single" w:sz="4" w:space="0" w:color="auto"/>
              <w:bottom w:val="single" w:sz="4" w:space="0" w:color="auto"/>
            </w:tcBorders>
            <w:shd w:val="clear" w:color="auto" w:fill="auto"/>
            <w:noWrap/>
            <w:vAlign w:val="center"/>
            <w:hideMark/>
          </w:tcPr>
          <w:p w:rsidR="00575628" w:rsidRPr="00A14F04" w:rsidRDefault="00575628" w:rsidP="006B7DC3">
            <w:pPr>
              <w:spacing w:after="0" w:line="240" w:lineRule="auto"/>
              <w:rPr>
                <w:rFonts w:ascii="Times New Roman" w:eastAsia="Times New Roman" w:hAnsi="Times New Roman" w:cs="Times New Roman"/>
                <w:sz w:val="18"/>
                <w:szCs w:val="18"/>
              </w:rPr>
            </w:pPr>
            <w:r w:rsidRPr="00A14F04">
              <w:rPr>
                <w:rFonts w:ascii="Times New Roman" w:eastAsia="Times New Roman" w:hAnsi="Times New Roman" w:cs="Times New Roman"/>
                <w:sz w:val="18"/>
                <w:szCs w:val="18"/>
              </w:rPr>
              <w:t>For approach A, structural models and covariates between the two hospitals were compared. For approach B, differences between the 2 hospitals were evaluated by performing a covariate analysis on all population pharmacodynamic (PPD) parameters. In addition, differences between the 2 hospitals were evaluated using the Wilcoxon signed-rank test.</w:t>
            </w:r>
          </w:p>
        </w:tc>
      </w:tr>
    </w:tbl>
    <w:p w:rsidR="00575628" w:rsidRPr="00A14F04" w:rsidRDefault="00575628" w:rsidP="00575628">
      <w:pPr>
        <w:rPr>
          <w:rFonts w:ascii="Arial" w:eastAsia="Times New Roman" w:hAnsi="Arial" w:cs="Arial"/>
          <w:b/>
          <w:snapToGrid w:val="0"/>
          <w:sz w:val="24"/>
          <w:szCs w:val="20"/>
          <w:lang w:bidi="en-US"/>
        </w:rPr>
      </w:pPr>
      <w:r w:rsidRPr="00A14F04">
        <w:rPr>
          <w:rFonts w:ascii="Arial" w:hAnsi="Arial" w:cs="Arial"/>
          <w:sz w:val="24"/>
          <w:szCs w:val="20"/>
        </w:rPr>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sectPr w:rsidR="00575628" w:rsidRPr="00A14F04" w:rsidSect="00FD6A83">
          <w:pgSz w:w="15840" w:h="12240" w:orient="landscape"/>
          <w:pgMar w:top="720" w:right="720" w:bottom="720" w:left="720" w:header="720" w:footer="720" w:gutter="0"/>
          <w:lnNumType w:countBy="1" w:restart="continuous"/>
          <w:cols w:space="720"/>
          <w:docGrid w:linePitch="360"/>
        </w:sectPr>
      </w:pP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C95FAC">
        <w:rPr>
          <w:rFonts w:ascii="Arial" w:hAnsi="Arial" w:cs="Arial"/>
          <w:color w:val="auto"/>
          <w:sz w:val="24"/>
          <w:szCs w:val="20"/>
          <w:highlight w:val="yellow"/>
          <w:lang w:eastAsia="zh-CN"/>
        </w:rPr>
        <w:lastRenderedPageBreak/>
        <w:t xml:space="preserve">Supplementary </w:t>
      </w:r>
      <w:r w:rsidRPr="004B5220">
        <w:rPr>
          <w:rFonts w:ascii="Arial" w:hAnsi="Arial" w:cs="Arial"/>
          <w:color w:val="auto"/>
          <w:sz w:val="24"/>
          <w:szCs w:val="20"/>
          <w:highlight w:val="yellow"/>
          <w:lang w:eastAsia="zh-CN"/>
        </w:rPr>
        <w:t xml:space="preserve">Table </w:t>
      </w:r>
      <w:r>
        <w:rPr>
          <w:rFonts w:ascii="Arial" w:hAnsi="Arial" w:cs="Arial"/>
          <w:color w:val="auto"/>
          <w:sz w:val="24"/>
          <w:szCs w:val="20"/>
          <w:lang w:eastAsia="zh-CN"/>
        </w:rPr>
        <w:t>5</w:t>
      </w:r>
    </w:p>
    <w:p w:rsidR="00575628" w:rsidRPr="00A14F04" w:rsidRDefault="00575628" w:rsidP="00575628">
      <w:pPr>
        <w:pStyle w:val="MDPI41tablecaption"/>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5.</w:t>
      </w:r>
      <w:r w:rsidRPr="00A14F04">
        <w:rPr>
          <w:rFonts w:ascii="Arial" w:hAnsi="Arial" w:cs="Arial"/>
          <w:b/>
          <w:color w:val="auto"/>
          <w:sz w:val="20"/>
          <w:szCs w:val="20"/>
        </w:rPr>
        <w:t xml:space="preserve"> </w:t>
      </w:r>
      <w:r w:rsidRPr="00A14F04">
        <w:rPr>
          <w:rFonts w:ascii="Arial" w:hAnsi="Arial" w:cs="Arial"/>
          <w:color w:val="auto"/>
          <w:sz w:val="20"/>
          <w:szCs w:val="20"/>
        </w:rPr>
        <w:t>Summary of evaluation for repurposing drugs.</w:t>
      </w:r>
    </w:p>
    <w:tbl>
      <w:tblPr>
        <w:tblW w:w="10440" w:type="dxa"/>
        <w:jc w:val="center"/>
        <w:tblLayout w:type="fixed"/>
        <w:tblCellMar>
          <w:top w:w="72" w:type="dxa"/>
          <w:left w:w="43" w:type="dxa"/>
          <w:bottom w:w="72" w:type="dxa"/>
          <w:right w:w="43" w:type="dxa"/>
        </w:tblCellMar>
        <w:tblLook w:val="04A0" w:firstRow="1" w:lastRow="0" w:firstColumn="1" w:lastColumn="0" w:noHBand="0" w:noVBand="1"/>
      </w:tblPr>
      <w:tblGrid>
        <w:gridCol w:w="1705"/>
        <w:gridCol w:w="1530"/>
        <w:gridCol w:w="2340"/>
        <w:gridCol w:w="3240"/>
        <w:gridCol w:w="1625"/>
      </w:tblGrid>
      <w:tr w:rsidR="00575628" w:rsidRPr="00A14F04" w:rsidTr="006B7DC3">
        <w:trPr>
          <w:trHeight w:val="20"/>
          <w:jc w:val="center"/>
        </w:trPr>
        <w:tc>
          <w:tcPr>
            <w:tcW w:w="1705" w:type="dxa"/>
            <w:tcBorders>
              <w:top w:val="single" w:sz="4" w:space="0" w:color="auto"/>
              <w:bottom w:val="single" w:sz="4" w:space="0" w:color="auto"/>
            </w:tcBorders>
            <w:vAlign w:val="center"/>
          </w:tcPr>
          <w:p w:rsidR="00575628" w:rsidRPr="00A14F04" w:rsidRDefault="00575628" w:rsidP="006B7DC3">
            <w:pPr>
              <w:spacing w:after="0" w:line="240" w:lineRule="auto"/>
              <w:rPr>
                <w:rFonts w:ascii="Arial" w:hAnsi="Arial" w:cs="Arial"/>
                <w:b/>
                <w:sz w:val="20"/>
                <w:szCs w:val="20"/>
              </w:rPr>
            </w:pPr>
            <w:r w:rsidRPr="00A14F04">
              <w:rPr>
                <w:rFonts w:ascii="Arial" w:hAnsi="Arial" w:cs="Arial"/>
                <w:b/>
                <w:sz w:val="20"/>
                <w:szCs w:val="20"/>
              </w:rPr>
              <w:t>Paper</w:t>
            </w:r>
          </w:p>
        </w:tc>
        <w:tc>
          <w:tcPr>
            <w:tcW w:w="1530" w:type="dxa"/>
            <w:tcBorders>
              <w:top w:val="single" w:sz="4" w:space="0" w:color="auto"/>
              <w:bottom w:val="single" w:sz="4" w:space="0" w:color="auto"/>
            </w:tcBorders>
            <w:vAlign w:val="center"/>
          </w:tcPr>
          <w:p w:rsidR="00575628" w:rsidRPr="00A14F04" w:rsidRDefault="00575628" w:rsidP="006B7DC3">
            <w:pPr>
              <w:spacing w:after="0" w:line="240" w:lineRule="auto"/>
              <w:rPr>
                <w:rFonts w:ascii="Arial" w:hAnsi="Arial" w:cs="Arial"/>
                <w:b/>
                <w:sz w:val="20"/>
                <w:szCs w:val="20"/>
              </w:rPr>
            </w:pPr>
            <w:r w:rsidRPr="00A14F04">
              <w:rPr>
                <w:rFonts w:ascii="Arial" w:hAnsi="Arial" w:cs="Arial"/>
                <w:b/>
                <w:sz w:val="20"/>
                <w:szCs w:val="20"/>
              </w:rPr>
              <w:t>Evaluation metrics</w:t>
            </w:r>
          </w:p>
        </w:tc>
        <w:tc>
          <w:tcPr>
            <w:tcW w:w="2340" w:type="dxa"/>
            <w:tcBorders>
              <w:top w:val="single" w:sz="4" w:space="0" w:color="auto"/>
              <w:bottom w:val="single" w:sz="4" w:space="0" w:color="auto"/>
            </w:tcBorders>
            <w:vAlign w:val="center"/>
          </w:tcPr>
          <w:p w:rsidR="00575628" w:rsidRPr="00A14F04" w:rsidRDefault="00575628" w:rsidP="006B7DC3">
            <w:pPr>
              <w:spacing w:after="0" w:line="240" w:lineRule="auto"/>
              <w:rPr>
                <w:rFonts w:ascii="Arial" w:hAnsi="Arial" w:cs="Arial"/>
                <w:b/>
                <w:sz w:val="20"/>
                <w:szCs w:val="20"/>
              </w:rPr>
            </w:pPr>
            <w:r w:rsidRPr="00A14F04">
              <w:rPr>
                <w:rFonts w:ascii="Arial" w:hAnsi="Arial" w:cs="Arial"/>
                <w:b/>
                <w:sz w:val="20"/>
                <w:szCs w:val="20"/>
              </w:rPr>
              <w:t xml:space="preserve">Object of evaluation </w:t>
            </w:r>
          </w:p>
        </w:tc>
        <w:tc>
          <w:tcPr>
            <w:tcW w:w="3240" w:type="dxa"/>
            <w:tcBorders>
              <w:top w:val="single" w:sz="4" w:space="0" w:color="auto"/>
              <w:bottom w:val="single" w:sz="4" w:space="0" w:color="auto"/>
            </w:tcBorders>
          </w:tcPr>
          <w:p w:rsidR="00575628" w:rsidRPr="00A14F04" w:rsidRDefault="00575628" w:rsidP="006B7DC3">
            <w:pPr>
              <w:spacing w:after="0" w:line="240" w:lineRule="auto"/>
              <w:rPr>
                <w:rFonts w:ascii="Arial" w:hAnsi="Arial" w:cs="Arial"/>
                <w:b/>
                <w:sz w:val="20"/>
                <w:szCs w:val="20"/>
              </w:rPr>
            </w:pPr>
            <w:r w:rsidRPr="00A14F04">
              <w:rPr>
                <w:rFonts w:ascii="Arial" w:hAnsi="Arial" w:cs="Arial"/>
                <w:b/>
                <w:sz w:val="20"/>
                <w:szCs w:val="20"/>
              </w:rPr>
              <w:t>Training source (learning information)</w:t>
            </w:r>
          </w:p>
        </w:tc>
        <w:tc>
          <w:tcPr>
            <w:tcW w:w="1625" w:type="dxa"/>
            <w:tcBorders>
              <w:top w:val="single" w:sz="4" w:space="0" w:color="auto"/>
              <w:bottom w:val="single" w:sz="4" w:space="0" w:color="auto"/>
            </w:tcBorders>
            <w:vAlign w:val="center"/>
          </w:tcPr>
          <w:p w:rsidR="00575628" w:rsidRPr="00A14F04" w:rsidRDefault="00575628" w:rsidP="006B7DC3">
            <w:pPr>
              <w:spacing w:after="0" w:line="240" w:lineRule="auto"/>
              <w:rPr>
                <w:rFonts w:ascii="Arial" w:hAnsi="Arial" w:cs="Arial"/>
                <w:b/>
                <w:sz w:val="20"/>
                <w:szCs w:val="20"/>
              </w:rPr>
            </w:pPr>
            <w:r w:rsidRPr="00A14F04">
              <w:rPr>
                <w:rFonts w:ascii="Arial" w:hAnsi="Arial" w:cs="Arial"/>
                <w:b/>
                <w:sz w:val="20"/>
                <w:szCs w:val="20"/>
              </w:rPr>
              <w:t>Validation source</w:t>
            </w:r>
          </w:p>
        </w:tc>
      </w:tr>
      <w:tr w:rsidR="00575628" w:rsidRPr="00A14F04" w:rsidTr="006B7DC3">
        <w:trPr>
          <w:trHeight w:val="20"/>
          <w:jc w:val="center"/>
        </w:trPr>
        <w:tc>
          <w:tcPr>
            <w:tcW w:w="1705" w:type="dxa"/>
            <w:tcBorders>
              <w:top w:val="single" w:sz="4" w:space="0" w:color="auto"/>
            </w:tcBorders>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Wang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&lt;EndNote&gt;&lt;Cite&gt;&lt;Author&gt;Wang&lt;/Author&gt;&lt;Year&gt;2020&lt;/Year&gt;&lt;RecNum&gt;444&lt;/RecNum&gt;&lt;DisplayText&gt;&lt;style face="superscript"&gt;31&lt;/style&gt;&lt;/DisplayText&gt;&lt;record&gt;&lt;rec-number&gt;444&lt;/rec-number&gt;&lt;foreign-keys&gt;&lt;key app="EN" db-id="waeppwvvowz0z5es9scxvwwnwte25s55w2dp" timestamp="1624293117"&gt;444&lt;/key&gt;&lt;/foreign-keys&gt;&lt;ref-type name="Journal Article"&gt;17&lt;/ref-type&gt;&lt;contributors&gt;&lt;authors&gt;&lt;author&gt;Wang, Haixin&lt;/author&gt;&lt;author&gt;Deng, Yanhui&lt;/author&gt;&lt;author&gt;Wan, Ling&lt;/author&gt;&lt;author&gt;Huang, Lulin&lt;/author&gt;&lt;/authors&gt;&lt;/contributors&gt;&lt;titles&gt;&lt;title&gt;A comprehensive map of disease networks and molecular drug discoveries for glaucoma&lt;/title&gt;&lt;secondary-title&gt;Scientific reports&lt;/secondary-title&gt;&lt;/titles&gt;&lt;periodical&gt;&lt;full-title&gt;Scientific Reports&lt;/full-title&gt;&lt;/periodical&gt;&lt;pages&gt;1-13&lt;/pages&gt;&lt;volume&gt;10&lt;/volume&gt;&lt;number&gt;1&lt;/number&gt;&lt;dates&gt;&lt;year&gt;2020&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31</w:t>
            </w:r>
            <w:r w:rsidRPr="00A14F04">
              <w:rPr>
                <w:rFonts w:ascii="Arial" w:hAnsi="Arial" w:cs="Arial"/>
                <w:sz w:val="18"/>
                <w:szCs w:val="18"/>
              </w:rPr>
              <w:fldChar w:fldCharType="end"/>
            </w:r>
          </w:p>
        </w:tc>
        <w:tc>
          <w:tcPr>
            <w:tcW w:w="1530" w:type="dxa"/>
            <w:tcBorders>
              <w:top w:val="single" w:sz="4" w:space="0" w:color="auto"/>
            </w:tcBorders>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True positive</w:t>
            </w:r>
          </w:p>
        </w:tc>
        <w:tc>
          <w:tcPr>
            <w:tcW w:w="2340" w:type="dxa"/>
            <w:tcBorders>
              <w:top w:val="single" w:sz="4" w:space="0" w:color="auto"/>
            </w:tcBorders>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p>
        </w:tc>
        <w:tc>
          <w:tcPr>
            <w:tcW w:w="3240" w:type="dxa"/>
            <w:tcBorders>
              <w:top w:val="single" w:sz="4" w:space="0" w:color="auto"/>
            </w:tcBorders>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GWAS Catalog, OMIM, Phenolyzer, GEO, and published papers (gene information)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DAVID (pathway information)</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3) PheWAS database (disease-gene information)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4) DGIdb, KEGG, and CLUE (drug/chemical gene associations)</w:t>
            </w:r>
          </w:p>
        </w:tc>
        <w:tc>
          <w:tcPr>
            <w:tcW w:w="1625" w:type="dxa"/>
            <w:tcBorders>
              <w:top w:val="single" w:sz="4" w:space="0" w:color="auto"/>
            </w:tcBorders>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EHR </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Wu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A14F04">
              <w:rPr>
                <w:rFonts w:ascii="Arial" w:hAnsi="Arial" w:cs="Arial"/>
                <w:sz w:val="18"/>
                <w:szCs w:val="18"/>
              </w:rPr>
              <w:fldChar w:fldCharType="separate"/>
            </w:r>
            <w:r w:rsidRPr="00A14F04">
              <w:rPr>
                <w:rFonts w:ascii="Arial" w:hAnsi="Arial" w:cs="Arial"/>
                <w:noProof/>
                <w:sz w:val="18"/>
                <w:szCs w:val="18"/>
                <w:vertAlign w:val="superscript"/>
              </w:rPr>
              <w:t>19</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True positive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 (drug effect on cancer survival)</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Literature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Clinical trials</w:t>
            </w:r>
          </w:p>
        </w:tc>
      </w:tr>
      <w:tr w:rsidR="00575628" w:rsidRPr="00A14F04" w:rsidTr="006B7DC3">
        <w:trPr>
          <w:trHeight w:val="20"/>
          <w:jc w:val="center"/>
        </w:trPr>
        <w:tc>
          <w:tcPr>
            <w:tcW w:w="1705" w:type="dxa"/>
            <w:vAlign w:val="center"/>
          </w:tcPr>
          <w:p w:rsidR="00575628" w:rsidRPr="0007710C" w:rsidRDefault="00575628" w:rsidP="006B7DC3">
            <w:pPr>
              <w:spacing w:after="0" w:line="240" w:lineRule="auto"/>
              <w:rPr>
                <w:rFonts w:ascii="Arial" w:hAnsi="Arial" w:cs="Arial"/>
                <w:sz w:val="18"/>
                <w:szCs w:val="18"/>
              </w:rPr>
            </w:pPr>
            <w:r w:rsidRPr="0007710C">
              <w:rPr>
                <w:rFonts w:ascii="Arial" w:hAnsi="Arial" w:cs="Arial"/>
                <w:sz w:val="18"/>
                <w:szCs w:val="18"/>
              </w:rPr>
              <w:t xml:space="preserve">Pinoges et al </w:t>
            </w:r>
            <w:r w:rsidRPr="0007710C">
              <w:rPr>
                <w:rFonts w:ascii="Arial" w:hAnsi="Arial" w:cs="Arial"/>
                <w:sz w:val="18"/>
                <w:szCs w:val="18"/>
              </w:rPr>
              <w:fldChar w:fldCharType="begin"/>
            </w:r>
            <w:r w:rsidRPr="0007710C">
              <w:rPr>
                <w:rFonts w:ascii="Arial" w:hAnsi="Arial" w:cs="Arial"/>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07710C">
              <w:rPr>
                <w:rFonts w:ascii="Arial" w:hAnsi="Arial" w:cs="Arial"/>
                <w:sz w:val="18"/>
                <w:szCs w:val="18"/>
              </w:rPr>
              <w:fldChar w:fldCharType="separate"/>
            </w:r>
            <w:r w:rsidRPr="0007710C">
              <w:rPr>
                <w:rFonts w:ascii="Arial" w:hAnsi="Arial" w:cs="Arial"/>
                <w:noProof/>
                <w:sz w:val="18"/>
                <w:szCs w:val="18"/>
                <w:vertAlign w:val="superscript"/>
              </w:rPr>
              <w:t>30</w:t>
            </w:r>
            <w:r w:rsidRPr="0007710C">
              <w:rPr>
                <w:rFonts w:ascii="Arial" w:hAnsi="Arial" w:cs="Arial"/>
                <w:sz w:val="18"/>
                <w:szCs w:val="18"/>
              </w:rPr>
              <w:fldChar w:fldCharType="end"/>
            </w:r>
          </w:p>
        </w:tc>
        <w:tc>
          <w:tcPr>
            <w:tcW w:w="1530" w:type="dxa"/>
            <w:vAlign w:val="center"/>
          </w:tcPr>
          <w:p w:rsidR="00575628" w:rsidRPr="0007710C" w:rsidRDefault="00575628" w:rsidP="006B7DC3">
            <w:pPr>
              <w:spacing w:after="0" w:line="240" w:lineRule="auto"/>
              <w:rPr>
                <w:rFonts w:ascii="Arial" w:hAnsi="Arial" w:cs="Arial"/>
                <w:sz w:val="18"/>
                <w:szCs w:val="18"/>
              </w:rPr>
            </w:pPr>
            <w:r w:rsidRPr="0007710C">
              <w:rPr>
                <w:rFonts w:ascii="Arial" w:hAnsi="Arial" w:cs="Arial"/>
                <w:sz w:val="18"/>
                <w:szCs w:val="18"/>
              </w:rPr>
              <w:t>True positive</w:t>
            </w:r>
          </w:p>
        </w:tc>
        <w:tc>
          <w:tcPr>
            <w:tcW w:w="2340" w:type="dxa"/>
            <w:vAlign w:val="center"/>
          </w:tcPr>
          <w:p w:rsidR="00575628" w:rsidRPr="0007710C" w:rsidRDefault="00575628" w:rsidP="006B7DC3">
            <w:pPr>
              <w:spacing w:after="0" w:line="240" w:lineRule="auto"/>
              <w:rPr>
                <w:rFonts w:ascii="Arial" w:hAnsi="Arial" w:cs="Arial"/>
                <w:sz w:val="18"/>
                <w:szCs w:val="18"/>
              </w:rPr>
            </w:pPr>
            <w:r w:rsidRPr="0007710C">
              <w:rPr>
                <w:rFonts w:ascii="Arial" w:hAnsi="Arial" w:cs="Arial"/>
                <w:sz w:val="18"/>
                <w:szCs w:val="18"/>
              </w:rPr>
              <w:t>Performance of method</w:t>
            </w:r>
          </w:p>
        </w:tc>
        <w:tc>
          <w:tcPr>
            <w:tcW w:w="3240" w:type="dxa"/>
          </w:tcPr>
          <w:p w:rsidR="00575628" w:rsidRPr="0007710C" w:rsidRDefault="00575628" w:rsidP="006B7DC3">
            <w:pPr>
              <w:spacing w:after="0" w:line="240" w:lineRule="auto"/>
              <w:rPr>
                <w:rFonts w:ascii="Arial" w:hAnsi="Arial" w:cs="Arial"/>
                <w:sz w:val="18"/>
                <w:szCs w:val="18"/>
              </w:rPr>
            </w:pPr>
            <w:r w:rsidRPr="0007710C">
              <w:rPr>
                <w:rFonts w:ascii="Arial" w:hAnsi="Arial" w:cs="Arial"/>
                <w:sz w:val="18"/>
                <w:szCs w:val="18"/>
              </w:rPr>
              <w:t>EHR (drug resistance and mortality)</w:t>
            </w:r>
          </w:p>
        </w:tc>
        <w:tc>
          <w:tcPr>
            <w:tcW w:w="1625" w:type="dxa"/>
            <w:vAlign w:val="center"/>
          </w:tcPr>
          <w:p w:rsidR="00575628" w:rsidRPr="0007710C" w:rsidRDefault="00575628" w:rsidP="006B7DC3">
            <w:pPr>
              <w:spacing w:after="0" w:line="240" w:lineRule="auto"/>
              <w:rPr>
                <w:rFonts w:ascii="Arial" w:hAnsi="Arial" w:cs="Arial"/>
                <w:sz w:val="18"/>
                <w:szCs w:val="18"/>
              </w:rPr>
            </w:pPr>
            <w:r w:rsidRPr="0007710C">
              <w:rPr>
                <w:rFonts w:ascii="Arial" w:hAnsi="Arial" w:cs="Arial"/>
                <w:sz w:val="18"/>
                <w:szCs w:val="18"/>
              </w:rPr>
              <w:t>EHR</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Paik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27</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AUC ROC</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Sensitivity</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3) Specificity</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Performance of method</w:t>
            </w:r>
            <w:r w:rsidRPr="00A14F04" w:rsidDel="00EF461C">
              <w:rPr>
                <w:rFonts w:ascii="Arial" w:hAnsi="Arial" w:cs="Arial"/>
                <w:sz w:val="18"/>
                <w:szCs w:val="18"/>
              </w:rPr>
              <w:t xml:space="preserv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Validation of New drugs</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EHR (similarity measures for drug- and disease pairs)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Genomic data (similarity measures for drug- and disease pairs)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EHR</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Laboratory experiment</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Ghalwash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&lt;EndNote&gt;&lt;Cite&gt;&lt;Author&gt;Ghalwash&lt;/Author&gt;&lt;Year&gt;2017&lt;/Year&gt;&lt;RecNum&gt;450&lt;/RecNum&gt;&lt;DisplayText&gt;&lt;style face="superscript"&gt;32&lt;/style&gt;&lt;/DisplayText&gt;&lt;record&gt;&lt;rec-number&gt;450&lt;/rec-number&gt;&lt;foreign-keys&gt;&lt;key app="EN" db-id="waeppwvvowz0z5es9scxvwwnwte25s55w2dp" timestamp="1624298089"&gt;450&lt;/key&gt;&lt;/foreign-keys&gt;&lt;ref-type name="Conference Proceedings"&gt;10&lt;/ref-type&gt;&lt;contributors&gt;&lt;authors&gt;&lt;author&gt;Ghalwash, Mohamed&lt;/author&gt;&lt;author&gt;Li, Ying&lt;/author&gt;&lt;author&gt;Zhang, Ping&lt;/author&gt;&lt;author&gt;Hu, Jianying&lt;/author&gt;&lt;/authors&gt;&lt;/contributors&gt;&lt;titles&gt;&lt;title&gt;Exploiting electronic health records to mine drug effects on laboratory test results&lt;/title&gt;&lt;secondary-title&gt;Proceedings of the 2017 ACM on Conference on Information and Knowledge Management&lt;/secondary-title&gt;&lt;/titles&gt;&lt;pages&gt;1837-1846&lt;/pages&gt;&lt;dates&gt;&lt;year&gt;2017&lt;/year&gt;&lt;/dates&gt;&lt;urls&gt;&lt;/urls&gt;&lt;/record&gt;&lt;/Cite&gt;&lt;/EndNote&gt;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32</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Precision</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Performance of method</w:t>
            </w:r>
            <w:r w:rsidRPr="00A14F04" w:rsidDel="00EF461C">
              <w:rPr>
                <w:rFonts w:ascii="Arial" w:hAnsi="Arial" w:cs="Arial"/>
                <w:sz w:val="18"/>
                <w:szCs w:val="18"/>
              </w:rPr>
              <w:t xml:space="preserv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Validation of new drugs</w:t>
            </w:r>
          </w:p>
        </w:tc>
        <w:tc>
          <w:tcPr>
            <w:tcW w:w="3240" w:type="dxa"/>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sz w:val="18"/>
                <w:szCs w:val="18"/>
              </w:rPr>
              <w:t xml:space="preserve">1) </w:t>
            </w:r>
            <w:r w:rsidRPr="00A14F04">
              <w:rPr>
                <w:rFonts w:ascii="Arial" w:hAnsi="Arial" w:cs="Arial"/>
                <w:noProof/>
                <w:sz w:val="18"/>
                <w:szCs w:val="18"/>
              </w:rPr>
              <w:t>Drugbank (drug names)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sz w:val="18"/>
                <w:szCs w:val="18"/>
              </w:rPr>
              <w:t xml:space="preserve">2) </w:t>
            </w:r>
            <w:r w:rsidRPr="00A14F04">
              <w:rPr>
                <w:rFonts w:ascii="Arial" w:hAnsi="Arial" w:cs="Arial"/>
                <w:noProof/>
                <w:sz w:val="18"/>
                <w:szCs w:val="18"/>
              </w:rPr>
              <w:t>PubChem (chemical substructures)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3) </w:t>
            </w:r>
            <w:r w:rsidRPr="00A14F04">
              <w:rPr>
                <w:rFonts w:ascii="Arial" w:hAnsi="Arial" w:cs="Arial"/>
                <w:noProof/>
                <w:sz w:val="18"/>
                <w:szCs w:val="18"/>
              </w:rPr>
              <w:t>RedBook(therapeutic classes)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4) EHR (drug effect on lab test results)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1)Knowledge base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Internet search</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Zhou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A14F04">
              <w:rPr>
                <w:rFonts w:ascii="Arial" w:hAnsi="Arial" w:cs="Arial"/>
                <w:sz w:val="18"/>
                <w:szCs w:val="18"/>
              </w:rPr>
              <w:fldChar w:fldCharType="separate"/>
            </w:r>
            <w:r w:rsidRPr="00A14F04">
              <w:rPr>
                <w:rFonts w:ascii="Arial" w:hAnsi="Arial" w:cs="Arial"/>
                <w:noProof/>
                <w:sz w:val="18"/>
                <w:szCs w:val="18"/>
                <w:vertAlign w:val="superscript"/>
              </w:rPr>
              <w:t>20</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AUC ROC</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sz w:val="18"/>
                <w:szCs w:val="18"/>
              </w:rPr>
              <w:t xml:space="preserve">2) </w:t>
            </w:r>
            <w:r w:rsidRPr="00A14F04">
              <w:rPr>
                <w:rFonts w:ascii="Arial" w:hAnsi="Arial" w:cs="Arial"/>
                <w:noProof/>
                <w:sz w:val="18"/>
                <w:szCs w:val="18"/>
              </w:rPr>
              <w:t>Precision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sz w:val="18"/>
                <w:szCs w:val="18"/>
              </w:rPr>
              <w:t>3) R</w:t>
            </w:r>
            <w:r w:rsidRPr="00A14F04">
              <w:rPr>
                <w:rFonts w:ascii="Arial" w:hAnsi="Arial" w:cs="Arial"/>
                <w:noProof/>
                <w:sz w:val="18"/>
                <w:szCs w:val="18"/>
              </w:rPr>
              <w:t>ecall</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4) </w:t>
            </w:r>
            <w:r w:rsidRPr="00A14F04">
              <w:rPr>
                <w:rFonts w:ascii="Arial" w:hAnsi="Arial" w:cs="Arial"/>
                <w:noProof/>
                <w:sz w:val="18"/>
                <w:szCs w:val="18"/>
              </w:rPr>
              <w:t>P-value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Performance of method</w:t>
            </w:r>
            <w:r w:rsidRPr="00A14F04" w:rsidDel="00EF461C">
              <w:rPr>
                <w:rFonts w:ascii="Arial" w:hAnsi="Arial" w:cs="Arial"/>
                <w:sz w:val="18"/>
                <w:szCs w:val="18"/>
              </w:rPr>
              <w:t xml:space="preserv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Validation of new drugs</w:t>
            </w:r>
          </w:p>
        </w:tc>
        <w:tc>
          <w:tcPr>
            <w:tcW w:w="3240" w:type="dxa"/>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 xml:space="preserve">1) </w:t>
            </w:r>
            <w:r w:rsidRPr="00A14F04">
              <w:rPr>
                <w:rFonts w:ascii="Arial" w:hAnsi="Arial" w:cs="Arial"/>
                <w:sz w:val="18"/>
                <w:szCs w:val="18"/>
              </w:rPr>
              <w:t>Context-sensitive phenotypic drug network (drug–side effect information)</w:t>
            </w:r>
          </w:p>
          <w:p w:rsidR="00575628" w:rsidRPr="00A14F04" w:rsidRDefault="00575628" w:rsidP="006B7DC3">
            <w:pPr>
              <w:spacing w:after="0" w:line="240" w:lineRule="auto"/>
              <w:rPr>
                <w:rFonts w:ascii="Arial" w:hAnsi="Arial" w:cs="Arial"/>
                <w:sz w:val="18"/>
                <w:szCs w:val="18"/>
              </w:rPr>
            </w:pPr>
            <w:r w:rsidRPr="00A14F04">
              <w:rPr>
                <w:rFonts w:ascii="Arial" w:hAnsi="Arial" w:cs="Arial"/>
                <w:noProof/>
                <w:sz w:val="18"/>
                <w:szCs w:val="18"/>
              </w:rPr>
              <w:t>2) Disease comorbidity network (disease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3) Drug–disease treatment knowledge base (drug</w:t>
            </w:r>
            <w:r w:rsidRPr="00A14F04">
              <w:rPr>
                <w:rFonts w:ascii="Arial" w:hAnsi="Arial" w:cs="Arial"/>
                <w:sz w:val="18"/>
                <w:szCs w:val="18"/>
              </w:rPr>
              <w:t>-</w:t>
            </w:r>
            <w:r w:rsidRPr="00A14F04">
              <w:rPr>
                <w:rFonts w:ascii="Arial" w:hAnsi="Arial" w:cs="Arial"/>
                <w:noProof/>
                <w:sz w:val="18"/>
                <w:szCs w:val="18"/>
              </w:rPr>
              <w:t>disease information)</w:t>
            </w:r>
          </w:p>
          <w:p w:rsidR="00575628" w:rsidRPr="00A14F04" w:rsidRDefault="00575628" w:rsidP="006B7DC3">
            <w:pPr>
              <w:autoSpaceDE w:val="0"/>
              <w:autoSpaceDN w:val="0"/>
              <w:spacing w:after="0" w:line="240" w:lineRule="auto"/>
              <w:rPr>
                <w:rFonts w:ascii="Arial" w:hAnsi="Arial" w:cs="Arial"/>
                <w:sz w:val="18"/>
                <w:szCs w:val="18"/>
              </w:rPr>
            </w:pPr>
            <w:r w:rsidRPr="00A14F04">
              <w:rPr>
                <w:rFonts w:ascii="Arial" w:hAnsi="Arial" w:cs="Arial"/>
                <w:noProof/>
                <w:sz w:val="18"/>
                <w:szCs w:val="18"/>
              </w:rPr>
              <w:t>4) Protein</w:t>
            </w:r>
            <w:r w:rsidRPr="00A14F04">
              <w:rPr>
                <w:rFonts w:ascii="Arial" w:hAnsi="Arial" w:cs="Arial"/>
                <w:sz w:val="18"/>
                <w:szCs w:val="18"/>
              </w:rPr>
              <w:t>-</w:t>
            </w:r>
            <w:r w:rsidRPr="00A14F04">
              <w:rPr>
                <w:rFonts w:ascii="Arial" w:hAnsi="Arial" w:cs="Arial"/>
                <w:noProof/>
                <w:sz w:val="18"/>
                <w:szCs w:val="18"/>
              </w:rPr>
              <w:t>protein interaction network (protein</w:t>
            </w:r>
            <w:r w:rsidRPr="00A14F04">
              <w:rPr>
                <w:rFonts w:ascii="Arial" w:hAnsi="Arial" w:cs="Arial"/>
                <w:sz w:val="18"/>
                <w:szCs w:val="18"/>
              </w:rPr>
              <w:t>-</w:t>
            </w:r>
            <w:r w:rsidRPr="00A14F04">
              <w:rPr>
                <w:rFonts w:ascii="Arial" w:hAnsi="Arial" w:cs="Arial"/>
                <w:noProof/>
                <w:sz w:val="18"/>
                <w:szCs w:val="18"/>
              </w:rPr>
              <w:t>protein interaction information)</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Knowledge base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EHR</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3) Clinical trials </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Xu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&lt;EndNote&gt;&lt;Cite&gt;&lt;Author&gt;Xu&lt;/Author&gt;&lt;Year&gt;2014&lt;/Year&gt;&lt;RecNum&gt;100&lt;/RecNum&gt;&lt;DisplayText&gt;&lt;style face="superscript"&gt;18&lt;/style&gt;&lt;/DisplayText&gt;&lt;record&gt;&lt;rec-number&gt;100&lt;/rec-number&gt;&lt;foreign-keys&gt;&lt;key app="EN" db-id="waeppwvvowz0z5es9scxvwwnwte25s55w2dp" timestamp="1549223345"&gt;100&lt;/key&gt;&lt;/foreign-keys&gt;&lt;ref-type name="Journal Article"&gt;17&lt;/ref-type&gt;&lt;contributors&gt;&lt;authors&gt;&lt;author&gt;Xu, Hua&lt;/author&gt;&lt;author&gt;Aldrich, Melinda C&lt;/author&gt;&lt;author&gt;Chen, Qingxia&lt;/author&gt;&lt;author&gt;Liu, Hongfang&lt;/author&gt;&lt;author&gt;Peterson, Neeraja B&lt;/author&gt;&lt;author&gt;Dai, Qi&lt;/author&gt;&lt;author&gt;Levy, Mia&lt;/author&gt;&lt;author&gt;Shah, Anushi&lt;/author&gt;&lt;author&gt;Han, Xue&lt;/author&gt;&lt;author&gt;Ruan, Xiaoyang&lt;/author&gt;&lt;/authors&gt;&lt;/contributors&gt;&lt;titles&gt;&lt;title&gt;Validating drug repurposing signals using electronic health records: a case study of metformin associated with reduced cancer mortality&lt;/title&gt;&lt;secondary-title&gt;Journal of the American Medical Informatics Association&lt;/secondary-title&gt;&lt;/titles&gt;&lt;periodical&gt;&lt;full-title&gt;Journal of the American Medical Informatics Association&lt;/full-title&gt;&lt;/periodical&gt;&lt;pages&gt;179-191&lt;/pages&gt;&lt;volume&gt;22&lt;/volume&gt;&lt;number&gt;1&lt;/number&gt;&lt;dates&gt;&lt;year&gt;2014&lt;/year&gt;&lt;/dates&gt;&lt;isbn&gt;1527-974X&lt;/isbn&gt;&lt;urls&gt;&lt;/urls&gt;&lt;/record&gt;&lt;/Cite&gt;&lt;/EndNote&gt;</w:instrText>
            </w:r>
            <w:r w:rsidRPr="00A14F04">
              <w:rPr>
                <w:rFonts w:ascii="Arial" w:hAnsi="Arial" w:cs="Arial"/>
                <w:sz w:val="18"/>
                <w:szCs w:val="18"/>
              </w:rPr>
              <w:fldChar w:fldCharType="separate"/>
            </w:r>
            <w:r w:rsidRPr="00A14F04">
              <w:rPr>
                <w:rFonts w:ascii="Arial" w:hAnsi="Arial" w:cs="Arial"/>
                <w:noProof/>
                <w:sz w:val="18"/>
                <w:szCs w:val="18"/>
                <w:vertAlign w:val="superscript"/>
              </w:rPr>
              <w:t>18</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P-value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No training reported</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Xu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35</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AUC ROC</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True positive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Performance of method</w:t>
            </w:r>
            <w:r w:rsidRPr="00A14F04" w:rsidDel="00EF461C">
              <w:rPr>
                <w:rFonts w:ascii="Arial" w:hAnsi="Arial" w:cs="Arial"/>
                <w:sz w:val="18"/>
                <w:szCs w:val="18"/>
              </w:rPr>
              <w:t xml:space="preserv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Validation of new drugs</w:t>
            </w:r>
          </w:p>
        </w:tc>
        <w:tc>
          <w:tcPr>
            <w:tcW w:w="3240" w:type="dxa"/>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KEGG pathway (human signal transduction pathway gene sets)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2) Reactome (human signal transduction pathway gene sets)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3) Animal Transcription Factor Database (human transcription factors, enzymes, transporters,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receptors and ion channels)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4) Human DEPhOsphorylation Database (human transcription factors, enzymes, transporters,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receptors and ion channels)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5) IUPHAR/BPS database (human transcription factors, enzymes, transporters,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receptors and ion channels)</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6) TCGA (RNA-seq data)</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7) CMap (Drug treatment microarray data)</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8) DrugBank (Drug gene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9) DGIdb (Drug gene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10) STITCH (Drug gene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11) BindingDB (Drug gene information)</w:t>
            </w:r>
          </w:p>
          <w:p w:rsidR="00575628" w:rsidRPr="00A14F04" w:rsidRDefault="00575628" w:rsidP="006B7DC3">
            <w:pPr>
              <w:spacing w:after="0" w:line="240" w:lineRule="auto"/>
              <w:rPr>
                <w:rFonts w:ascii="Arial" w:hAnsi="Arial" w:cs="Arial"/>
                <w:sz w:val="18"/>
                <w:szCs w:val="18"/>
              </w:rPr>
            </w:pPr>
            <w:r w:rsidRPr="00A14F04">
              <w:rPr>
                <w:rFonts w:ascii="Arial" w:hAnsi="Arial" w:cs="Arial"/>
                <w:noProof/>
                <w:sz w:val="18"/>
                <w:szCs w:val="18"/>
              </w:rPr>
              <w:t>12) NCI-60 (gene expression and drug responses)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Knowledge base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EHR</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3) Laboratory experiment</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Cai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34</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w:t>
            </w:r>
            <w:r w:rsidRPr="00A14F04">
              <w:rPr>
                <w:rFonts w:ascii="Arial" w:hAnsi="Arial" w:cs="Arial"/>
                <w:noProof/>
                <w:sz w:val="18"/>
                <w:szCs w:val="18"/>
              </w:rPr>
              <w:t>ositive predictive value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w:t>
            </w:r>
            <w:r w:rsidRPr="00A14F04">
              <w:rPr>
                <w:rFonts w:ascii="Arial" w:eastAsia="SimSun" w:hAnsi="Arial" w:cs="Arial"/>
                <w:noProof/>
                <w:sz w:val="18"/>
                <w:szCs w:val="18"/>
              </w:rPr>
              <w:t xml:space="preserve">EHR </w:t>
            </w:r>
            <w:r w:rsidRPr="00A14F04">
              <w:rPr>
                <w:rFonts w:ascii="Arial" w:hAnsi="Arial" w:cs="Arial"/>
                <w:sz w:val="18"/>
                <w:szCs w:val="18"/>
              </w:rPr>
              <w:t>(laboratory tests, diagnosis)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B</w:t>
            </w:r>
            <w:r w:rsidRPr="00A14F04">
              <w:rPr>
                <w:rFonts w:ascii="Arial" w:eastAsia="SimSun" w:hAnsi="Arial" w:cs="Arial"/>
                <w:noProof/>
                <w:sz w:val="18"/>
                <w:szCs w:val="18"/>
              </w:rPr>
              <w:t>iobank data</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Dang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A14F04">
              <w:rPr>
                <w:rFonts w:ascii="Arial" w:hAnsi="Arial" w:cs="Arial"/>
                <w:sz w:val="18"/>
                <w:szCs w:val="18"/>
              </w:rPr>
              <w:fldChar w:fldCharType="separate"/>
            </w:r>
            <w:r w:rsidRPr="00A14F04">
              <w:rPr>
                <w:rFonts w:ascii="Arial" w:hAnsi="Arial" w:cs="Arial"/>
                <w:noProof/>
                <w:sz w:val="18"/>
                <w:szCs w:val="18"/>
                <w:vertAlign w:val="superscript"/>
              </w:rPr>
              <w:t>21</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Precision</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Recall</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3) F-score</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 (drug diagnosis information)</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Literature</w:t>
            </w:r>
          </w:p>
          <w:p w:rsidR="00575628" w:rsidRPr="00A14F04" w:rsidRDefault="00575628" w:rsidP="006B7DC3">
            <w:pPr>
              <w:spacing w:after="0" w:line="240" w:lineRule="auto"/>
              <w:rPr>
                <w:rFonts w:ascii="Arial" w:hAnsi="Arial" w:cs="Arial"/>
                <w:sz w:val="18"/>
                <w:szCs w:val="18"/>
              </w:rPr>
            </w:pP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Kuang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&lt;EndNote&gt;&lt;Cite&gt;&lt;Author&gt;Kuang&lt;/Author&gt;&lt;Year&gt;2016&lt;/Year&gt;&lt;RecNum&gt;453&lt;/RecNum&gt;&lt;DisplayText&gt;&lt;style face="superscript"&gt;39&lt;/style&gt;&lt;/DisplayText&gt;&lt;record&gt;&lt;rec-number&gt;453&lt;/rec-number&gt;&lt;foreign-keys&gt;&lt;key app="EN" db-id="waeppwvvowz0z5es9scxvwwnwte25s55w2dp" timestamp="1624298302"&gt;453&lt;/key&gt;&lt;/foreign-keys&gt;&lt;ref-type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David&lt;/author&gt;&lt;/authors&gt;&lt;/contributors&gt;&lt;titles&gt;&lt;title&gt;Baseline regularization for computational drug repositioning with longitudinal observational data&lt;/title&gt;&lt;secondary-title&gt;IJCAI: proceedings of the conference&lt;/secondary-title&gt;&lt;/titles&gt;&lt;pages&gt;2521&lt;/pages&gt;&lt;volume&gt;2016&lt;/volume&gt;&lt;dates&gt;&lt;year&gt;2016&lt;/year&gt;&lt;/dates&gt;&lt;publisher&gt;NIH Public Access&lt;/publisher&gt;&lt;urls&gt;&lt;/urls&gt;&lt;/record&gt;&lt;/Cite&gt;&lt;/EndNote&gt;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39</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AUC ROC</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Precision</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r w:rsidRPr="00A14F04" w:rsidDel="00EF461C">
              <w:rPr>
                <w:rFonts w:ascii="Arial" w:hAnsi="Arial" w:cs="Arial"/>
                <w:sz w:val="18"/>
                <w:szCs w:val="18"/>
              </w:rPr>
              <w:t xml:space="preserve"> </w:t>
            </w:r>
            <w:r w:rsidRPr="00A14F04">
              <w:rPr>
                <w:rFonts w:ascii="Arial" w:hAnsi="Arial" w:cs="Arial"/>
                <w:sz w:val="18"/>
                <w:szCs w:val="18"/>
              </w:rPr>
              <w:t>Validation of new drugs</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 (laboratory tests, drugs)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Literature </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Kuang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&lt;EndNote&gt;&lt;Cite&gt;&lt;Author&gt;Kuang&lt;/Author&gt;&lt;Year&gt;2016&lt;/Year&gt;&lt;RecNum&gt;454&lt;/RecNum&gt;&lt;DisplayText&gt;&lt;style face="superscript"&gt;40&lt;/style&gt;&lt;/DisplayText&gt;&lt;record&gt;&lt;rec-number&gt;454&lt;/rec-number&gt;&lt;foreign-keys&gt;&lt;key app="EN" db-id="waeppwvvowz0z5es9scxvwwnwte25s55w2dp" timestamp="1624298344"&gt;454&lt;/key&gt;&lt;/foreign-keys&gt;&lt;ref-type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David&lt;/author&gt;&lt;/authors&gt;&lt;/contributors&gt;&lt;titles&gt;&lt;title&gt;Computational drug repositioning using continuous self-controlled case series&lt;/title&gt;&lt;secondary-title&gt;Proceedings of the 22nd ACM SIGKDD international conference on knowledge discovery and data mining&lt;/secondary-title&gt;&lt;/titles&gt;&lt;pages&gt;491-500&lt;/pages&gt;&lt;dates&gt;&lt;year&gt;2016&lt;/year&gt;&lt;/dates&gt;&lt;urls&gt;&lt;/urls&gt;&lt;/record&gt;&lt;/Cite&gt;&lt;/EndNote&gt;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40</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AUC ROC</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Precision</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r w:rsidRPr="00A14F04" w:rsidDel="00EF461C">
              <w:rPr>
                <w:rFonts w:ascii="Arial" w:hAnsi="Arial" w:cs="Arial"/>
                <w:sz w:val="18"/>
                <w:szCs w:val="18"/>
              </w:rPr>
              <w:t xml:space="preserve"> </w:t>
            </w:r>
            <w:r w:rsidRPr="00A14F04">
              <w:rPr>
                <w:rFonts w:ascii="Arial" w:hAnsi="Arial" w:cs="Arial"/>
                <w:sz w:val="18"/>
                <w:szCs w:val="18"/>
              </w:rPr>
              <w:t>Validation of new drugs</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 (laboratory tests, drugs)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Literature</w:t>
            </w: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Kim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&lt;EndNote&gt;&lt;Cite&gt;&lt;Author&gt;Kim&lt;/Author&gt;&lt;Year&gt;2020&lt;/Year&gt;&lt;RecNum&gt;438&lt;/RecNum&gt;&lt;DisplayText&gt;&lt;style face="superscript"&gt;26&lt;/style&gt;&lt;/DisplayText&gt;&lt;record&gt;&lt;rec-number&gt;438&lt;/rec-number&gt;&lt;foreign-keys&gt;&lt;key app="EN" db-id="waeppwvvowz0z5es9scxvwwnwte25s55w2</w:instrText>
            </w:r>
            <w:r>
              <w:rPr>
                <w:rFonts w:ascii="Arial" w:hAnsi="Arial" w:cs="Arial" w:hint="eastAsia"/>
                <w:sz w:val="18"/>
                <w:szCs w:val="18"/>
              </w:rPr>
              <w:instrText>dp" timestamp="1624049224"&gt;438&lt;/key&gt;&lt;/foreign-keys&gt;&lt;ref-type name="Journal Article"&gt;17&lt;/ref-type&gt;&lt;contributors&gt;&lt;authors&gt;&lt;author&gt;Kim, Do</w:instrText>
            </w:r>
            <w:r>
              <w:rPr>
                <w:rFonts w:ascii="Arial" w:hAnsi="Arial" w:cs="Arial" w:hint="eastAsia"/>
                <w:sz w:val="18"/>
                <w:szCs w:val="18"/>
              </w:rPr>
              <w:instrText>‐</w:instrText>
            </w:r>
            <w:r>
              <w:rPr>
                <w:rFonts w:ascii="Arial" w:hAnsi="Arial" w:cs="Arial" w:hint="eastAsia"/>
                <w:sz w:val="18"/>
                <w:szCs w:val="18"/>
              </w:rPr>
              <w:instrText>Hoon&lt;/author&gt;&lt;author&gt;Lee, Jung</w:instrText>
            </w:r>
            <w:r>
              <w:rPr>
                <w:rFonts w:ascii="Arial" w:hAnsi="Arial" w:cs="Arial" w:hint="eastAsia"/>
                <w:sz w:val="18"/>
                <w:szCs w:val="18"/>
              </w:rPr>
              <w:instrText>‐</w:instrText>
            </w:r>
            <w:r>
              <w:rPr>
                <w:rFonts w:ascii="Arial" w:hAnsi="Arial" w:cs="Arial" w:hint="eastAsia"/>
                <w:sz w:val="18"/>
                <w:szCs w:val="18"/>
              </w:rPr>
              <w:instrText>Eun&lt;/author&gt;&lt;author&gt;Kim, Yong</w:instrText>
            </w:r>
            <w:r>
              <w:rPr>
                <w:rFonts w:ascii="Arial" w:hAnsi="Arial" w:cs="Arial" w:hint="eastAsia"/>
                <w:sz w:val="18"/>
                <w:szCs w:val="18"/>
              </w:rPr>
              <w:instrText>‐</w:instrText>
            </w:r>
            <w:r>
              <w:rPr>
                <w:rFonts w:ascii="Arial" w:hAnsi="Arial" w:cs="Arial" w:hint="eastAsia"/>
                <w:sz w:val="18"/>
                <w:szCs w:val="18"/>
              </w:rPr>
              <w:instrText>Gil&lt;/author&gt;&lt;author&gt;Lee, Yura&lt;/author&gt;&lt;author&gt;Seo, Dong</w:instrText>
            </w:r>
            <w:r>
              <w:rPr>
                <w:rFonts w:ascii="Arial" w:hAnsi="Arial" w:cs="Arial" w:hint="eastAsia"/>
                <w:sz w:val="18"/>
                <w:szCs w:val="18"/>
              </w:rPr>
              <w:instrText>‐</w:instrText>
            </w:r>
            <w:r>
              <w:rPr>
                <w:rFonts w:ascii="Arial" w:hAnsi="Arial" w:cs="Arial" w:hint="eastAsia"/>
                <w:sz w:val="18"/>
                <w:szCs w:val="18"/>
              </w:rPr>
              <w:instrText>Woo&lt;/author&gt;&lt;author&gt;Lee, Kye Hwa&lt;/author&gt;&lt;author&gt;Lee, Jae</w:instrText>
            </w:r>
            <w:r>
              <w:rPr>
                <w:rFonts w:ascii="Arial" w:hAnsi="Arial" w:cs="Arial" w:hint="eastAsia"/>
                <w:sz w:val="18"/>
                <w:szCs w:val="18"/>
              </w:rPr>
              <w:instrText>‐</w:instrText>
            </w:r>
            <w:r>
              <w:rPr>
                <w:rFonts w:ascii="Arial" w:hAnsi="Arial" w:cs="Arial" w:hint="eastAsia"/>
                <w:sz w:val="18"/>
                <w:szCs w:val="18"/>
              </w:rPr>
              <w:instrText>Ho&lt;/author&gt;&lt;author&gt;Kim, Woo Sung&lt;/author&gt;&lt;author&gt;Kim, Young</w:instrText>
            </w:r>
            <w:r>
              <w:rPr>
                <w:rFonts w:ascii="Arial" w:hAnsi="Arial" w:cs="Arial" w:hint="eastAsia"/>
                <w:sz w:val="18"/>
                <w:szCs w:val="18"/>
              </w:rPr>
              <w:instrText>‐</w:instrText>
            </w:r>
            <w:r>
              <w:rPr>
                <w:rFonts w:ascii="Arial" w:hAnsi="Arial" w:cs="Arial" w:hint="eastAsia"/>
                <w:sz w:val="18"/>
                <w:szCs w:val="18"/>
              </w:rPr>
              <w:instrText>Hak&lt;/author&gt;&lt;author&gt;Oh, Ji Seon&lt;/author&gt;&lt;/authors&gt;&lt;/contributors&gt;&lt;titles&gt;&lt;title&gt;High</w:instrText>
            </w:r>
            <w:r>
              <w:rPr>
                <w:rFonts w:ascii="Arial" w:hAnsi="Arial" w:cs="Arial" w:hint="eastAsia"/>
                <w:sz w:val="18"/>
                <w:szCs w:val="18"/>
              </w:rPr>
              <w:instrText>‐</w:instrText>
            </w:r>
            <w:r>
              <w:rPr>
                <w:rFonts w:ascii="Arial" w:hAnsi="Arial" w:cs="Arial" w:hint="eastAsia"/>
                <w:sz w:val="18"/>
                <w:szCs w:val="18"/>
              </w:rPr>
              <w:instrText>Throughput Algorithm for Discovering New Drug Indications by Utilizing Large</w:instrText>
            </w:r>
            <w:r>
              <w:rPr>
                <w:rFonts w:ascii="Arial" w:hAnsi="Arial" w:cs="Arial" w:hint="eastAsia"/>
                <w:sz w:val="18"/>
                <w:szCs w:val="18"/>
              </w:rPr>
              <w:instrText>‐</w:instrText>
            </w:r>
            <w:r>
              <w:rPr>
                <w:rFonts w:ascii="Arial" w:hAnsi="Arial" w:cs="Arial" w:hint="eastAsia"/>
                <w:sz w:val="18"/>
                <w:szCs w:val="18"/>
              </w:rPr>
              <w:instrText>Scale Electronic Medical Record Data&lt;/title&gt;&lt;secondary-title&gt;Clinical Pharmacology &amp;amp; Therapeutics&lt;/secondary-title&gt;&lt;/titles&gt;&lt;periodical&gt;&lt;full-title&gt;Clinical Pharmacology &amp;amp; Therapeutics&lt;/full-title&gt;&lt;/periodical&gt;&lt;pages&gt;1299-13</w:instrText>
            </w:r>
            <w:r>
              <w:rPr>
                <w:rFonts w:ascii="Arial" w:hAnsi="Arial" w:cs="Arial"/>
                <w:sz w:val="18"/>
                <w:szCs w:val="18"/>
              </w:rPr>
              <w:instrText>07&lt;/pages&gt;&lt;volume&gt;108&lt;/volume&gt;&lt;number&gt;6&lt;/number&gt;&lt;dates&gt;&lt;year&gt;2020&lt;/year&gt;&lt;/dates&gt;&lt;isbn&gt;0009-9236&lt;/isbn&gt;&lt;urls&gt;&lt;/urls&gt;&lt;/record&gt;&lt;/Cite&gt;&lt;/EndNote&gt;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26</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Sensitivity</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Specificity</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3) Negative predictive value</w:t>
            </w:r>
          </w:p>
          <w:p w:rsidR="00575628" w:rsidRPr="00A14F04" w:rsidRDefault="00575628" w:rsidP="006B7DC3">
            <w:pPr>
              <w:spacing w:after="0" w:line="240" w:lineRule="auto"/>
              <w:rPr>
                <w:rFonts w:ascii="Arial" w:hAnsi="Arial" w:cs="Arial"/>
                <w:sz w:val="18"/>
                <w:szCs w:val="18"/>
              </w:rPr>
            </w:pPr>
            <w:r w:rsidRPr="00A14F04">
              <w:rPr>
                <w:rFonts w:ascii="Arial" w:hAnsi="Arial" w:cs="Arial"/>
                <w:noProof/>
                <w:sz w:val="18"/>
                <w:szCs w:val="18"/>
              </w:rPr>
              <w:t>4) Positive predictive value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5) Accuracy</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r w:rsidRPr="00A14F04" w:rsidDel="00EF461C">
              <w:rPr>
                <w:rFonts w:ascii="Arial" w:hAnsi="Arial" w:cs="Arial"/>
                <w:sz w:val="18"/>
                <w:szCs w:val="18"/>
              </w:rPr>
              <w:t xml:space="preserve"> </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 (laboratory tests, drugs)</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Knowledge-based</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Literature</w:t>
            </w:r>
          </w:p>
          <w:p w:rsidR="00575628" w:rsidRPr="00A14F04" w:rsidRDefault="00575628" w:rsidP="006B7DC3">
            <w:pPr>
              <w:spacing w:after="0" w:line="240" w:lineRule="auto"/>
              <w:rPr>
                <w:rFonts w:ascii="Arial" w:hAnsi="Arial" w:cs="Arial"/>
                <w:sz w:val="18"/>
                <w:szCs w:val="18"/>
              </w:rPr>
            </w:pP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Jang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&lt;EndNote&gt;&lt;Cite&gt;&lt;Author&gt;Jang&lt;/Author&gt;&lt;Year&gt;2016&lt;/Year&gt;&lt;RecNum&gt;443&lt;/RecNum&gt;&lt;DisplayText&gt;&lt;style face="superscript"&gt;41&lt;/style&gt;&lt;/DisplayText&gt;&lt;record&gt;&lt;rec-number&gt;443&lt;/rec-number&gt;&lt;foreign-keys&gt;&lt;key app="EN" db-id="waeppwvvowz0z5es9scxvwwnwte25s55w2dp" timestamp="1624292980"&gt;443&lt;/key&gt;&lt;/foreign-keys&gt;&lt;ref-type name="Journal Article"&gt;17&lt;/ref-type&gt;&lt;contributors&gt;&lt;authors&gt;&lt;author&gt;Jang, Dongjin&lt;/author&gt;&lt;author&gt;Lee, Sejoon&lt;/author&gt;&lt;author&gt;Lee, Jaehyun&lt;/author&gt;&lt;author&gt;Kim, Kiseong&lt;/author&gt;&lt;author&gt;Lee, Doheon&lt;/author&gt;&lt;/authors&gt;&lt;/contributors&gt;&lt;titles&gt;&lt;title&gt;Inferring new drug indications using the complementarity between clinical disease signatures and drug effects&lt;/title&gt;&lt;secondary-title&gt;Journal of biomedical informatics&lt;/secondary-title&gt;&lt;/titles&gt;&lt;periodical&gt;&lt;full-title&gt;Journal of biomedical informatics&lt;/full-title&gt;&lt;/periodical&gt;&lt;pages&gt;248-257&lt;/pages&gt;&lt;volume&gt;59&lt;/volume&gt;&lt;dates&gt;&lt;year&gt;2016&lt;/year&gt;&lt;/dates&gt;&lt;isbn&gt;1532-0464&lt;/isbn&gt;&lt;urls&gt;&lt;/urls&gt;&lt;/record&gt;&lt;/Cite&gt;&lt;/EndNote&gt;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41</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P-value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True positive</w:t>
            </w:r>
          </w:p>
          <w:p w:rsidR="00575628" w:rsidRPr="00A14F04" w:rsidRDefault="00575628" w:rsidP="006B7DC3">
            <w:pPr>
              <w:spacing w:after="0" w:line="240" w:lineRule="auto"/>
              <w:rPr>
                <w:rFonts w:ascii="Arial" w:hAnsi="Arial" w:cs="Arial"/>
                <w:sz w:val="18"/>
                <w:szCs w:val="18"/>
              </w:rPr>
            </w:pP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r w:rsidRPr="00A14F04" w:rsidDel="00EF461C">
              <w:rPr>
                <w:rFonts w:ascii="Arial" w:hAnsi="Arial" w:cs="Arial"/>
                <w:sz w:val="18"/>
                <w:szCs w:val="18"/>
              </w:rPr>
              <w:t xml:space="preserve"> </w:t>
            </w:r>
          </w:p>
        </w:tc>
        <w:tc>
          <w:tcPr>
            <w:tcW w:w="3240" w:type="dxa"/>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EHR (drug, diagnosis, laboratory tests)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Literature (</w:t>
            </w:r>
            <w:r w:rsidRPr="00A14F04">
              <w:rPr>
                <w:rFonts w:ascii="Arial" w:hAnsi="Arial" w:cs="Arial"/>
                <w:noProof/>
                <w:sz w:val="18"/>
                <w:szCs w:val="18"/>
              </w:rPr>
              <w:t>PubMed abstracts and their MeSH information</w:t>
            </w:r>
            <w:r w:rsidRPr="00A14F04">
              <w:rPr>
                <w:rFonts w:ascii="Arial" w:hAnsi="Arial" w:cs="Arial"/>
                <w:sz w:val="18"/>
                <w:szCs w:val="18"/>
              </w:rPr>
              <w:t>)</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3) Drugbank (drug information)</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Knowledgebase</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2) Clinical trials</w:t>
            </w:r>
          </w:p>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3) Literature</w:t>
            </w:r>
          </w:p>
          <w:p w:rsidR="00575628" w:rsidRPr="00A14F04" w:rsidRDefault="00575628" w:rsidP="006B7DC3">
            <w:pPr>
              <w:spacing w:after="0" w:line="240" w:lineRule="auto"/>
              <w:rPr>
                <w:rFonts w:ascii="Arial" w:hAnsi="Arial" w:cs="Arial"/>
                <w:sz w:val="18"/>
                <w:szCs w:val="18"/>
              </w:rPr>
            </w:pPr>
          </w:p>
          <w:p w:rsidR="00575628" w:rsidRPr="00A14F04" w:rsidRDefault="00575628" w:rsidP="006B7DC3">
            <w:pPr>
              <w:spacing w:after="0" w:line="240" w:lineRule="auto"/>
              <w:rPr>
                <w:rFonts w:ascii="Arial" w:hAnsi="Arial" w:cs="Arial"/>
                <w:sz w:val="18"/>
                <w:szCs w:val="18"/>
              </w:rPr>
            </w:pPr>
          </w:p>
        </w:tc>
      </w:tr>
      <w:tr w:rsidR="00575628" w:rsidRPr="00A14F04" w:rsidTr="006B7DC3">
        <w:trPr>
          <w:trHeight w:val="20"/>
          <w:jc w:val="center"/>
        </w:trPr>
        <w:tc>
          <w:tcPr>
            <w:tcW w:w="170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Tatonetti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&lt;EndNote&gt;&lt;Cite&gt;&lt;Author&gt;Tatonetti&lt;/Author&gt;&lt;Year&gt;2012&lt;/Year&gt;&lt;RecNum&gt;435&lt;/RecNum&gt;&lt;DisplayText&gt;&lt;style face="superscript"&gt;22&lt;/style&gt;&lt;/DisplayText&gt;&lt;record&gt;&lt;rec-number&gt;435&lt;/rec-number&gt;&lt;foreign-keys&gt;&lt;key app="EN" db-id="waeppwvvowz0z5es9scxvwwnwte25s55w2dp" timestamp="1623948838"&gt;435&lt;/key&gt;&lt;/foreign-keys&gt;&lt;ref-type name="Journal Article"&gt;17&lt;/ref-type&gt;&lt;contributors&gt;&lt;authors&gt;&lt;author&gt;Tatonetti, Nicholas P&lt;/author&gt;&lt;author&gt;Patrick, P Ye&lt;/author&gt;&lt;author&gt;Daneshjou, Roxana&lt;/author&gt;&lt;author&gt;Altman, Russ B&lt;/author&gt;&lt;/authors&gt;&lt;/contributors&gt;&lt;titles&gt;&lt;title&gt;Data-driven prediction of drug effects and interactions&lt;/title&gt;&lt;secondary-title&gt;Science translational medicine&lt;/secondary-title&gt;&lt;/titles&gt;&lt;periodical&gt;&lt;full-title&gt;Science translational medicine&lt;/full-title&gt;&lt;/periodical&gt;&lt;pages&gt;125ra31-125ra31&lt;/pages&gt;&lt;volume&gt;4&lt;/volume&gt;&lt;number&gt;125&lt;/number&gt;&lt;dates&gt;&lt;year&gt;2012&lt;/year&gt;&lt;/dates&gt;&lt;isbn&gt;1946-6234&lt;/isbn&gt;&lt;urls&gt;&lt;/urls&gt;&lt;/record&gt;&lt;/Cite&gt;&lt;/EndNote&gt;</w:instrText>
            </w:r>
            <w:r w:rsidRPr="00A14F04">
              <w:rPr>
                <w:rFonts w:ascii="Arial" w:hAnsi="Arial" w:cs="Arial"/>
                <w:sz w:val="18"/>
                <w:szCs w:val="18"/>
              </w:rPr>
              <w:fldChar w:fldCharType="separate"/>
            </w:r>
            <w:r w:rsidRPr="00A14F04">
              <w:rPr>
                <w:rFonts w:ascii="Arial" w:hAnsi="Arial" w:cs="Arial"/>
                <w:noProof/>
                <w:sz w:val="18"/>
                <w:szCs w:val="18"/>
                <w:vertAlign w:val="superscript"/>
              </w:rPr>
              <w:t>22</w:t>
            </w:r>
            <w:r w:rsidRPr="00A14F04">
              <w:rPr>
                <w:rFonts w:ascii="Arial" w:hAnsi="Arial" w:cs="Arial"/>
                <w:sz w:val="18"/>
                <w:szCs w:val="18"/>
              </w:rPr>
              <w:fldChar w:fldCharType="end"/>
            </w:r>
          </w:p>
        </w:tc>
        <w:tc>
          <w:tcPr>
            <w:tcW w:w="153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AUC ROC</w:t>
            </w:r>
          </w:p>
        </w:tc>
        <w:tc>
          <w:tcPr>
            <w:tcW w:w="2340"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Performance of method</w:t>
            </w:r>
          </w:p>
        </w:tc>
        <w:tc>
          <w:tcPr>
            <w:tcW w:w="3240" w:type="dxa"/>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AERS (adverse event)</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2) SIDER (adverse event)</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3) Canada’s MedEffect resource (adverse event)</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4) EHR (adverse event)</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5) DrugBank (drug target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6) Matador (drug target information)</w:t>
            </w:r>
          </w:p>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7) Psychoactive Drug Screening Program (PDSP) chemical</w:t>
            </w:r>
          </w:p>
          <w:p w:rsidR="00575628" w:rsidRPr="00A14F04" w:rsidRDefault="00575628" w:rsidP="006B7DC3">
            <w:pPr>
              <w:spacing w:after="0" w:line="240" w:lineRule="auto"/>
              <w:rPr>
                <w:rFonts w:ascii="Arial" w:hAnsi="Arial" w:cs="Arial"/>
                <w:sz w:val="18"/>
                <w:szCs w:val="18"/>
              </w:rPr>
            </w:pPr>
            <w:r w:rsidRPr="00A14F04">
              <w:rPr>
                <w:rFonts w:ascii="Arial" w:hAnsi="Arial" w:cs="Arial"/>
                <w:noProof/>
                <w:sz w:val="18"/>
                <w:szCs w:val="18"/>
              </w:rPr>
              <w:t>databases (drug target information)</w:t>
            </w:r>
          </w:p>
        </w:tc>
        <w:tc>
          <w:tcPr>
            <w:tcW w:w="1625" w:type="dxa"/>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Knowledgebase</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Bai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&lt;EndNote&gt;&lt;Cite&gt;&lt;Author&gt;Bai&lt;/Author&gt;&lt;Year&gt;2021&lt;/Year&gt;&lt;RecNum&gt;529&lt;/RecNum&gt;&lt;DisplayText&gt;&lt;style face="superscript"&gt;52&lt;/style&gt;&lt;/DisplayText&gt;&lt;record&gt;&lt;rec-number&gt;529&lt;/rec-number&gt;&lt;foreign-keys&gt;&lt;key app="EN" db-id="waeppwvvowz0z5es9scxvwwnwte25s55w2dp" timestamp="1642612820"&gt;529&lt;/key&gt;&lt;/foreign-keys&gt;&lt;ref-type name="Journal Article"&gt;17&lt;/ref-type&gt;&lt;contributors&gt;&lt;authors&gt;&lt;author&gt;Bai, Lawrence&lt;/author&gt;&lt;author&gt;Scott, Madeleine KD&lt;/author&gt;&lt;author&gt;Steinberg, Ethan&lt;/author&gt;&lt;author&gt;Kalesinskas, Laurynas&lt;/author&gt;&lt;author&gt;Habtezion, Aida&lt;/author&gt;&lt;author&gt;Shah, Nigam H&lt;/author&gt;&lt;author&gt;Khatri, Purvesh&lt;/author&gt;&lt;/authors&gt;&lt;/contributors&gt;&lt;titles&gt;&lt;title&gt;Computational drug repositioning of atorvastatin for ulcerative colitis&lt;/title&gt;&lt;secondary-title&gt;Journal of the American Medical Informatics Association&lt;/secondary-title&gt;&lt;/titles&gt;&lt;periodical&gt;&lt;full-title&gt;Journal of the American Medical Informatics Association&lt;/full-title&gt;&lt;/periodical&gt;&lt;pages&gt;2325-2335&lt;/pages&gt;&lt;volume&gt;28&lt;/volume&gt;&lt;number&gt;11&lt;/number&gt;&lt;dates&gt;&lt;year&gt;2021&lt;/year&gt;&lt;/dates&gt;&lt;isbn&gt;1527-974X&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52</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Hazard ratios</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NCBI Gene Expression Omnibus (colon biopsy samples)</w:t>
            </w:r>
          </w:p>
          <w:p w:rsidR="00575628" w:rsidRPr="00A14F04" w:rsidRDefault="00575628" w:rsidP="006B7DC3">
            <w:pPr>
              <w:spacing w:after="0" w:line="240" w:lineRule="auto"/>
              <w:rPr>
                <w:rFonts w:ascii="Arial" w:hAnsi="Arial" w:cs="Arial"/>
                <w:sz w:val="18"/>
                <w:szCs w:val="18"/>
              </w:rPr>
            </w:pPr>
            <w:r w:rsidRPr="00A14F04">
              <w:rPr>
                <w:rFonts w:ascii="Arial" w:hAnsi="Arial" w:cs="Arial"/>
                <w:noProof/>
                <w:sz w:val="18"/>
                <w:szCs w:val="18"/>
              </w:rPr>
              <w:t xml:space="preserve">2) </w:t>
            </w:r>
            <w:r w:rsidRPr="00A14F04">
              <w:rPr>
                <w:rFonts w:ascii="Arial" w:hAnsi="Arial" w:cs="Arial"/>
                <w:sz w:val="18"/>
                <w:szCs w:val="18"/>
              </w:rPr>
              <w:t>EHR</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Claims</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Bi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&lt;EndNote&gt;&lt;Cite&gt;&lt;Author&gt;Bi&lt;/Author&gt;&lt;Year&gt;2021&lt;/Year&gt;&lt;RecNum&gt;532&lt;/RecNum&gt;&lt;DisplayText&gt;&lt;style face="superscript"&gt;45&lt;/style&gt;&lt;/DisplayText&gt;&lt;record&gt;&lt;rec-number&gt;532&lt;/rec-number&gt;&lt;foreign-keys&gt;&lt;key app="EN" db-id="waeppwvvowz0z5es9scxvwwnwte25s55w2dp" timestamp="1642612988"&gt;532&lt;/key&gt;&lt;/foreign-keys&gt;&lt;ref-type name="Journal Article"&gt;17&lt;/ref-type&gt;&lt;contributors&gt;&lt;authors&gt;&lt;author&gt;Bi, Junfeng&lt;/author&gt;&lt;author&gt;Khan, Atif&lt;/author&gt;&lt;author&gt;Tang, Jun&lt;/author&gt;&lt;author&gt;Armando, Aaron M&lt;/author&gt;&lt;author&gt;Wu, Sihan&lt;/author&gt;&lt;author&gt;Zhang, Wei&lt;/author&gt;&lt;author&gt;Gimple, Ryan C&lt;/author&gt;&lt;author&gt;Reed, Alex&lt;/author&gt;&lt;author&gt;Jing, Hui&lt;/author&gt;&lt;author&gt;Koga, Tomoyuki&lt;/author&gt;&lt;/authors&gt;&lt;/contributors&gt;&lt;titles&gt;&lt;title&gt;Targeting glioblastoma signaling and metabolism with a re-purposed brain-penetrant drug&lt;/title&gt;&lt;secondary-title&gt;Cell reports&lt;/secondary-title&gt;&lt;/titles&gt;&lt;periodical&gt;&lt;full-title&gt;Cell Reports&lt;/full-title&gt;&lt;/periodical&gt;&lt;pages&gt;109957&lt;/pages&gt;&lt;volume&gt;37&lt;/volume&gt;&lt;number&gt;5&lt;/number&gt;&lt;dates&gt;&lt;year&gt;2021&lt;/year&gt;&lt;/dates&gt;&lt;isbn&gt;2211-1247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45</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Hazard ratios</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EHR</w:t>
            </w:r>
            <w:r w:rsidRPr="00A14F04">
              <w:rPr>
                <w:rFonts w:ascii="Arial" w:hAnsi="Arial" w:cs="Arial"/>
                <w:sz w:val="18"/>
                <w:szCs w:val="18"/>
              </w:rPr>
              <w:br/>
              <w:t>2) Claims</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Cummings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&lt;EndNote&gt;&lt;Cite&gt;&lt;Author&gt;Cummings&lt;/Author&gt;&lt;Year&gt;2021&lt;/Year&gt;&lt;RecNum&gt;533&lt;/RecNum&gt;&lt;DisplayText&gt;&lt;style face="superscript"&gt;49&lt;/style&gt;&lt;/DisplayText&gt;&lt;record&gt;&lt;rec-number&gt;533&lt;/rec-number&gt;&lt;foreign-keys&gt;&lt;key app="EN" db-id="waeppwvvowz0z5es9scxvwwnwte25s55w2dp" timestamp="1642613040"&gt;533&lt;/key&gt;&lt;/foreign-keys&gt;&lt;ref-type name="Journal Article"&gt;17&lt;/ref-type&gt;&lt;contributors&gt;&lt;authors&gt;&lt;author&gt;Cummings, Tammy H&lt;/author&gt;&lt;author&gt;Magagnoli, Joseph&lt;/author&gt;&lt;author&gt;Hardin, James W&lt;/author&gt;&lt;author&gt;Sutton, S Scott&lt;/author&gt;&lt;/authors&gt;&lt;/contributors&gt;&lt;titles&gt;&lt;title&gt;Drug repurposing of dextromethorphan as a cellular target for the management of influenza&lt;/title&gt;&lt;secondary-title&gt;Pharmacotherapy: The Journal of Human Pharmacology and Drug Therapy&lt;/secondary-title&gt;&lt;/titles&gt;&lt;periodical&gt;&lt;full-title&gt;Pharmacotherapy: The Journal of Human Pharmacology and Drug Therapy&lt;/full-title&gt;&lt;/periodical&gt;&lt;pages&gt;796-803&lt;/pages&gt;&lt;volume&gt;41&lt;/volume&gt;&lt;number&gt;10&lt;/number&gt;&lt;dates&gt;&lt;year&gt;2021&lt;/year&gt;&lt;/dates&gt;&lt;isbn&gt;0277-0008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49</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Relative risk</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EHR (demographics, administrative claims, and pharmacy dispensation)</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Hsieh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&lt;EndNote&gt;&lt;Cite&gt;&lt;Author&gt;Hsieh&lt;/Author&gt;&lt;Year&gt;2021&lt;/Year&gt;&lt;RecNum&gt;534&lt;/RecNum&gt;&lt;DisplayText&gt;&lt;style face="superscript"&gt;36&lt;/style&gt;&lt;/DisplayText&gt;&lt;record&gt;&lt;rec-number&gt;534&lt;/rec-number&gt;&lt;foreign-keys&gt;&lt;key app="EN" db-id="waeppwvvowz0z5es9scxvwwnwte25s55w2dp" timestamp="1642613091"&gt;534&lt;/key&gt;&lt;/foreign-keys&gt;&lt;ref-type name="Journal Article"&gt;17&lt;/ref-type&gt;&lt;contributors&gt;&lt;authors&gt;&lt;author&gt;Hsieh, Kanglin&lt;/author&gt;&lt;author&gt;Wang, Yinyin&lt;/author&gt;&lt;author&gt;Chen, Luyao&lt;/author&gt;&lt;author&gt;Zhao, Zhongming&lt;/author&gt;&lt;author&gt;Savitz, Sean&lt;/author&gt;&lt;author&gt;Jiang, Xiaoqian&lt;/author&gt;&lt;author&gt;Tang, Jing&lt;/author&gt;&lt;author&gt;Kim, Yejin&lt;/author&gt;&lt;/authors&gt;&lt;/contributors&gt;&lt;titles&gt;&lt;title&gt;Drug repurposing for COVID-19 using graph neural network and harmonizing multiple evidence&lt;/title&gt;&lt;secondary-title&gt;Scientific reports&lt;/secondary-title&gt;&lt;/titles&gt;&lt;periodical&gt;&lt;full-title&gt;Scientific Reports&lt;/full-title&gt;&lt;/periodical&gt;&lt;pages&gt;1-13&lt;/pages&gt;&lt;volume&gt;11&lt;/volume&gt;&lt;number&gt;1&lt;/number&gt;&lt;dates&gt;&lt;year&gt;2021&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36</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AUROC</w:t>
            </w:r>
            <w:r w:rsidRPr="00A14F04">
              <w:rPr>
                <w:rFonts w:ascii="Arial" w:hAnsi="Arial" w:cs="Arial"/>
                <w:sz w:val="18"/>
                <w:szCs w:val="18"/>
              </w:rPr>
              <w:br/>
              <w:t>2) Precision</w:t>
            </w:r>
            <w:r w:rsidRPr="00A14F04">
              <w:rPr>
                <w:rFonts w:ascii="Arial" w:hAnsi="Arial" w:cs="Arial"/>
                <w:sz w:val="18"/>
                <w:szCs w:val="18"/>
              </w:rPr>
              <w:br/>
              <w:t>3) Recall</w:t>
            </w:r>
            <w:r w:rsidRPr="00A14F04">
              <w:rPr>
                <w:rFonts w:ascii="Arial" w:hAnsi="Arial" w:cs="Arial"/>
                <w:sz w:val="18"/>
                <w:szCs w:val="18"/>
              </w:rPr>
              <w:br/>
              <w:t>2) Averaged treatment effect among treated</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Performance of method </w:t>
            </w:r>
            <w:r w:rsidRPr="00A14F04">
              <w:rPr>
                <w:rFonts w:ascii="Arial" w:hAnsi="Arial" w:cs="Arial"/>
                <w:sz w:val="18"/>
                <w:szCs w:val="18"/>
              </w:rPr>
              <w:br/>
              <w:t>2) 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Comparative Toxicogenomics Database (drug-target interactions, pathways, gene/drug-phenotype interactions)</w:t>
            </w:r>
            <w:r w:rsidRPr="00A14F04">
              <w:rPr>
                <w:rFonts w:ascii="Arial" w:hAnsi="Arial" w:cs="Arial"/>
                <w:noProof/>
                <w:sz w:val="18"/>
                <w:szCs w:val="18"/>
              </w:rPr>
              <w:br/>
              <w:t>PPI experimental study (SARS- CoV-2 and host PPIs)</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Connectivity Map (cMAP) database</w:t>
            </w:r>
            <w:r w:rsidRPr="00A14F04">
              <w:rPr>
                <w:rFonts w:ascii="Arial" w:hAnsi="Arial" w:cs="Arial"/>
                <w:sz w:val="18"/>
                <w:szCs w:val="18"/>
              </w:rPr>
              <w:br/>
              <w:t>2) Literature</w:t>
            </w:r>
            <w:r w:rsidRPr="00A14F04">
              <w:rPr>
                <w:rFonts w:ascii="Arial" w:hAnsi="Arial" w:cs="Arial"/>
                <w:sz w:val="18"/>
                <w:szCs w:val="18"/>
              </w:rPr>
              <w:br/>
              <w:t>3) EHR</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Liu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&lt;EndNote&gt;&lt;Cite&gt;&lt;Author&gt;Liu&lt;/Author&gt;&lt;Year&gt;2021&lt;/Year&gt;&lt;RecNum&gt;535&lt;/RecNum&gt;&lt;DisplayText&gt;&lt;style face="superscript"&gt;33&lt;/style&gt;&lt;/DisplayText&gt;&lt;record&gt;&lt;rec-number&gt;535&lt;/rec-number&gt;&lt;foreign-keys&gt;&lt;key app="EN" db-id="waeppwvvowz0z5es9scxvwwnwte25s55w2dp" timestamp="1642613131"&gt;535&lt;/key&gt;&lt;/foreign-keys&gt;&lt;ref-type name="Journal Article"&gt;17&lt;/ref-type&gt;&lt;contributors&gt;&lt;authors&gt;&lt;author&gt;Liu, Ruoqi&lt;/author&gt;&lt;author&gt;Wei, Lai&lt;/author&gt;&lt;author&gt;Zhang, Ping&lt;/author&gt;&lt;/authors&gt;&lt;/contributors&gt;&lt;titles&gt;&lt;title&gt;A deep learning framework for drug repurposing via emulating clinical trials on real-world patient data&lt;/title&gt;&lt;secondary-title&gt;Nature Machine Intelligence&lt;/secondary-title&gt;&lt;/titles&gt;&lt;periodical&gt;&lt;full-title&gt;Nature Machine Intelligence&lt;/full-title&gt;&lt;/periodical&gt;&lt;pages&gt;68-75&lt;/pages&gt;&lt;volume&gt;3&lt;/volume&gt;&lt;number&gt;1&lt;/number&gt;&lt;dates&gt;&lt;year&gt;2021&lt;/year&gt;&lt;/dates&gt;&lt;isbn&gt;2522-5839&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33</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Treatment effect estimation</w:t>
            </w:r>
            <w:r w:rsidRPr="00A14F04">
              <w:rPr>
                <w:rFonts w:ascii="Arial" w:hAnsi="Arial" w:cs="Arial"/>
                <w:sz w:val="18"/>
                <w:szCs w:val="18"/>
              </w:rPr>
              <w:br/>
              <w:t>2) Confidence intervals</w:t>
            </w:r>
            <w:r w:rsidRPr="00A14F04">
              <w:rPr>
                <w:rFonts w:ascii="Arial" w:hAnsi="Arial" w:cs="Arial"/>
                <w:sz w:val="18"/>
                <w:szCs w:val="18"/>
              </w:rPr>
              <w:br/>
              <w:t>3)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Performance of method </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Claims (demographic charac- teristics, diagnosis codes</w:t>
            </w:r>
            <w:r>
              <w:rPr>
                <w:rFonts w:ascii="Arial" w:hAnsi="Arial" w:cs="Arial"/>
                <w:noProof/>
                <w:sz w:val="18"/>
                <w:szCs w:val="18"/>
              </w:rPr>
              <w:t>,</w:t>
            </w:r>
            <w:r w:rsidRPr="00A14F04">
              <w:rPr>
                <w:rFonts w:ascii="Arial" w:hAnsi="Arial" w:cs="Arial"/>
                <w:noProof/>
                <w:sz w:val="18"/>
                <w:szCs w:val="18"/>
              </w:rPr>
              <w:t xml:space="preserve"> and prescription medication)</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Claims</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Malki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&lt;EndNote&gt;&lt;Cite&gt;&lt;Author&gt;Malki&lt;/Author&gt;&lt;Year&gt;2021&lt;/Year&gt;&lt;RecNum&gt;536&lt;/RecNum&gt;&lt;DisplayText&gt;&lt;style face="superscript"&gt;44&lt;/style&gt;&lt;/DisplayText&gt;&lt;record&gt;&lt;rec-number&gt;536&lt;/rec-number&gt;&lt;foreign-keys&gt;&lt;key app="EN" db-id="waeppwvvowz0z5es9scxvwwnwte25s55w2dp" timestamp="1642613174"&gt;536&lt;/key&gt;&lt;/foreign-keys&gt;&lt;ref-type name="Journal Article"&gt;17&lt;/ref-type&gt;&lt;contributors&gt;&lt;authors&gt;&lt;author&gt;Malki, Mustafa Adnan&lt;/author&gt;&lt;author&gt;Dawed, Adem Y&lt;/author&gt;&lt;author&gt;Hayward, Caroline&lt;/author&gt;&lt;author&gt;Doney, Alex&lt;/author&gt;&lt;author&gt;Pearson, Ewan R&lt;/author&gt;&lt;/authors&gt;&lt;/contributors&gt;&lt;titles&gt;&lt;title&gt;Utilizing Large Electronic Medical Record Data Sets to Identify Novel Drug–Gene Interactions for Commonly Used Drugs&lt;/title&gt;&lt;secondary-title&gt;Clinical Pharmacology &amp;amp; Therapeutics&lt;/secondary-title&gt;&lt;/titles&gt;&lt;periodical&gt;&lt;full-title&gt;Clinical Pharmacology &amp;amp; Therapeutics&lt;/full-title&gt;&lt;/periodical&gt;&lt;pages&gt;816-825&lt;/pages&gt;&lt;volume&gt;110&lt;/volume&gt;&lt;number&gt;3&lt;/number&gt;&lt;dates&gt;&lt;year&gt;2021&lt;/year&gt;&lt;/dates&gt;&lt;isbn&gt;0009-9236&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44</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Odds ratio</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EHR (candidate common drugs)</w:t>
            </w:r>
            <w:r w:rsidRPr="00A14F04">
              <w:rPr>
                <w:rFonts w:ascii="Arial" w:hAnsi="Arial" w:cs="Arial"/>
                <w:noProof/>
                <w:sz w:val="18"/>
                <w:szCs w:val="18"/>
              </w:rPr>
              <w:br/>
              <w:t>2) DrugBank (candidate genetic variants)</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DrugBank</w:t>
            </w:r>
            <w:r w:rsidRPr="00A14F04">
              <w:rPr>
                <w:rFonts w:ascii="Arial" w:hAnsi="Arial" w:cs="Arial"/>
                <w:sz w:val="18"/>
                <w:szCs w:val="18"/>
              </w:rPr>
              <w:br/>
              <w:t>2) Literature</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Nordon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29</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Precision</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Performance of method </w:t>
            </w:r>
            <w:r w:rsidRPr="00A14F04">
              <w:rPr>
                <w:rFonts w:ascii="Arial" w:hAnsi="Arial" w:cs="Arial"/>
                <w:sz w:val="18"/>
                <w:szCs w:val="18"/>
              </w:rPr>
              <w:br/>
              <w:t>2) 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PubMed (biomedical knowledge graph)</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PubMed</w:t>
            </w:r>
            <w:r w:rsidRPr="00A14F04">
              <w:rPr>
                <w:rFonts w:ascii="Arial" w:hAnsi="Arial" w:cs="Arial"/>
                <w:sz w:val="18"/>
                <w:szCs w:val="18"/>
              </w:rPr>
              <w:br/>
              <w:t>2) Domain experts</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Ozery-Flato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&lt;EndNote&gt;&lt;Cite&gt;&lt;Author&gt;Ozery-Flato&lt;/Author&gt;&lt;Year&gt;2020&lt;/Year&gt;&lt;RecNum&gt;537&lt;/RecNum&gt;&lt;DisplayText&gt;&lt;style face="superscript"&gt;51&lt;/style&gt;&lt;/DisplayText&gt;&lt;record&gt;&lt;rec-number&gt;537&lt;/rec-number&gt;&lt;foreign-keys&gt;&lt;key app="EN" db-id="waeppwvvowz0z5es9scxvwwnwte25s55w2dp" timestamp="1642613231"&gt;537&lt;/key&gt;&lt;/foreign-keys&gt;&lt;ref-type name="Journal Article"&gt;17&lt;/ref-type&gt;&lt;contributors&gt;&lt;authors&gt;&lt;author&gt;Ozery-Flato, Michal&lt;/author&gt;&lt;author&gt;Goldschmidt, Yaara&lt;/author&gt;&lt;author&gt;Shaham, Oded&lt;/author&gt;&lt;author&gt;Ravid, Sivan&lt;/author&gt;&lt;author&gt;Yanover, Chen&lt;/author&gt;&lt;/authors&gt;&lt;/contributors&gt;&lt;titles&gt;&lt;title&gt;Framework for identifying drug repurposing candidates from observational healthcare data&lt;/title&gt;&lt;secondary-title&gt;JAMIA open&lt;/secondary-title&gt;&lt;/titles&gt;&lt;periodical&gt;&lt;full-title&gt;JAMIA Open&lt;/full-title&gt;&lt;/periodical&gt;&lt;pages&gt;536-544&lt;/pages&gt;&lt;volume&gt;3&lt;/volume&gt;&lt;number&gt;4&lt;/number&gt;&lt;dates&gt;&lt;year&gt;2020&lt;/year&gt;&lt;/dates&gt;&lt;isbn&gt;2574-2531&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51</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P-value</w:t>
            </w:r>
            <w:r w:rsidRPr="00A14F04">
              <w:rPr>
                <w:rFonts w:ascii="Arial" w:hAnsi="Arial" w:cs="Arial"/>
                <w:sz w:val="18"/>
                <w:szCs w:val="18"/>
              </w:rPr>
              <w:br/>
              <w:t>2) False discovery rate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Performance of method </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EHR</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Claims</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lastRenderedPageBreak/>
              <w:t xml:space="preserve">Reznikov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&lt;EndNote&gt;&lt;Cite&gt;&lt;Author&gt;Reznikov&lt;/Author&gt;&lt;Year&gt;2021&lt;/Year&gt;&lt;RecNum&gt;538&lt;/RecNum&gt;&lt;DisplayText&gt;&lt;style face="superscript"&gt;46&lt;/style&gt;&lt;/DisplayText&gt;&lt;record&gt;&lt;rec-number&gt;538&lt;/rec-number&gt;&lt;foreign-keys&gt;&lt;key app="EN" db-id="waeppwvvowz0z5es9scxvwwnwte25s55w2dp" timestamp="1642613276"&gt;538&lt;/key&gt;&lt;/foreign-keys&gt;&lt;ref-type name="Journal Article"&gt;17&lt;/ref-type&gt;&lt;contributors&gt;&lt;authors&gt;&lt;author&gt;Reznikov, Leah R&lt;/author&gt;&lt;author&gt;Norris, Michael H&lt;/author&gt;&lt;author&gt;Vashisht, Rohit&lt;/author&gt;&lt;author&gt;Bluhm, Andrew P&lt;/author&gt;&lt;author&gt;Li, Danmeng&lt;/author&gt;&lt;author&gt;Liao, Yan-Shin J&lt;/author&gt;&lt;author&gt;Brown, Ashley&lt;/author&gt;&lt;author&gt;Butte, Atul J&lt;/author&gt;&lt;author&gt;Ostrov, David A&lt;/author&gt;&lt;/authors&gt;&lt;/contributors&gt;&lt;titles&gt;&lt;title&gt;Identification of antiviral antihistamines for COVID-19 repurposing&lt;/title&gt;&lt;secondary-title&gt;Biochemical and biophysical research communications&lt;/secondary-title&gt;&lt;/titles&gt;&lt;periodical&gt;&lt;full-title&gt;Biochemical and biophysical research communications&lt;/full-title&gt;&lt;/periodical&gt;&lt;pages&gt;173-179&lt;/pages&gt;&lt;volume&gt;538&lt;/volume&gt;&lt;dates&gt;&lt;year&gt;2021&lt;/year&gt;&lt;/dates&gt;&lt;isbn&gt;0006-291X&lt;/isbn&gt;&lt;urls&gt;&lt;/urls&gt;&lt;/record&gt;&lt;/Cite&gt;&lt;/EndNote&gt;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46</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Odds ratio</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EHR (medical history and SARS-CoV-2 infection tests)</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Laboratory experiment</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Wen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&lt;EndNote&gt;&lt;Cite&gt;&lt;Author&gt;Wen&lt;/Author&gt;&lt;Year&gt;2021&lt;/Year&gt;&lt;RecNum&gt;539&lt;/RecNum&gt;&lt;DisplayText&gt;&lt;style face="superscript"&gt;42&lt;/style&gt;&lt;/DisplayText&gt;&lt;record&gt;&lt;rec-number&gt;539&lt;/rec-number&gt;&lt;foreign-keys&gt;&lt;key app="EN" db-id="waeppwvvowz0z5es9scxvwwnwte25s55w2dp" timestamp="1642613318"&gt;539&lt;/key&gt;&lt;/foreign-keys&gt;&lt;ref-type name="Journal Article"&gt;17&lt;/ref-type&gt;&lt;contributors&gt;&lt;authors&gt;&lt;author&gt;Wen, Qianlong&lt;/author&gt;&lt;author&gt;Liu, Ruoqi&lt;/author&gt;&lt;author&gt;Zhang, Ping&lt;/author&gt;&lt;/authors&gt;&lt;/contributors&gt;&lt;titles&gt;&lt;title&gt;Clinical connectivity map for drug repurposing: using laboratory results to bridge drugs and diseases&lt;/title&gt;&lt;secondary-title&gt;BMC medical informatics and decision making&lt;/secondary-title&gt;&lt;/titles&gt;&lt;periodical&gt;&lt;full-title&gt;BMC medical informatics and decision making&lt;/full-title&gt;&lt;/periodical&gt;&lt;pages&gt;1-11&lt;/pages&gt;&lt;volume&gt;21&lt;/volume&gt;&lt;number&gt;8&lt;/number&gt;&lt;dates&gt;&lt;year&gt;2021&lt;/year&gt;&lt;/dates&gt;&lt;isbn&gt;1472-6947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42</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Precision at K</w:t>
            </w:r>
            <w:r w:rsidRPr="00A14F04">
              <w:rPr>
                <w:rFonts w:ascii="Arial" w:hAnsi="Arial" w:cs="Arial"/>
                <w:sz w:val="18"/>
                <w:szCs w:val="18"/>
              </w:rPr>
              <w:br/>
              <w:t>2) Fold</w:t>
            </w:r>
            <w:r w:rsidRPr="00A14F04">
              <w:rPr>
                <w:rFonts w:ascii="Arial" w:hAnsi="Arial" w:cs="Arial" w:hint="eastAsia"/>
                <w:sz w:val="18"/>
                <w:szCs w:val="18"/>
              </w:rPr>
              <w:t xml:space="preserve"> </w:t>
            </w:r>
            <w:r w:rsidRPr="00A14F04">
              <w:rPr>
                <w:rFonts w:ascii="Arial" w:hAnsi="Arial" w:cs="Arial"/>
                <w:sz w:val="18"/>
                <w:szCs w:val="18"/>
              </w:rPr>
              <w:t>enrichment test</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Performance of method </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National Health and Nutrition Examination Survey (questionnaire and laboratory results)</w:t>
            </w:r>
            <w:r w:rsidRPr="00A14F04">
              <w:rPr>
                <w:rFonts w:ascii="Arial" w:hAnsi="Arial" w:cs="Arial"/>
                <w:noProof/>
                <w:sz w:val="18"/>
                <w:szCs w:val="18"/>
              </w:rPr>
              <w:br/>
              <w:t>2) EHR (prescription and laboratory resu</w:t>
            </w:r>
            <w:r>
              <w:rPr>
                <w:rFonts w:ascii="Arial" w:hAnsi="Arial" w:cs="Arial"/>
                <w:noProof/>
                <w:sz w:val="18"/>
                <w:szCs w:val="18"/>
              </w:rPr>
              <w:t>lt</w:t>
            </w:r>
            <w:r w:rsidRPr="00A14F04">
              <w:rPr>
                <w:rFonts w:ascii="Arial" w:hAnsi="Arial" w:cs="Arial"/>
                <w:noProof/>
                <w:sz w:val="18"/>
                <w:szCs w:val="18"/>
              </w:rPr>
              <w:t>s)</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Side Effect Resource</w:t>
            </w:r>
          </w:p>
        </w:tc>
      </w:tr>
      <w:tr w:rsidR="00575628" w:rsidRPr="00A14F04" w:rsidTr="006B7DC3">
        <w:trPr>
          <w:trHeight w:val="20"/>
          <w:jc w:val="center"/>
        </w:trPr>
        <w:tc>
          <w:tcPr>
            <w:tcW w:w="170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Zhou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&lt;EndNote&gt;&lt;Cite&gt;&lt;Author&gt;Zhou&lt;/Author&gt;&lt;Year&gt;2021&lt;/Year&gt;&lt;RecNum&gt;540&lt;/RecNum&gt;&lt;DisplayText&gt;&lt;style face="superscript"&gt;50&lt;/style&gt;&lt;/DisplayText&gt;&lt;record&gt;&lt;rec-number&gt;540&lt;/rec-number&gt;&lt;foreign-keys&gt;&lt;key app="EN" db-id="waeppwvvowz0z5es9scxvwwnwte25s55w2dp" timestamp="1642613357"&gt;540&lt;/key&gt;&lt;/foreign-keys&gt;&lt;ref-type name="Journal Article"&gt;17&lt;/ref-type&gt;&lt;contributors&gt;&lt;authors&gt;&lt;author&gt;Zhou, Mengshi&lt;/author&gt;&lt;author&gt;Wang, QuanQiu&lt;/author&gt;&lt;author&gt;Zheng, Chunlei&lt;/author&gt;&lt;author&gt;Rush, A John&lt;/author&gt;&lt;author&gt;Volkow, Nora D&lt;/author&gt;&lt;author&gt;Xu, Rong&lt;/author&gt;&lt;/authors&gt;&lt;/contributors&gt;&lt;titles&gt;&lt;title&gt;Drug repurposing for opioid use disorders: integration of computational prediction, clinical corroboration, and mechanism of action analyses&lt;/title&gt;&lt;secondary-title&gt;Molecular psychiatry&lt;/secondary-title&gt;&lt;/titles&gt;&lt;periodical&gt;&lt;full-title&gt;Molecular psychiatry&lt;/full-title&gt;&lt;/periodical&gt;&lt;pages&gt;1-11&lt;/pages&gt;&lt;dates&gt;&lt;year&gt;2021&lt;/year&gt;&lt;/dates&gt;&lt;isbn&gt;1476-5578&lt;/isbn&gt;&lt;urls&gt;&lt;/urls&gt;&lt;/record&gt;&lt;/Cite&gt;&lt;/EndNote&gt;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50</w:t>
            </w:r>
            <w:r w:rsidRPr="00A14F04">
              <w:rPr>
                <w:rFonts w:ascii="Arial" w:hAnsi="Arial" w:cs="Arial"/>
                <w:sz w:val="18"/>
                <w:szCs w:val="18"/>
              </w:rPr>
              <w:fldChar w:fldCharType="end"/>
            </w:r>
          </w:p>
        </w:tc>
        <w:tc>
          <w:tcPr>
            <w:tcW w:w="153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1) Odds ratio</w:t>
            </w:r>
            <w:r w:rsidRPr="00A14F04">
              <w:rPr>
                <w:rFonts w:ascii="Arial" w:hAnsi="Arial" w:cs="Arial"/>
                <w:sz w:val="18"/>
                <w:szCs w:val="18"/>
              </w:rPr>
              <w:br/>
              <w:t>2) P-value</w:t>
            </w:r>
          </w:p>
        </w:tc>
        <w:tc>
          <w:tcPr>
            <w:tcW w:w="2340"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Performance of method </w:t>
            </w:r>
            <w:r w:rsidRPr="00A14F04">
              <w:rPr>
                <w:rFonts w:ascii="Arial" w:hAnsi="Arial" w:cs="Arial"/>
                <w:sz w:val="18"/>
                <w:szCs w:val="18"/>
              </w:rPr>
              <w:br/>
              <w:t>2) Validation of new drugs</w:t>
            </w:r>
          </w:p>
        </w:tc>
        <w:tc>
          <w:tcPr>
            <w:tcW w:w="3240" w:type="dxa"/>
            <w:shd w:val="clear" w:color="auto" w:fill="auto"/>
          </w:tcPr>
          <w:p w:rsidR="00575628" w:rsidRPr="00A14F04" w:rsidRDefault="00575628" w:rsidP="006B7DC3">
            <w:pPr>
              <w:spacing w:after="0" w:line="240" w:lineRule="auto"/>
              <w:rPr>
                <w:rFonts w:ascii="Arial" w:hAnsi="Arial" w:cs="Arial"/>
                <w:noProof/>
                <w:sz w:val="18"/>
                <w:szCs w:val="18"/>
              </w:rPr>
            </w:pPr>
            <w:r w:rsidRPr="00A14F04">
              <w:rPr>
                <w:rFonts w:ascii="Arial" w:hAnsi="Arial" w:cs="Arial"/>
                <w:noProof/>
                <w:sz w:val="18"/>
                <w:szCs w:val="18"/>
              </w:rPr>
              <w:t>1) Side Effect Resource (SIDER) database (drug side effects network)</w:t>
            </w:r>
            <w:r w:rsidRPr="00A14F04">
              <w:rPr>
                <w:rFonts w:ascii="Arial" w:hAnsi="Arial" w:cs="Arial"/>
                <w:noProof/>
                <w:sz w:val="18"/>
                <w:szCs w:val="18"/>
              </w:rPr>
              <w:br/>
              <w:t>2) STRING (protein-protein interaction network)</w:t>
            </w:r>
          </w:p>
        </w:tc>
        <w:tc>
          <w:tcPr>
            <w:tcW w:w="1625" w:type="dxa"/>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w:t>
            </w:r>
          </w:p>
        </w:tc>
      </w:tr>
      <w:tr w:rsidR="00575628" w:rsidRPr="00A14F04" w:rsidTr="006B7DC3">
        <w:trPr>
          <w:trHeight w:val="20"/>
          <w:jc w:val="center"/>
        </w:trPr>
        <w:tc>
          <w:tcPr>
            <w:tcW w:w="1705" w:type="dxa"/>
            <w:tcBorders>
              <w:bottom w:val="single" w:sz="4" w:space="0" w:color="auto"/>
            </w:tcBorders>
            <w:shd w:val="clear" w:color="auto" w:fill="auto"/>
            <w:vAlign w:val="center"/>
          </w:tcPr>
          <w:p w:rsidR="00575628" w:rsidRPr="00A14F04" w:rsidRDefault="00575628" w:rsidP="006B7DC3">
            <w:pPr>
              <w:spacing w:after="0" w:line="240" w:lineRule="auto"/>
              <w:rPr>
                <w:rFonts w:ascii="Arial" w:hAnsi="Arial" w:cs="Arial"/>
                <w:sz w:val="18"/>
                <w:szCs w:val="18"/>
              </w:rPr>
            </w:pPr>
            <w:r w:rsidRPr="0007710C">
              <w:rPr>
                <w:rFonts w:ascii="Arial" w:hAnsi="Arial" w:cs="Arial"/>
                <w:sz w:val="18"/>
                <w:szCs w:val="18"/>
              </w:rPr>
              <w:t>Kuang et al</w:t>
            </w:r>
            <w:r w:rsidRPr="00A14F04">
              <w:rPr>
                <w:rFonts w:ascii="Arial" w:hAnsi="Arial" w:cs="Arial"/>
                <w:sz w:val="20"/>
                <w:szCs w:val="20"/>
              </w:rPr>
              <w:t xml:space="preserve"> </w:t>
            </w:r>
            <w:r w:rsidRPr="00A14F04">
              <w:rPr>
                <w:rFonts w:ascii="Arial" w:hAnsi="Arial" w:cs="Arial"/>
                <w:sz w:val="20"/>
                <w:szCs w:val="20"/>
              </w:rPr>
              <w:fldChar w:fldCharType="begin"/>
            </w:r>
            <w:r>
              <w:rPr>
                <w:rFonts w:ascii="Arial" w:hAnsi="Arial" w:cs="Arial"/>
                <w:sz w:val="20"/>
                <w:szCs w:val="20"/>
              </w:rPr>
              <w:instrText xml:space="preserve"> ADDIN EN.CITE &lt;EndNote&gt;&lt;Cite&gt;&lt;Author&gt;Kuang&lt;/Author&gt;&lt;Year&gt;2019&lt;/Year&gt;&lt;RecNum&gt;452&lt;/RecNum&gt;&lt;DisplayText&gt;&lt;style face="superscript"&gt;38&lt;/style&gt;&lt;/DisplayText&gt;&lt;record&gt;&lt;rec-number&gt;452&lt;/rec-number&gt;&lt;foreign-keys&gt;&lt;key app="EN" db-id="waeppwvvowz0z5es9scxvwwnwte25s55w2dp" timestamp="1624298177"&gt;452&lt;/key&gt;&lt;/foreign-keys&gt;&lt;ref-type name="Book Section"&gt;5&lt;/ref-type&gt;&lt;contributors&gt;&lt;authors&gt;&lt;author&gt;Kuang, Zhaobin&lt;/author&gt;&lt;author&gt;Bao, Yujia&lt;/author&gt;&lt;author&gt;Thomson, James&lt;/author&gt;&lt;author&gt;Caldwell, Michael&lt;/author&gt;&lt;author&gt;Peissig, Peggy&lt;/author&gt;&lt;author&gt;Stewart, Ron&lt;/author&gt;&lt;author&gt;Willett, Rebecca&lt;/author&gt;&lt;author&gt;Page, David&lt;/author&gt;&lt;/authors&gt;&lt;/contributors&gt;&lt;titles&gt;&lt;title&gt;A machine-learning-based drug repurposing approach using baseline regularization&lt;/title&gt;&lt;secondary-title&gt;Computational Methods for Drug Repurposing&lt;/secondary-title&gt;&lt;/titles&gt;&lt;pages&gt;255-267&lt;/pages&gt;&lt;dates&gt;&lt;year&gt;2019&lt;/year&gt;&lt;/dates&gt;&lt;publisher&gt;Springer&lt;/publisher&gt;&lt;urls&gt;&lt;/urls&gt;&lt;/record&gt;&lt;/Cite&gt;&lt;/EndNote&gt;</w:instrText>
            </w:r>
            <w:r w:rsidRPr="00A14F04">
              <w:rPr>
                <w:rFonts w:ascii="Arial" w:hAnsi="Arial" w:cs="Arial"/>
                <w:sz w:val="20"/>
                <w:szCs w:val="20"/>
              </w:rPr>
              <w:fldChar w:fldCharType="separate"/>
            </w:r>
            <w:r w:rsidRPr="00303171">
              <w:rPr>
                <w:rFonts w:ascii="Arial" w:hAnsi="Arial" w:cs="Arial"/>
                <w:noProof/>
                <w:sz w:val="20"/>
                <w:szCs w:val="20"/>
                <w:vertAlign w:val="superscript"/>
              </w:rPr>
              <w:t>38</w:t>
            </w:r>
            <w:r w:rsidRPr="00A14F04">
              <w:rPr>
                <w:rFonts w:ascii="Arial" w:hAnsi="Arial" w:cs="Arial"/>
                <w:sz w:val="20"/>
                <w:szCs w:val="20"/>
              </w:rPr>
              <w:fldChar w:fldCharType="end"/>
            </w:r>
          </w:p>
        </w:tc>
        <w:tc>
          <w:tcPr>
            <w:tcW w:w="1530" w:type="dxa"/>
            <w:tcBorders>
              <w:bottom w:val="single" w:sz="4" w:space="0" w:color="auto"/>
            </w:tcBorders>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 xml:space="preserve">1) </w:t>
            </w:r>
            <w:r w:rsidRPr="0007710C">
              <w:rPr>
                <w:rFonts w:ascii="Arial" w:hAnsi="Arial" w:cs="Arial"/>
                <w:sz w:val="18"/>
                <w:szCs w:val="18"/>
              </w:rPr>
              <w:t>Fasting blood</w:t>
            </w:r>
            <w:r w:rsidRPr="0007710C">
              <w:rPr>
                <w:rFonts w:ascii="Arial" w:hAnsi="Arial" w:cs="Arial"/>
                <w:sz w:val="18"/>
                <w:szCs w:val="18"/>
              </w:rPr>
              <w:br/>
              <w:t>sugar (FBG) level</w:t>
            </w:r>
          </w:p>
        </w:tc>
        <w:tc>
          <w:tcPr>
            <w:tcW w:w="2340" w:type="dxa"/>
            <w:tcBorders>
              <w:bottom w:val="single" w:sz="4" w:space="0" w:color="auto"/>
            </w:tcBorders>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Validation of new drugs</w:t>
            </w:r>
          </w:p>
        </w:tc>
        <w:tc>
          <w:tcPr>
            <w:tcW w:w="3240" w:type="dxa"/>
            <w:tcBorders>
              <w:bottom w:val="single" w:sz="4" w:space="0" w:color="auto"/>
            </w:tcBorders>
            <w:shd w:val="clear" w:color="auto" w:fill="auto"/>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EHR</w:t>
            </w:r>
          </w:p>
        </w:tc>
        <w:tc>
          <w:tcPr>
            <w:tcW w:w="1625" w:type="dxa"/>
            <w:tcBorders>
              <w:bottom w:val="single" w:sz="4" w:space="0" w:color="auto"/>
            </w:tcBorders>
            <w:shd w:val="clear" w:color="auto" w:fill="auto"/>
            <w:vAlign w:val="center"/>
          </w:tcPr>
          <w:p w:rsidR="00575628" w:rsidRPr="00A14F04" w:rsidRDefault="00575628" w:rsidP="006B7DC3">
            <w:pPr>
              <w:spacing w:after="0" w:line="240" w:lineRule="auto"/>
              <w:rPr>
                <w:rFonts w:ascii="Arial" w:hAnsi="Arial" w:cs="Arial"/>
                <w:sz w:val="18"/>
                <w:szCs w:val="18"/>
              </w:rPr>
            </w:pPr>
            <w:r w:rsidRPr="00A14F04">
              <w:rPr>
                <w:rFonts w:ascii="Arial" w:hAnsi="Arial" w:cs="Arial"/>
                <w:sz w:val="18"/>
                <w:szCs w:val="18"/>
              </w:rPr>
              <w:t>Literature</w:t>
            </w:r>
          </w:p>
        </w:tc>
      </w:tr>
    </w:tbl>
    <w:p w:rsidR="00575628" w:rsidRPr="00A14F04" w:rsidRDefault="00575628" w:rsidP="00575628">
      <w:pPr>
        <w:rPr>
          <w:rFonts w:ascii="Arial" w:hAnsi="Arial" w:cs="Arial"/>
          <w:sz w:val="24"/>
          <w:szCs w:val="20"/>
        </w:rPr>
      </w:pPr>
    </w:p>
    <w:p w:rsidR="00575628" w:rsidRPr="00A14F04" w:rsidRDefault="00575628" w:rsidP="00575628">
      <w:pPr>
        <w:rPr>
          <w:rFonts w:ascii="Arial" w:hAnsi="Arial" w:cs="Arial"/>
          <w:sz w:val="24"/>
          <w:szCs w:val="20"/>
        </w:rPr>
      </w:pPr>
      <w:r w:rsidRPr="00A14F04">
        <w:rPr>
          <w:rFonts w:ascii="Arial" w:hAnsi="Arial" w:cs="Arial"/>
          <w:sz w:val="24"/>
          <w:szCs w:val="20"/>
        </w:rPr>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C95FAC">
        <w:rPr>
          <w:rFonts w:ascii="Arial" w:hAnsi="Arial" w:cs="Arial"/>
          <w:color w:val="auto"/>
          <w:sz w:val="24"/>
          <w:szCs w:val="20"/>
          <w:highlight w:val="yellow"/>
          <w:lang w:eastAsia="zh-CN"/>
        </w:rPr>
        <w:lastRenderedPageBreak/>
        <w:t xml:space="preserve">Supplementary </w:t>
      </w:r>
      <w:r w:rsidRPr="004B5220">
        <w:rPr>
          <w:rFonts w:ascii="Arial" w:hAnsi="Arial" w:cs="Arial"/>
          <w:color w:val="auto"/>
          <w:sz w:val="24"/>
          <w:szCs w:val="20"/>
          <w:highlight w:val="yellow"/>
          <w:lang w:eastAsia="zh-CN"/>
        </w:rPr>
        <w:t xml:space="preserve">Table </w:t>
      </w:r>
      <w:r>
        <w:rPr>
          <w:rFonts w:ascii="Arial" w:hAnsi="Arial" w:cs="Arial"/>
          <w:color w:val="auto"/>
          <w:sz w:val="24"/>
          <w:szCs w:val="20"/>
          <w:lang w:eastAsia="zh-CN"/>
        </w:rPr>
        <w:t>6</w:t>
      </w:r>
    </w:p>
    <w:p w:rsidR="00575628" w:rsidRPr="00A14F04" w:rsidRDefault="00575628" w:rsidP="00575628">
      <w:pPr>
        <w:pStyle w:val="MDPI41tablecaption"/>
        <w:spacing w:line="480" w:lineRule="auto"/>
        <w:ind w:left="0"/>
        <w:rPr>
          <w:rFonts w:ascii="Arial" w:hAnsi="Arial" w:cs="Arial"/>
          <w:b/>
          <w:color w:val="auto"/>
          <w:sz w:val="20"/>
          <w:szCs w:val="20"/>
        </w:rPr>
      </w:pPr>
      <w:r w:rsidRPr="00304508">
        <w:rPr>
          <w:rFonts w:ascii="Arial" w:hAnsi="Arial" w:cs="Arial"/>
          <w:b/>
          <w:color w:val="auto"/>
          <w:sz w:val="20"/>
          <w:szCs w:val="20"/>
          <w:highlight w:val="yellow"/>
        </w:rPr>
        <w:t>Supplementary Table 6</w:t>
      </w:r>
      <w:r w:rsidRPr="00A14F04">
        <w:rPr>
          <w:rFonts w:ascii="Arial" w:hAnsi="Arial" w:cs="Arial"/>
          <w:b/>
          <w:color w:val="auto"/>
          <w:sz w:val="20"/>
          <w:szCs w:val="20"/>
        </w:rPr>
        <w:t xml:space="preserve">. </w:t>
      </w:r>
      <w:r w:rsidRPr="00A14F04">
        <w:rPr>
          <w:rFonts w:ascii="Arial" w:hAnsi="Arial" w:cs="Arial"/>
          <w:color w:val="auto"/>
          <w:sz w:val="20"/>
          <w:szCs w:val="20"/>
        </w:rPr>
        <w:t xml:space="preserve">Summary of </w:t>
      </w:r>
      <w:r>
        <w:rPr>
          <w:rFonts w:ascii="Arial" w:hAnsi="Arial" w:cs="Arial"/>
          <w:color w:val="auto"/>
          <w:sz w:val="20"/>
          <w:szCs w:val="20"/>
        </w:rPr>
        <w:t>the targeted</w:t>
      </w:r>
      <w:r w:rsidRPr="00A14F04">
        <w:rPr>
          <w:rFonts w:ascii="Arial" w:hAnsi="Arial" w:cs="Arial"/>
          <w:color w:val="auto"/>
          <w:sz w:val="20"/>
          <w:szCs w:val="20"/>
        </w:rPr>
        <w:t xml:space="preserve"> disease.</w:t>
      </w:r>
    </w:p>
    <w:tbl>
      <w:tblPr>
        <w:tblStyle w:val="10"/>
        <w:tblW w:w="10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43" w:type="dxa"/>
          <w:bottom w:w="72" w:type="dxa"/>
          <w:right w:w="43" w:type="dxa"/>
        </w:tblCellMar>
        <w:tblLook w:val="04A0" w:firstRow="1" w:lastRow="0" w:firstColumn="1" w:lastColumn="0" w:noHBand="0" w:noVBand="1"/>
      </w:tblPr>
      <w:tblGrid>
        <w:gridCol w:w="1800"/>
        <w:gridCol w:w="8919"/>
      </w:tblGrid>
      <w:tr w:rsidR="00575628" w:rsidRPr="00A14F04" w:rsidTr="006B7D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tcPr>
          <w:p w:rsidR="00575628" w:rsidRPr="00A14F04" w:rsidRDefault="00575628" w:rsidP="006B7DC3">
            <w:pPr>
              <w:rPr>
                <w:rFonts w:ascii="Arial" w:hAnsi="Arial" w:cs="Arial"/>
              </w:rPr>
            </w:pPr>
            <w:r w:rsidRPr="00E31A49">
              <w:rPr>
                <w:rFonts w:ascii="Arial" w:hAnsi="Arial" w:cs="Arial"/>
              </w:rPr>
              <w:t>Paper</w:t>
            </w:r>
          </w:p>
        </w:tc>
        <w:tc>
          <w:tcPr>
            <w:tcW w:w="8919" w:type="dxa"/>
            <w:tcBorders>
              <w:top w:val="single" w:sz="4" w:space="0" w:color="auto"/>
              <w:bottom w:val="single" w:sz="4" w:space="0" w:color="auto"/>
            </w:tcBorders>
          </w:tcPr>
          <w:p w:rsidR="00575628" w:rsidRPr="00A14F04" w:rsidRDefault="00575628" w:rsidP="006B7DC3">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A14F04">
              <w:rPr>
                <w:rFonts w:ascii="Arial" w:hAnsi="Arial" w:cs="Arial"/>
              </w:rPr>
              <w:t>Disease targeted</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tcPr>
          <w:p w:rsidR="00575628" w:rsidRPr="0053433A" w:rsidRDefault="00575628" w:rsidP="006B7DC3">
            <w:pPr>
              <w:rPr>
                <w:rFonts w:ascii="Arial" w:hAnsi="Arial" w:cs="Arial"/>
                <w:b w:val="0"/>
                <w:sz w:val="18"/>
                <w:szCs w:val="18"/>
              </w:rPr>
            </w:pPr>
            <w:r w:rsidRPr="0053433A">
              <w:rPr>
                <w:rFonts w:ascii="Arial" w:hAnsi="Arial" w:cs="Arial"/>
                <w:b w:val="0"/>
                <w:sz w:val="18"/>
                <w:szCs w:val="18"/>
              </w:rPr>
              <w:t xml:space="preserve">Pinoges et al </w:t>
            </w:r>
            <w:r w:rsidRPr="0053433A">
              <w:rPr>
                <w:rFonts w:ascii="Arial" w:hAnsi="Arial" w:cs="Arial"/>
                <w:sz w:val="18"/>
                <w:szCs w:val="18"/>
              </w:rPr>
              <w:fldChar w:fldCharType="begin"/>
            </w:r>
            <w:r w:rsidRPr="0053433A">
              <w:rPr>
                <w:rFonts w:ascii="Arial" w:hAnsi="Arial" w:cs="Arial"/>
                <w:sz w:val="18"/>
                <w:szCs w:val="18"/>
              </w:rPr>
              <w:instrText xml:space="preserve"> ADDIN EN.CITE &lt;EndNote&gt;&lt;Cite&gt;&lt;Author&gt;Pinoges&lt;/Author&gt;&lt;Year&gt;2015&lt;/Year&gt;&lt;RecNum&gt;442&lt;/RecNum&gt;&lt;DisplayText&gt;&lt;style face="superscript"&gt;30&lt;/style&gt;&lt;/DisplayText&gt;&lt;record&gt;&lt;rec-number&gt;442&lt;/rec-number&gt;&lt;foreign-keys&gt;&lt;key app="EN" db-id="waeppwvvowz0z5es9scxvwwnwte25s55w2dp" timestamp="1624054683"&gt;442&lt;/key&gt;&lt;/foreign-keys&gt;&lt;ref-type name="Journal Article"&gt;17&lt;/ref-type&gt;&lt;contributors&gt;&lt;authors&gt;&lt;author&gt;Pinoges, Loretxu&lt;/author&gt;&lt;author&gt;Schramm, Birgit&lt;/author&gt;&lt;author&gt;Poulet, Elisabeth&lt;/author&gt;&lt;author&gt;Balkan, Suna&lt;/author&gt;&lt;author&gt;Szumilin, Elisabeth&lt;/author&gt;&lt;author&gt;Ferreyra, Cecilia&lt;/author&gt;&lt;author&gt;Pujades-Rodríguez, Mar&lt;/author&gt;&lt;/authors&gt;&lt;/contributors&gt;&lt;titles&gt;&lt;title&gt;Risk factors and mortality associated with resistance to first-line antiretroviral therapy: multicentric cross-sectional and longitudinal analyses&lt;/title&gt;&lt;secondary-title&gt;JAIDS Journal of Acquired Immune Deficiency Syndromes&lt;/secondary-title&gt;&lt;/titles&gt;&lt;periodical&gt;&lt;full-title&gt;JAIDS Journal of Acquired Immune Deficiency Syndromes&lt;/full-title&gt;&lt;/periodical&gt;&lt;pages&gt;527-535&lt;/pages&gt;&lt;volume&gt;68&lt;/volume&gt;&lt;number&gt;5&lt;/number&gt;&lt;dates&gt;&lt;year&gt;2015&lt;/year&gt;&lt;/dates&gt;&lt;isbn&gt;1525-4135&lt;/isbn&gt;&lt;urls&gt;&lt;/urls&gt;&lt;/record&gt;&lt;/Cite&gt;&lt;/EndNote&gt;</w:instrText>
            </w:r>
            <w:r w:rsidRPr="0053433A">
              <w:rPr>
                <w:rFonts w:ascii="Arial" w:hAnsi="Arial" w:cs="Arial"/>
                <w:sz w:val="18"/>
                <w:szCs w:val="18"/>
              </w:rPr>
              <w:fldChar w:fldCharType="separate"/>
            </w:r>
            <w:r w:rsidRPr="0053433A">
              <w:rPr>
                <w:rFonts w:ascii="Arial" w:hAnsi="Arial" w:cs="Arial"/>
                <w:noProof/>
                <w:sz w:val="18"/>
                <w:szCs w:val="18"/>
                <w:vertAlign w:val="superscript"/>
              </w:rPr>
              <w:t>30</w:t>
            </w:r>
            <w:r w:rsidRPr="0053433A">
              <w:rPr>
                <w:rFonts w:ascii="Arial" w:hAnsi="Arial" w:cs="Arial"/>
                <w:sz w:val="18"/>
                <w:szCs w:val="18"/>
              </w:rPr>
              <w:fldChar w:fldCharType="end"/>
            </w:r>
          </w:p>
        </w:tc>
        <w:tc>
          <w:tcPr>
            <w:tcW w:w="8919" w:type="dxa"/>
            <w:tcBorders>
              <w:top w:val="single" w:sz="4" w:space="0" w:color="auto"/>
            </w:tcBorders>
          </w:tcPr>
          <w:p w:rsidR="00575628" w:rsidRPr="0053433A"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3433A">
              <w:rPr>
                <w:rFonts w:ascii="Arial" w:hAnsi="Arial" w:cs="Arial"/>
                <w:sz w:val="18"/>
                <w:szCs w:val="18"/>
              </w:rPr>
              <w:t>HIV</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Paik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&lt;EndNote&gt;&lt;Cite&gt;&lt;Author&gt;Paik&lt;/Author&gt;&lt;Year&gt;2015&lt;/Year&gt;&lt;RecNum&gt;440&lt;/RecNum&gt;&lt;DisplayText&gt;&lt;style face="superscript"&gt;27&lt;/style&gt;&lt;/DisplayText&gt;&lt;record&gt;&lt;rec-number&gt;440&lt;/rec-number&gt;&lt;foreign-keys&gt;&lt;key app="EN" db-id="waeppwvvowz0z5es9scxvwwnwte25s55w2dp" timestamp="1624054173"&gt;440&lt;/key&gt;&lt;/foreign-keys&gt;&lt;ref-type name="Journal Article"&gt;17&lt;/ref-type&gt;&lt;contributors&gt;&lt;authors&gt;&lt;author&gt;Paik, Hyojung&lt;/author&gt;&lt;author&gt;Chung, Ah-Young&lt;/author&gt;&lt;author&gt;Park, Hae-Chul&lt;/author&gt;&lt;author&gt;Park, Rae Woong&lt;/author&gt;&lt;author&gt;Suk, Kyoungho&lt;/author&gt;&lt;author&gt;Kim, Jihyun&lt;/author&gt;&lt;author&gt;Kim, Hyosil&lt;/author&gt;&lt;author&gt;Lee, KiYoung&lt;/author&gt;&lt;author&gt;Butte, Atul J&lt;/author&gt;&lt;/authors&gt;&lt;/contributors&gt;&lt;titles&gt;&lt;title&gt;Repurpose terbutaline sulfate for amyotrophic lateral sclerosis using electronic medical records&lt;/title&gt;&lt;secondary-title&gt;Scientific reports&lt;/secondary-title&gt;&lt;/titles&gt;&lt;periodical&gt;&lt;full-title&gt;Scientific Reports&lt;/full-title&gt;&lt;/periodical&gt;&lt;pages&gt;1-8&lt;/pages&gt;&lt;volume&gt;5&lt;/volume&gt;&lt;number&gt;1&lt;/number&gt;&lt;dates&gt;&lt;year&gt;2015&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27</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G</w:t>
            </w:r>
            <w:r w:rsidRPr="00A14F04">
              <w:rPr>
                <w:rFonts w:ascii="Arial" w:hAnsi="Arial" w:cs="Arial"/>
                <w:sz w:val="18"/>
                <w:szCs w:val="18"/>
              </w:rPr>
              <w:t>eneric disease, in vivo validation on amyotrophic lateral sclerosis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Muraki et al</w:t>
            </w:r>
            <w:r w:rsidRPr="00A14F04">
              <w:rPr>
                <w:rFonts w:ascii="Arial" w:hAnsi="Arial" w:cs="Arial"/>
                <w:sz w:val="18"/>
                <w:szCs w:val="18"/>
              </w:rPr>
              <w:fldChar w:fldCharType="begin"/>
            </w:r>
            <w:r>
              <w:rPr>
                <w:rFonts w:ascii="Arial" w:hAnsi="Arial" w:cs="Arial"/>
                <w:sz w:val="18"/>
                <w:szCs w:val="18"/>
              </w:rPr>
              <w:instrText xml:space="preserve"> ADDIN EN.CITE &lt;EndNote&gt;&lt;Cite&gt;&lt;Author&gt;Muraki&lt;/Author&gt;&lt;Year&gt;2018&lt;/Year&gt;&lt;RecNum&gt;457&lt;/RecNum&gt;&lt;DisplayText&gt;&lt;style face="superscript"&gt;48&lt;/style&gt;&lt;/DisplayText&gt;&lt;record&gt;&lt;rec-number&gt;457&lt;/rec-number&gt;&lt;foreign-keys&gt;&lt;key app="EN" db-id="waeppwvvowz0z5es9scxvwwnwte25s55w2dp" timestamp="1624301791"&gt;457&lt;/key&gt;&lt;/foreign-keys&gt;&lt;ref-type name="Journal Article"&gt;17&lt;/ref-type&gt;&lt;contributors&gt;&lt;authors&gt;&lt;author&gt;Muraki, Shota&lt;/author&gt;&lt;author&gt;Moriki, Kuniaki&lt;/author&gt;&lt;author&gt;Shigematsu, Saki&lt;/author&gt;&lt;author&gt;Fukae, Masato&lt;/author&gt;&lt;author&gt;Kakara, Makoto&lt;/author&gt;&lt;author&gt;Yamashita, Daiki&lt;/author&gt;&lt;author&gt;Hirota, Takeshi&lt;/author&gt;&lt;author&gt;Takane, Hiroshi&lt;/author&gt;&lt;author&gt;Shimada, Miki&lt;/author&gt;&lt;author&gt;Hirakawa, Masaaki&lt;/author&gt;&lt;/authors&gt;&lt;/contributors&gt;&lt;titles&gt;&lt;title&gt;Population Pharmacodynamic Analysis of Uric Acid–Lowering Effects of Febuxostat Based on Electronic Medical Records in Two Hospitals&lt;/title&gt;&lt;secondary-title&gt;The Journal of Clinical Pharmacology&lt;/secondary-title&gt;&lt;/titles&gt;&lt;periodical&gt;&lt;full-title&gt;The Journal of Clinical Pharmacology&lt;/full-title&gt;&lt;/periodical&gt;&lt;pages&gt;304-313&lt;/pages&gt;&lt;volume&gt;58&lt;/volume&gt;&lt;number&gt;3&lt;/number&gt;&lt;dates&gt;&lt;year&gt;2018&lt;/year&gt;&lt;/dates&gt;&lt;isbn&gt;0091-2700&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48</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Hyperuricemia</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Wang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&lt;EndNote&gt;&lt;Cite&gt;&lt;Author&gt;Wang&lt;/Author&gt;&lt;Year&gt;2020&lt;/Year&gt;&lt;RecNum&gt;444&lt;/RecNum&gt;&lt;DisplayText&gt;&lt;style face="superscript"&gt;31&lt;/style&gt;&lt;/DisplayText&gt;&lt;record&gt;&lt;rec-number&gt;444&lt;/rec-number&gt;&lt;foreign-keys&gt;&lt;key app="EN" db-id="waeppwvvowz0z5es9scxvwwnwte25s55w2dp" timestamp="1624293117"&gt;444&lt;/key&gt;&lt;/foreign-keys&gt;&lt;ref-type name="Journal Article"&gt;17&lt;/ref-type&gt;&lt;contributors&gt;&lt;authors&gt;&lt;author&gt;Wang, Haixin&lt;/author&gt;&lt;author&gt;Deng, Yanhui&lt;/author&gt;&lt;author&gt;Wan, Ling&lt;/author&gt;&lt;author&gt;Huang, Lulin&lt;/author&gt;&lt;/authors&gt;&lt;/contributors&gt;&lt;titles&gt;&lt;title&gt;A comprehensive map of disease networks and molecular drug discoveries for glaucoma&lt;/title&gt;&lt;secondary-title&gt;Scientific reports&lt;/secondary-title&gt;&lt;/titles&gt;&lt;periodical&gt;&lt;full-title&gt;Scientific Reports&lt;/full-title&gt;&lt;/periodical&gt;&lt;pages&gt;1-13&lt;/pages&gt;&lt;volume&gt;10&lt;/volume&gt;&lt;number&gt;1&lt;/number&gt;&lt;dates&gt;&lt;year&gt;2020&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31</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Glaucoma</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Wu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&lt;EndNote&gt;&lt;Cite&gt;&lt;Author&gt;Wu&lt;/Author&gt;&lt;Year&gt;2019&lt;/Year&gt;&lt;RecNum&gt;432&lt;/RecNum&gt;&lt;DisplayText&gt;&lt;style face="superscript"&gt;19&lt;/style&gt;&lt;/DisplayText&gt;&lt;record&gt;&lt;rec-number&gt;432&lt;/rec-number&gt;&lt;foreign-keys&gt;&lt;key app="EN" db-id="waeppwvvowz0z5es9scxvwwnwte25s55w2dp" timestamp="1623948477"&gt;432&lt;/key&gt;&lt;/foreign-keys&gt;&lt;ref-type name="Journal Article"&gt;17&lt;/ref-type&gt;&lt;contributors&gt;&lt;authors&gt;&lt;author&gt;Wu, Yonghui&lt;/author&gt;&lt;author&gt;Warner, Jeremy L&lt;/author&gt;&lt;author&gt;Wang, Liwei&lt;/author&gt;&lt;author&gt;Jiang, Min&lt;/author&gt;&lt;author&gt;Xu, Jun&lt;/author&gt;&lt;author&gt;Chen, Qingxia&lt;/author&gt;&lt;author&gt;Nian, Hui&lt;/author&gt;&lt;author&gt;Dai, Qi&lt;/author&gt;&lt;author&gt;Du, Xianglin&lt;/author&gt;&lt;author&gt;Yang, Ping&lt;/author&gt;&lt;/authors&gt;&lt;/contributors&gt;&lt;titles&gt;&lt;title&gt;Discovery of noncancer drug effects on survival in electronic health records of patients with cancer: a new paradigm for drug repurposing&lt;/title&gt;&lt;secondary-title&gt;JCO clinical cancer informatics&lt;/secondary-title&gt;&lt;/titles&gt;&lt;periodical&gt;&lt;full-title&gt;JCO Clinical Cancer Informatics&lt;/full-title&gt;&lt;/periodical&gt;&lt;pages&gt;1-9&lt;/pages&gt;&lt;volume&gt;3&lt;/volume&gt;&lt;dates&gt;&lt;year&gt;2019&lt;/year&gt;&lt;/dates&gt;&lt;isbn&gt;2473-4276&lt;/isbn&gt;&lt;urls&gt;&lt;/urls&gt;&lt;/record&gt;&lt;/Cite&gt;&lt;/EndNote&gt;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19</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Cancer</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Zhou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&lt;EndNote&gt;&lt;Cite&gt;&lt;Author&gt;Zhou&lt;/Author&gt;&lt;Year&gt;2020&lt;/Year&gt;&lt;RecNum&gt;433&lt;/RecNum&gt;&lt;DisplayText&gt;&lt;style face="superscript"&gt;20&lt;/style&gt;&lt;/DisplayText&gt;&lt;record&gt;&lt;rec-number&gt;433&lt;/rec-number&gt;&lt;foreign-keys&gt;&lt;key app="EN" db-id="waeppwvvowz0z5es9scxvwwnwte25s55w2dp" timestamp="1623948724"&gt;433&lt;/key&gt;&lt;/foreign-keys&gt;&lt;ref-type name="Journal Article"&gt;17&lt;/ref-type&gt;&lt;contributors&gt;&lt;authors&gt;&lt;author&gt;Zhou, Mengshi&lt;/author&gt;&lt;author&gt;Zheng, Chunlei&lt;/author&gt;&lt;author&gt;Xu, Rong&lt;/author&gt;&lt;/authors&gt;&lt;/contributors&gt;&lt;titles&gt;&lt;title&gt;Combining phenome-driven drug-target interaction prediction with patients’ electronic health records-based clinical corroboration toward drug discovery&lt;/title&gt;&lt;secondary-title&gt;Bioinformatics&lt;/secondary-title&gt;&lt;/titles&gt;&lt;periodical&gt;&lt;full-title&gt;Bioinformatics&lt;/full-title&gt;&lt;/periodical&gt;&lt;pages&gt;i436-i444&lt;/pages&gt;&lt;volume&gt;36&lt;/volume&gt;&lt;number&gt;Supplement_1&lt;/number&gt;&lt;dates&gt;&lt;year&gt;2020&lt;/year&gt;&lt;/dates&gt;&lt;isbn&gt;1367-4803&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20</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 xml:space="preserve">The developed method could be used for 1059 diseases. In this paper, the authors applied the proposed method for identifying </w:t>
            </w:r>
            <w:r>
              <w:rPr>
                <w:rFonts w:ascii="Arial" w:hAnsi="Arial" w:cs="Arial"/>
                <w:sz w:val="18"/>
                <w:szCs w:val="18"/>
              </w:rPr>
              <w:t>new</w:t>
            </w:r>
            <w:r w:rsidRPr="00A14F04">
              <w:rPr>
                <w:rFonts w:ascii="Arial" w:hAnsi="Arial" w:cs="Arial"/>
                <w:sz w:val="18"/>
                <w:szCs w:val="18"/>
              </w:rPr>
              <w:t xml:space="preserve"> repositioned candidate drugs for Alzheimer’s disease (AD). </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Ghalwash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&lt;EndNote&gt;&lt;Cite&gt;&lt;Author&gt;Ghalwash&lt;/Author&gt;&lt;Year&gt;2017&lt;/Year&gt;&lt;RecNum&gt;450&lt;/RecNum&gt;&lt;DisplayText&gt;&lt;style face="superscript"&gt;32&lt;/style&gt;&lt;/DisplayText&gt;&lt;record&gt;&lt;rec-number&gt;450&lt;/rec-number&gt;&lt;foreign-keys&gt;&lt;key app="EN" db-id="waeppwvvowz0z5es9scxvwwnwte25s55w2dp" timestamp="1624298089"&gt;450&lt;/key&gt;&lt;/foreign-keys&gt;&lt;ref-type name="Conference Proceedings"&gt;10&lt;/ref-type&gt;&lt;contributors&gt;&lt;authors&gt;&lt;author&gt;Ghalwash, Mohamed&lt;/author&gt;&lt;author&gt;Li, Ying&lt;/author&gt;&lt;author&gt;Zhang, Ping&lt;/author&gt;&lt;author&gt;Hu, Jianying&lt;/author&gt;&lt;/authors&gt;&lt;/contributors&gt;&lt;titles&gt;&lt;title&gt;Exploiting electronic health records to mine drug effects on laboratory test results&lt;/title&gt;&lt;secondary-title&gt;Proceedings of the 2017 ACM on Conference on Information and Knowledge Management&lt;/secondary-title&gt;&lt;/titles&gt;&lt;pages&gt;1837-1846&lt;/pages&gt;&lt;dates&gt;&lt;year&gt;2017&lt;/year&gt;&lt;/dates&gt;&lt;urls&gt;&lt;/urls&gt;&lt;/record&gt;&lt;/Cite&gt;&lt;/EndNote&gt;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32</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No targeted diseases but relevant test results: low-density lipoprotein and glycated hemoglobin (HbA1c). Low-Density Lipoproteins are a risk factor for cardiovascular and vascular diseases. Higher levels of HbA1c are associated with a high risk of developing diabetes-related complications.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Xu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&lt;EndNote&gt;&lt;Cite&gt;&lt;Author&gt;Xu&lt;/Author&gt;&lt;Year&gt;2014&lt;/Year&gt;&lt;RecNum&gt;100&lt;/RecNum&gt;&lt;DisplayText&gt;&lt;style face="superscript"&gt;18&lt;/style&gt;&lt;/DisplayText&gt;&lt;record&gt;&lt;rec-number&gt;100&lt;/rec-number&gt;&lt;foreign-keys&gt;&lt;key app="EN" db-id="waeppwvvowz0z5es9scxvwwnwte25s55w2dp" timestamp="1549223345"&gt;100&lt;/key&gt;&lt;/foreign-keys&gt;&lt;ref-type name="Journal Article"&gt;17&lt;/ref-type&gt;&lt;contributors&gt;&lt;authors&gt;&lt;author&gt;Xu, Hua&lt;/author&gt;&lt;author&gt;Aldrich, Melinda C&lt;/author&gt;&lt;author&gt;Chen, Qingxia&lt;/author&gt;&lt;author&gt;Liu, Hongfang&lt;/author&gt;&lt;author&gt;Peterson, Neeraja B&lt;/author&gt;&lt;author&gt;Dai, Qi&lt;/author&gt;&lt;author&gt;Levy, Mia&lt;/author&gt;&lt;author&gt;Shah, Anushi&lt;/author&gt;&lt;author&gt;Han, Xue&lt;/author&gt;&lt;author&gt;Ruan, Xiaoyang&lt;/author&gt;&lt;/authors&gt;&lt;/contributors&gt;&lt;titles&gt;&lt;title&gt;Validating drug repurposing signals using electronic health records: a case study of metformin associated with reduced cancer mortality&lt;/title&gt;&lt;secondary-title&gt;Journal of the American Medical Informatics Association&lt;/secondary-title&gt;&lt;/titles&gt;&lt;periodical&gt;&lt;full-title&gt;Journal of the American Medical Informatics Association&lt;/full-title&gt;&lt;/periodical&gt;&lt;pages&gt;179-191&lt;/pages&gt;&lt;volume&gt;22&lt;/volume&gt;&lt;number&gt;1&lt;/number&gt;&lt;dates&gt;&lt;year&gt;2014&lt;/year&gt;&lt;/dates&gt;&lt;isbn&gt;1527-974X&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18</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Cancer</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Xu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&lt;EndNote&gt;&lt;Cite&gt;&lt;Author&gt;Xu&lt;/Author&gt;&lt;Year&gt;2018&lt;/Year&gt;&lt;RecNum&gt;445&lt;/RecNum&gt;&lt;DisplayText&gt;&lt;style face="superscript"&gt;35&lt;/style&gt;&lt;/DisplayText&gt;&lt;record&gt;&lt;rec-number&gt;445&lt;/rec-number&gt;&lt;foreign-keys&gt;&lt;key app="EN" db-id="waeppwvvowz0z5es9scxvwwnwte25s55w2dp" timestamp="1624293197"&gt;445&lt;/key&gt;&lt;/foreign-keys&gt;&lt;ref-type name="Journal Article"&gt;17&lt;/ref-type&gt;&lt;contributors&gt;&lt;authors&gt;&lt;author&gt;Xu, Chi&lt;/author&gt;&lt;author&gt;Ai, Daosheng&lt;/author&gt;&lt;author&gt;Shi, Dawei&lt;/author&gt;&lt;author&gt;Suo, Shengbao&lt;/author&gt;&lt;author&gt;Chen, Xingwei&lt;/author&gt;&lt;author&gt;Yan, Yizhen&lt;/author&gt;&lt;author&gt;Cao, Yaqiang&lt;/author&gt;&lt;author&gt;Zhang, Rui&lt;/author&gt;&lt;author&gt;Sun, Na&lt;/author&gt;&lt;author&gt;Chen, Weizhong&lt;/author&gt;&lt;/authors&gt;&lt;/contributors&gt;&lt;titles&gt;&lt;title&gt;Accurate drug repositioning through non-tissue-specific core signatures from cancer transcriptomes&lt;/title&gt;&lt;secondary-title&gt;Cell reports&lt;/secondary-title&gt;&lt;/titles&gt;&lt;periodical&gt;&lt;full-title&gt;Cell Reports&lt;/full-title&gt;&lt;/periodical&gt;&lt;pages&gt;523-535. e5&lt;/pages&gt;&lt;volume&gt;25&lt;/volume&gt;&lt;number&gt;2&lt;/number&gt;&lt;dates&gt;&lt;year&gt;2018&lt;/year&gt;&lt;/dates&gt;&lt;isbn&gt;2211-1247&lt;/isbn&gt;&lt;urls&gt;&lt;/urls&gt;&lt;/record&gt;&lt;/Cite&gt;&lt;/EndNote&gt;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35</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Cancer</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Cai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&lt;EndNote&gt;&lt;Cite&gt;&lt;Author&gt;Cai&lt;/Author&gt;&lt;Year&gt;2018&lt;/Year&gt;&lt;RecNum&gt;456&lt;/RecNum&gt;&lt;DisplayText&gt;&lt;style face="superscript"&gt;34&lt;/style&gt;&lt;/DisplayText&gt;&lt;record&gt;&lt;rec-number&gt;456&lt;/rec-number&gt;&lt;foreign-keys&gt;&lt;key app="EN" db-id="waeppwvvowz0z5es9scxvwwnwte25s55w2dp" timestamp="1624301250"&gt;456&lt;/key&gt;&lt;/foreign-keys&gt;&lt;ref-type name="Journal Article"&gt;17&lt;/ref-type&gt;&lt;contributors&gt;&lt;authors&gt;&lt;author&gt;Cai, Tianxi&lt;/author&gt;&lt;author&gt;Zhang, Yichi&lt;/author&gt;&lt;author&gt;Ho, Yuk-Lam&lt;/author&gt;&lt;author&gt;Link, Nicholas&lt;/author&gt;&lt;author&gt;Sun, Jiehuan&lt;/author&gt;&lt;author&gt;Huang, Jie&lt;/author&gt;&lt;author&gt;Cai, Tianrun A&lt;/author&gt;&lt;author&gt;Damrauer, Scott&lt;/author&gt;&lt;author&gt;Ahuja, Yuri&lt;/author&gt;&lt;author&gt;Honerlaw, Jacqueline&lt;/author&gt;&lt;/authors&gt;&lt;/contributors&gt;&lt;titles&gt;&lt;title&gt;Association of interleukin 6 receptor variant with cardiovascular disease effects of interleukin 6 receptor blocking therapy: a phenome-wide association study&lt;/title&gt;&lt;secondary-title&gt;JAMA cardiology&lt;/secondary-title&gt;&lt;/titles&gt;&lt;periodical&gt;&lt;full-title&gt;JAMA cardiology&lt;/full-title&gt;&lt;/periodical&gt;&lt;pages&gt;849-857&lt;/pages&gt;&lt;volume&gt;3&lt;/volume&gt;&lt;number&gt;9&lt;/number&gt;&lt;dates&gt;&lt;year&gt;2018&lt;/year&gt;&lt;/dates&gt;&lt;isbn&gt;2380-6583&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34</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Cardiovascular Disease</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Dang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&lt;EndNote&gt;&lt;Cite&gt;&lt;Author&gt;Dang&lt;/Author&gt;&lt;Year&gt;2016&lt;/Year&gt;&lt;RecNum&gt;434&lt;/RecNum&gt;&lt;DisplayText&gt;&lt;style face="superscript"&gt;21&lt;/style&gt;&lt;/DisplayText&gt;&lt;record&gt;&lt;rec-number&gt;434&lt;/rec-number&gt;&lt;foreign-keys&gt;&lt;key app="EN" db-id="waeppwvvowz0z5es9scxvwwnwte25s55w2dp" timestamp="1623948786"&gt;434&lt;/key&gt;&lt;/foreign-keys&gt;&lt;ref-type name="Conference Proceedings"&gt;10&lt;/ref-type&gt;&lt;contributors&gt;&lt;authors&gt;&lt;author&gt;Dang, Tran-Thai&lt;/author&gt;&lt;author&gt;Ouankhamchan, Phetnidda&lt;/author&gt;&lt;author&gt;Ho, Tu-Bao&lt;/author&gt;&lt;/authors&gt;&lt;/contributors&gt;&lt;titles&gt;&lt;title&gt;Detection of new drug indications from electronic medical records&lt;/title&gt;&lt;secondary-title&gt;2016 IEEE RIVF International Conference on Computing &amp;amp; Communication Technologies, Research, Innovation, and Vision for the Future (RIVF)&lt;/secondary-title&gt;&lt;/titles&gt;&lt;pages&gt;223-228&lt;/pages&gt;&lt;dates&gt;&lt;year&gt;2016&lt;/year&gt;&lt;/dates&gt;&lt;publisher&gt;IEEE&lt;/publisher&gt;&lt;isbn&gt;1509041346&lt;/isbn&gt;&lt;urls&gt;&lt;/urls&gt;&lt;/record&gt;&lt;/Cite&gt;&lt;/EndNote&gt;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21</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General</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Challa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&lt;EndNote&gt;&lt;Cite&gt;&lt;Author&gt;Challa&lt;/Author&gt;&lt;Year&gt;2019&lt;/Year&gt;&lt;RecNum&gt;441&lt;/RecNum&gt;&lt;DisplayText&gt;&lt;style face="superscript"&gt;28&lt;/style&gt;&lt;/DisplayText&gt;&lt;record&gt;&lt;rec-number&gt;441&lt;/rec-number&gt;&lt;foreign-keys&gt;&lt;key app="EN" db-id="waeppwvvowz0z5es9scxvwwnwte25s55w2dp" timestamp="1624054465"&gt;441&lt;/key&gt;&lt;/foreign-keys&gt;&lt;ref-type name="Journal Article"&gt;17&lt;/ref-type&gt;&lt;contributors&gt;&lt;authors&gt;&lt;author&gt;Challa, Anup P&lt;/author&gt;&lt;author&gt;Lavieri, Robert R&lt;/author&gt;&lt;author&gt;Lewis, Judith T&lt;/author&gt;&lt;author&gt;Zaleski, Nicole M&lt;/author&gt;&lt;author&gt;Shirey-Rice, Jana K&lt;/author&gt;&lt;author&gt;Harris, Paul A&lt;/author&gt;&lt;author&gt;Aronoff, David M&lt;/author&gt;&lt;author&gt;Pulley, Jill M&lt;/author&gt;&lt;/authors&gt;&lt;/contributors&gt;&lt;titles&gt;&lt;title&gt;Systematically Prioritizing Candidates in Genome-Based Drug Repurposing&lt;/title&gt;&lt;secondary-title&gt;Assay and drug development technologies&lt;/secondary-title&gt;&lt;/titles&gt;&lt;periodical&gt;&lt;full-title&gt;Assay and drug development technologies&lt;/full-title&gt;&lt;/periodical&gt;&lt;pages&gt;352-363&lt;/pages&gt;&lt;volume&gt;17&lt;/volume&gt;&lt;number&gt;8&lt;/number&gt;&lt;dates&gt;&lt;year&gt;2019&lt;/year&gt;&lt;/dates&gt;&lt;isbn&gt;1540-658X&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28</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General</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Koren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&lt;EndNote&gt;&lt;Cite&gt;&lt;Author&gt;Koren&lt;/Author&gt;&lt;Year&gt;2019&lt;/Year&gt;&lt;RecNum&gt;439&lt;/RecNum&gt;&lt;DisplayText&gt;&lt;style face="superscript"&gt;37&lt;/style&gt;&lt;/DisplayText&gt;&lt;record&gt;&lt;rec-number&gt;439&lt;/rec-number&gt;&lt;foreign-keys&gt;&lt;key app="EN" db-id="waeppwvvowz0z5es9scxvwwnwte25s55w2dp" timestamp="1624053425"&gt;439&lt;/key&gt;&lt;/foreign-keys&gt;&lt;ref-type name="Journal Article"&gt;17&lt;/ref-type&gt;&lt;contributors&gt;&lt;authors&gt;&lt;author&gt;Koren, Gideon&lt;/author&gt;&lt;author&gt;Nordon, Galia&lt;/author&gt;&lt;author&gt;Radinsky, Kira&lt;/author&gt;&lt;author&gt;Shalev, Varda&lt;/author&gt;&lt;/authors&gt;&lt;/contributors&gt;&lt;titles&gt;&lt;title&gt;Identification of repurposable drugs with beneficial effects on glucose control in type 2 diabetes using machine learning&lt;/title&gt;&lt;secondary-title&gt;Pharmacology research &amp;amp; perspectives&lt;/secondary-title&gt;&lt;/titles&gt;&lt;periodical&gt;&lt;full-title&gt;Pharmacology research &amp;amp; perspectives&lt;/full-title&gt;&lt;/periodical&gt;&lt;pages&gt;e00529&lt;/pages&gt;&lt;volume&gt;7&lt;/volume&gt;&lt;number&gt;6&lt;/number&gt;&lt;dates&gt;&lt;year&gt;2019&lt;/year&gt;&lt;/dates&gt;&lt;isbn&gt;2052-1707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37</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T</w:t>
            </w:r>
            <w:r w:rsidRPr="00A14F04">
              <w:rPr>
                <w:rFonts w:ascii="Arial" w:hAnsi="Arial" w:cs="Arial"/>
                <w:sz w:val="18"/>
                <w:szCs w:val="18"/>
              </w:rPr>
              <w:t>ype 2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Kuang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&lt;EndNote&gt;&lt;Cite&gt;&lt;Author&gt;Kuang&lt;/Author&gt;&lt;Year&gt;2019&lt;/Year&gt;&lt;RecNum&gt;452&lt;/RecNum&gt;&lt;DisplayText&gt;&lt;style face="superscript"&gt;38&lt;/style&gt;&lt;/DisplayText&gt;&lt;record&gt;&lt;rec-number&gt;452&lt;/rec-number&gt;&lt;foreign-keys&gt;&lt;key app="EN" db-id="waeppwvvowz0z5es9scxvwwnwte25s55w2dp" timestamp="1624298177"&gt;452&lt;/key&gt;&lt;/foreign-keys&gt;&lt;ref-type name="Book Section"&gt;5&lt;/ref-type&gt;&lt;contributors&gt;&lt;authors&gt;&lt;author&gt;Kuang, Zhaobin&lt;/author&gt;&lt;author&gt;Bao, Yujia&lt;/author&gt;&lt;author&gt;Thomson, James&lt;/author&gt;&lt;author&gt;Caldwell, Michael&lt;/author&gt;&lt;author&gt;Peissig, Peggy&lt;/author&gt;&lt;author&gt;Stewart, Ron&lt;/author&gt;&lt;author&gt;Willett, Rebecca&lt;/author&gt;&lt;author&gt;Page, David&lt;/author&gt;&lt;/authors&gt;&lt;/contributors&gt;&lt;titles&gt;&lt;title&gt;A machine-learning-based drug repurposing approach using baseline regularization&lt;/title&gt;&lt;secondary-title&gt;Computational Methods for Drug Repurposing&lt;/secondary-title&gt;&lt;/titles&gt;&lt;pages&gt;255-267&lt;/pages&gt;&lt;dates&gt;&lt;year&gt;2019&lt;/year&gt;&lt;/dates&gt;&lt;publisher&gt;Springer&lt;/publisher&gt;&lt;urls&gt;&lt;/urls&gt;&lt;/record&gt;&lt;/Cite&gt;&lt;/EndNote&gt;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38</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4046D">
              <w:rPr>
                <w:rFonts w:ascii="Arial" w:hAnsi="Arial" w:cs="Arial"/>
                <w:sz w:val="18"/>
                <w:szCs w:val="18"/>
                <w:highlight w:val="yellow"/>
              </w:rPr>
              <w:t>Control Fasting Blood Glucose (FBG) level for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Kuang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&lt;EndNote&gt;&lt;Cite&gt;&lt;Author&gt;Kuang&lt;/Author&gt;&lt;Year&gt;2016&lt;/Year&gt;&lt;RecNum&gt;453&lt;/RecNum&gt;&lt;DisplayText&gt;&lt;style face="superscript"&gt;39&lt;/style&gt;&lt;/DisplayText&gt;&lt;record&gt;&lt;rec-number&gt;453&lt;/rec-number&gt;&lt;foreign-keys&gt;&lt;key app="EN" db-id="waeppwvvowz0z5es9scxvwwnwte25s55w2dp" timestamp="1624298302"&gt;453&lt;/key&gt;&lt;/foreign-keys&gt;&lt;ref-type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David&lt;/author&gt;&lt;/authors&gt;&lt;/contributors&gt;&lt;titles&gt;&lt;title&gt;Baseline regularization for computational drug repositioning with longitudinal observational data&lt;/title&gt;&lt;secondary-title&gt;IJCAI: proceedings of the conference&lt;/secondary-title&gt;&lt;/titles&gt;&lt;pages&gt;2521&lt;/pages&gt;&lt;volume&gt;2016&lt;/volume&gt;&lt;dates&gt;&lt;year&gt;2016&lt;/year&gt;&lt;/dates&gt;&lt;publisher&gt;NIH Public Access&lt;/publisher&gt;&lt;urls&gt;&lt;/urls&gt;&lt;/record&gt;&lt;/Cite&gt;&lt;/EndNote&gt;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39</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4046D">
              <w:rPr>
                <w:rFonts w:ascii="Arial" w:hAnsi="Arial" w:cs="Arial"/>
                <w:sz w:val="18"/>
                <w:szCs w:val="18"/>
                <w:highlight w:val="yellow"/>
              </w:rPr>
              <w:t>Control Fasting Blood Glucose (FBG) level for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Kuang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&lt;EndNote&gt;&lt;Cite&gt;&lt;Author&gt;Kuang&lt;/Author&gt;&lt;Year&gt;2016&lt;/Year&gt;&lt;RecNum&gt;454&lt;/RecNum&gt;&lt;DisplayText&gt;&lt;style face="superscript"&gt;40&lt;/style&gt;&lt;/DisplayText&gt;&lt;record&gt;&lt;rec-number&gt;454&lt;/rec-number&gt;&lt;foreign-keys&gt;&lt;key app="EN" db-id="waeppwvvowz0z5es9scxvwwnwte25s55w2dp" timestamp="1624298344"&gt;454&lt;/key&gt;&lt;/foreign-keys&gt;&lt;ref-type name="Conference Proceedings"&gt;10&lt;/ref-type&gt;&lt;contributors&gt;&lt;authors&gt;&lt;author&gt;Kuang, Zhaobin&lt;/author&gt;&lt;author&gt;Thomson, James&lt;/author&gt;&lt;author&gt;Caldwell, Michael&lt;/author&gt;&lt;author&gt;Peissig, Peggy&lt;/author&gt;&lt;author&gt;Stewart, Ron&lt;/author&gt;&lt;author&gt;Page, David&lt;/author&gt;&lt;/authors&gt;&lt;/contributors&gt;&lt;titles&gt;&lt;title&gt;Computational drug repositioning using continuous self-controlled case series&lt;/title&gt;&lt;secondary-title&gt;Proceedings of the 22nd ACM SIGKDD international conference on knowledge discovery and data mining&lt;/secondary-title&gt;&lt;/titles&gt;&lt;pages&gt;491-500&lt;/pages&gt;&lt;dates&gt;&lt;year&gt;2016&lt;/year&gt;&lt;/dates&gt;&lt;urls&gt;&lt;/urls&gt;&lt;/record&gt;&lt;/Cite&gt;&lt;/EndNote&gt;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40</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4046D">
              <w:rPr>
                <w:rFonts w:ascii="Arial" w:hAnsi="Arial" w:cs="Arial"/>
                <w:sz w:val="18"/>
                <w:szCs w:val="18"/>
                <w:highlight w:val="yellow"/>
              </w:rPr>
              <w:t>Control Fasting Blood Glucose (FBG) level for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Kim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&lt;EndNote&gt;&lt;Cite&gt;&lt;Author&gt;Kim&lt;/Author&gt;&lt;Year&gt;2020&lt;/Year&gt;&lt;RecNum&gt;438&lt;/RecNum&gt;&lt;DisplayText&gt;&lt;style face="superscript"&gt;26&lt;/style&gt;&lt;/DisplayText&gt;&lt;record&gt;&lt;rec-number&gt;438&lt;/rec-number&gt;&lt;foreign-keys&gt;&lt;key app="EN" db-id="waeppwvvowz0z5es9scxvwwnwte25s55w2</w:instrText>
            </w:r>
            <w:r>
              <w:rPr>
                <w:rFonts w:ascii="Arial" w:hAnsi="Arial" w:cs="Arial" w:hint="eastAsia"/>
                <w:sz w:val="18"/>
                <w:szCs w:val="18"/>
              </w:rPr>
              <w:instrText>dp" timestamp="1624049224"&gt;438&lt;/key&gt;&lt;/foreign-keys&gt;&lt;ref-type name="Journal Article"&gt;17&lt;/ref-type&gt;&lt;contributors&gt;&lt;authors&gt;&lt;author&gt;Kim, Do</w:instrText>
            </w:r>
            <w:r>
              <w:rPr>
                <w:rFonts w:ascii="Arial" w:hAnsi="Arial" w:cs="Arial" w:hint="eastAsia"/>
                <w:sz w:val="18"/>
                <w:szCs w:val="18"/>
              </w:rPr>
              <w:instrText>‐</w:instrText>
            </w:r>
            <w:r>
              <w:rPr>
                <w:rFonts w:ascii="Arial" w:hAnsi="Arial" w:cs="Arial" w:hint="eastAsia"/>
                <w:sz w:val="18"/>
                <w:szCs w:val="18"/>
              </w:rPr>
              <w:instrText>Hoon&lt;/author&gt;&lt;author&gt;Lee, Jung</w:instrText>
            </w:r>
            <w:r>
              <w:rPr>
                <w:rFonts w:ascii="Arial" w:hAnsi="Arial" w:cs="Arial" w:hint="eastAsia"/>
                <w:sz w:val="18"/>
                <w:szCs w:val="18"/>
              </w:rPr>
              <w:instrText>‐</w:instrText>
            </w:r>
            <w:r>
              <w:rPr>
                <w:rFonts w:ascii="Arial" w:hAnsi="Arial" w:cs="Arial" w:hint="eastAsia"/>
                <w:sz w:val="18"/>
                <w:szCs w:val="18"/>
              </w:rPr>
              <w:instrText>Eun&lt;/author&gt;&lt;author&gt;Kim, Yong</w:instrText>
            </w:r>
            <w:r>
              <w:rPr>
                <w:rFonts w:ascii="Arial" w:hAnsi="Arial" w:cs="Arial" w:hint="eastAsia"/>
                <w:sz w:val="18"/>
                <w:szCs w:val="18"/>
              </w:rPr>
              <w:instrText>‐</w:instrText>
            </w:r>
            <w:r>
              <w:rPr>
                <w:rFonts w:ascii="Arial" w:hAnsi="Arial" w:cs="Arial" w:hint="eastAsia"/>
                <w:sz w:val="18"/>
                <w:szCs w:val="18"/>
              </w:rPr>
              <w:instrText>Gil&lt;/author&gt;&lt;author&gt;Lee, Yura&lt;/author&gt;&lt;author&gt;Seo, Dong</w:instrText>
            </w:r>
            <w:r>
              <w:rPr>
                <w:rFonts w:ascii="Arial" w:hAnsi="Arial" w:cs="Arial" w:hint="eastAsia"/>
                <w:sz w:val="18"/>
                <w:szCs w:val="18"/>
              </w:rPr>
              <w:instrText>‐</w:instrText>
            </w:r>
            <w:r>
              <w:rPr>
                <w:rFonts w:ascii="Arial" w:hAnsi="Arial" w:cs="Arial" w:hint="eastAsia"/>
                <w:sz w:val="18"/>
                <w:szCs w:val="18"/>
              </w:rPr>
              <w:instrText>Woo&lt;/author&gt;&lt;author&gt;Lee, Kye Hwa&lt;/author&gt;&lt;author&gt;Lee, Jae</w:instrText>
            </w:r>
            <w:r>
              <w:rPr>
                <w:rFonts w:ascii="Arial" w:hAnsi="Arial" w:cs="Arial" w:hint="eastAsia"/>
                <w:sz w:val="18"/>
                <w:szCs w:val="18"/>
              </w:rPr>
              <w:instrText>‐</w:instrText>
            </w:r>
            <w:r>
              <w:rPr>
                <w:rFonts w:ascii="Arial" w:hAnsi="Arial" w:cs="Arial" w:hint="eastAsia"/>
                <w:sz w:val="18"/>
                <w:szCs w:val="18"/>
              </w:rPr>
              <w:instrText>Ho&lt;/author&gt;&lt;author&gt;Kim, Woo Sung&lt;/author&gt;&lt;author&gt;Kim, Young</w:instrText>
            </w:r>
            <w:r>
              <w:rPr>
                <w:rFonts w:ascii="Arial" w:hAnsi="Arial" w:cs="Arial" w:hint="eastAsia"/>
                <w:sz w:val="18"/>
                <w:szCs w:val="18"/>
              </w:rPr>
              <w:instrText>‐</w:instrText>
            </w:r>
            <w:r>
              <w:rPr>
                <w:rFonts w:ascii="Arial" w:hAnsi="Arial" w:cs="Arial" w:hint="eastAsia"/>
                <w:sz w:val="18"/>
                <w:szCs w:val="18"/>
              </w:rPr>
              <w:instrText>Hak&lt;/author&gt;&lt;author&gt;Oh, Ji Seon&lt;/author&gt;&lt;/authors&gt;&lt;/contributors&gt;&lt;titles&gt;&lt;title&gt;High</w:instrText>
            </w:r>
            <w:r>
              <w:rPr>
                <w:rFonts w:ascii="Arial" w:hAnsi="Arial" w:cs="Arial" w:hint="eastAsia"/>
                <w:sz w:val="18"/>
                <w:szCs w:val="18"/>
              </w:rPr>
              <w:instrText>‐</w:instrText>
            </w:r>
            <w:r>
              <w:rPr>
                <w:rFonts w:ascii="Arial" w:hAnsi="Arial" w:cs="Arial" w:hint="eastAsia"/>
                <w:sz w:val="18"/>
                <w:szCs w:val="18"/>
              </w:rPr>
              <w:instrText>Throughput Algorithm for Discovering New Drug Indications by Utilizing Large</w:instrText>
            </w:r>
            <w:r>
              <w:rPr>
                <w:rFonts w:ascii="Arial" w:hAnsi="Arial" w:cs="Arial" w:hint="eastAsia"/>
                <w:sz w:val="18"/>
                <w:szCs w:val="18"/>
              </w:rPr>
              <w:instrText>‐</w:instrText>
            </w:r>
            <w:r>
              <w:rPr>
                <w:rFonts w:ascii="Arial" w:hAnsi="Arial" w:cs="Arial" w:hint="eastAsia"/>
                <w:sz w:val="18"/>
                <w:szCs w:val="18"/>
              </w:rPr>
              <w:instrText>Scale Electronic Medical Record Data&lt;/title&gt;&lt;secondary-title&gt;Clinical Pharmacology &amp;amp; Therapeutics&lt;/secondary-title&gt;&lt;/titles&gt;&lt;periodical&gt;&lt;full-title&gt;Clinical Pharmacology &amp;amp; Therapeutics&lt;/full-title&gt;&lt;/periodical&gt;&lt;pages&gt;1299-13</w:instrText>
            </w:r>
            <w:r>
              <w:rPr>
                <w:rFonts w:ascii="Arial" w:hAnsi="Arial" w:cs="Arial"/>
                <w:sz w:val="18"/>
                <w:szCs w:val="18"/>
              </w:rPr>
              <w:instrText>07&lt;/pages&gt;&lt;volume&gt;108&lt;/volume&gt;&lt;number&gt;6&lt;/number&gt;&lt;dates&gt;&lt;year&gt;2020&lt;/year&gt;&lt;/dates&gt;&lt;isbn&gt;0009-9236&lt;/isbn&gt;&lt;urls&gt;&lt;/urls&gt;&lt;/record&gt;&lt;/Cite&gt;&lt;/EndNote&gt;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26</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w:t>
            </w:r>
            <w:r w:rsidRPr="00A14F04">
              <w:rPr>
                <w:rFonts w:ascii="Arial" w:hAnsi="Arial" w:cs="Arial"/>
                <w:sz w:val="18"/>
                <w:szCs w:val="18"/>
              </w:rPr>
              <w:t>iabetes and dyslipidemia</w:t>
            </w:r>
          </w:p>
        </w:tc>
      </w:tr>
      <w:tr w:rsidR="00575628" w:rsidRPr="00A14F04" w:rsidTr="006B7DC3">
        <w:trPr>
          <w:trHeight w:val="143"/>
        </w:trPr>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Jang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&lt;EndNote&gt;&lt;Cite&gt;&lt;Author&gt;Jang&lt;/Author&gt;&lt;Year&gt;2016&lt;/Year&gt;&lt;RecNum&gt;443&lt;/RecNum&gt;&lt;DisplayText&gt;&lt;style face="superscript"&gt;41&lt;/style&gt;&lt;/DisplayText&gt;&lt;record&gt;&lt;rec-number&gt;443&lt;/rec-number&gt;&lt;foreign-keys&gt;&lt;key app="EN" db-id="waeppwvvowz0z5es9scxvwwnwte25s55w2dp" timestamp="1624292980"&gt;443&lt;/key&gt;&lt;/foreign-keys&gt;&lt;ref-type name="Journal Article"&gt;17&lt;/ref-type&gt;&lt;contributors&gt;&lt;authors&gt;&lt;author&gt;Jang, Dongjin&lt;/author&gt;&lt;author&gt;Lee, Sejoon&lt;/author&gt;&lt;author&gt;Lee, Jaehyun&lt;/author&gt;&lt;author&gt;Kim, Kiseong&lt;/author&gt;&lt;author&gt;Lee, Doheon&lt;/author&gt;&lt;/authors&gt;&lt;/contributors&gt;&lt;titles&gt;&lt;title&gt;Inferring new drug indications using the complementarity between clinical disease signatures and drug effects&lt;/title&gt;&lt;secondary-title&gt;Journal of biomedical informatics&lt;/secondary-title&gt;&lt;/titles&gt;&lt;periodical&gt;&lt;full-title&gt;Journal of biomedical informatics&lt;/full-title&gt;&lt;/periodical&gt;&lt;pages&gt;248-257&lt;/pages&gt;&lt;volume&gt;59&lt;/volume&gt;&lt;dates&gt;&lt;year&gt;2016&lt;/year&gt;&lt;/dates&gt;&lt;isbn&gt;1532-0464&lt;/isbn&gt;&lt;urls&gt;&lt;/urls&gt;&lt;/record&gt;&lt;/Cite&gt;&lt;/EndNote&gt;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41</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Asthma, Type 2 diabetes, Congestive heart failure, myocardial ischemia, and Stroke</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Goldstein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&lt;EndNote&gt;&lt;Cite&gt;&lt;Author&gt;Goldstein&lt;/Author&gt;&lt;Year&gt;2018&lt;/Year&gt;&lt;RecNum&gt;431&lt;/RecNum&gt;&lt;DisplayText&gt;&lt;style face="superscript"&gt;17&lt;/style&gt;&lt;/DisplayText&gt;&lt;record&gt;&lt;rec-number&gt;431&lt;/rec-number&gt;&lt;foreign-keys&gt;&lt;key app="EN" db-id="waeppwvvowz0z5es9scxvwwnwte25s55w2dp" timestamp="1623948380"&gt;431&lt;/key&gt;&lt;/foreign-keys&gt;&lt;ref-type name="Journal Article"&gt;17&lt;/ref-type&gt;&lt;contributors&gt;&lt;authors&gt;&lt;author&gt;Goldstein, Jeffery A&lt;/author&gt;&lt;author&gt;Bastarache, Lisa A&lt;/author&gt;&lt;author&gt;Denny, Joshua C&lt;/author&gt;&lt;author&gt;Roden, Dan M&lt;/author&gt;&lt;author&gt;Pulley, Jill M&lt;/author&gt;&lt;author&gt;Aronoff, David M&lt;/author&gt;&lt;/authors&gt;&lt;/contributors&gt;&lt;titles&gt;&lt;title&gt;Calcium channel blockers as drug repurposing candidates for gestational diabetes: Mining large scale genomic and electronic health records data to repurpose medications&lt;/title&gt;&lt;secondary-title&gt;Pharmacological research&lt;/secondary-title&gt;&lt;/titles&gt;&lt;periodical&gt;&lt;full-title&gt;Pharmacological research&lt;/full-title&gt;&lt;/periodical&gt;&lt;pages&gt;44-51&lt;/pages&gt;&lt;volume&gt;130&lt;/volume&gt;&lt;dates&gt;&lt;year&gt;2018&lt;/year&gt;&lt;/dates&gt;&lt;isbn&gt;1043-6618&lt;/isbn&gt;&lt;urls&gt;&lt;/urls&gt;&lt;/record&gt;&lt;/Cite&gt;&lt;/EndNote&gt;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17</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Gestational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Stenner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&lt;EndNote&gt;&lt;Cite&gt;&lt;Author&gt;Stenner&lt;/Author&gt;&lt;Year&gt;2016&lt;/Year&gt;&lt;RecNum&gt;448&lt;/RecNum&gt;&lt;DisplayText&gt;&lt;style face="superscript"&gt;43&lt;/style&gt;&lt;/DisplayText&gt;&lt;record&gt;&lt;rec-number&gt;448&lt;/rec-number&gt;&lt;foreign-keys&gt;&lt;key app="EN" db-id="waeppwvvowz0z5es9scxvwwnwte25s55w2dp" timestamp="1624294249"&gt;448&lt;/key&gt;&lt;/foreign-keys&gt;&lt;ref-type name="Journal Article"&gt;17&lt;/ref-type&gt;&lt;contributors&gt;&lt;authors&gt;&lt;author&gt;Stenner, Shane P&lt;/author&gt;&lt;author&gt;Chakravarthy, Rohini&lt;/author&gt;&lt;author&gt;Johnson, Kevin B&lt;/author&gt;&lt;author&gt;Miller, William L&lt;/author&gt;&lt;author&gt;Olson, Julie&lt;/author&gt;&lt;author&gt;Wickizer, Marleen&lt;/author&gt;&lt;author&gt;Johnson, Nate N&lt;/author&gt;&lt;author&gt;Ohmer, Rick&lt;/author&gt;&lt;author&gt;Uskavitch, David R&lt;/author&gt;&lt;author&gt;Bernard, Gordon R&lt;/author&gt;&lt;/authors&gt;&lt;/contributors&gt;&lt;titles&gt;&lt;title&gt;ePrescribing: reducing costs through in-class therapeutic interchange&lt;/title&gt;&lt;secondary-title&gt;Applied clinical informatics&lt;/secondary-title&gt;&lt;/titles&gt;&lt;periodical&gt;&lt;full-title&gt;Applied clinical informatics&lt;/full-title&gt;&lt;/periodical&gt;&lt;pages&gt;1168&lt;/pages&gt;&lt;volume&gt;7&lt;/volume&gt;&lt;number&gt;4&lt;/number&gt;&lt;dates&gt;&lt;year&gt;2016&lt;/year&gt;&lt;/dates&gt;&lt;urls&gt;&lt;/urls&gt;&lt;/record&gt;&lt;/Cite&gt;&lt;/EndNote&gt;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43</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General</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Pr>
          <w:p w:rsidR="00575628" w:rsidRPr="00A14F04" w:rsidRDefault="00575628" w:rsidP="006B7DC3">
            <w:pPr>
              <w:rPr>
                <w:rFonts w:ascii="Arial" w:hAnsi="Arial" w:cs="Arial"/>
                <w:b w:val="0"/>
                <w:sz w:val="18"/>
                <w:szCs w:val="18"/>
              </w:rPr>
            </w:pPr>
            <w:r w:rsidRPr="00A14F04">
              <w:rPr>
                <w:rFonts w:ascii="Arial" w:hAnsi="Arial" w:cs="Arial"/>
                <w:b w:val="0"/>
                <w:sz w:val="18"/>
                <w:szCs w:val="18"/>
              </w:rPr>
              <w:t xml:space="preserve">Tatonetti et al </w:t>
            </w:r>
            <w:r w:rsidRPr="00A14F04">
              <w:rPr>
                <w:rFonts w:ascii="Arial" w:hAnsi="Arial" w:cs="Arial"/>
                <w:sz w:val="18"/>
                <w:szCs w:val="18"/>
              </w:rPr>
              <w:fldChar w:fldCharType="begin"/>
            </w:r>
            <w:r w:rsidRPr="00A14F04">
              <w:rPr>
                <w:rFonts w:ascii="Arial" w:hAnsi="Arial" w:cs="Arial"/>
                <w:sz w:val="18"/>
                <w:szCs w:val="18"/>
              </w:rPr>
              <w:instrText xml:space="preserve"> ADDIN EN.CITE &lt;EndNote&gt;&lt;Cite&gt;&lt;Author&gt;Tatonetti&lt;/Author&gt;&lt;Year&gt;2012&lt;/Year&gt;&lt;RecNum&gt;435&lt;/RecNum&gt;&lt;DisplayText&gt;&lt;style face="superscript"&gt;22&lt;/style&gt;&lt;/DisplayText&gt;&lt;record&gt;&lt;rec-number&gt;435&lt;/rec-number&gt;&lt;foreign-keys&gt;&lt;key app="EN" db-id="waeppwvvowz0z5es9scxvwwnwte25s55w2dp" timestamp="1623948838"&gt;435&lt;/key&gt;&lt;/foreign-keys&gt;&lt;ref-type name="Journal Article"&gt;17&lt;/ref-type&gt;&lt;contributors&gt;&lt;authors&gt;&lt;author&gt;Tatonetti, Nicholas P&lt;/author&gt;&lt;author&gt;Patrick, P Ye&lt;/author&gt;&lt;author&gt;Daneshjou, Roxana&lt;/author&gt;&lt;author&gt;Altman, Russ B&lt;/author&gt;&lt;/authors&gt;&lt;/contributors&gt;&lt;titles&gt;&lt;title&gt;Data-driven prediction of drug effects and interactions&lt;/title&gt;&lt;secondary-title&gt;Science translational medicine&lt;/secondary-title&gt;&lt;/titles&gt;&lt;periodical&gt;&lt;full-title&gt;Science translational medicine&lt;/full-title&gt;&lt;/periodical&gt;&lt;pages&gt;125ra31-125ra31&lt;/pages&gt;&lt;volume&gt;4&lt;/volume&gt;&lt;number&gt;125&lt;/number&gt;&lt;dates&gt;&lt;year&gt;2012&lt;/year&gt;&lt;/dates&gt;&lt;isbn&gt;1946-6234&lt;/isbn&gt;&lt;urls&gt;&lt;/urls&gt;&lt;/record&gt;&lt;/Cite&gt;&lt;/EndNote&gt;</w:instrText>
            </w:r>
            <w:r w:rsidRPr="00A14F04">
              <w:rPr>
                <w:rFonts w:ascii="Arial" w:hAnsi="Arial" w:cs="Arial"/>
                <w:sz w:val="18"/>
                <w:szCs w:val="18"/>
              </w:rPr>
              <w:fldChar w:fldCharType="separate"/>
            </w:r>
            <w:r w:rsidRPr="00A14F04">
              <w:rPr>
                <w:rFonts w:ascii="Arial" w:hAnsi="Arial" w:cs="Arial"/>
                <w:b w:val="0"/>
                <w:noProof/>
                <w:sz w:val="18"/>
                <w:szCs w:val="18"/>
                <w:vertAlign w:val="superscript"/>
              </w:rPr>
              <w:t>22</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General</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Bai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&lt;EndNote&gt;&lt;Cite&gt;&lt;Author&gt;Bai&lt;/Author&gt;&lt;Year&gt;2021&lt;/Year&gt;&lt;RecNum&gt;529&lt;/RecNum&gt;&lt;DisplayText&gt;&lt;style face="superscript"&gt;52&lt;/style&gt;&lt;/DisplayText&gt;&lt;record&gt;&lt;rec-number&gt;529&lt;/rec-number&gt;&lt;foreign-keys&gt;&lt;key app="EN" db-id="waeppwvvowz0z5es9scxvwwnwte25s55w2dp" timestamp="1642612820"&gt;529&lt;/key&gt;&lt;/foreign-keys&gt;&lt;ref-type name="Journal Article"&gt;17&lt;/ref-type&gt;&lt;contributors&gt;&lt;authors&gt;&lt;author&gt;Bai, Lawrence&lt;/author&gt;&lt;author&gt;Scott, Madeleine KD&lt;/author&gt;&lt;author&gt;Steinberg, Ethan&lt;/author&gt;&lt;author&gt;Kalesinskas, Laurynas&lt;/author&gt;&lt;author&gt;Habtezion, Aida&lt;/author&gt;&lt;author&gt;Shah, Nigam H&lt;/author&gt;&lt;author&gt;Khatri, Purvesh&lt;/author&gt;&lt;/authors&gt;&lt;/contributors&gt;&lt;titles&gt;&lt;title&gt;Computational drug repositioning of atorvastatin for ulcerative colitis&lt;/title&gt;&lt;secondary-title&gt;Journal of the American Medical Informatics Association&lt;/secondary-title&gt;&lt;/titles&gt;&lt;periodical&gt;&lt;full-title&gt;Journal of the American Medical Informatics Association&lt;/full-title&gt;&lt;/periodical&gt;&lt;pages&gt;2325-2335&lt;/pages&gt;&lt;volume&gt;28&lt;/volume&gt;&lt;number&gt;11&lt;/number&gt;&lt;dates&gt;&lt;year&gt;2021&lt;/year&gt;&lt;/dates&gt;&lt;isbn&gt;1527-974X&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52</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Ulcerative colitis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Nordon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&lt;EndNote&gt;&lt;Cite&gt;&lt;Author&gt;Nordon&lt;/Author&gt;&lt;Year&gt;2019&lt;/Year&gt;&lt;RecNum&gt;530&lt;/RecNum&gt;&lt;DisplayText&gt;&lt;style face="superscript"&gt;29&lt;/style&gt;&lt;/DisplayText&gt;&lt;record&gt;&lt;rec-number&gt;530&lt;/rec-number&gt;&lt;foreign-keys&gt;&lt;key app="EN" db-id="waeppwvvowz0z5es9scxvwwnwte25s55w2dp" timestamp="1642612908"&gt;530&lt;/key&gt;&lt;/foreign-keys&gt;&lt;ref-type name="Conference Proceedings"&gt;10&lt;/ref-type&gt;&lt;contributors&gt;&lt;authors&gt;&lt;author&gt;Nordon, Galia&lt;/author&gt;&lt;author&gt;Koren, Gideon&lt;/author&gt;&lt;author&gt;Shalev, Varda&lt;/author&gt;&lt;author&gt;Horvitz, Eric&lt;/author&gt;&lt;author&gt;Radinsky, Kira&lt;/author&gt;&lt;/authors&gt;&lt;/contributors&gt;&lt;titles&gt;&lt;title&gt;Separating wheat from chaff: Joining biomedical knowledge and patient data for repurposing medications&lt;/title&gt;&lt;secondary-title&gt;Proceedings of the AAAI Conference on Artificial Intelligence&lt;/secondary-title&gt;&lt;/titles&gt;&lt;pages&gt;9565-9572&lt;/pages&gt;&lt;volume&gt;33&lt;/volume&gt;&lt;number&gt;01&lt;/number&gt;&lt;dates&gt;&lt;year&gt;2019&lt;/year&gt;&lt;/dates&gt;&lt;isbn&gt;2374-3468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29</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Hypertension,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Bejan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&lt;EndNote&gt;&lt;Cite&gt;&lt;Author&gt;Bejan&lt;/Author&gt;&lt;Year&gt;2021&lt;/Year&gt;&lt;RecNum&gt;531&lt;/RecNum&gt;&lt;DisplayText&gt;&lt;style face="superscript"&gt;47&lt;/style&gt;&lt;/DisplayText&gt;&lt;record&gt;&lt;rec-number&gt;531&lt;/rec-number&gt;&lt;foreign-keys&gt;&lt;key app="EN" db-id="waeppwvvowz0z5es9scxvwwnwte25s55w2dp" timestamp="1642612951"&gt;531&lt;/key&gt;&lt;/foreign-keys&gt;&lt;ref-type name="Journal Article"&gt;17&lt;/ref-type&gt;&lt;contributors&gt;&lt;authors&gt;&lt;author&gt;Bejan, Cosmin A&lt;/author&gt;&lt;author&gt;Cahill, Katherine N&lt;/author&gt;&lt;author&gt;Staso, Patrick J&lt;/author&gt;&lt;author&gt;Choi, Leena&lt;/author&gt;&lt;aut</w:instrText>
            </w:r>
            <w:r>
              <w:rPr>
                <w:rFonts w:ascii="Arial" w:hAnsi="Arial" w:cs="Arial" w:hint="eastAsia"/>
                <w:sz w:val="18"/>
                <w:szCs w:val="18"/>
              </w:rPr>
              <w:instrText>hor&gt;Peterson, Josh F&lt;/author&gt;&lt;author&gt;Phillips, Elizabeth J&lt;/author&gt;&lt;/authors&gt;&lt;/contributors&gt;&lt;titles&gt;&lt;title&gt;DrugWAS: Drug</w:instrText>
            </w:r>
            <w:r>
              <w:rPr>
                <w:rFonts w:ascii="Arial" w:hAnsi="Arial" w:cs="Arial" w:hint="eastAsia"/>
                <w:sz w:val="18"/>
                <w:szCs w:val="18"/>
              </w:rPr>
              <w:instrText>‐</w:instrText>
            </w:r>
            <w:r>
              <w:rPr>
                <w:rFonts w:ascii="Arial" w:hAnsi="Arial" w:cs="Arial" w:hint="eastAsia"/>
                <w:sz w:val="18"/>
                <w:szCs w:val="18"/>
              </w:rPr>
              <w:instrText>wide Association Studies for COVID</w:instrText>
            </w:r>
            <w:r>
              <w:rPr>
                <w:rFonts w:ascii="Arial" w:hAnsi="Arial" w:cs="Arial" w:hint="eastAsia"/>
                <w:sz w:val="18"/>
                <w:szCs w:val="18"/>
              </w:rPr>
              <w:instrText>‐</w:instrText>
            </w:r>
            <w:r>
              <w:rPr>
                <w:rFonts w:ascii="Arial" w:hAnsi="Arial" w:cs="Arial" w:hint="eastAsia"/>
                <w:sz w:val="18"/>
                <w:szCs w:val="18"/>
              </w:rPr>
              <w:instrText>19 Drug Repurposing&lt;/title&gt;&lt;secondary-title&gt;Clinical Pharmacology &amp;amp; Therapeutics&lt;/secondary-tit</w:instrText>
            </w:r>
            <w:r>
              <w:rPr>
                <w:rFonts w:ascii="Arial" w:hAnsi="Arial" w:cs="Arial"/>
                <w:sz w:val="18"/>
                <w:szCs w:val="18"/>
              </w:rPr>
              <w:instrText>le&gt;&lt;/titles&gt;&lt;periodical&gt;&lt;full-title&gt;Clinical Pharmacology &amp;amp; Therapeutics&lt;/full-title&gt;&lt;/periodical&gt;&lt;pages&gt;1537-1546&lt;/pages&gt;&lt;volume&gt;110&lt;/volume&gt;&lt;number&gt;6&lt;/number&gt;&lt;dates&gt;&lt;year&gt;2021&lt;/year&gt;&lt;/dates&gt;&lt;isbn&gt;0009-9236&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47</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COVID-19</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Bi et al</w:t>
            </w:r>
            <w:r w:rsidRPr="00A14F04">
              <w:rPr>
                <w:rFonts w:ascii="Arial" w:hAnsi="Arial" w:cs="Arial"/>
                <w:b w:val="0"/>
                <w:sz w:val="18"/>
                <w:szCs w:val="18"/>
              </w:rPr>
              <w:t xml:space="preserve">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&lt;EndNote&gt;&lt;Cite&gt;&lt;Author&gt;Bi&lt;/Author&gt;&lt;Year&gt;2021&lt;/Year&gt;&lt;RecNum&gt;532&lt;/RecNum&gt;&lt;DisplayText&gt;&lt;style face="superscript"&gt;45&lt;/style&gt;&lt;/DisplayText&gt;&lt;record&gt;&lt;rec-number&gt;532&lt;/rec-number&gt;&lt;foreign-keys&gt;&lt;key app="EN" db-id="waeppwvvowz0z5es9scxvwwnwte25s55w2dp" timestamp="1642612988"&gt;532&lt;/key&gt;&lt;/foreign-keys&gt;&lt;ref-type name="Journal Article"&gt;17&lt;/ref-type&gt;&lt;contributors&gt;&lt;authors&gt;&lt;author&gt;Bi, Junfeng&lt;/author&gt;&lt;author&gt;Khan, Atif&lt;/author&gt;&lt;author&gt;Tang, Jun&lt;/author&gt;&lt;author&gt;Armando, Aaron M&lt;/author&gt;&lt;author&gt;Wu, Sihan&lt;/author&gt;&lt;author&gt;Zhang, Wei&lt;/author&gt;&lt;author&gt;Gimple, Ryan C&lt;/author&gt;&lt;author&gt;Reed, Alex&lt;/author&gt;&lt;author&gt;Jing, Hui&lt;/author&gt;&lt;author&gt;Koga, Tomoyuki&lt;/author&gt;&lt;/authors&gt;&lt;/contributors&gt;&lt;titles&gt;&lt;title&gt;Targeting glioblastoma signaling and metabolism with a re-purposed brain-penetrant drug&lt;/title&gt;&lt;secondary-title&gt;Cell reports&lt;/secondary-title&gt;&lt;/titles&gt;&lt;periodical&gt;&lt;full-title&gt;Cell Reports&lt;/full-title&gt;&lt;/periodical&gt;&lt;pages&gt;109957&lt;/pages&gt;&lt;volume&gt;37&lt;/volume&gt;&lt;number&gt;5&lt;/number&gt;&lt;dates&gt;&lt;year&gt;2021&lt;/year&gt;&lt;/dates&gt;&lt;isbn&gt;2211-1247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45</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Glioblastoma</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Cummings et al</w:t>
            </w:r>
            <w:r w:rsidRPr="00A14F04">
              <w:rPr>
                <w:rFonts w:asciiTheme="minorHAnsi" w:eastAsiaTheme="minorEastAsia" w:hAnsiTheme="minorHAnsi" w:cstheme="minorBidi"/>
                <w:b w:val="0"/>
                <w:bCs w:val="0"/>
                <w:sz w:val="18"/>
                <w:szCs w:val="18"/>
              </w:rPr>
              <w:t xml:space="preserve">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&lt;EndNote&gt;&lt;Cite&gt;&lt;Author&gt;Cummings&lt;/Author&gt;&lt;Year&gt;2021&lt;/Year&gt;&lt;RecNum&gt;533&lt;/RecNum&gt;&lt;DisplayText&gt;&lt;style face="superscript"&gt;49&lt;/style&gt;&lt;/DisplayText&gt;&lt;record&gt;&lt;rec-number&gt;533&lt;/rec-number&gt;&lt;foreign-keys&gt;&lt;key app="EN" db-id="waeppwvvowz0z5es9scxvwwnwte25s55w2dp" timestamp="1642613040"&gt;533&lt;/key&gt;&lt;/foreign-keys&gt;&lt;ref-type name="Journal Article"&gt;17&lt;/ref-type&gt;&lt;contributors&gt;&lt;authors&gt;&lt;author&gt;Cummings, Tammy H&lt;/author&gt;&lt;author&gt;Magagnoli, Joseph&lt;/author&gt;&lt;author&gt;Hardin, James W&lt;/author&gt;&lt;author&gt;Sutton, S Scott&lt;/author&gt;&lt;/authors&gt;&lt;/contributors&gt;&lt;titles&gt;&lt;title&gt;Drug repurposing of dextromethorphan as a cellular target for the management of influenza&lt;/title&gt;&lt;secondary-title&gt;Pharmacotherapy: The Journal of Human Pharmacology and Drug Therapy&lt;/secondary-title&gt;&lt;/titles&gt;&lt;periodical&gt;&lt;full-title&gt;Pharmacotherapy: The Journal of Human Pharmacology and Drug Therapy&lt;/full-title&gt;&lt;/periodical&gt;&lt;pages&gt;796-803&lt;/pages&gt;&lt;volume&gt;41&lt;/volume&gt;&lt;number&gt;10&lt;/number&gt;&lt;dates&gt;&lt;year&gt;2021&lt;/year&gt;&lt;/dates&gt;&lt;isbn&gt;0277-0008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49</w:t>
            </w:r>
            <w:r w:rsidRPr="00A14F04">
              <w:rPr>
                <w:rFonts w:ascii="Arial" w:hAnsi="Arial" w:cs="Arial"/>
                <w:sz w:val="18"/>
                <w:szCs w:val="18"/>
              </w:rPr>
              <w:fldChar w:fldCharType="end"/>
            </w:r>
          </w:p>
        </w:tc>
        <w:tc>
          <w:tcPr>
            <w:tcW w:w="8919" w:type="dxa"/>
            <w:vAlign w:val="bottom"/>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Influenza</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Hsieh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&lt;EndNote&gt;&lt;Cite&gt;&lt;Author&gt;Hsieh&lt;/Author&gt;&lt;Year&gt;2021&lt;/Year&gt;&lt;RecNum&gt;534&lt;/RecNum&gt;&lt;DisplayText&gt;&lt;style face="superscript"&gt;36&lt;/style&gt;&lt;/DisplayText&gt;&lt;record&gt;&lt;rec-number&gt;534&lt;/rec-number&gt;&lt;foreign-keys&gt;&lt;key app="EN" db-id="waeppwvvowz0z5es9scxvwwnwte25s55w2dp" timestamp="1642613091"&gt;534&lt;/key&gt;&lt;/foreign-keys&gt;&lt;ref-type name="Journal Article"&gt;17&lt;/ref-type&gt;&lt;contributors&gt;&lt;authors&gt;&lt;author&gt;Hsieh, Kanglin&lt;/author&gt;&lt;author&gt;Wang, Yinyin&lt;/author&gt;&lt;author&gt;Chen, Luyao&lt;/author&gt;&lt;author&gt;Zhao, Zhongming&lt;/author&gt;&lt;author&gt;Savitz, Sean&lt;/author&gt;&lt;author&gt;Jiang, Xiaoqian&lt;/author&gt;&lt;author&gt;Tang, Jing&lt;/author&gt;&lt;author&gt;Kim, Yejin&lt;/author&gt;&lt;/authors&gt;&lt;/contributors&gt;&lt;titles&gt;&lt;title&gt;Drug repurposing for COVID-19 using graph neural network and harmonizing multiple evidence&lt;/title&gt;&lt;secondary-title&gt;Scientific reports&lt;/secondary-title&gt;&lt;/titles&gt;&lt;periodical&gt;&lt;full-title&gt;Scientific Reports&lt;/full-title&gt;&lt;/periodical&gt;&lt;pages&gt;1-13&lt;/pages&gt;&lt;volume&gt;11&lt;/volume&gt;&lt;number&gt;1&lt;/number&gt;&lt;dates&gt;&lt;year&gt;2021&lt;/year&gt;&lt;/dates&gt;&lt;isbn&gt;2045-2322&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36</w:t>
            </w:r>
            <w:r w:rsidRPr="00A14F04">
              <w:rPr>
                <w:rFonts w:ascii="Arial" w:hAnsi="Arial" w:cs="Arial"/>
                <w:sz w:val="18"/>
                <w:szCs w:val="18"/>
              </w:rPr>
              <w:fldChar w:fldCharType="end"/>
            </w:r>
          </w:p>
        </w:tc>
        <w:tc>
          <w:tcPr>
            <w:tcW w:w="8919" w:type="dxa"/>
            <w:vAlign w:val="bottom"/>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COVID</w:t>
            </w:r>
            <w:r w:rsidRPr="00A14F04">
              <w:rPr>
                <w:rFonts w:ascii="Arial" w:hAnsi="Arial" w:cs="Arial"/>
                <w:sz w:val="18"/>
                <w:szCs w:val="18"/>
              </w:rPr>
              <w:noBreakHyphen/>
              <w:t>19</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Liu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&lt;EndNote&gt;&lt;Cite&gt;&lt;Author&gt;Liu&lt;/Author&gt;&lt;Year&gt;2021&lt;/Year&gt;&lt;RecNum&gt;535&lt;/RecNum&gt;&lt;DisplayText&gt;&lt;style face="superscript"&gt;33&lt;/style&gt;&lt;/DisplayText&gt;&lt;record&gt;&lt;rec-number&gt;535&lt;/rec-number&gt;&lt;foreign-keys&gt;&lt;key app="EN" db-id="waeppwvvowz0z5es9scxvwwnwte25s55w2dp" timestamp="1642613131"&gt;535&lt;/key&gt;&lt;/foreign-keys&gt;&lt;ref-type name="Journal Article"&gt;17&lt;/ref-type&gt;&lt;contributors&gt;&lt;authors&gt;&lt;author&gt;Liu, Ruoqi&lt;/author&gt;&lt;author&gt;Wei, Lai&lt;/author&gt;&lt;author&gt;Zhang, Ping&lt;/author&gt;&lt;/authors&gt;&lt;/contributors&gt;&lt;titles&gt;&lt;title&gt;A deep learning framework for drug repurposing via emulating clinical trials on real-world patient data&lt;/title&gt;&lt;secondary-title&gt;Nature Machine Intelligence&lt;/secondary-title&gt;&lt;/titles&gt;&lt;periodical&gt;&lt;full-title&gt;Nature Machine Intelligence&lt;/full-title&gt;&lt;/periodical&gt;&lt;pages&gt;68-75&lt;/pages&gt;&lt;volume&gt;3&lt;/volume&gt;&lt;number&gt;1&lt;/number&gt;&lt;dates&gt;&lt;year&gt;2021&lt;/year&gt;&lt;/dates&gt;&lt;isbn&gt;2522-5839&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33</w:t>
            </w:r>
            <w:r w:rsidRPr="00A14F04">
              <w:rPr>
                <w:rFonts w:ascii="Arial" w:hAnsi="Arial" w:cs="Arial"/>
                <w:sz w:val="18"/>
                <w:szCs w:val="18"/>
              </w:rPr>
              <w:fldChar w:fldCharType="end"/>
            </w:r>
          </w:p>
        </w:tc>
        <w:tc>
          <w:tcPr>
            <w:tcW w:w="8919" w:type="dxa"/>
            <w:vAlign w:val="bottom"/>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Coronary artery disease</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Malki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&lt;EndNote&gt;&lt;Cite&gt;&lt;Author&gt;Malki&lt;/Author&gt;&lt;Year&gt;2021&lt;/Year&gt;&lt;RecNum&gt;536&lt;/RecNum&gt;&lt;DisplayText&gt;&lt;style face="superscript"&gt;44&lt;/style&gt;&lt;/DisplayText&gt;&lt;record&gt;&lt;rec-number&gt;536&lt;/rec-number&gt;&lt;foreign-keys&gt;&lt;key app="EN" db-id="waeppwvvowz0z5es9scxvwwnwte25s55w2dp" timestamp="1642613174"&gt;536&lt;/key&gt;&lt;/foreign-keys&gt;&lt;ref-type name="Journal Article"&gt;17&lt;/ref-type&gt;&lt;contributors&gt;&lt;authors&gt;&lt;author&gt;Malki, Mustafa Adnan&lt;/author&gt;&lt;author&gt;Dawed, Adem Y&lt;/author&gt;&lt;author&gt;Hayward, Caroline&lt;/author&gt;&lt;author&gt;Doney, Alex&lt;/author&gt;&lt;author&gt;Pearson, Ewan R&lt;/author&gt;&lt;/authors&gt;&lt;/contributors&gt;&lt;titles&gt;&lt;title&gt;Utilizing Large Electronic Medical Record Data Sets to Identify Novel Drug–Gene Interactions for Commonly Used Drugs&lt;/title&gt;&lt;secondary-title&gt;Clinical Pharmacology &amp;amp; Therapeutics&lt;/secondary-title&gt;&lt;/titles&gt;&lt;periodical&gt;&lt;full-title&gt;Clinical Pharmacology &amp;amp; Therapeutics&lt;/full-title&gt;&lt;/periodical&gt;&lt;pages&gt;816-825&lt;/pages&gt;&lt;volume&gt;110&lt;/volume&gt;&lt;number&gt;3&lt;/number&gt;&lt;dates&gt;&lt;year&gt;2021&lt;/year&gt;&lt;/dates&gt;&lt;isbn&gt;0009-9236&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44</w:t>
            </w:r>
            <w:r w:rsidRPr="00A14F04">
              <w:rPr>
                <w:rFonts w:ascii="Arial" w:hAnsi="Arial" w:cs="Arial"/>
                <w:sz w:val="18"/>
                <w:szCs w:val="18"/>
              </w:rPr>
              <w:fldChar w:fldCharType="end"/>
            </w:r>
          </w:p>
        </w:tc>
        <w:tc>
          <w:tcPr>
            <w:tcW w:w="8919" w:type="dxa"/>
            <w:vAlign w:val="bottom"/>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Chronic conditions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Ozery-Flato et al</w:t>
            </w:r>
            <w:r w:rsidRPr="00A14F04">
              <w:rPr>
                <w:rFonts w:asciiTheme="minorHAnsi" w:eastAsiaTheme="minorEastAsia" w:hAnsiTheme="minorHAnsi" w:cstheme="minorBidi"/>
                <w:b w:val="0"/>
                <w:bCs w:val="0"/>
                <w:sz w:val="18"/>
                <w:szCs w:val="18"/>
              </w:rPr>
              <w:t xml:space="preserve">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&lt;EndNote&gt;&lt;Cite&gt;&lt;Author&gt;Ozery-Flato&lt;/Author&gt;&lt;Year&gt;2020&lt;/Year&gt;&lt;RecNum&gt;537&lt;/RecNum&gt;&lt;DisplayText&gt;&lt;style face="superscript"&gt;51&lt;/style&gt;&lt;/DisplayText&gt;&lt;record&gt;&lt;rec-number&gt;537&lt;/rec-number&gt;&lt;foreign-keys&gt;&lt;key app="EN" db-id="waeppwvvowz0z5es9scxvwwnwte25s55w2dp" timestamp="1642613231"&gt;537&lt;/key&gt;&lt;/foreign-keys&gt;&lt;ref-type name="Journal Article"&gt;17&lt;/ref-type&gt;&lt;contributors&gt;&lt;authors&gt;&lt;author&gt;Ozery-Flato, Michal&lt;/author&gt;&lt;author&gt;Goldschmidt, Yaara&lt;/author&gt;&lt;author&gt;Shaham, Oded&lt;/author&gt;&lt;author&gt;Ravid, Sivan&lt;/author&gt;&lt;author&gt;Yanover, Chen&lt;/author&gt;&lt;/authors&gt;&lt;/contributors&gt;&lt;titles&gt;&lt;title&gt;Framework for identifying drug repurposing candidates from observational healthcare data&lt;/title&gt;&lt;secondary-title&gt;JAMIA open&lt;/secondary-title&gt;&lt;/titles&gt;&lt;periodical&gt;&lt;full-title&gt;JAMIA Open&lt;/full-title&gt;&lt;/periodical&gt;&lt;pages&gt;536-544&lt;/pages&gt;&lt;volume&gt;3&lt;/volume&gt;&lt;number&gt;4&lt;/number&gt;&lt;dates&gt;&lt;year&gt;2020&lt;/year&gt;&lt;/dates&gt;&lt;isbn&gt;2574-2531&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51</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Parkinson’s disease</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Reznikov et al</w:t>
            </w:r>
            <w:r w:rsidRPr="00A14F04">
              <w:rPr>
                <w:rFonts w:asciiTheme="minorHAnsi" w:eastAsiaTheme="minorEastAsia" w:hAnsiTheme="minorHAnsi" w:cstheme="minorBidi"/>
                <w:b w:val="0"/>
                <w:bCs w:val="0"/>
                <w:sz w:val="18"/>
                <w:szCs w:val="18"/>
              </w:rPr>
              <w:t xml:space="preserve">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&lt;EndNote&gt;&lt;Cite&gt;&lt;Author&gt;Reznikov&lt;/Author&gt;&lt;Year&gt;2021&lt;/Year&gt;&lt;RecNum&gt;538&lt;/RecNum&gt;&lt;DisplayText&gt;&lt;style face="superscript"&gt;46&lt;/style&gt;&lt;/DisplayText&gt;&lt;record&gt;&lt;rec-number&gt;538&lt;/rec-number&gt;&lt;foreign-keys&gt;&lt;key app="EN" db-id="waeppwvvowz0z5es9scxvwwnwte25s55w2dp" timestamp="1642613276"&gt;538&lt;/key&gt;&lt;/foreign-keys&gt;&lt;ref-type name="Journal Article"&gt;17&lt;/ref-type&gt;&lt;contributors&gt;&lt;authors&gt;&lt;author&gt;Reznikov, Leah R&lt;/author&gt;&lt;author&gt;Norris, Michael H&lt;/author&gt;&lt;author&gt;Vashisht, Rohit&lt;/author&gt;&lt;author&gt;Bluhm, Andrew P&lt;/author&gt;&lt;author&gt;Li, Danmeng&lt;/author&gt;&lt;author&gt;Liao, Yan-Shin J&lt;/author&gt;&lt;author&gt;Brown, Ashley&lt;/author&gt;&lt;author&gt;Butte, Atul J&lt;/author&gt;&lt;author&gt;Ostrov, David A&lt;/author&gt;&lt;/authors&gt;&lt;/contributors&gt;&lt;titles&gt;&lt;title&gt;Identification of antiviral antihistamines for COVID-19 repurposing&lt;/title&gt;&lt;secondary-title&gt;Biochemical and biophysical research communications&lt;/secondary-title&gt;&lt;/titles&gt;&lt;periodical&gt;&lt;full-title&gt;Biochemical and biophysical research communications&lt;/full-title&gt;&lt;/periodical&gt;&lt;pages&gt;173-179&lt;/pages&gt;&lt;volume&gt;538&lt;/volume&gt;&lt;dates&gt;&lt;year&gt;2021&lt;/year&gt;&lt;/dates&gt;&lt;isbn&gt;0006-291X&lt;/isbn&gt;&lt;urls&gt;&lt;/urls&gt;&lt;/record&gt;&lt;/Cite&gt;&lt;/EndNote&gt;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46</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COVID</w:t>
            </w:r>
            <w:r w:rsidRPr="00A14F04">
              <w:rPr>
                <w:rFonts w:ascii="Arial" w:hAnsi="Arial" w:cs="Arial"/>
                <w:sz w:val="18"/>
                <w:szCs w:val="18"/>
              </w:rPr>
              <w:noBreakHyphen/>
              <w:t>19</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Wen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&lt;EndNote&gt;&lt;Cite&gt;&lt;Author&gt;Wen&lt;/Author&gt;&lt;Year&gt;2021&lt;/Year&gt;&lt;RecNum&gt;539&lt;/RecNum&gt;&lt;DisplayText&gt;&lt;style face="superscript"&gt;42&lt;/style&gt;&lt;/DisplayText&gt;&lt;record&gt;&lt;rec-number&gt;539&lt;/rec-number&gt;&lt;foreign-keys&gt;&lt;key app="EN" db-id="waeppwvvowz0z5es9scxvwwnwte25s55w2dp" timestamp="1642613318"&gt;539&lt;/key&gt;&lt;/foreign-keys&gt;&lt;ref-type name="Journal Article"&gt;17&lt;/ref-type&gt;&lt;contributors&gt;&lt;authors&gt;&lt;author&gt;Wen, Qianlong&lt;/author&gt;&lt;author&gt;Liu, Ruoqi&lt;/author&gt;&lt;author&gt;Zhang, Ping&lt;/author&gt;&lt;/authors&gt;&lt;/contributors&gt;&lt;titles&gt;&lt;title&gt;Clinical connectivity map for drug repurposing: using laboratory results to bridge drugs and diseases&lt;/title&gt;&lt;secondary-title&gt;BMC medical informatics and decision making&lt;/secondary-title&gt;&lt;/titles&gt;&lt;periodical&gt;&lt;full-title&gt;BMC medical informatics and decision making&lt;/full-title&gt;&lt;/periodical&gt;&lt;pages&gt;1-11&lt;/pages&gt;&lt;volume&gt;21&lt;/volume&gt;&lt;number&gt;8&lt;/number&gt;&lt;dates&gt;&lt;year&gt;2021&lt;/year&gt;&lt;/dates&gt;&lt;isbn&gt;1472-6947&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42</w:t>
            </w:r>
            <w:r w:rsidRPr="00A14F04">
              <w:rPr>
                <w:rFonts w:ascii="Arial" w:hAnsi="Arial" w:cs="Arial"/>
                <w:sz w:val="18"/>
                <w:szCs w:val="18"/>
              </w:rPr>
              <w:fldChar w:fldCharType="end"/>
            </w:r>
          </w:p>
        </w:tc>
        <w:tc>
          <w:tcPr>
            <w:tcW w:w="8919" w:type="dxa"/>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Asthma, Coronary heart disease, Congestive heart failure, Heart attack, and stroke, Type 2 diabetes</w:t>
            </w:r>
          </w:p>
        </w:tc>
      </w:tr>
      <w:tr w:rsidR="00575628" w:rsidRPr="00A14F04" w:rsidTr="006B7DC3">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vAlign w:val="center"/>
          </w:tcPr>
          <w:p w:rsidR="00575628" w:rsidRPr="00A14F04" w:rsidRDefault="00575628" w:rsidP="006B7DC3">
            <w:pPr>
              <w:rPr>
                <w:rFonts w:ascii="Arial" w:hAnsi="Arial" w:cs="Arial"/>
                <w:b w:val="0"/>
                <w:sz w:val="18"/>
                <w:szCs w:val="18"/>
              </w:rPr>
            </w:pPr>
            <w:r w:rsidRPr="00A14F04">
              <w:rPr>
                <w:rFonts w:ascii="Arial" w:eastAsiaTheme="minorEastAsia" w:hAnsi="Arial" w:cs="Arial"/>
                <w:b w:val="0"/>
                <w:bCs w:val="0"/>
                <w:sz w:val="18"/>
                <w:szCs w:val="18"/>
              </w:rPr>
              <w:t xml:space="preserve">Zhou et al </w:t>
            </w:r>
            <w:r w:rsidRPr="00A14F04">
              <w:rPr>
                <w:rFonts w:ascii="Arial" w:hAnsi="Arial" w:cs="Arial"/>
                <w:sz w:val="18"/>
                <w:szCs w:val="18"/>
              </w:rPr>
              <w:fldChar w:fldCharType="begin"/>
            </w:r>
            <w:r>
              <w:rPr>
                <w:rFonts w:ascii="Arial" w:hAnsi="Arial" w:cs="Arial"/>
                <w:sz w:val="18"/>
                <w:szCs w:val="18"/>
              </w:rPr>
              <w:instrText xml:space="preserve"> ADDIN EN.CITE &lt;EndNote&gt;&lt;Cite&gt;&lt;Author&gt;Zhou&lt;/Author&gt;&lt;Year&gt;2021&lt;/Year&gt;&lt;RecNum&gt;540&lt;/RecNum&gt;&lt;DisplayText&gt;&lt;style face="superscript"&gt;50&lt;/style&gt;&lt;/DisplayText&gt;&lt;record&gt;&lt;rec-number&gt;540&lt;/rec-number&gt;&lt;foreign-keys&gt;&lt;key app="EN" db-id="waeppwvvowz0z5es9scxvwwnwte25s55w2dp" timestamp="1642613357"&gt;540&lt;/key&gt;&lt;/foreign-keys&gt;&lt;ref-type name="Journal Article"&gt;17&lt;/ref-type&gt;&lt;contributors&gt;&lt;authors&gt;&lt;author&gt;Zhou, Mengshi&lt;/author&gt;&lt;author&gt;Wang, QuanQiu&lt;/author&gt;&lt;author&gt;Zheng, Chunlei&lt;/author&gt;&lt;author&gt;Rush, A John&lt;/author&gt;&lt;author&gt;Volkow, Nora D&lt;/author&gt;&lt;author&gt;Xu, Rong&lt;/author&gt;&lt;/authors&gt;&lt;/contributors&gt;&lt;titles&gt;&lt;title&gt;Drug repurposing for opioid use disorders: integration of computational prediction, clinical corroboration, and mechanism of action analyses&lt;/title&gt;&lt;secondary-title&gt;Molecular psychiatry&lt;/secondary-title&gt;&lt;/titles&gt;&lt;periodical&gt;&lt;full-title&gt;Molecular psychiatry&lt;/full-title&gt;&lt;/periodical&gt;&lt;pages&gt;1-11&lt;/pages&gt;&lt;dates&gt;&lt;year&gt;2021&lt;/year&gt;&lt;/dates&gt;&lt;isbn&gt;1476-5578&lt;/isbn&gt;&lt;urls&gt;&lt;/urls&gt;&lt;/record&gt;&lt;/Cite&gt;&lt;/EndNote&gt;</w:instrText>
            </w:r>
            <w:r w:rsidRPr="00A14F04">
              <w:rPr>
                <w:rFonts w:ascii="Arial" w:hAnsi="Arial" w:cs="Arial"/>
                <w:sz w:val="18"/>
                <w:szCs w:val="18"/>
              </w:rPr>
              <w:fldChar w:fldCharType="separate"/>
            </w:r>
            <w:r w:rsidRPr="00303171">
              <w:rPr>
                <w:rFonts w:ascii="Arial" w:hAnsi="Arial" w:cs="Arial"/>
                <w:noProof/>
                <w:sz w:val="18"/>
                <w:szCs w:val="18"/>
                <w:vertAlign w:val="superscript"/>
              </w:rPr>
              <w:t>50</w:t>
            </w:r>
            <w:r w:rsidRPr="00A14F04">
              <w:rPr>
                <w:rFonts w:ascii="Arial" w:hAnsi="Arial" w:cs="Arial"/>
                <w:sz w:val="18"/>
                <w:szCs w:val="18"/>
              </w:rPr>
              <w:fldChar w:fldCharType="end"/>
            </w:r>
          </w:p>
        </w:tc>
        <w:tc>
          <w:tcPr>
            <w:tcW w:w="8919" w:type="dxa"/>
            <w:tcBorders>
              <w:bottom w:val="single" w:sz="4" w:space="0" w:color="auto"/>
            </w:tcBorders>
          </w:tcPr>
          <w:p w:rsidR="00575628" w:rsidRPr="00A14F04" w:rsidRDefault="00575628" w:rsidP="006B7DC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4F04">
              <w:rPr>
                <w:rFonts w:ascii="Arial" w:hAnsi="Arial" w:cs="Arial"/>
                <w:sz w:val="18"/>
                <w:szCs w:val="18"/>
              </w:rPr>
              <w:t>Opioid use disorders</w:t>
            </w:r>
          </w:p>
        </w:tc>
      </w:tr>
    </w:tbl>
    <w:p w:rsidR="00575628" w:rsidRDefault="00575628" w:rsidP="00575628">
      <w:pPr>
        <w:pStyle w:val="MDPI71References"/>
        <w:numPr>
          <w:ilvl w:val="0"/>
          <w:numId w:val="0"/>
        </w:numPr>
        <w:spacing w:line="480" w:lineRule="auto"/>
        <w:ind w:left="425" w:hanging="425"/>
        <w:rPr>
          <w:rFonts w:ascii="Arial" w:hAnsi="Arial" w:cs="Arial"/>
          <w:color w:val="auto"/>
          <w:sz w:val="20"/>
        </w:rPr>
      </w:pPr>
    </w:p>
    <w:p w:rsidR="00575628" w:rsidRDefault="00575628" w:rsidP="00575628">
      <w:pPr>
        <w:rPr>
          <w:rFonts w:ascii="Arial" w:eastAsia="Times New Roman" w:hAnsi="Arial" w:cs="Arial"/>
          <w:sz w:val="20"/>
          <w:szCs w:val="20"/>
          <w:lang w:eastAsia="de-DE" w:bidi="en-US"/>
        </w:rPr>
      </w:pPr>
      <w:r>
        <w:rPr>
          <w:rFonts w:ascii="Arial" w:hAnsi="Arial" w:cs="Arial"/>
          <w:sz w:val="20"/>
        </w:rPr>
        <w:lastRenderedPageBreak/>
        <w:br w:type="page"/>
      </w:r>
    </w:p>
    <w:p w:rsidR="00575628" w:rsidRPr="00A14F04" w:rsidRDefault="00575628" w:rsidP="00575628">
      <w:pPr>
        <w:pStyle w:val="MDPI21heading1"/>
        <w:spacing w:line="480" w:lineRule="auto"/>
        <w:ind w:left="0"/>
        <w:rPr>
          <w:rFonts w:ascii="Arial" w:hAnsi="Arial" w:cs="Arial"/>
          <w:color w:val="auto"/>
          <w:sz w:val="24"/>
          <w:szCs w:val="20"/>
          <w:lang w:eastAsia="zh-CN"/>
        </w:rPr>
      </w:pPr>
      <w:r w:rsidRPr="004B5220">
        <w:rPr>
          <w:rFonts w:ascii="Arial" w:hAnsi="Arial" w:cs="Arial"/>
          <w:color w:val="auto"/>
          <w:sz w:val="24"/>
          <w:szCs w:val="20"/>
          <w:highlight w:val="yellow"/>
          <w:lang w:eastAsia="zh-CN"/>
        </w:rPr>
        <w:lastRenderedPageBreak/>
        <w:t>Supplementary Note 1</w:t>
      </w:r>
    </w:p>
    <w:p w:rsidR="00575628" w:rsidRPr="00A14F04" w:rsidRDefault="00575628" w:rsidP="00575628">
      <w:pPr>
        <w:shd w:val="clear" w:color="auto" w:fill="FFFFFF"/>
        <w:spacing w:line="480" w:lineRule="auto"/>
        <w:rPr>
          <w:rFonts w:ascii="Arial" w:eastAsia="Times New Roman" w:hAnsi="Arial" w:cs="Arial"/>
          <w:sz w:val="20"/>
          <w:szCs w:val="20"/>
        </w:rPr>
      </w:pPr>
      <w:r w:rsidRPr="00A14F04">
        <w:rPr>
          <w:rFonts w:ascii="Arial" w:eastAsia="Times New Roman" w:hAnsi="Arial" w:cs="Arial"/>
          <w:b/>
          <w:bCs/>
          <w:sz w:val="20"/>
          <w:szCs w:val="20"/>
        </w:rPr>
        <w:t>Embase: 243</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1     electronic medical record/ or electronic medical record system/</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2     (((electronic or computer*) adj2 record*) and ((health or medical) adj2 record*)).ab,kw,ti.</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3     (emr or ehr).ab,kw,ti.</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4     1 or 2 or 3</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5     drug repositioning/</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6     ((drug* or medication* or pharm*) adj2 (repurpos* or re-purpos* or rescu* or reposition* or re-position* or reprofil* or re-profil* or discover* or develop* or mine* or mining)).ab,kw,ti. (140361)</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7     5 or 6</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8     4 and 7</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9     limit 8 to english language</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10     limit 9 to yr="2000 -Current"</w:t>
      </w:r>
    </w:p>
    <w:p w:rsidR="00575628" w:rsidRPr="00A14F04" w:rsidRDefault="00575628" w:rsidP="00575628">
      <w:pPr>
        <w:shd w:val="clear" w:color="auto" w:fill="FFFFFF"/>
        <w:spacing w:line="480" w:lineRule="auto"/>
        <w:rPr>
          <w:rFonts w:ascii="Arial" w:eastAsia="Times New Roman" w:hAnsi="Arial" w:cs="Arial"/>
          <w:sz w:val="20"/>
          <w:szCs w:val="20"/>
        </w:rPr>
      </w:pPr>
      <w:r w:rsidRPr="00A14F04">
        <w:rPr>
          <w:rFonts w:ascii="Arial" w:eastAsia="Times New Roman" w:hAnsi="Arial" w:cs="Arial"/>
          <w:b/>
          <w:bCs/>
          <w:sz w:val="20"/>
          <w:szCs w:val="20"/>
        </w:rPr>
        <w:t>Medline: 209</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1     exp Medical Records Systems, Computerized/</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2     (((electronic or computer*) adj2 record*) and ((health or medical) adj2 record*)).ab,kw,ti.</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3     (emr or ehr).ab,kw,ti.</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4     1 or 2 or 3</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5     drug repositioning/</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6     ((drug* or medication* or pharm*) adj2 (repurpos* or re-purpos* or rescu* or reposition* or re-position* or reprofil* or re-profil* or discover* or develop* or mine* or mining)).ab,kw,ti.</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7     5 or 6</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8     4 and 7</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9     limit 8 to english language</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lastRenderedPageBreak/>
        <w:t>10     limit 9 to yr="2000 -Current"</w:t>
      </w:r>
    </w:p>
    <w:p w:rsidR="00575628" w:rsidRPr="00A14F04" w:rsidRDefault="00575628" w:rsidP="00575628">
      <w:pPr>
        <w:shd w:val="clear" w:color="auto" w:fill="FFFFFF"/>
        <w:spacing w:line="480" w:lineRule="auto"/>
        <w:rPr>
          <w:rFonts w:ascii="Arial" w:eastAsia="Times New Roman" w:hAnsi="Arial" w:cs="Arial"/>
          <w:sz w:val="20"/>
          <w:szCs w:val="20"/>
        </w:rPr>
      </w:pPr>
      <w:r w:rsidRPr="00A14F04">
        <w:rPr>
          <w:rFonts w:ascii="Arial" w:eastAsia="Times New Roman" w:hAnsi="Arial" w:cs="Arial"/>
          <w:b/>
          <w:bCs/>
          <w:sz w:val="20"/>
          <w:szCs w:val="20"/>
        </w:rPr>
        <w:t>Scopus:</w:t>
      </w:r>
      <w:r w:rsidRPr="00A14F04">
        <w:rPr>
          <w:rFonts w:ascii="Arial" w:eastAsia="Times New Roman" w:hAnsi="Arial" w:cs="Arial"/>
          <w:sz w:val="20"/>
          <w:szCs w:val="20"/>
        </w:rPr>
        <w:t> </w:t>
      </w:r>
      <w:r w:rsidRPr="00A14F04">
        <w:rPr>
          <w:rFonts w:ascii="Arial" w:eastAsia="Times New Roman" w:hAnsi="Arial" w:cs="Arial"/>
          <w:b/>
          <w:bCs/>
          <w:sz w:val="20"/>
          <w:szCs w:val="20"/>
        </w:rPr>
        <w:t>263</w:t>
      </w:r>
    </w:p>
    <w:p w:rsidR="00575628" w:rsidRPr="00A14F04" w:rsidRDefault="00575628" w:rsidP="00575628">
      <w:pPr>
        <w:shd w:val="clear" w:color="auto" w:fill="FFFFFF"/>
        <w:spacing w:line="480" w:lineRule="auto"/>
        <w:rPr>
          <w:rFonts w:ascii="Arial" w:eastAsia="Times New Roman" w:hAnsi="Arial" w:cs="Arial"/>
          <w:snapToGrid w:val="0"/>
          <w:sz w:val="20"/>
          <w:szCs w:val="20"/>
          <w:lang w:eastAsia="de-DE" w:bidi="en-US"/>
        </w:rPr>
      </w:pPr>
      <w:r w:rsidRPr="00A14F04">
        <w:rPr>
          <w:rFonts w:ascii="Arial" w:eastAsia="Times New Roman" w:hAnsi="Arial" w:cs="Arial"/>
          <w:snapToGrid w:val="0"/>
          <w:sz w:val="20"/>
          <w:szCs w:val="20"/>
          <w:lang w:eastAsia="de-DE" w:bidi="en-US"/>
        </w:rPr>
        <w:t>( ( ( TITLE-ABS-KEY ( ( electronic  OR  computer* )  W/2  record* )  OR  TITLE-ABS-KEY ( emr  OR  ehr ) ) )  AND  ( TITLE-ABS-KEY ( ( drug*  OR  medication*  OR  pharm* )  W/2  ( repurpos*  OR  re-purpos*  OR  rescu*  OR  reposition*  OR  re-position*  OR  reprofil*  OR  re-profil*  OR  discover*  OR  develop*  OR  mine*  OR  mining ) ) ) )  AND  ( TITLE-ABS-KEY ( ( health  OR  medical )  W/2  record* ) )  Limit to English, 2000+</w:t>
      </w:r>
    </w:p>
    <w:p w:rsidR="00575628" w:rsidRPr="00A14F04" w:rsidRDefault="00575628" w:rsidP="00575628">
      <w:pPr>
        <w:shd w:val="clear" w:color="auto" w:fill="FFFFFF"/>
        <w:spacing w:line="480" w:lineRule="auto"/>
        <w:rPr>
          <w:rFonts w:ascii="Arial" w:eastAsia="Times New Roman" w:hAnsi="Arial" w:cs="Arial"/>
          <w:sz w:val="20"/>
          <w:szCs w:val="20"/>
        </w:rPr>
      </w:pPr>
      <w:r w:rsidRPr="00A14F04">
        <w:rPr>
          <w:rFonts w:ascii="Arial" w:eastAsia="Times New Roman" w:hAnsi="Arial" w:cs="Arial"/>
          <w:b/>
          <w:bCs/>
          <w:sz w:val="20"/>
          <w:szCs w:val="20"/>
        </w:rPr>
        <w:t>Web of Science:</w:t>
      </w:r>
      <w:r w:rsidRPr="00A14F04">
        <w:rPr>
          <w:rFonts w:ascii="Arial" w:eastAsia="Times New Roman" w:hAnsi="Arial" w:cs="Arial"/>
          <w:sz w:val="20"/>
          <w:szCs w:val="20"/>
        </w:rPr>
        <w:t> </w:t>
      </w:r>
      <w:r w:rsidRPr="00A14F04">
        <w:rPr>
          <w:rFonts w:ascii="Arial" w:eastAsia="Times New Roman" w:hAnsi="Arial" w:cs="Arial"/>
          <w:b/>
          <w:bCs/>
          <w:sz w:val="20"/>
          <w:szCs w:val="20"/>
        </w:rPr>
        <w:t>27</w:t>
      </w:r>
      <w:r w:rsidRPr="00A14F04">
        <w:rPr>
          <w:rFonts w:ascii="Arial" w:eastAsia="Times New Roman" w:hAnsi="Arial" w:cs="Arial"/>
          <w:sz w:val="20"/>
          <w:szCs w:val="20"/>
        </w:rPr>
        <w:br/>
      </w:r>
      <w:r w:rsidRPr="00A14F04">
        <w:rPr>
          <w:rFonts w:ascii="Arial" w:eastAsia="Times New Roman" w:hAnsi="Arial" w:cs="Arial"/>
          <w:snapToGrid w:val="0"/>
          <w:sz w:val="20"/>
          <w:szCs w:val="20"/>
          <w:lang w:eastAsia="de-DE" w:bidi="en-US"/>
        </w:rPr>
        <w:t>TOPIC:  ((electronic or computer*)  NEAR/2  record*)  AND  TOPIC:  ((health or medical)  NEAR/2  record*) AND (TOPIC:((drug* or medication* or pharm*)  NEAR/2  (repurpos* or re-purpos* or rescu* or reposition* or re-position* or reprofil* or re-profil* or discover* or develop* or mine* OR mining) ))  Limit to English, 2000+</w:t>
      </w:r>
    </w:p>
    <w:p w:rsidR="00575628" w:rsidRPr="00A14F04" w:rsidRDefault="00575628" w:rsidP="00575628">
      <w:pPr>
        <w:rPr>
          <w:rFonts w:ascii="Arial" w:hAnsi="Arial" w:cs="Arial"/>
          <w:sz w:val="20"/>
          <w:szCs w:val="20"/>
        </w:rPr>
      </w:pPr>
    </w:p>
    <w:p w:rsidR="00575628" w:rsidRPr="00A14F04" w:rsidRDefault="00575628" w:rsidP="00575628">
      <w:pPr>
        <w:rPr>
          <w:rFonts w:ascii="Arial" w:hAnsi="Arial" w:cs="Arial"/>
          <w:sz w:val="20"/>
          <w:szCs w:val="20"/>
        </w:rPr>
      </w:pPr>
    </w:p>
    <w:p w:rsidR="00D33A75" w:rsidRDefault="00D33A75"/>
    <w:sectPr w:rsidR="00D33A75" w:rsidSect="00FD6A83">
      <w:pgSz w:w="12240" w:h="15840"/>
      <w:pgMar w:top="720" w:right="720" w:bottom="720" w:left="72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GaramondPremrPro">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467"/>
    <w:multiLevelType w:val="hybridMultilevel"/>
    <w:tmpl w:val="B148C3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6D5D"/>
    <w:multiLevelType w:val="hybridMultilevel"/>
    <w:tmpl w:val="94C239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D0DFD"/>
    <w:multiLevelType w:val="hybridMultilevel"/>
    <w:tmpl w:val="B60EAD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40F24"/>
    <w:multiLevelType w:val="hybridMultilevel"/>
    <w:tmpl w:val="1DA0E578"/>
    <w:lvl w:ilvl="0" w:tplc="B7B2B06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295B"/>
    <w:multiLevelType w:val="hybridMultilevel"/>
    <w:tmpl w:val="64D6D424"/>
    <w:lvl w:ilvl="0" w:tplc="964422C0">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87BA7"/>
    <w:multiLevelType w:val="hybridMultilevel"/>
    <w:tmpl w:val="1DFA68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66871"/>
    <w:multiLevelType w:val="hybridMultilevel"/>
    <w:tmpl w:val="B5F630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A6CAD"/>
    <w:multiLevelType w:val="hybridMultilevel"/>
    <w:tmpl w:val="B4AE19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6663F"/>
    <w:multiLevelType w:val="hybridMultilevel"/>
    <w:tmpl w:val="0C4E7D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1" w15:restartNumberingAfterBreak="0">
    <w:nsid w:val="1EBB2BBD"/>
    <w:multiLevelType w:val="hybridMultilevel"/>
    <w:tmpl w:val="C066B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360D5D"/>
    <w:multiLevelType w:val="hybridMultilevel"/>
    <w:tmpl w:val="3CFAA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5058EB"/>
    <w:multiLevelType w:val="hybridMultilevel"/>
    <w:tmpl w:val="E05252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05CEF"/>
    <w:multiLevelType w:val="hybridMultilevel"/>
    <w:tmpl w:val="0EECEEAA"/>
    <w:lvl w:ilvl="0" w:tplc="F87440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9" w15:restartNumberingAfterBreak="0">
    <w:nsid w:val="3B8D464E"/>
    <w:multiLevelType w:val="hybridMultilevel"/>
    <w:tmpl w:val="0DACD1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3D7C06"/>
    <w:multiLevelType w:val="hybridMultilevel"/>
    <w:tmpl w:val="BC8822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E97D84"/>
    <w:multiLevelType w:val="hybridMultilevel"/>
    <w:tmpl w:val="F81023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37932"/>
    <w:multiLevelType w:val="hybridMultilevel"/>
    <w:tmpl w:val="EE34D9E2"/>
    <w:lvl w:ilvl="0" w:tplc="E56AB9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C90D31"/>
    <w:multiLevelType w:val="hybridMultilevel"/>
    <w:tmpl w:val="64D6D424"/>
    <w:lvl w:ilvl="0" w:tplc="964422C0">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3646BC"/>
    <w:multiLevelType w:val="hybridMultilevel"/>
    <w:tmpl w:val="EE34D9E2"/>
    <w:lvl w:ilvl="0" w:tplc="E56AB9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771E00"/>
    <w:multiLevelType w:val="hybridMultilevel"/>
    <w:tmpl w:val="4C2A6A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E27A1A"/>
    <w:multiLevelType w:val="hybridMultilevel"/>
    <w:tmpl w:val="049A05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7F6B0E"/>
    <w:multiLevelType w:val="hybridMultilevel"/>
    <w:tmpl w:val="0082E4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30" w15:restartNumberingAfterBreak="0">
    <w:nsid w:val="5E871FD3"/>
    <w:multiLevelType w:val="hybridMultilevel"/>
    <w:tmpl w:val="B3929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C40F26"/>
    <w:multiLevelType w:val="hybridMultilevel"/>
    <w:tmpl w:val="86DE84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2E67C3"/>
    <w:multiLevelType w:val="hybridMultilevel"/>
    <w:tmpl w:val="9C0E2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4" w15:restartNumberingAfterBreak="0">
    <w:nsid w:val="71E709F4"/>
    <w:multiLevelType w:val="hybridMultilevel"/>
    <w:tmpl w:val="EE34D9E2"/>
    <w:lvl w:ilvl="0" w:tplc="E56AB9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5739C0"/>
    <w:multiLevelType w:val="hybridMultilevel"/>
    <w:tmpl w:val="E0A6D5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F43E0D"/>
    <w:multiLevelType w:val="hybridMultilevel"/>
    <w:tmpl w:val="7658A8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CF1737"/>
    <w:multiLevelType w:val="hybridMultilevel"/>
    <w:tmpl w:val="EE34D9E2"/>
    <w:lvl w:ilvl="0" w:tplc="E56AB9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1636D2"/>
    <w:multiLevelType w:val="hybridMultilevel"/>
    <w:tmpl w:val="64D6D424"/>
    <w:lvl w:ilvl="0" w:tplc="964422C0">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E711C"/>
    <w:multiLevelType w:val="hybridMultilevel"/>
    <w:tmpl w:val="36D268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8"/>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9"/>
  </w:num>
  <w:num w:numId="7">
    <w:abstractNumId w:val="10"/>
  </w:num>
  <w:num w:numId="8">
    <w:abstractNumId w:val="33"/>
  </w:num>
  <w:num w:numId="9">
    <w:abstractNumId w:val="7"/>
  </w:num>
  <w:num w:numId="10">
    <w:abstractNumId w:val="27"/>
  </w:num>
  <w:num w:numId="11">
    <w:abstractNumId w:val="24"/>
  </w:num>
  <w:num w:numId="12">
    <w:abstractNumId w:val="34"/>
  </w:num>
  <w:num w:numId="13">
    <w:abstractNumId w:val="22"/>
  </w:num>
  <w:num w:numId="14">
    <w:abstractNumId w:val="37"/>
  </w:num>
  <w:num w:numId="15">
    <w:abstractNumId w:val="2"/>
  </w:num>
  <w:num w:numId="16">
    <w:abstractNumId w:val="12"/>
  </w:num>
  <w:num w:numId="17">
    <w:abstractNumId w:val="9"/>
  </w:num>
  <w:num w:numId="18">
    <w:abstractNumId w:val="3"/>
  </w:num>
  <w:num w:numId="19">
    <w:abstractNumId w:val="17"/>
  </w:num>
  <w:num w:numId="20">
    <w:abstractNumId w:val="5"/>
  </w:num>
  <w:num w:numId="21">
    <w:abstractNumId w:val="39"/>
  </w:num>
  <w:num w:numId="22">
    <w:abstractNumId w:val="21"/>
  </w:num>
  <w:num w:numId="23">
    <w:abstractNumId w:val="32"/>
  </w:num>
  <w:num w:numId="24">
    <w:abstractNumId w:val="0"/>
  </w:num>
  <w:num w:numId="25">
    <w:abstractNumId w:val="31"/>
  </w:num>
  <w:num w:numId="26">
    <w:abstractNumId w:val="19"/>
  </w:num>
  <w:num w:numId="27">
    <w:abstractNumId w:val="16"/>
  </w:num>
  <w:num w:numId="28">
    <w:abstractNumId w:val="1"/>
  </w:num>
  <w:num w:numId="29">
    <w:abstractNumId w:val="11"/>
  </w:num>
  <w:num w:numId="30">
    <w:abstractNumId w:val="6"/>
  </w:num>
  <w:num w:numId="31">
    <w:abstractNumId w:val="36"/>
  </w:num>
  <w:num w:numId="32">
    <w:abstractNumId w:val="35"/>
  </w:num>
  <w:num w:numId="33">
    <w:abstractNumId w:val="25"/>
  </w:num>
  <w:num w:numId="34">
    <w:abstractNumId w:val="30"/>
  </w:num>
  <w:num w:numId="35">
    <w:abstractNumId w:val="20"/>
  </w:num>
  <w:num w:numId="36">
    <w:abstractNumId w:val="28"/>
  </w:num>
  <w:num w:numId="37">
    <w:abstractNumId w:val="26"/>
  </w:num>
  <w:num w:numId="38">
    <w:abstractNumId w:val="38"/>
  </w:num>
  <w:num w:numId="39">
    <w:abstractNumId w:val="23"/>
  </w:num>
  <w:num w:numId="40">
    <w:abstractNumId w:val="8"/>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UxszQzNzQ1MDa2MDZQ0lEKTi0uzszPAykwrAUA7FmwXSwAAAA="/>
  </w:docVars>
  <w:rsids>
    <w:rsidRoot w:val="00575628"/>
    <w:rsid w:val="00575628"/>
    <w:rsid w:val="00D33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527312-FC25-4228-B30D-0B3EF8FC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628"/>
  </w:style>
  <w:style w:type="paragraph" w:styleId="1">
    <w:name w:val="heading 1"/>
    <w:next w:val="a"/>
    <w:link w:val="1Char"/>
    <w:uiPriority w:val="9"/>
    <w:unhideWhenUsed/>
    <w:qFormat/>
    <w:rsid w:val="00575628"/>
    <w:pPr>
      <w:keepNext/>
      <w:keepLines/>
      <w:spacing w:after="79"/>
      <w:ind w:left="10" w:right="7912" w:hanging="10"/>
      <w:outlineLvl w:val="0"/>
    </w:pPr>
    <w:rPr>
      <w:rFonts w:ascii="Arial" w:eastAsia="Arial" w:hAnsi="Arial" w:cs="Arial"/>
      <w:b/>
      <w:color w:val="22222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75628"/>
    <w:rPr>
      <w:rFonts w:ascii="Arial" w:eastAsia="Arial" w:hAnsi="Arial" w:cs="Arial"/>
      <w:b/>
      <w:color w:val="222222"/>
      <w:sz w:val="24"/>
    </w:rPr>
  </w:style>
  <w:style w:type="paragraph" w:customStyle="1" w:styleId="MDPI12title">
    <w:name w:val="MDPI_1.2_title"/>
    <w:next w:val="a"/>
    <w:qFormat/>
    <w:rsid w:val="00575628"/>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qFormat/>
    <w:rsid w:val="00575628"/>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a"/>
    <w:qFormat/>
    <w:rsid w:val="00575628"/>
    <w:pPr>
      <w:adjustRightInd w:val="0"/>
      <w:snapToGrid w:val="0"/>
      <w:spacing w:before="240" w:after="0" w:line="260" w:lineRule="atLeast"/>
      <w:ind w:left="2608"/>
      <w:jc w:val="both"/>
    </w:pPr>
    <w:rPr>
      <w:rFonts w:ascii="Palatino Linotype" w:eastAsia="Times New Roman" w:hAnsi="Palatino Linotype" w:cs="Times New Roman"/>
      <w:color w:val="000000"/>
      <w:sz w:val="18"/>
      <w:lang w:eastAsia="de-DE" w:bidi="en-US"/>
    </w:rPr>
  </w:style>
  <w:style w:type="character" w:styleId="a3">
    <w:name w:val="annotation reference"/>
    <w:rsid w:val="00575628"/>
    <w:rPr>
      <w:sz w:val="21"/>
      <w:szCs w:val="21"/>
    </w:rPr>
  </w:style>
  <w:style w:type="paragraph" w:styleId="a4">
    <w:name w:val="annotation text"/>
    <w:basedOn w:val="a"/>
    <w:link w:val="Char"/>
    <w:uiPriority w:val="99"/>
    <w:rsid w:val="00575628"/>
    <w:pPr>
      <w:spacing w:after="0" w:line="260" w:lineRule="atLeast"/>
      <w:jc w:val="both"/>
    </w:pPr>
    <w:rPr>
      <w:rFonts w:ascii="Palatino Linotype" w:eastAsia="SimSun" w:hAnsi="Palatino Linotype" w:cs="Times New Roman"/>
      <w:noProof/>
      <w:color w:val="000000"/>
      <w:sz w:val="20"/>
      <w:szCs w:val="20"/>
    </w:rPr>
  </w:style>
  <w:style w:type="character" w:customStyle="1" w:styleId="Char">
    <w:name w:val="批注文字 Char"/>
    <w:basedOn w:val="a0"/>
    <w:link w:val="a4"/>
    <w:uiPriority w:val="99"/>
    <w:rsid w:val="00575628"/>
    <w:rPr>
      <w:rFonts w:ascii="Palatino Linotype" w:eastAsia="SimSun" w:hAnsi="Palatino Linotype" w:cs="Times New Roman"/>
      <w:noProof/>
      <w:color w:val="000000"/>
      <w:sz w:val="20"/>
      <w:szCs w:val="20"/>
    </w:rPr>
  </w:style>
  <w:style w:type="paragraph" w:customStyle="1" w:styleId="MDPI11articletype">
    <w:name w:val="MDPI_1.1_article_type"/>
    <w:next w:val="a"/>
    <w:qFormat/>
    <w:rsid w:val="00575628"/>
    <w:pPr>
      <w:adjustRightInd w:val="0"/>
      <w:snapToGrid w:val="0"/>
      <w:spacing w:before="240" w:after="0" w:line="240" w:lineRule="auto"/>
    </w:pPr>
    <w:rPr>
      <w:rFonts w:ascii="Palatino Linotype" w:eastAsia="Times New Roman" w:hAnsi="Palatino Linotype" w:cs="Times New Roman"/>
      <w:i/>
      <w:snapToGrid w:val="0"/>
      <w:color w:val="000000"/>
      <w:sz w:val="20"/>
      <w:lang w:eastAsia="de-DE" w:bidi="en-US"/>
    </w:rPr>
  </w:style>
  <w:style w:type="paragraph" w:customStyle="1" w:styleId="MDPI13authornames">
    <w:name w:val="MDPI_1.3_authornames"/>
    <w:next w:val="a"/>
    <w:qFormat/>
    <w:rsid w:val="00575628"/>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a"/>
    <w:next w:val="a"/>
    <w:qFormat/>
    <w:rsid w:val="00575628"/>
    <w:pPr>
      <w:adjustRightInd w:val="0"/>
      <w:snapToGrid w:val="0"/>
      <w:spacing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8keywords">
    <w:name w:val="MDPI_1.8_keywords"/>
    <w:next w:val="a"/>
    <w:qFormat/>
    <w:rsid w:val="00575628"/>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eastAsia="de-DE" w:bidi="en-US"/>
    </w:rPr>
  </w:style>
  <w:style w:type="paragraph" w:customStyle="1" w:styleId="MDPI19line">
    <w:name w:val="MDPI_1.9_line"/>
    <w:qFormat/>
    <w:rsid w:val="00575628"/>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eastAsia="de-DE" w:bidi="en-US"/>
    </w:rPr>
  </w:style>
  <w:style w:type="table" w:customStyle="1" w:styleId="Mdeck5tablebodythreelines">
    <w:name w:val="M_deck_5_table_body_three_lines"/>
    <w:basedOn w:val="a1"/>
    <w:uiPriority w:val="99"/>
    <w:rsid w:val="00575628"/>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5">
    <w:name w:val="Table Grid"/>
    <w:basedOn w:val="a1"/>
    <w:uiPriority w:val="39"/>
    <w:rsid w:val="00575628"/>
    <w:pPr>
      <w:spacing w:after="0" w:line="260" w:lineRule="atLeast"/>
      <w:jc w:val="both"/>
    </w:pPr>
    <w:rPr>
      <w:rFonts w:ascii="Palatino Linotype" w:eastAsia="SimSun" w:hAnsi="Palatino Linotype" w:cs="Times New Roman"/>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Char0"/>
    <w:uiPriority w:val="99"/>
    <w:rsid w:val="00575628"/>
    <w:pPr>
      <w:tabs>
        <w:tab w:val="center" w:pos="4153"/>
        <w:tab w:val="right" w:pos="8306"/>
      </w:tabs>
      <w:snapToGrid w:val="0"/>
      <w:spacing w:after="0" w:line="240" w:lineRule="atLeast"/>
      <w:jc w:val="both"/>
    </w:pPr>
    <w:rPr>
      <w:rFonts w:ascii="Palatino Linotype" w:eastAsia="SimSun" w:hAnsi="Palatino Linotype" w:cs="Times New Roman"/>
      <w:noProof/>
      <w:color w:val="000000"/>
      <w:sz w:val="20"/>
      <w:szCs w:val="18"/>
    </w:rPr>
  </w:style>
  <w:style w:type="character" w:customStyle="1" w:styleId="Char0">
    <w:name w:val="页脚 Char"/>
    <w:basedOn w:val="a0"/>
    <w:link w:val="a6"/>
    <w:uiPriority w:val="99"/>
    <w:rsid w:val="00575628"/>
    <w:rPr>
      <w:rFonts w:ascii="Palatino Linotype" w:eastAsia="SimSun" w:hAnsi="Palatino Linotype" w:cs="Times New Roman"/>
      <w:noProof/>
      <w:color w:val="000000"/>
      <w:sz w:val="20"/>
      <w:szCs w:val="18"/>
    </w:rPr>
  </w:style>
  <w:style w:type="paragraph" w:styleId="a7">
    <w:name w:val="header"/>
    <w:basedOn w:val="a"/>
    <w:link w:val="Char1"/>
    <w:uiPriority w:val="99"/>
    <w:rsid w:val="00575628"/>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noProof/>
      <w:color w:val="000000"/>
      <w:sz w:val="20"/>
      <w:szCs w:val="18"/>
    </w:rPr>
  </w:style>
  <w:style w:type="character" w:customStyle="1" w:styleId="Char1">
    <w:name w:val="页眉 Char"/>
    <w:basedOn w:val="a0"/>
    <w:link w:val="a7"/>
    <w:uiPriority w:val="99"/>
    <w:rsid w:val="00575628"/>
    <w:rPr>
      <w:rFonts w:ascii="Palatino Linotype" w:eastAsia="SimSun" w:hAnsi="Palatino Linotype" w:cs="Times New Roman"/>
      <w:noProof/>
      <w:color w:val="000000"/>
      <w:sz w:val="20"/>
      <w:szCs w:val="18"/>
    </w:rPr>
  </w:style>
  <w:style w:type="paragraph" w:customStyle="1" w:styleId="MDPIheaderjournallogo">
    <w:name w:val="MDPI_header_journal_logo"/>
    <w:qFormat/>
    <w:rsid w:val="00575628"/>
    <w:pPr>
      <w:adjustRightInd w:val="0"/>
      <w:snapToGrid w:val="0"/>
      <w:spacing w:after="0" w:line="260" w:lineRule="atLeast"/>
      <w:jc w:val="both"/>
    </w:pPr>
    <w:rPr>
      <w:rFonts w:ascii="Palatino Linotype" w:eastAsia="Times New Roman" w:hAnsi="Palatino Linotype" w:cs="Times New Roman"/>
      <w:i/>
      <w:color w:val="000000"/>
      <w:sz w:val="24"/>
      <w:lang w:eastAsia="de-CH"/>
    </w:rPr>
  </w:style>
  <w:style w:type="paragraph" w:customStyle="1" w:styleId="MDPI32textnoindent">
    <w:name w:val="MDPI_3.2_text_no_indent"/>
    <w:basedOn w:val="MDPI31text"/>
    <w:qFormat/>
    <w:rsid w:val="00575628"/>
    <w:pPr>
      <w:ind w:firstLine="0"/>
    </w:pPr>
  </w:style>
  <w:style w:type="paragraph" w:customStyle="1" w:styleId="MDPI31text">
    <w:name w:val="MDPI_3.1_text"/>
    <w:qFormat/>
    <w:rsid w:val="0057562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3textspaceafter">
    <w:name w:val="MDPI_3.3_text_space_after"/>
    <w:qFormat/>
    <w:rsid w:val="00575628"/>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35textbeforelist">
    <w:name w:val="MDPI_3.5_text_before_list"/>
    <w:qFormat/>
    <w:rsid w:val="0057562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6textafterlist">
    <w:name w:val="MDPI_3.6_text_after_list"/>
    <w:qFormat/>
    <w:rsid w:val="00575628"/>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37itemize">
    <w:name w:val="MDPI_3.7_itemize"/>
    <w:qFormat/>
    <w:rsid w:val="00575628"/>
    <w:pPr>
      <w:numPr>
        <w:numId w:val="6"/>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8bullet">
    <w:name w:val="MDPI_3.8_bullet"/>
    <w:qFormat/>
    <w:rsid w:val="00575628"/>
    <w:pPr>
      <w:numPr>
        <w:numId w:val="7"/>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9equation">
    <w:name w:val="MDPI_3.9_equation"/>
    <w:qFormat/>
    <w:rsid w:val="00575628"/>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eastAsia="de-DE" w:bidi="en-US"/>
    </w:rPr>
  </w:style>
  <w:style w:type="paragraph" w:customStyle="1" w:styleId="MDPI3aequationnumber">
    <w:name w:val="MDPI_3.a_equation_number"/>
    <w:qFormat/>
    <w:rsid w:val="00575628"/>
    <w:pPr>
      <w:spacing w:before="120" w:after="120" w:line="240" w:lineRule="auto"/>
      <w:jc w:val="right"/>
    </w:pPr>
    <w:rPr>
      <w:rFonts w:ascii="Palatino Linotype" w:eastAsia="Times New Roman" w:hAnsi="Palatino Linotype" w:cs="Times New Roman"/>
      <w:snapToGrid w:val="0"/>
      <w:color w:val="000000"/>
      <w:sz w:val="20"/>
      <w:lang w:eastAsia="de-DE" w:bidi="en-US"/>
    </w:rPr>
  </w:style>
  <w:style w:type="paragraph" w:customStyle="1" w:styleId="MDPI41tablecaption">
    <w:name w:val="MDPI_4.1_table_caption"/>
    <w:qFormat/>
    <w:rsid w:val="00575628"/>
    <w:pPr>
      <w:adjustRightInd w:val="0"/>
      <w:snapToGrid w:val="0"/>
      <w:spacing w:before="240" w:after="120" w:line="228" w:lineRule="auto"/>
      <w:ind w:left="2608"/>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575628"/>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qFormat/>
    <w:rsid w:val="00575628"/>
    <w:pPr>
      <w:adjustRightInd w:val="0"/>
      <w:snapToGrid w:val="0"/>
      <w:spacing w:after="0" w:line="228" w:lineRule="auto"/>
      <w:ind w:left="2608"/>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575628"/>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575628"/>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23heading3">
    <w:name w:val="MDPI_2.3_heading3"/>
    <w:qFormat/>
    <w:rsid w:val="00575628"/>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qFormat/>
    <w:rsid w:val="00575628"/>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qFormat/>
    <w:rsid w:val="00575628"/>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customStyle="1" w:styleId="MDPI71References">
    <w:name w:val="MDPI_7.1_References"/>
    <w:link w:val="MDPI71ReferencesChar"/>
    <w:qFormat/>
    <w:rsid w:val="00575628"/>
    <w:pPr>
      <w:numPr>
        <w:numId w:val="9"/>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paragraph" w:styleId="a8">
    <w:name w:val="Balloon Text"/>
    <w:basedOn w:val="a"/>
    <w:link w:val="Char2"/>
    <w:uiPriority w:val="99"/>
    <w:rsid w:val="00575628"/>
    <w:pPr>
      <w:spacing w:after="0" w:line="260" w:lineRule="atLeast"/>
      <w:jc w:val="both"/>
    </w:pPr>
    <w:rPr>
      <w:rFonts w:ascii="Palatino Linotype" w:eastAsia="SimSun" w:hAnsi="Palatino Linotype" w:cs="Tahoma"/>
      <w:noProof/>
      <w:color w:val="000000"/>
      <w:sz w:val="20"/>
      <w:szCs w:val="18"/>
    </w:rPr>
  </w:style>
  <w:style w:type="character" w:customStyle="1" w:styleId="Char2">
    <w:name w:val="批注框文本 Char"/>
    <w:basedOn w:val="a0"/>
    <w:link w:val="a8"/>
    <w:uiPriority w:val="99"/>
    <w:rsid w:val="00575628"/>
    <w:rPr>
      <w:rFonts w:ascii="Palatino Linotype" w:eastAsia="SimSun" w:hAnsi="Palatino Linotype" w:cs="Tahoma"/>
      <w:noProof/>
      <w:color w:val="000000"/>
      <w:sz w:val="20"/>
      <w:szCs w:val="18"/>
    </w:rPr>
  </w:style>
  <w:style w:type="character" w:styleId="a9">
    <w:name w:val="line number"/>
    <w:uiPriority w:val="99"/>
    <w:rsid w:val="00575628"/>
    <w:rPr>
      <w:rFonts w:ascii="Palatino Linotype" w:hAnsi="Palatino Linotype"/>
      <w:sz w:val="16"/>
    </w:rPr>
  </w:style>
  <w:style w:type="table" w:customStyle="1" w:styleId="MDPI41threelinetable">
    <w:name w:val="MDPI_4.1_three_line_table"/>
    <w:basedOn w:val="a1"/>
    <w:uiPriority w:val="99"/>
    <w:rsid w:val="00575628"/>
    <w:pPr>
      <w:adjustRightInd w:val="0"/>
      <w:snapToGrid w:val="0"/>
      <w:spacing w:after="0" w:line="240" w:lineRule="auto"/>
      <w:jc w:val="center"/>
    </w:pPr>
    <w:rPr>
      <w:rFonts w:ascii="Palatino Linotype" w:eastAsia="SimSun" w:hAnsi="Palatino Linotype" w:cs="Times New Roman"/>
      <w:color w:val="000000"/>
      <w:sz w:val="20"/>
      <w:szCs w:val="20"/>
    </w:rPr>
    <w:tblPr>
      <w:jc w:val="center"/>
      <w:tblBorders>
        <w:top w:val="single" w:sz="8" w:space="0" w:color="auto"/>
        <w:bottom w:val="single" w:sz="8" w:space="0" w:color="auto"/>
      </w:tblBorders>
    </w:tblPr>
    <w:trPr>
      <w:jc w:val="center"/>
    </w:trPr>
    <w:tcPr>
      <w:vAlign w:val="center"/>
    </w:tcPr>
    <w:tblStylePr w:type="firstRow">
      <w:rPr>
        <w:rFonts w:ascii="Times-Roman" w:hAnsi="Times-Roman"/>
        <w:b/>
        <w:i w:val="0"/>
        <w:sz w:val="20"/>
      </w:rPr>
      <w:tblPr/>
      <w:tcPr>
        <w:tcBorders>
          <w:bottom w:val="single" w:sz="4" w:space="0" w:color="auto"/>
        </w:tcBorders>
      </w:tcPr>
    </w:tblStylePr>
  </w:style>
  <w:style w:type="character" w:styleId="aa">
    <w:name w:val="Hyperlink"/>
    <w:uiPriority w:val="99"/>
    <w:rsid w:val="00575628"/>
    <w:rPr>
      <w:color w:val="0000FF"/>
      <w:u w:val="single"/>
    </w:rPr>
  </w:style>
  <w:style w:type="character" w:customStyle="1" w:styleId="UnresolvedMention1">
    <w:name w:val="Unresolved Mention1"/>
    <w:uiPriority w:val="99"/>
    <w:semiHidden/>
    <w:unhideWhenUsed/>
    <w:rsid w:val="00575628"/>
    <w:rPr>
      <w:color w:val="605E5C"/>
      <w:shd w:val="clear" w:color="auto" w:fill="E1DFDD"/>
    </w:rPr>
  </w:style>
  <w:style w:type="table" w:styleId="4">
    <w:name w:val="Plain Table 4"/>
    <w:basedOn w:val="a1"/>
    <w:uiPriority w:val="44"/>
    <w:rsid w:val="00575628"/>
    <w:pPr>
      <w:spacing w:after="0" w:line="240" w:lineRule="auto"/>
    </w:pPr>
    <w:rPr>
      <w:rFonts w:ascii="Calibri" w:eastAsia="SimSun" w:hAnsi="Calibri"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575628"/>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81theorem">
    <w:name w:val="MDPI_8.1_theorem"/>
    <w:qFormat/>
    <w:rsid w:val="00575628"/>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eastAsia="de-DE" w:bidi="en-US"/>
    </w:rPr>
  </w:style>
  <w:style w:type="paragraph" w:customStyle="1" w:styleId="MDPI82proof">
    <w:name w:val="MDPI_8.2_proof"/>
    <w:qFormat/>
    <w:rsid w:val="00575628"/>
    <w:pPr>
      <w:adjustRightInd w:val="0"/>
      <w:snapToGrid w:val="0"/>
      <w:spacing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61Citation">
    <w:name w:val="MDPI_6.1_Citation"/>
    <w:qFormat/>
    <w:rsid w:val="00575628"/>
    <w:pPr>
      <w:adjustRightInd w:val="0"/>
      <w:snapToGrid w:val="0"/>
      <w:spacing w:after="0" w:line="240" w:lineRule="atLeast"/>
      <w:ind w:right="113"/>
    </w:pPr>
    <w:rPr>
      <w:rFonts w:ascii="Palatino Linotype" w:eastAsia="SimSun" w:hAnsi="Palatino Linotype" w:cs="Cordia New"/>
      <w:sz w:val="14"/>
    </w:rPr>
  </w:style>
  <w:style w:type="paragraph" w:customStyle="1" w:styleId="MDPI62BackMatter">
    <w:name w:val="MDPI_6.2_BackMatter"/>
    <w:qFormat/>
    <w:rsid w:val="00575628"/>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eastAsia="en-US" w:bidi="en-US"/>
    </w:rPr>
  </w:style>
  <w:style w:type="paragraph" w:customStyle="1" w:styleId="MDPI63Notes">
    <w:name w:val="MDPI_6.3_Notes"/>
    <w:qFormat/>
    <w:rsid w:val="00575628"/>
    <w:pPr>
      <w:adjustRightInd w:val="0"/>
      <w:snapToGrid w:val="0"/>
      <w:spacing w:after="120" w:line="240" w:lineRule="atLeast"/>
      <w:ind w:right="113"/>
    </w:pPr>
    <w:rPr>
      <w:rFonts w:ascii="Palatino Linotype" w:eastAsia="SimSun" w:hAnsi="Palatino Linotype" w:cs="Times New Roman"/>
      <w:snapToGrid w:val="0"/>
      <w:color w:val="000000"/>
      <w:sz w:val="14"/>
      <w:szCs w:val="20"/>
      <w:lang w:eastAsia="en-US" w:bidi="en-US"/>
    </w:rPr>
  </w:style>
  <w:style w:type="paragraph" w:customStyle="1" w:styleId="MDPI15academiceditor">
    <w:name w:val="MDPI_1.5_academic_editor"/>
    <w:qFormat/>
    <w:rsid w:val="00575628"/>
    <w:pPr>
      <w:adjustRightInd w:val="0"/>
      <w:snapToGrid w:val="0"/>
      <w:spacing w:before="240" w:after="0" w:line="240" w:lineRule="atLeast"/>
      <w:ind w:right="113"/>
    </w:pPr>
    <w:rPr>
      <w:rFonts w:ascii="Palatino Linotype" w:eastAsia="Times New Roman" w:hAnsi="Palatino Linotype" w:cs="Times New Roman"/>
      <w:color w:val="000000"/>
      <w:sz w:val="14"/>
      <w:lang w:eastAsia="de-DE" w:bidi="en-US"/>
    </w:rPr>
  </w:style>
  <w:style w:type="paragraph" w:customStyle="1" w:styleId="MDPI19classification">
    <w:name w:val="MDPI_1.9_classification"/>
    <w:qFormat/>
    <w:rsid w:val="00575628"/>
    <w:pPr>
      <w:spacing w:before="240" w:after="0" w:line="260" w:lineRule="atLeast"/>
      <w:ind w:left="113"/>
      <w:jc w:val="both"/>
    </w:pPr>
    <w:rPr>
      <w:rFonts w:ascii="Palatino Linotype" w:eastAsia="Times New Roman" w:hAnsi="Palatino Linotype" w:cs="Times New Roman"/>
      <w:b/>
      <w:color w:val="000000"/>
      <w:sz w:val="20"/>
      <w:lang w:eastAsia="de-DE" w:bidi="en-US"/>
    </w:rPr>
  </w:style>
  <w:style w:type="paragraph" w:customStyle="1" w:styleId="MDPI411onetablecaption">
    <w:name w:val="MDPI_4.1.1_one_table_caption"/>
    <w:qFormat/>
    <w:rsid w:val="00575628"/>
    <w:pPr>
      <w:adjustRightInd w:val="0"/>
      <w:snapToGrid w:val="0"/>
      <w:spacing w:before="240" w:after="120" w:line="260" w:lineRule="atLeast"/>
      <w:jc w:val="center"/>
    </w:pPr>
    <w:rPr>
      <w:rFonts w:ascii="Palatino Linotype" w:eastAsia="SimSun" w:hAnsi="Palatino Linotype" w:cs="Cordia New"/>
      <w:noProof/>
      <w:color w:val="000000"/>
      <w:sz w:val="18"/>
      <w:lang w:bidi="en-US"/>
    </w:rPr>
  </w:style>
  <w:style w:type="paragraph" w:customStyle="1" w:styleId="MDPI511onefigurecaption">
    <w:name w:val="MDPI_5.1.1_one_figure_caption"/>
    <w:qFormat/>
    <w:rsid w:val="00575628"/>
    <w:pPr>
      <w:adjustRightInd w:val="0"/>
      <w:snapToGrid w:val="0"/>
      <w:spacing w:before="240" w:after="120" w:line="260" w:lineRule="atLeast"/>
      <w:jc w:val="center"/>
    </w:pPr>
    <w:rPr>
      <w:rFonts w:ascii="Palatino Linotype" w:eastAsia="SimSun" w:hAnsi="Palatino Linotype" w:cs="Times New Roman"/>
      <w:noProof/>
      <w:color w:val="000000"/>
      <w:sz w:val="18"/>
      <w:szCs w:val="20"/>
      <w:lang w:bidi="en-US"/>
    </w:rPr>
  </w:style>
  <w:style w:type="paragraph" w:customStyle="1" w:styleId="MDPI72Copyright">
    <w:name w:val="MDPI_7.2_Copyright"/>
    <w:qFormat/>
    <w:rsid w:val="00575628"/>
    <w:pPr>
      <w:adjustRightInd w:val="0"/>
      <w:snapToGrid w:val="0"/>
      <w:spacing w:before="240" w:after="0" w:line="240" w:lineRule="atLeast"/>
      <w:ind w:right="113"/>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575628"/>
    <w:pPr>
      <w:adjustRightInd w:val="0"/>
      <w:snapToGrid w:val="0"/>
      <w:spacing w:after="100" w:line="260" w:lineRule="atLeast"/>
      <w:jc w:val="right"/>
    </w:pPr>
    <w:rPr>
      <w:rFonts w:ascii="Palatino Linotype" w:eastAsia="Times New Roman" w:hAnsi="Palatino Linotype" w:cs="Times New Roman"/>
      <w:color w:val="000000"/>
      <w:sz w:val="20"/>
      <w:szCs w:val="20"/>
      <w:lang w:eastAsia="de-CH"/>
    </w:rPr>
  </w:style>
  <w:style w:type="paragraph" w:customStyle="1" w:styleId="MDPIequationFram">
    <w:name w:val="MDPI_equationFram"/>
    <w:qFormat/>
    <w:rsid w:val="00575628"/>
    <w:pPr>
      <w:adjustRightInd w:val="0"/>
      <w:snapToGrid w:val="0"/>
      <w:spacing w:before="120" w:after="120" w:line="240" w:lineRule="auto"/>
      <w:jc w:val="center"/>
    </w:pPr>
    <w:rPr>
      <w:rFonts w:ascii="Palatino Linotype" w:eastAsia="Times New Roman" w:hAnsi="Palatino Linotype" w:cs="Times New Roman"/>
      <w:snapToGrid w:val="0"/>
      <w:color w:val="000000"/>
      <w:sz w:val="20"/>
      <w:lang w:eastAsia="de-DE" w:bidi="en-US"/>
    </w:rPr>
  </w:style>
  <w:style w:type="paragraph" w:customStyle="1" w:styleId="MDPIfooter">
    <w:name w:val="MDPI_footer"/>
    <w:qFormat/>
    <w:rsid w:val="00575628"/>
    <w:pPr>
      <w:adjustRightInd w:val="0"/>
      <w:snapToGrid w:val="0"/>
      <w:spacing w:before="120" w:after="0" w:line="260" w:lineRule="atLeast"/>
      <w:jc w:val="center"/>
    </w:pPr>
    <w:rPr>
      <w:rFonts w:ascii="Palatino Linotype" w:eastAsia="Times New Roman" w:hAnsi="Palatino Linotype" w:cs="Times New Roman"/>
      <w:color w:val="000000"/>
      <w:sz w:val="20"/>
      <w:szCs w:val="20"/>
      <w:lang w:eastAsia="de-DE"/>
    </w:rPr>
  </w:style>
  <w:style w:type="paragraph" w:customStyle="1" w:styleId="MDPIfooterfirstpage">
    <w:name w:val="MDPI_footer_firstpage"/>
    <w:qFormat/>
    <w:rsid w:val="00575628"/>
    <w:pPr>
      <w:tabs>
        <w:tab w:val="right" w:pos="8845"/>
      </w:tabs>
      <w:spacing w:after="0" w:line="160" w:lineRule="exact"/>
    </w:pPr>
    <w:rPr>
      <w:rFonts w:ascii="Palatino Linotype" w:eastAsia="Times New Roman" w:hAnsi="Palatino Linotype" w:cs="Times New Roman"/>
      <w:color w:val="000000"/>
      <w:sz w:val="16"/>
      <w:szCs w:val="20"/>
      <w:lang w:eastAsia="de-DE"/>
    </w:rPr>
  </w:style>
  <w:style w:type="paragraph" w:customStyle="1" w:styleId="MDPIheader">
    <w:name w:val="MDPI_header"/>
    <w:qFormat/>
    <w:rsid w:val="00575628"/>
    <w:pPr>
      <w:adjustRightInd w:val="0"/>
      <w:snapToGrid w:val="0"/>
      <w:spacing w:after="240" w:line="260" w:lineRule="atLeast"/>
      <w:jc w:val="both"/>
    </w:pPr>
    <w:rPr>
      <w:rFonts w:ascii="Palatino Linotype" w:eastAsia="Times New Roman" w:hAnsi="Palatino Linotype" w:cs="Times New Roman"/>
      <w:iCs/>
      <w:color w:val="000000"/>
      <w:sz w:val="16"/>
      <w:szCs w:val="20"/>
      <w:lang w:eastAsia="de-DE"/>
    </w:rPr>
  </w:style>
  <w:style w:type="paragraph" w:customStyle="1" w:styleId="MDPIheadercitation">
    <w:name w:val="MDPI_header_citation"/>
    <w:rsid w:val="00575628"/>
    <w:pPr>
      <w:spacing w:after="240" w:line="240" w:lineRule="auto"/>
    </w:pPr>
    <w:rPr>
      <w:rFonts w:ascii="Palatino Linotype" w:eastAsia="Times New Roman" w:hAnsi="Palatino Linotype" w:cs="Times New Roman"/>
      <w:snapToGrid w:val="0"/>
      <w:color w:val="000000"/>
      <w:sz w:val="18"/>
      <w:szCs w:val="20"/>
      <w:lang w:eastAsia="de-DE" w:bidi="en-US"/>
    </w:rPr>
  </w:style>
  <w:style w:type="paragraph" w:customStyle="1" w:styleId="MDPIheadermdpilogo">
    <w:name w:val="MDPI_header_mdpi_logo"/>
    <w:qFormat/>
    <w:rsid w:val="00575628"/>
    <w:pPr>
      <w:adjustRightInd w:val="0"/>
      <w:snapToGrid w:val="0"/>
      <w:spacing w:after="0" w:line="260" w:lineRule="atLeast"/>
      <w:jc w:val="right"/>
    </w:pPr>
    <w:rPr>
      <w:rFonts w:ascii="Palatino Linotype" w:eastAsia="Times New Roman" w:hAnsi="Palatino Linotype" w:cs="Times New Roman"/>
      <w:color w:val="000000"/>
      <w:sz w:val="24"/>
      <w:lang w:eastAsia="de-CH"/>
    </w:rPr>
  </w:style>
  <w:style w:type="table" w:customStyle="1" w:styleId="MDPITable">
    <w:name w:val="MDPI_Table"/>
    <w:basedOn w:val="a1"/>
    <w:uiPriority w:val="99"/>
    <w:rsid w:val="00575628"/>
    <w:pPr>
      <w:spacing w:after="0" w:line="240" w:lineRule="auto"/>
    </w:pPr>
    <w:rPr>
      <w:rFonts w:ascii="Palatino Linotype" w:eastAsia="SimSun" w:hAnsi="Palatino Linotype" w:cs="Times New Roman"/>
      <w:color w:val="000000"/>
      <w:sz w:val="20"/>
      <w:szCs w:val="20"/>
      <w:lang w:val="en-CA" w:eastAsia="en-US"/>
    </w:rPr>
    <w:tblPr>
      <w:tblCellMar>
        <w:left w:w="0" w:type="dxa"/>
        <w:right w:w="0" w:type="dxa"/>
      </w:tblCellMar>
    </w:tblPr>
  </w:style>
  <w:style w:type="paragraph" w:customStyle="1" w:styleId="MDPItext">
    <w:name w:val="MDPI_text"/>
    <w:qFormat/>
    <w:rsid w:val="00575628"/>
    <w:pPr>
      <w:spacing w:after="0" w:line="260" w:lineRule="atLeast"/>
      <w:ind w:left="425" w:right="425" w:firstLine="284"/>
      <w:jc w:val="both"/>
    </w:pPr>
    <w:rPr>
      <w:rFonts w:ascii="Times New Roman" w:eastAsia="Times New Roman" w:hAnsi="Times New Roman" w:cs="Times New Roman"/>
      <w:noProof/>
      <w:snapToGrid w:val="0"/>
      <w:color w:val="000000"/>
      <w:lang w:eastAsia="de-DE" w:bidi="en-US"/>
    </w:rPr>
  </w:style>
  <w:style w:type="paragraph" w:customStyle="1" w:styleId="MDPItitle">
    <w:name w:val="MDPI_title"/>
    <w:qFormat/>
    <w:rsid w:val="00575628"/>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eastAsia="de-DE" w:bidi="en-US"/>
    </w:rPr>
  </w:style>
  <w:style w:type="character" w:customStyle="1" w:styleId="apple-converted-space">
    <w:name w:val="apple-converted-space"/>
    <w:rsid w:val="00575628"/>
  </w:style>
  <w:style w:type="paragraph" w:styleId="ab">
    <w:name w:val="Bibliography"/>
    <w:basedOn w:val="a"/>
    <w:next w:val="a"/>
    <w:uiPriority w:val="37"/>
    <w:semiHidden/>
    <w:unhideWhenUsed/>
    <w:rsid w:val="00575628"/>
    <w:pPr>
      <w:spacing w:after="0" w:line="260" w:lineRule="atLeast"/>
      <w:jc w:val="both"/>
    </w:pPr>
    <w:rPr>
      <w:rFonts w:ascii="Palatino Linotype" w:eastAsia="SimSun" w:hAnsi="Palatino Linotype" w:cs="Times New Roman"/>
      <w:noProof/>
      <w:color w:val="000000"/>
      <w:sz w:val="20"/>
      <w:szCs w:val="20"/>
    </w:rPr>
  </w:style>
  <w:style w:type="paragraph" w:styleId="ac">
    <w:name w:val="Body Text"/>
    <w:link w:val="Char3"/>
    <w:rsid w:val="00575628"/>
    <w:pPr>
      <w:spacing w:after="120" w:line="340" w:lineRule="atLeast"/>
      <w:jc w:val="both"/>
    </w:pPr>
    <w:rPr>
      <w:rFonts w:ascii="Palatino Linotype" w:eastAsia="SimSun" w:hAnsi="Palatino Linotype" w:cs="Times New Roman"/>
      <w:color w:val="000000"/>
      <w:sz w:val="24"/>
      <w:szCs w:val="20"/>
      <w:lang w:eastAsia="de-DE"/>
    </w:rPr>
  </w:style>
  <w:style w:type="character" w:customStyle="1" w:styleId="Char3">
    <w:name w:val="正文文本 Char"/>
    <w:basedOn w:val="a0"/>
    <w:link w:val="ac"/>
    <w:rsid w:val="00575628"/>
    <w:rPr>
      <w:rFonts w:ascii="Palatino Linotype" w:eastAsia="SimSun" w:hAnsi="Palatino Linotype" w:cs="Times New Roman"/>
      <w:color w:val="000000"/>
      <w:sz w:val="24"/>
      <w:szCs w:val="20"/>
      <w:lang w:eastAsia="de-DE"/>
    </w:rPr>
  </w:style>
  <w:style w:type="paragraph" w:styleId="ad">
    <w:name w:val="annotation subject"/>
    <w:basedOn w:val="a4"/>
    <w:next w:val="a4"/>
    <w:link w:val="Char4"/>
    <w:rsid w:val="00575628"/>
    <w:rPr>
      <w:b/>
      <w:bCs/>
    </w:rPr>
  </w:style>
  <w:style w:type="character" w:customStyle="1" w:styleId="Char4">
    <w:name w:val="批注主题 Char"/>
    <w:basedOn w:val="Char"/>
    <w:link w:val="ad"/>
    <w:rsid w:val="00575628"/>
    <w:rPr>
      <w:rFonts w:ascii="Palatino Linotype" w:eastAsia="SimSun" w:hAnsi="Palatino Linotype" w:cs="Times New Roman"/>
      <w:b/>
      <w:bCs/>
      <w:noProof/>
      <w:color w:val="000000"/>
      <w:sz w:val="20"/>
      <w:szCs w:val="20"/>
    </w:rPr>
  </w:style>
  <w:style w:type="character" w:styleId="ae">
    <w:name w:val="endnote reference"/>
    <w:rsid w:val="00575628"/>
    <w:rPr>
      <w:vertAlign w:val="superscript"/>
    </w:rPr>
  </w:style>
  <w:style w:type="paragraph" w:styleId="af">
    <w:name w:val="endnote text"/>
    <w:basedOn w:val="a"/>
    <w:link w:val="Char5"/>
    <w:semiHidden/>
    <w:unhideWhenUsed/>
    <w:rsid w:val="00575628"/>
    <w:pPr>
      <w:spacing w:after="0" w:line="240" w:lineRule="auto"/>
      <w:jc w:val="both"/>
    </w:pPr>
    <w:rPr>
      <w:rFonts w:ascii="Palatino Linotype" w:eastAsia="SimSun" w:hAnsi="Palatino Linotype" w:cs="Times New Roman"/>
      <w:noProof/>
      <w:color w:val="000000"/>
      <w:sz w:val="20"/>
      <w:szCs w:val="20"/>
    </w:rPr>
  </w:style>
  <w:style w:type="character" w:customStyle="1" w:styleId="Char5">
    <w:name w:val="尾注文本 Char"/>
    <w:basedOn w:val="a0"/>
    <w:link w:val="af"/>
    <w:semiHidden/>
    <w:rsid w:val="00575628"/>
    <w:rPr>
      <w:rFonts w:ascii="Palatino Linotype" w:eastAsia="SimSun" w:hAnsi="Palatino Linotype" w:cs="Times New Roman"/>
      <w:noProof/>
      <w:color w:val="000000"/>
      <w:sz w:val="20"/>
      <w:szCs w:val="20"/>
    </w:rPr>
  </w:style>
  <w:style w:type="character" w:styleId="af0">
    <w:name w:val="FollowedHyperlink"/>
    <w:rsid w:val="00575628"/>
    <w:rPr>
      <w:color w:val="954F72"/>
      <w:u w:val="single"/>
    </w:rPr>
  </w:style>
  <w:style w:type="paragraph" w:styleId="af1">
    <w:name w:val="footnote text"/>
    <w:basedOn w:val="a"/>
    <w:link w:val="Char6"/>
    <w:semiHidden/>
    <w:unhideWhenUsed/>
    <w:rsid w:val="00575628"/>
    <w:pPr>
      <w:spacing w:after="0" w:line="240" w:lineRule="auto"/>
      <w:jc w:val="both"/>
    </w:pPr>
    <w:rPr>
      <w:rFonts w:ascii="Palatino Linotype" w:eastAsia="SimSun" w:hAnsi="Palatino Linotype" w:cs="Times New Roman"/>
      <w:noProof/>
      <w:color w:val="000000"/>
      <w:sz w:val="20"/>
      <w:szCs w:val="20"/>
    </w:rPr>
  </w:style>
  <w:style w:type="character" w:customStyle="1" w:styleId="Char6">
    <w:name w:val="脚注文本 Char"/>
    <w:basedOn w:val="a0"/>
    <w:link w:val="af1"/>
    <w:semiHidden/>
    <w:rsid w:val="00575628"/>
    <w:rPr>
      <w:rFonts w:ascii="Palatino Linotype" w:eastAsia="SimSun" w:hAnsi="Palatino Linotype" w:cs="Times New Roman"/>
      <w:noProof/>
      <w:color w:val="000000"/>
      <w:sz w:val="20"/>
      <w:szCs w:val="20"/>
    </w:rPr>
  </w:style>
  <w:style w:type="paragraph" w:styleId="af2">
    <w:name w:val="Normal (Web)"/>
    <w:basedOn w:val="a"/>
    <w:uiPriority w:val="99"/>
    <w:rsid w:val="00575628"/>
    <w:pPr>
      <w:spacing w:after="0" w:line="260" w:lineRule="atLeast"/>
      <w:jc w:val="both"/>
    </w:pPr>
    <w:rPr>
      <w:rFonts w:ascii="Palatino Linotype" w:eastAsia="SimSun" w:hAnsi="Palatino Linotype" w:cs="Times New Roman"/>
      <w:noProof/>
      <w:color w:val="000000"/>
      <w:sz w:val="20"/>
      <w:szCs w:val="24"/>
    </w:rPr>
  </w:style>
  <w:style w:type="paragraph" w:customStyle="1" w:styleId="MsoFootnoteText0">
    <w:name w:val="MsoFootnoteText"/>
    <w:basedOn w:val="af2"/>
    <w:qFormat/>
    <w:rsid w:val="00575628"/>
    <w:rPr>
      <w:rFonts w:ascii="Times New Roman" w:hAnsi="Times New Roman"/>
    </w:rPr>
  </w:style>
  <w:style w:type="character" w:styleId="af3">
    <w:name w:val="page number"/>
    <w:rsid w:val="00575628"/>
  </w:style>
  <w:style w:type="character" w:styleId="af4">
    <w:name w:val="Placeholder Text"/>
    <w:uiPriority w:val="99"/>
    <w:semiHidden/>
    <w:rsid w:val="00575628"/>
    <w:rPr>
      <w:color w:val="808080"/>
    </w:rPr>
  </w:style>
  <w:style w:type="paragraph" w:customStyle="1" w:styleId="MDPI71FootNotes">
    <w:name w:val="MDPI_7.1_FootNotes"/>
    <w:qFormat/>
    <w:rsid w:val="00575628"/>
    <w:pPr>
      <w:numPr>
        <w:numId w:val="10"/>
      </w:numPr>
      <w:adjustRightInd w:val="0"/>
      <w:snapToGrid w:val="0"/>
      <w:spacing w:after="0" w:line="228" w:lineRule="auto"/>
      <w:jc w:val="both"/>
    </w:pPr>
    <w:rPr>
      <w:rFonts w:ascii="Palatino Linotype" w:hAnsi="Palatino Linotype" w:cs="Times New Roman"/>
      <w:noProof/>
      <w:color w:val="000000"/>
      <w:sz w:val="18"/>
      <w:szCs w:val="20"/>
    </w:rPr>
  </w:style>
  <w:style w:type="paragraph" w:customStyle="1" w:styleId="EndNoteBibliographyTitle">
    <w:name w:val="EndNote Bibliography Title"/>
    <w:basedOn w:val="a"/>
    <w:link w:val="EndNoteBibliographyTitleChar"/>
    <w:rsid w:val="00575628"/>
    <w:pPr>
      <w:spacing w:after="0" w:line="260" w:lineRule="atLeast"/>
      <w:jc w:val="center"/>
    </w:pPr>
    <w:rPr>
      <w:rFonts w:ascii="Palatino Linotype" w:eastAsia="SimSun" w:hAnsi="Palatino Linotype" w:cs="Times New Roman"/>
      <w:noProof/>
      <w:color w:val="000000"/>
      <w:sz w:val="18"/>
      <w:szCs w:val="20"/>
      <w:lang w:eastAsia="de-DE" w:bidi="en-US"/>
    </w:rPr>
  </w:style>
  <w:style w:type="character" w:customStyle="1" w:styleId="MDPI71ReferencesChar">
    <w:name w:val="MDPI_7.1_References Char"/>
    <w:basedOn w:val="a0"/>
    <w:link w:val="MDPI71References"/>
    <w:rsid w:val="00575628"/>
    <w:rPr>
      <w:rFonts w:ascii="Palatino Linotype" w:eastAsia="Times New Roman" w:hAnsi="Palatino Linotype" w:cs="Times New Roman"/>
      <w:color w:val="000000"/>
      <w:sz w:val="18"/>
      <w:szCs w:val="20"/>
      <w:lang w:eastAsia="de-DE" w:bidi="en-US"/>
    </w:rPr>
  </w:style>
  <w:style w:type="character" w:customStyle="1" w:styleId="EndNoteBibliographyTitleChar">
    <w:name w:val="EndNote Bibliography Title Char"/>
    <w:basedOn w:val="MDPI71ReferencesChar"/>
    <w:link w:val="EndNoteBibliographyTitle"/>
    <w:rsid w:val="00575628"/>
    <w:rPr>
      <w:rFonts w:ascii="Palatino Linotype" w:eastAsia="SimSun" w:hAnsi="Palatino Linotype" w:cs="Times New Roman"/>
      <w:noProof/>
      <w:color w:val="000000"/>
      <w:sz w:val="18"/>
      <w:szCs w:val="20"/>
      <w:lang w:eastAsia="de-DE" w:bidi="en-US"/>
    </w:rPr>
  </w:style>
  <w:style w:type="paragraph" w:customStyle="1" w:styleId="EndNoteBibliography">
    <w:name w:val="EndNote Bibliography"/>
    <w:basedOn w:val="a"/>
    <w:link w:val="EndNoteBibliographyChar"/>
    <w:rsid w:val="00575628"/>
    <w:pPr>
      <w:spacing w:after="0" w:line="240" w:lineRule="atLeast"/>
      <w:jc w:val="both"/>
    </w:pPr>
    <w:rPr>
      <w:rFonts w:ascii="Palatino Linotype" w:eastAsia="SimSun" w:hAnsi="Palatino Linotype" w:cs="Times New Roman"/>
      <w:noProof/>
      <w:color w:val="000000"/>
      <w:sz w:val="18"/>
      <w:szCs w:val="20"/>
      <w:lang w:eastAsia="de-DE" w:bidi="en-US"/>
    </w:rPr>
  </w:style>
  <w:style w:type="character" w:customStyle="1" w:styleId="EndNoteBibliographyChar">
    <w:name w:val="EndNote Bibliography Char"/>
    <w:basedOn w:val="MDPI71ReferencesChar"/>
    <w:link w:val="EndNoteBibliography"/>
    <w:rsid w:val="00575628"/>
    <w:rPr>
      <w:rFonts w:ascii="Palatino Linotype" w:eastAsia="SimSun" w:hAnsi="Palatino Linotype" w:cs="Times New Roman"/>
      <w:noProof/>
      <w:color w:val="000000"/>
      <w:sz w:val="18"/>
      <w:szCs w:val="20"/>
      <w:lang w:eastAsia="de-DE" w:bidi="en-US"/>
    </w:rPr>
  </w:style>
  <w:style w:type="table" w:styleId="10">
    <w:name w:val="Grid Table 1 Light"/>
    <w:basedOn w:val="a1"/>
    <w:uiPriority w:val="46"/>
    <w:rsid w:val="00575628"/>
    <w:pPr>
      <w:spacing w:after="0" w:line="240" w:lineRule="auto"/>
    </w:pPr>
    <w:rPr>
      <w:rFonts w:ascii="Calibri" w:eastAsia="SimSun" w:hAnsi="Calibri"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5">
    <w:name w:val="List Paragraph"/>
    <w:basedOn w:val="a"/>
    <w:uiPriority w:val="34"/>
    <w:qFormat/>
    <w:rsid w:val="00575628"/>
    <w:pPr>
      <w:spacing w:after="0" w:line="260" w:lineRule="atLeast"/>
      <w:ind w:left="720"/>
      <w:contextualSpacing/>
      <w:jc w:val="both"/>
    </w:pPr>
    <w:rPr>
      <w:rFonts w:ascii="Palatino Linotype" w:eastAsia="SimSun" w:hAnsi="Palatino Linotype" w:cs="Times New Roman"/>
      <w:noProof/>
      <w:color w:val="000000"/>
      <w:sz w:val="20"/>
      <w:szCs w:val="20"/>
    </w:rPr>
  </w:style>
  <w:style w:type="paragraph" w:customStyle="1" w:styleId="Default">
    <w:name w:val="Default"/>
    <w:rsid w:val="00575628"/>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Revision"/>
    <w:hidden/>
    <w:uiPriority w:val="99"/>
    <w:semiHidden/>
    <w:rsid w:val="00575628"/>
    <w:pPr>
      <w:spacing w:after="0" w:line="240" w:lineRule="auto"/>
    </w:pPr>
  </w:style>
  <w:style w:type="character" w:customStyle="1" w:styleId="fontstyle01">
    <w:name w:val="fontstyle01"/>
    <w:basedOn w:val="a0"/>
    <w:rsid w:val="00575628"/>
    <w:rPr>
      <w:rFonts w:ascii="GaramondPremrPro" w:hAnsi="GaramondPremrPro" w:hint="default"/>
      <w:b w:val="0"/>
      <w:bCs w:val="0"/>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Research\Mywork\review_paper\review\revision\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Research\Mywork\review_paper\review\revision\Figur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figure3!$A$2</c:f>
              <c:strCache>
                <c:ptCount val="1"/>
                <c:pt idx="0">
                  <c:v>Source (needed update)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figure3!$B$1:$F$1</c:f>
              <c:strCache>
                <c:ptCount val="5"/>
                <c:pt idx="0">
                  <c:v>EHR-only</c:v>
                </c:pt>
                <c:pt idx="1">
                  <c:v>Knowledge base</c:v>
                </c:pt>
                <c:pt idx="2">
                  <c:v>Omics </c:v>
                </c:pt>
                <c:pt idx="3">
                  <c:v>Literature</c:v>
                </c:pt>
                <c:pt idx="4">
                  <c:v>Trial</c:v>
                </c:pt>
              </c:strCache>
            </c:strRef>
          </c:cat>
          <c:val>
            <c:numRef>
              <c:f>figure3!$B$2:$F$2</c:f>
              <c:numCache>
                <c:formatCode>General</c:formatCode>
                <c:ptCount val="5"/>
                <c:pt idx="0">
                  <c:v>16</c:v>
                </c:pt>
                <c:pt idx="1">
                  <c:v>11</c:v>
                </c:pt>
                <c:pt idx="2">
                  <c:v>6</c:v>
                </c:pt>
                <c:pt idx="3">
                  <c:v>4</c:v>
                </c:pt>
                <c:pt idx="4">
                  <c:v>1</c:v>
                </c:pt>
              </c:numCache>
            </c:numRef>
          </c:val>
        </c:ser>
        <c:dLbls>
          <c:showLegendKey val="0"/>
          <c:showVal val="0"/>
          <c:showCatName val="0"/>
          <c:showSerName val="0"/>
          <c:showPercent val="0"/>
          <c:showBubbleSize val="0"/>
        </c:dLbls>
        <c:gapWidth val="182"/>
        <c:axId val="966516352"/>
        <c:axId val="966513088"/>
      </c:barChart>
      <c:catAx>
        <c:axId val="96651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513088"/>
        <c:crosses val="autoZero"/>
        <c:auto val="1"/>
        <c:lblAlgn val="ctr"/>
        <c:lblOffset val="100"/>
        <c:noMultiLvlLbl val="0"/>
      </c:catAx>
      <c:valAx>
        <c:axId val="966513088"/>
        <c:scaling>
          <c:orientation val="minMax"/>
          <c:max val="16"/>
          <c:min val="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51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figure3!$A$7</c:f>
              <c:strCache>
                <c:ptCount val="1"/>
                <c:pt idx="0">
                  <c:v>Knowledge-base (needed update)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figure3!$B$6:$H$6</c:f>
              <c:strCache>
                <c:ptCount val="7"/>
                <c:pt idx="0">
                  <c:v>Drug phenotpype</c:v>
                </c:pt>
                <c:pt idx="1">
                  <c:v>Drug-gene</c:v>
                </c:pt>
                <c:pt idx="2">
                  <c:v>Disease-gene</c:v>
                </c:pt>
                <c:pt idx="3">
                  <c:v>Drug-disease</c:v>
                </c:pt>
                <c:pt idx="4">
                  <c:v>Disease Phenotype</c:v>
                </c:pt>
                <c:pt idx="5">
                  <c:v>Protein phenotype</c:v>
                </c:pt>
                <c:pt idx="6">
                  <c:v>Gene-pathway</c:v>
                </c:pt>
              </c:strCache>
            </c:strRef>
          </c:cat>
          <c:val>
            <c:numRef>
              <c:f>figure3!$B$7:$H$7</c:f>
              <c:numCache>
                <c:formatCode>#,##0</c:formatCode>
                <c:ptCount val="7"/>
                <c:pt idx="0" formatCode="General">
                  <c:v>5</c:v>
                </c:pt>
                <c:pt idx="1">
                  <c:v>8</c:v>
                </c:pt>
                <c:pt idx="2" formatCode="General">
                  <c:v>4</c:v>
                </c:pt>
                <c:pt idx="3" formatCode="General">
                  <c:v>3</c:v>
                </c:pt>
                <c:pt idx="4" formatCode="General">
                  <c:v>1</c:v>
                </c:pt>
                <c:pt idx="5" formatCode="General">
                  <c:v>5</c:v>
                </c:pt>
                <c:pt idx="6" formatCode="General">
                  <c:v>4</c:v>
                </c:pt>
              </c:numCache>
            </c:numRef>
          </c:val>
        </c:ser>
        <c:dLbls>
          <c:showLegendKey val="0"/>
          <c:showVal val="0"/>
          <c:showCatName val="0"/>
          <c:showSerName val="0"/>
          <c:showPercent val="0"/>
          <c:showBubbleSize val="0"/>
        </c:dLbls>
        <c:gapWidth val="182"/>
        <c:axId val="966513632"/>
        <c:axId val="1013686896"/>
      </c:barChart>
      <c:catAx>
        <c:axId val="966513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3686896"/>
        <c:crosses val="autoZero"/>
        <c:auto val="1"/>
        <c:lblAlgn val="ctr"/>
        <c:lblOffset val="100"/>
        <c:noMultiLvlLbl val="0"/>
      </c:catAx>
      <c:valAx>
        <c:axId val="1013686896"/>
        <c:scaling>
          <c:orientation val="minMax"/>
          <c:max val="8"/>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513632"/>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34036</Words>
  <Characters>194009</Characters>
  <Application>Microsoft Office Word</Application>
  <DocSecurity>0</DocSecurity>
  <Lines>1616</Lines>
  <Paragraphs>455</Paragraphs>
  <ScaleCrop>false</ScaleCrop>
  <Company/>
  <LinksUpToDate>false</LinksUpToDate>
  <CharactersWithSpaces>227590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1</cp:revision>
  <dcterms:created xsi:type="dcterms:W3CDTF">2022-04-26T18:01:00Z</dcterms:created>
  <dcterms:modified xsi:type="dcterms:W3CDTF">2022-04-26T18:02:00Z</dcterms:modified>
</cp:coreProperties>
</file>