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05814" w14:textId="7E05F894" w:rsidR="00450581" w:rsidRPr="003D6AF6" w:rsidRDefault="00B342D6" w:rsidP="00450581">
      <w:pPr>
        <w:spacing w:line="480" w:lineRule="auto"/>
        <w:jc w:val="center"/>
        <w:rPr>
          <w:rFonts w:ascii="Times New Roman" w:hAnsi="Times New Roman" w:cs="Times New Roman"/>
          <w:b/>
          <w:bCs/>
          <w:sz w:val="20"/>
          <w:szCs w:val="20"/>
        </w:rPr>
      </w:pPr>
      <w:r w:rsidRPr="00B342D6">
        <w:rPr>
          <w:rFonts w:ascii="Times New Roman" w:hAnsi="Times New Roman" w:cs="Times New Roman" w:hint="eastAsia"/>
          <w:b/>
          <w:bCs/>
          <w:sz w:val="20"/>
          <w:szCs w:val="20"/>
        </w:rPr>
        <w:t>Deep learning from retinal images for prediction of biomarker-informed obesity subtypes associated with cardiometabolic risk</w:t>
      </w:r>
    </w:p>
    <w:p w14:paraId="24F48935" w14:textId="77777777" w:rsidR="00450581" w:rsidRPr="003D6AF6" w:rsidRDefault="00450581" w:rsidP="00BB1F20">
      <w:pPr>
        <w:spacing w:line="480" w:lineRule="auto"/>
        <w:jc w:val="center"/>
        <w:rPr>
          <w:rFonts w:ascii="Times New Roman" w:hAnsi="Times New Roman" w:cs="Times New Roman"/>
          <w:b/>
          <w:bCs/>
          <w:sz w:val="20"/>
          <w:szCs w:val="20"/>
        </w:rPr>
      </w:pPr>
    </w:p>
    <w:p w14:paraId="716E6041" w14:textId="77777777" w:rsidR="008249D4" w:rsidRPr="003D6AF6" w:rsidRDefault="00450581" w:rsidP="00450581">
      <w:pPr>
        <w:spacing w:line="480" w:lineRule="auto"/>
        <w:jc w:val="center"/>
        <w:rPr>
          <w:rFonts w:ascii="Times New Roman" w:hAnsi="Times New Roman" w:cs="Times New Roman"/>
          <w:b/>
          <w:bCs/>
          <w:sz w:val="20"/>
          <w:szCs w:val="20"/>
        </w:rPr>
        <w:sectPr w:rsidR="008249D4" w:rsidRPr="003D6AF6" w:rsidSect="00C96F1C">
          <w:type w:val="continuous"/>
          <w:pgSz w:w="11906" w:h="16838"/>
          <w:pgMar w:top="1440" w:right="1800" w:bottom="1440" w:left="1800" w:header="851" w:footer="992" w:gutter="0"/>
          <w:cols w:space="425"/>
          <w:docGrid w:type="lines" w:linePitch="312"/>
        </w:sectPr>
      </w:pPr>
      <w:r w:rsidRPr="003D6AF6">
        <w:rPr>
          <w:rFonts w:ascii="Times New Roman" w:hAnsi="Times New Roman" w:cs="Times New Roman"/>
          <w:b/>
          <w:bCs/>
          <w:sz w:val="20"/>
          <w:szCs w:val="20"/>
        </w:rPr>
        <w:t>Supplementary Materials</w:t>
      </w:r>
    </w:p>
    <w:p w14:paraId="0EA1740F" w14:textId="5CEFB932" w:rsidR="00450581" w:rsidRPr="003D6AF6" w:rsidRDefault="00450581" w:rsidP="00450581">
      <w:pPr>
        <w:spacing w:line="480" w:lineRule="auto"/>
        <w:jc w:val="center"/>
        <w:rPr>
          <w:rFonts w:ascii="Times New Roman" w:hAnsi="Times New Roman" w:cs="Times New Roman"/>
          <w:b/>
          <w:bCs/>
          <w:sz w:val="20"/>
          <w:szCs w:val="20"/>
        </w:rPr>
        <w:sectPr w:rsidR="00450581" w:rsidRPr="003D6AF6" w:rsidSect="008249D4">
          <w:pgSz w:w="11906" w:h="16838"/>
          <w:pgMar w:top="1440" w:right="1800" w:bottom="1440" w:left="1800" w:header="851" w:footer="992" w:gutter="0"/>
          <w:cols w:space="425"/>
          <w:docGrid w:type="lines" w:linePitch="312"/>
        </w:sectPr>
      </w:pPr>
    </w:p>
    <w:sdt>
      <w:sdtPr>
        <w:rPr>
          <w:rFonts w:ascii="Times New Roman" w:eastAsiaTheme="minorEastAsia" w:hAnsi="Times New Roman" w:cs="Times New Roman"/>
          <w:color w:val="auto"/>
          <w:kern w:val="2"/>
          <w:sz w:val="21"/>
          <w:szCs w:val="22"/>
        </w:rPr>
        <w:id w:val="-393820363"/>
        <w:docPartObj>
          <w:docPartGallery w:val="Table of Contents"/>
          <w:docPartUnique/>
        </w:docPartObj>
      </w:sdtPr>
      <w:sdtEndPr>
        <w:rPr>
          <w:b/>
          <w:bCs/>
        </w:rPr>
      </w:sdtEndPr>
      <w:sdtContent>
        <w:p w14:paraId="412C3816" w14:textId="370A9174" w:rsidR="00450581" w:rsidRPr="003D6AF6" w:rsidRDefault="00450581">
          <w:pPr>
            <w:pStyle w:val="TOC"/>
            <w:rPr>
              <w:rFonts w:ascii="Times New Roman" w:hAnsi="Times New Roman" w:cs="Times New Roman"/>
            </w:rPr>
          </w:pPr>
          <w:r w:rsidRPr="003D6AF6">
            <w:rPr>
              <w:rFonts w:ascii="Times New Roman" w:hAnsi="Times New Roman" w:cs="Times New Roman"/>
            </w:rPr>
            <w:t>Table of Contents</w:t>
          </w:r>
        </w:p>
        <w:p w14:paraId="68D36400" w14:textId="01D9789B" w:rsidR="00DF3BF0" w:rsidRDefault="00450581">
          <w:pPr>
            <w:pStyle w:val="TOC1"/>
            <w:tabs>
              <w:tab w:val="right" w:leader="dot" w:pos="8296"/>
            </w:tabs>
            <w:rPr>
              <w:rFonts w:hint="eastAsia"/>
              <w:noProof/>
              <w:sz w:val="22"/>
              <w:szCs w:val="24"/>
              <w:lang w:val="en-US"/>
              <w14:ligatures w14:val="standardContextual"/>
            </w:rPr>
          </w:pPr>
          <w:r w:rsidRPr="003D6AF6">
            <w:rPr>
              <w:rFonts w:ascii="Times New Roman" w:hAnsi="Times New Roman" w:cs="Times New Roman"/>
            </w:rPr>
            <w:fldChar w:fldCharType="begin"/>
          </w:r>
          <w:r w:rsidRPr="003D6AF6">
            <w:rPr>
              <w:rFonts w:ascii="Times New Roman" w:hAnsi="Times New Roman" w:cs="Times New Roman"/>
            </w:rPr>
            <w:instrText xml:space="preserve"> TOC \o "1-3" \h \z \u </w:instrText>
          </w:r>
          <w:r w:rsidRPr="003D6AF6">
            <w:rPr>
              <w:rFonts w:ascii="Times New Roman" w:hAnsi="Times New Roman" w:cs="Times New Roman"/>
            </w:rPr>
            <w:fldChar w:fldCharType="separate"/>
          </w:r>
          <w:hyperlink w:anchor="_Toc229600210" w:history="1">
            <w:r w:rsidR="00DF3BF0" w:rsidRPr="00486853">
              <w:rPr>
                <w:rStyle w:val="af5"/>
                <w:rFonts w:ascii="Times New Roman" w:hAnsi="Times New Roman" w:cs="Times New Roman" w:hint="eastAsia"/>
                <w:b/>
                <w:bCs/>
                <w:noProof/>
              </w:rPr>
              <w:t>Supplementary Tables</w:t>
            </w:r>
            <w:r w:rsidR="00DF3BF0">
              <w:rPr>
                <w:rFonts w:hint="eastAsia"/>
                <w:noProof/>
                <w:webHidden/>
              </w:rPr>
              <w:tab/>
            </w:r>
            <w:r w:rsidR="00DF3BF0">
              <w:rPr>
                <w:rFonts w:hint="eastAsia"/>
                <w:noProof/>
                <w:webHidden/>
              </w:rPr>
              <w:fldChar w:fldCharType="begin"/>
            </w:r>
            <w:r w:rsidR="00DF3BF0">
              <w:rPr>
                <w:rFonts w:hint="eastAsia"/>
                <w:noProof/>
                <w:webHidden/>
              </w:rPr>
              <w:instrText xml:space="preserve"> </w:instrText>
            </w:r>
            <w:r w:rsidR="00DF3BF0">
              <w:rPr>
                <w:noProof/>
                <w:webHidden/>
              </w:rPr>
              <w:instrText>PAGEREF _Toc229600210 \h</w:instrText>
            </w:r>
            <w:r w:rsidR="00DF3BF0">
              <w:rPr>
                <w:rFonts w:hint="eastAsia"/>
                <w:noProof/>
                <w:webHidden/>
              </w:rPr>
              <w:instrText xml:space="preserve"> </w:instrText>
            </w:r>
            <w:r w:rsidR="00DF3BF0">
              <w:rPr>
                <w:rFonts w:hint="eastAsia"/>
                <w:noProof/>
                <w:webHidden/>
              </w:rPr>
            </w:r>
            <w:r w:rsidR="00DF3BF0">
              <w:rPr>
                <w:rFonts w:hint="eastAsia"/>
                <w:noProof/>
                <w:webHidden/>
              </w:rPr>
              <w:fldChar w:fldCharType="separate"/>
            </w:r>
            <w:r w:rsidR="00DF3BF0">
              <w:rPr>
                <w:rFonts w:hint="eastAsia"/>
                <w:noProof/>
                <w:webHidden/>
              </w:rPr>
              <w:t>1</w:t>
            </w:r>
            <w:r w:rsidR="00DF3BF0">
              <w:rPr>
                <w:rFonts w:hint="eastAsia"/>
                <w:noProof/>
                <w:webHidden/>
              </w:rPr>
              <w:fldChar w:fldCharType="end"/>
            </w:r>
          </w:hyperlink>
        </w:p>
        <w:p w14:paraId="10B0545B" w14:textId="54EE4B01" w:rsidR="00DF3BF0" w:rsidRDefault="00DF3BF0">
          <w:pPr>
            <w:pStyle w:val="TOC2"/>
            <w:tabs>
              <w:tab w:val="right" w:leader="dot" w:pos="8296"/>
            </w:tabs>
            <w:rPr>
              <w:rFonts w:hint="eastAsia"/>
              <w:noProof/>
              <w:sz w:val="22"/>
              <w:szCs w:val="24"/>
              <w:lang w:val="en-US"/>
              <w14:ligatures w14:val="standardContextual"/>
            </w:rPr>
          </w:pPr>
          <w:hyperlink w:anchor="_Toc229600211" w:history="1">
            <w:r w:rsidRPr="00486853">
              <w:rPr>
                <w:rStyle w:val="af5"/>
                <w:rFonts w:ascii="Times New Roman" w:hAnsi="Times New Roman" w:cs="Times New Roman" w:hint="eastAsia"/>
                <w:b/>
                <w:bCs/>
                <w:noProof/>
              </w:rPr>
              <w:t>Table S1:</w:t>
            </w:r>
            <w:r w:rsidRPr="00486853">
              <w:rPr>
                <w:rStyle w:val="af5"/>
                <w:rFonts w:ascii="Times New Roman" w:hAnsi="Times New Roman" w:cs="Times New Roman" w:hint="eastAsia"/>
                <w:noProof/>
              </w:rPr>
              <w:t xml:space="preserve"> Baseline characteristics of study cohorts by data partition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w:t>
            </w:r>
            <w:r>
              <w:rPr>
                <w:rFonts w:hint="eastAsia"/>
                <w:noProof/>
                <w:webHidden/>
              </w:rPr>
              <w:fldChar w:fldCharType="end"/>
            </w:r>
          </w:hyperlink>
        </w:p>
        <w:p w14:paraId="57A0E04D" w14:textId="701FCA39" w:rsidR="00DF3BF0" w:rsidRDefault="00DF3BF0">
          <w:pPr>
            <w:pStyle w:val="TOC2"/>
            <w:tabs>
              <w:tab w:val="right" w:leader="dot" w:pos="8296"/>
            </w:tabs>
            <w:rPr>
              <w:rFonts w:hint="eastAsia"/>
              <w:noProof/>
              <w:sz w:val="22"/>
              <w:szCs w:val="24"/>
              <w:lang w:val="en-US"/>
              <w14:ligatures w14:val="standardContextual"/>
            </w:rPr>
          </w:pPr>
          <w:hyperlink w:anchor="_Toc229600212" w:history="1">
            <w:r w:rsidRPr="00486853">
              <w:rPr>
                <w:rStyle w:val="af5"/>
                <w:rFonts w:ascii="Times New Roman" w:hAnsi="Times New Roman" w:cs="Times New Roman" w:hint="eastAsia"/>
                <w:b/>
                <w:bCs/>
                <w:noProof/>
              </w:rPr>
              <w:t xml:space="preserve">Table S2: </w:t>
            </w:r>
            <w:r w:rsidRPr="00486853">
              <w:rPr>
                <w:rStyle w:val="af5"/>
                <w:rFonts w:ascii="Times New Roman" w:hAnsi="Times New Roman" w:cs="Times New Roman" w:hint="eastAsia"/>
                <w:noProof/>
              </w:rPr>
              <w:t>Classification performance of the ROSA model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51C9E17C" w14:textId="575AC939" w:rsidR="00DF3BF0" w:rsidRDefault="00DF3BF0">
          <w:pPr>
            <w:pStyle w:val="TOC2"/>
            <w:tabs>
              <w:tab w:val="right" w:leader="dot" w:pos="8296"/>
            </w:tabs>
            <w:rPr>
              <w:rFonts w:hint="eastAsia"/>
              <w:noProof/>
              <w:sz w:val="22"/>
              <w:szCs w:val="24"/>
              <w:lang w:val="en-US"/>
              <w14:ligatures w14:val="standardContextual"/>
            </w:rPr>
          </w:pPr>
          <w:hyperlink w:anchor="_Toc229600213" w:history="1">
            <w:r w:rsidRPr="00486853">
              <w:rPr>
                <w:rStyle w:val="af5"/>
                <w:rFonts w:ascii="Times New Roman" w:hAnsi="Times New Roman" w:cs="Times New Roman" w:hint="eastAsia"/>
                <w:b/>
                <w:bCs/>
                <w:noProof/>
              </w:rPr>
              <w:t>Table S3:</w:t>
            </w:r>
            <w:r w:rsidRPr="00486853">
              <w:rPr>
                <w:rStyle w:val="af5"/>
                <w:rFonts w:ascii="Times New Roman" w:hAnsi="Times New Roman" w:cs="Times New Roman" w:hint="eastAsia"/>
                <w:noProof/>
              </w:rPr>
              <w:t xml:space="preserve"> Baseline characteristics of the UKB-CHV set stratified by ROSA-predicted obesity subtype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w:t>
            </w:r>
            <w:r>
              <w:rPr>
                <w:rFonts w:hint="eastAsia"/>
                <w:noProof/>
                <w:webHidden/>
              </w:rPr>
              <w:fldChar w:fldCharType="end"/>
            </w:r>
          </w:hyperlink>
        </w:p>
        <w:p w14:paraId="48DC2105" w14:textId="318E9B7E" w:rsidR="00DF3BF0" w:rsidRDefault="00DF3BF0">
          <w:pPr>
            <w:pStyle w:val="TOC2"/>
            <w:tabs>
              <w:tab w:val="right" w:leader="dot" w:pos="8296"/>
            </w:tabs>
            <w:rPr>
              <w:rFonts w:hint="eastAsia"/>
              <w:noProof/>
              <w:sz w:val="22"/>
              <w:szCs w:val="24"/>
              <w:lang w:val="en-US"/>
              <w14:ligatures w14:val="standardContextual"/>
            </w:rPr>
          </w:pPr>
          <w:hyperlink w:anchor="_Toc229600214" w:history="1">
            <w:r w:rsidRPr="00486853">
              <w:rPr>
                <w:rStyle w:val="af5"/>
                <w:rFonts w:ascii="Times New Roman" w:hAnsi="Times New Roman" w:cs="Times New Roman" w:hint="eastAsia"/>
                <w:b/>
                <w:bCs/>
                <w:noProof/>
              </w:rPr>
              <w:t xml:space="preserve">Table S4: </w:t>
            </w:r>
            <w:r w:rsidRPr="00486853">
              <w:rPr>
                <w:rStyle w:val="af5"/>
                <w:rFonts w:ascii="Times New Roman" w:hAnsi="Times New Roman" w:cs="Times New Roman" w:hint="eastAsia"/>
                <w:noProof/>
              </w:rPr>
              <w:t>Association between ROSA-predicted obesity subtype and incident cardiometabolic outcomes in the UKB-CHV set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w:t>
            </w:r>
            <w:r>
              <w:rPr>
                <w:rFonts w:hint="eastAsia"/>
                <w:noProof/>
                <w:webHidden/>
              </w:rPr>
              <w:fldChar w:fldCharType="end"/>
            </w:r>
          </w:hyperlink>
        </w:p>
        <w:p w14:paraId="3FEBA7E4" w14:textId="7D928BB8" w:rsidR="00DF3BF0" w:rsidRDefault="00DF3BF0">
          <w:pPr>
            <w:pStyle w:val="TOC2"/>
            <w:tabs>
              <w:tab w:val="right" w:leader="dot" w:pos="8296"/>
            </w:tabs>
            <w:rPr>
              <w:rFonts w:hint="eastAsia"/>
              <w:noProof/>
              <w:sz w:val="22"/>
              <w:szCs w:val="24"/>
              <w:lang w:val="en-US"/>
              <w14:ligatures w14:val="standardContextual"/>
            </w:rPr>
          </w:pPr>
          <w:hyperlink w:anchor="_Toc229600215" w:history="1">
            <w:r w:rsidRPr="00486853">
              <w:rPr>
                <w:rStyle w:val="af5"/>
                <w:rFonts w:ascii="Times New Roman" w:hAnsi="Times New Roman" w:cs="Times New Roman" w:hint="eastAsia"/>
                <w:b/>
                <w:bCs/>
                <w:noProof/>
              </w:rPr>
              <w:t xml:space="preserve">Table S5: </w:t>
            </w:r>
            <w:r w:rsidRPr="00486853">
              <w:rPr>
                <w:rStyle w:val="af5"/>
                <w:rFonts w:ascii="Times New Roman" w:hAnsi="Times New Roman" w:cs="Times New Roman" w:hint="eastAsia"/>
                <w:noProof/>
              </w:rPr>
              <w:t>Incremental predictive performance of ROSA probabilities beyond BMI-only and established clinical risk-score models for 10-year incident outcomes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w:t>
            </w:r>
            <w:r>
              <w:rPr>
                <w:rFonts w:hint="eastAsia"/>
                <w:noProof/>
                <w:webHidden/>
              </w:rPr>
              <w:fldChar w:fldCharType="end"/>
            </w:r>
          </w:hyperlink>
        </w:p>
        <w:p w14:paraId="4E949EF5" w14:textId="7A945BF7" w:rsidR="00DF3BF0" w:rsidRDefault="00DF3BF0">
          <w:pPr>
            <w:pStyle w:val="TOC1"/>
            <w:tabs>
              <w:tab w:val="right" w:leader="dot" w:pos="8296"/>
            </w:tabs>
            <w:rPr>
              <w:rFonts w:hint="eastAsia"/>
              <w:noProof/>
              <w:sz w:val="22"/>
              <w:szCs w:val="24"/>
              <w:lang w:val="en-US"/>
              <w14:ligatures w14:val="standardContextual"/>
            </w:rPr>
          </w:pPr>
          <w:hyperlink w:anchor="_Toc229600216" w:history="1">
            <w:r w:rsidRPr="00486853">
              <w:rPr>
                <w:rStyle w:val="af5"/>
                <w:rFonts w:ascii="Times New Roman" w:eastAsia="宋体" w:hAnsi="Times New Roman" w:cs="Times New Roman" w:hint="eastAsia"/>
                <w:b/>
                <w:bCs/>
                <w:noProof/>
              </w:rPr>
              <w:t>Supplementary Figures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w:t>
            </w:r>
            <w:r>
              <w:rPr>
                <w:rFonts w:hint="eastAsia"/>
                <w:noProof/>
                <w:webHidden/>
              </w:rPr>
              <w:fldChar w:fldCharType="end"/>
            </w:r>
          </w:hyperlink>
        </w:p>
        <w:p w14:paraId="36A301A2" w14:textId="1241BA8B" w:rsidR="00DF3BF0" w:rsidRDefault="00DF3BF0">
          <w:pPr>
            <w:pStyle w:val="TOC2"/>
            <w:tabs>
              <w:tab w:val="right" w:leader="dot" w:pos="8296"/>
            </w:tabs>
            <w:rPr>
              <w:rFonts w:hint="eastAsia"/>
              <w:noProof/>
              <w:sz w:val="22"/>
              <w:szCs w:val="24"/>
              <w:lang w:val="en-US"/>
              <w14:ligatures w14:val="standardContextual"/>
            </w:rPr>
          </w:pPr>
          <w:hyperlink w:anchor="_Toc229600217" w:history="1">
            <w:r w:rsidRPr="00486853">
              <w:rPr>
                <w:rStyle w:val="af5"/>
                <w:rFonts w:ascii="Times New Roman" w:eastAsia="宋体" w:hAnsi="Times New Roman" w:cs="Times New Roman" w:hint="eastAsia"/>
                <w:b/>
                <w:bCs/>
                <w:noProof/>
              </w:rPr>
              <w:t>Figure S1:</w:t>
            </w:r>
            <w:r w:rsidRPr="00486853">
              <w:rPr>
                <w:rStyle w:val="af5"/>
                <w:rFonts w:ascii="Times New Roman" w:eastAsia="宋体" w:hAnsi="Times New Roman" w:cs="Times New Roman" w:hint="eastAsia"/>
                <w:noProof/>
              </w:rPr>
              <w:t xml:space="preserve"> Participant inclusion and exclusion flowchart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w:t>
            </w:r>
            <w:r>
              <w:rPr>
                <w:rFonts w:hint="eastAsia"/>
                <w:noProof/>
                <w:webHidden/>
              </w:rPr>
              <w:fldChar w:fldCharType="end"/>
            </w:r>
          </w:hyperlink>
        </w:p>
        <w:p w14:paraId="26827B85" w14:textId="1106E643" w:rsidR="00DF3BF0" w:rsidRDefault="00DF3BF0">
          <w:pPr>
            <w:pStyle w:val="TOC2"/>
            <w:tabs>
              <w:tab w:val="right" w:leader="dot" w:pos="8296"/>
            </w:tabs>
            <w:rPr>
              <w:rFonts w:hint="eastAsia"/>
              <w:noProof/>
              <w:sz w:val="22"/>
              <w:szCs w:val="24"/>
              <w:lang w:val="en-US"/>
              <w14:ligatures w14:val="standardContextual"/>
            </w:rPr>
          </w:pPr>
          <w:hyperlink w:anchor="_Toc229600218" w:history="1">
            <w:r w:rsidRPr="00486853">
              <w:rPr>
                <w:rStyle w:val="af5"/>
                <w:rFonts w:ascii="Times New Roman" w:eastAsia="宋体" w:hAnsi="Times New Roman" w:cs="Times New Roman" w:hint="eastAsia"/>
                <w:b/>
                <w:bCs/>
                <w:noProof/>
              </w:rPr>
              <w:t xml:space="preserve">Figure S2: </w:t>
            </w:r>
            <w:r w:rsidRPr="00486853">
              <w:rPr>
                <w:rStyle w:val="af5"/>
                <w:rFonts w:ascii="Times New Roman" w:eastAsia="宋体" w:hAnsi="Times New Roman" w:cs="Times New Roman" w:hint="eastAsia"/>
                <w:noProof/>
              </w:rPr>
              <w:t>Latent profile analysis model selection for subtype number</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w:t>
            </w:r>
            <w:r>
              <w:rPr>
                <w:rFonts w:hint="eastAsia"/>
                <w:noProof/>
                <w:webHidden/>
              </w:rPr>
              <w:fldChar w:fldCharType="end"/>
            </w:r>
          </w:hyperlink>
        </w:p>
        <w:p w14:paraId="76C964B8" w14:textId="65EB7D9C" w:rsidR="00DF3BF0" w:rsidRDefault="00DF3BF0">
          <w:pPr>
            <w:pStyle w:val="TOC2"/>
            <w:tabs>
              <w:tab w:val="right" w:leader="dot" w:pos="8296"/>
            </w:tabs>
            <w:rPr>
              <w:rFonts w:hint="eastAsia"/>
              <w:noProof/>
              <w:sz w:val="22"/>
              <w:szCs w:val="24"/>
              <w:lang w:val="en-US"/>
              <w14:ligatures w14:val="standardContextual"/>
            </w:rPr>
          </w:pPr>
          <w:hyperlink w:anchor="_Toc229600219" w:history="1">
            <w:r w:rsidRPr="00486853">
              <w:rPr>
                <w:rStyle w:val="af5"/>
                <w:rFonts w:ascii="Times New Roman" w:eastAsia="宋体" w:hAnsi="Times New Roman" w:cs="Times New Roman" w:hint="eastAsia"/>
                <w:b/>
                <w:bCs/>
                <w:noProof/>
              </w:rPr>
              <w:t xml:space="preserve">Figure S3: </w:t>
            </w:r>
            <w:r w:rsidRPr="00486853">
              <w:rPr>
                <w:rStyle w:val="af5"/>
                <w:rFonts w:ascii="Times New Roman" w:eastAsia="宋体" w:hAnsi="Times New Roman" w:cs="Times New Roman" w:hint="eastAsia"/>
                <w:noProof/>
              </w:rPr>
              <w:t>Biochemical residual profiles for alternative latent profile analysis solutions (G = 4, 5, and 6), stratified by sex</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_Toc229600219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w:t>
            </w:r>
            <w:r>
              <w:rPr>
                <w:rFonts w:hint="eastAsia"/>
                <w:noProof/>
                <w:webHidden/>
              </w:rPr>
              <w:fldChar w:fldCharType="end"/>
            </w:r>
          </w:hyperlink>
        </w:p>
        <w:p w14:paraId="2729EB05" w14:textId="7D9A98AC" w:rsidR="00DF3BF0" w:rsidRDefault="00DF3BF0">
          <w:pPr>
            <w:pStyle w:val="TOC2"/>
            <w:tabs>
              <w:tab w:val="right" w:leader="dot" w:pos="8296"/>
            </w:tabs>
            <w:rPr>
              <w:rFonts w:hint="eastAsia"/>
              <w:noProof/>
              <w:sz w:val="22"/>
              <w:szCs w:val="24"/>
              <w:lang w:val="en-US"/>
              <w14:ligatures w14:val="standardContextual"/>
            </w:rPr>
          </w:pPr>
          <w:hyperlink w:anchor="_Toc229600220" w:history="1">
            <w:r w:rsidRPr="00486853">
              <w:rPr>
                <w:rStyle w:val="af5"/>
                <w:rFonts w:ascii="Times New Roman" w:hAnsi="Times New Roman" w:cs="Times New Roman" w:hint="eastAsia"/>
                <w:b/>
                <w:bCs/>
                <w:noProof/>
              </w:rPr>
              <w:t xml:space="preserve">Figure S4: </w:t>
            </w:r>
            <w:r w:rsidRPr="00486853">
              <w:rPr>
                <w:rStyle w:val="af5"/>
                <w:rFonts w:ascii="Times New Roman" w:hAnsi="Times New Roman" w:cs="Times New Roman" w:hint="eastAsia"/>
                <w:noProof/>
              </w:rPr>
              <w:t>Replication of the three-profile latent profile structure across sex and datasets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9</w:t>
            </w:r>
            <w:r>
              <w:rPr>
                <w:rFonts w:hint="eastAsia"/>
                <w:noProof/>
                <w:webHidden/>
              </w:rPr>
              <w:fldChar w:fldCharType="end"/>
            </w:r>
          </w:hyperlink>
        </w:p>
        <w:p w14:paraId="0E29E22E" w14:textId="5EA860CF" w:rsidR="00DF3BF0" w:rsidRDefault="00DF3BF0">
          <w:pPr>
            <w:pStyle w:val="TOC2"/>
            <w:tabs>
              <w:tab w:val="right" w:leader="dot" w:pos="8296"/>
            </w:tabs>
            <w:rPr>
              <w:rFonts w:hint="eastAsia"/>
              <w:noProof/>
              <w:sz w:val="22"/>
              <w:szCs w:val="24"/>
              <w:lang w:val="en-US"/>
              <w14:ligatures w14:val="standardContextual"/>
            </w:rPr>
          </w:pPr>
          <w:hyperlink w:anchor="_Toc229600221" w:history="1">
            <w:r w:rsidRPr="00486853">
              <w:rPr>
                <w:rStyle w:val="af5"/>
                <w:rFonts w:ascii="Times New Roman" w:hAnsi="Times New Roman" w:cs="Times New Roman" w:hint="eastAsia"/>
                <w:b/>
                <w:bCs/>
                <w:noProof/>
              </w:rPr>
              <w:t xml:space="preserve">Figure S5: </w:t>
            </w:r>
            <w:r w:rsidRPr="00486853">
              <w:rPr>
                <w:rStyle w:val="af5"/>
                <w:rFonts w:ascii="Times New Roman" w:hAnsi="Times New Roman" w:cs="Times New Roman" w:hint="eastAsia"/>
                <w:noProof/>
              </w:rPr>
              <w:t>Biomarker-only latent profile solutions across candidate profile numbers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10</w:t>
            </w:r>
            <w:r>
              <w:rPr>
                <w:rFonts w:hint="eastAsia"/>
                <w:noProof/>
                <w:webHidden/>
              </w:rPr>
              <w:fldChar w:fldCharType="end"/>
            </w:r>
          </w:hyperlink>
        </w:p>
        <w:p w14:paraId="77D6BD7F" w14:textId="40117E73" w:rsidR="00DF3BF0" w:rsidRDefault="00DF3BF0">
          <w:pPr>
            <w:pStyle w:val="TOC2"/>
            <w:tabs>
              <w:tab w:val="right" w:leader="dot" w:pos="8296"/>
            </w:tabs>
            <w:rPr>
              <w:rFonts w:hint="eastAsia"/>
              <w:noProof/>
              <w:sz w:val="22"/>
              <w:szCs w:val="24"/>
              <w:lang w:val="en-US"/>
              <w14:ligatures w14:val="standardContextual"/>
            </w:rPr>
          </w:pPr>
          <w:hyperlink w:anchor="_Toc229600222" w:history="1">
            <w:r w:rsidRPr="00486853">
              <w:rPr>
                <w:rStyle w:val="af5"/>
                <w:rFonts w:ascii="Times New Roman" w:hAnsi="Times New Roman" w:cs="Times New Roman" w:hint="eastAsia"/>
                <w:b/>
                <w:bCs/>
                <w:noProof/>
              </w:rPr>
              <w:t xml:space="preserve">Figure S6: </w:t>
            </w:r>
            <w:r w:rsidRPr="00486853">
              <w:rPr>
                <w:rStyle w:val="af5"/>
                <w:rFonts w:ascii="Times New Roman" w:hAnsi="Times New Roman" w:cs="Times New Roman" w:hint="eastAsia"/>
                <w:noProof/>
              </w:rPr>
              <w:t>Latent profile structures under left-eye-prioritised and right-eye-prioritised retinal feature selection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11</w:t>
            </w:r>
            <w:r>
              <w:rPr>
                <w:rFonts w:hint="eastAsia"/>
                <w:noProof/>
                <w:webHidden/>
              </w:rPr>
              <w:fldChar w:fldCharType="end"/>
            </w:r>
          </w:hyperlink>
        </w:p>
        <w:p w14:paraId="0430B996" w14:textId="250098F0" w:rsidR="00DF3BF0" w:rsidRDefault="00DF3BF0">
          <w:pPr>
            <w:pStyle w:val="TOC2"/>
            <w:tabs>
              <w:tab w:val="right" w:leader="dot" w:pos="8296"/>
            </w:tabs>
            <w:rPr>
              <w:rFonts w:hint="eastAsia"/>
              <w:noProof/>
              <w:sz w:val="22"/>
              <w:szCs w:val="24"/>
              <w:lang w:val="en-US"/>
              <w14:ligatures w14:val="standardContextual"/>
            </w:rPr>
          </w:pPr>
          <w:hyperlink w:anchor="_Toc229600223" w:history="1">
            <w:r w:rsidRPr="00486853">
              <w:rPr>
                <w:rStyle w:val="af5"/>
                <w:rFonts w:ascii="Times New Roman" w:hAnsi="Times New Roman" w:cs="Times New Roman" w:hint="eastAsia"/>
                <w:b/>
                <w:bCs/>
                <w:noProof/>
              </w:rPr>
              <w:t xml:space="preserve">Figure S7: </w:t>
            </w:r>
            <w:r w:rsidRPr="00486853">
              <w:rPr>
                <w:rStyle w:val="af5"/>
                <w:rFonts w:ascii="Times New Roman" w:hAnsi="Times New Roman" w:cs="Times New Roman" w:hint="eastAsia"/>
                <w:noProof/>
              </w:rPr>
              <w:t>Latent profile solutions derived from retina-predicted biochemical residuals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w:t>
            </w:r>
            <w:r>
              <w:rPr>
                <w:rFonts w:hint="eastAsia"/>
                <w:noProof/>
                <w:webHidden/>
              </w:rPr>
              <w:fldChar w:fldCharType="end"/>
            </w:r>
          </w:hyperlink>
        </w:p>
        <w:p w14:paraId="5C4C5A20" w14:textId="1AD66466" w:rsidR="00DF3BF0" w:rsidRDefault="00DF3BF0">
          <w:pPr>
            <w:pStyle w:val="TOC2"/>
            <w:tabs>
              <w:tab w:val="right" w:leader="dot" w:pos="8296"/>
            </w:tabs>
            <w:rPr>
              <w:rFonts w:hint="eastAsia"/>
              <w:noProof/>
              <w:sz w:val="22"/>
              <w:szCs w:val="24"/>
              <w:lang w:val="en-US"/>
              <w14:ligatures w14:val="standardContextual"/>
            </w:rPr>
          </w:pPr>
          <w:hyperlink w:anchor="_Toc229600224" w:history="1">
            <w:r w:rsidRPr="00486853">
              <w:rPr>
                <w:rStyle w:val="af5"/>
                <w:rFonts w:ascii="Times New Roman" w:hAnsi="Times New Roman" w:cs="Times New Roman" w:hint="eastAsia"/>
                <w:b/>
                <w:bCs/>
                <w:noProof/>
              </w:rPr>
              <w:t xml:space="preserve">Figure S8: </w:t>
            </w:r>
            <w:r w:rsidRPr="00486853">
              <w:rPr>
                <w:rStyle w:val="af5"/>
                <w:rFonts w:ascii="Times New Roman" w:hAnsi="Times New Roman" w:cs="Times New Roman" w:hint="eastAsia"/>
                <w:noProof/>
              </w:rPr>
              <w:t>Representative attention heatmaps for correctly and incorrectly classified ROSA predictions in UKB-CHV and BHMC-EV</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13</w:t>
            </w:r>
            <w:r>
              <w:rPr>
                <w:rFonts w:hint="eastAsia"/>
                <w:noProof/>
                <w:webHidden/>
              </w:rPr>
              <w:fldChar w:fldCharType="end"/>
            </w:r>
          </w:hyperlink>
        </w:p>
        <w:p w14:paraId="782A6506" w14:textId="1299FA8C" w:rsidR="00DF3BF0" w:rsidRDefault="00DF3BF0">
          <w:pPr>
            <w:pStyle w:val="TOC2"/>
            <w:tabs>
              <w:tab w:val="right" w:leader="dot" w:pos="8296"/>
            </w:tabs>
            <w:rPr>
              <w:rFonts w:hint="eastAsia"/>
              <w:noProof/>
              <w:sz w:val="22"/>
              <w:szCs w:val="24"/>
              <w:lang w:val="en-US"/>
              <w14:ligatures w14:val="standardContextual"/>
            </w:rPr>
          </w:pPr>
          <w:hyperlink w:anchor="_Toc229600225" w:history="1">
            <w:r w:rsidRPr="00486853">
              <w:rPr>
                <w:rStyle w:val="af5"/>
                <w:rFonts w:ascii="Times New Roman" w:hAnsi="Times New Roman" w:cs="Times New Roman" w:hint="eastAsia"/>
                <w:b/>
                <w:bCs/>
                <w:noProof/>
              </w:rPr>
              <w:t xml:space="preserve">Figure S9: </w:t>
            </w:r>
            <w:r w:rsidRPr="00486853">
              <w:rPr>
                <w:rStyle w:val="af5"/>
                <w:rFonts w:ascii="Times New Roman" w:hAnsi="Times New Roman" w:cs="Times New Roman" w:hint="eastAsia"/>
                <w:noProof/>
              </w:rPr>
              <w:t>Subgroup analyses of subtype</w:t>
            </w:r>
            <w:r w:rsidRPr="00486853">
              <w:rPr>
                <w:rStyle w:val="af5"/>
                <w:rFonts w:ascii="Times New Roman" w:hAnsi="Times New Roman" w:cs="Times New Roman" w:hint="eastAsia"/>
                <w:noProof/>
              </w:rPr>
              <w:t>–</w:t>
            </w:r>
            <w:r w:rsidRPr="00486853">
              <w:rPr>
                <w:rStyle w:val="af5"/>
                <w:rFonts w:ascii="Times New Roman" w:hAnsi="Times New Roman" w:cs="Times New Roman" w:hint="eastAsia"/>
                <w:noProof/>
              </w:rPr>
              <w:t>outcome associations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w:t>
            </w:r>
            <w:r>
              <w:rPr>
                <w:rFonts w:hint="eastAsia"/>
                <w:noProof/>
                <w:webHidden/>
              </w:rPr>
              <w:fldChar w:fldCharType="end"/>
            </w:r>
          </w:hyperlink>
        </w:p>
        <w:p w14:paraId="0D728A7F" w14:textId="440BBBA4" w:rsidR="00DF3BF0" w:rsidRDefault="00DF3BF0">
          <w:pPr>
            <w:pStyle w:val="TOC2"/>
            <w:tabs>
              <w:tab w:val="right" w:leader="dot" w:pos="8296"/>
            </w:tabs>
            <w:rPr>
              <w:rFonts w:hint="eastAsia"/>
              <w:noProof/>
              <w:sz w:val="22"/>
              <w:szCs w:val="24"/>
              <w:lang w:val="en-US"/>
              <w14:ligatures w14:val="standardContextual"/>
            </w:rPr>
          </w:pPr>
          <w:hyperlink w:anchor="_Toc229600226" w:history="1">
            <w:r w:rsidRPr="00486853">
              <w:rPr>
                <w:rStyle w:val="af5"/>
                <w:rFonts w:ascii="Times New Roman" w:hAnsi="Times New Roman" w:cs="Times New Roman" w:hint="eastAsia"/>
                <w:b/>
                <w:bCs/>
                <w:noProof/>
              </w:rPr>
              <w:t xml:space="preserve">Figure S10: </w:t>
            </w:r>
            <w:r w:rsidRPr="00486853">
              <w:rPr>
                <w:rStyle w:val="af5"/>
                <w:rFonts w:ascii="Times New Roman" w:hAnsi="Times New Roman" w:cs="Times New Roman" w:hint="eastAsia"/>
                <w:noProof/>
              </w:rPr>
              <w:t>Decision-curve analysis for ROSA-predicted obesity subtypes and 10-year clinical outcomes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15</w:t>
            </w:r>
            <w:r>
              <w:rPr>
                <w:rFonts w:hint="eastAsia"/>
                <w:noProof/>
                <w:webHidden/>
              </w:rPr>
              <w:fldChar w:fldCharType="end"/>
            </w:r>
          </w:hyperlink>
        </w:p>
        <w:p w14:paraId="7E37F297" w14:textId="1EB5A2BD" w:rsidR="00DF3BF0" w:rsidRDefault="00DF3BF0">
          <w:pPr>
            <w:pStyle w:val="TOC2"/>
            <w:tabs>
              <w:tab w:val="right" w:leader="dot" w:pos="8296"/>
            </w:tabs>
            <w:rPr>
              <w:rFonts w:hint="eastAsia"/>
              <w:noProof/>
              <w:sz w:val="22"/>
              <w:szCs w:val="24"/>
              <w:lang w:val="en-US"/>
              <w14:ligatures w14:val="standardContextual"/>
            </w:rPr>
          </w:pPr>
          <w:hyperlink w:anchor="_Toc229600227" w:history="1">
            <w:r w:rsidRPr="00486853">
              <w:rPr>
                <w:rStyle w:val="af5"/>
                <w:rFonts w:ascii="Times New Roman" w:hAnsi="Times New Roman" w:cs="Times New Roman" w:hint="eastAsia"/>
                <w:b/>
                <w:bCs/>
                <w:noProof/>
              </w:rPr>
              <w:t xml:space="preserve">Figure S11: </w:t>
            </w:r>
            <w:r w:rsidRPr="00486853">
              <w:rPr>
                <w:rStyle w:val="af5"/>
                <w:rFonts w:ascii="Times New Roman" w:hAnsi="Times New Roman" w:cs="Times New Roman" w:hint="eastAsia"/>
                <w:noProof/>
              </w:rPr>
              <w:t>Multi-state transition probabilities by predicted subtype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16</w:t>
            </w:r>
            <w:r>
              <w:rPr>
                <w:rFonts w:hint="eastAsia"/>
                <w:noProof/>
                <w:webHidden/>
              </w:rPr>
              <w:fldChar w:fldCharType="end"/>
            </w:r>
          </w:hyperlink>
        </w:p>
        <w:p w14:paraId="43627D7F" w14:textId="2569557D" w:rsidR="00DF3BF0" w:rsidRDefault="00DF3BF0">
          <w:pPr>
            <w:pStyle w:val="TOC2"/>
            <w:tabs>
              <w:tab w:val="right" w:leader="dot" w:pos="8296"/>
            </w:tabs>
            <w:rPr>
              <w:rFonts w:hint="eastAsia"/>
              <w:noProof/>
              <w:sz w:val="22"/>
              <w:szCs w:val="24"/>
              <w:lang w:val="en-US"/>
              <w14:ligatures w14:val="standardContextual"/>
            </w:rPr>
          </w:pPr>
          <w:hyperlink w:anchor="_Toc229600228" w:history="1">
            <w:r w:rsidRPr="00486853">
              <w:rPr>
                <w:rStyle w:val="af5"/>
                <w:rFonts w:ascii="Times New Roman" w:hAnsi="Times New Roman" w:cs="Times New Roman" w:hint="eastAsia"/>
                <w:b/>
                <w:bCs/>
                <w:noProof/>
              </w:rPr>
              <w:t xml:space="preserve">Figure S12: </w:t>
            </w:r>
            <w:r w:rsidRPr="00486853">
              <w:rPr>
                <w:rStyle w:val="af5"/>
                <w:rFonts w:ascii="Times New Roman" w:hAnsi="Times New Roman" w:cs="Times New Roman" w:hint="eastAsia"/>
                <w:noProof/>
              </w:rPr>
              <w:t>Metabolomic associations of predicted subtypes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w:t>
            </w:r>
            <w:r>
              <w:rPr>
                <w:rFonts w:hint="eastAsia"/>
                <w:noProof/>
                <w:webHidden/>
              </w:rPr>
              <w:fldChar w:fldCharType="end"/>
            </w:r>
          </w:hyperlink>
        </w:p>
        <w:p w14:paraId="347547AE" w14:textId="32171E76" w:rsidR="00DF3BF0" w:rsidRDefault="00DF3BF0">
          <w:pPr>
            <w:pStyle w:val="TOC2"/>
            <w:tabs>
              <w:tab w:val="right" w:leader="dot" w:pos="8296"/>
            </w:tabs>
            <w:rPr>
              <w:rFonts w:hint="eastAsia"/>
              <w:noProof/>
              <w:sz w:val="22"/>
              <w:szCs w:val="24"/>
              <w:lang w:val="en-US"/>
              <w14:ligatures w14:val="standardContextual"/>
            </w:rPr>
          </w:pPr>
          <w:hyperlink w:anchor="_Toc229600229" w:history="1">
            <w:r w:rsidRPr="00486853">
              <w:rPr>
                <w:rStyle w:val="af5"/>
                <w:rFonts w:ascii="Times New Roman" w:hAnsi="Times New Roman" w:cs="Times New Roman" w:hint="eastAsia"/>
                <w:b/>
                <w:bCs/>
                <w:noProof/>
              </w:rPr>
              <w:t xml:space="preserve">Figure S13: </w:t>
            </w:r>
            <w:r w:rsidRPr="00486853">
              <w:rPr>
                <w:rStyle w:val="af5"/>
                <w:rFonts w:ascii="Times New Roman" w:hAnsi="Times New Roman" w:cs="Times New Roman" w:hint="eastAsia"/>
                <w:noProof/>
              </w:rPr>
              <w:t>Proteomic associations of predicted subtypes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_Toc229600229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18</w:t>
            </w:r>
            <w:r>
              <w:rPr>
                <w:rFonts w:hint="eastAsia"/>
                <w:noProof/>
                <w:webHidden/>
              </w:rPr>
              <w:fldChar w:fldCharType="end"/>
            </w:r>
          </w:hyperlink>
        </w:p>
        <w:p w14:paraId="124BB030" w14:textId="421585F2" w:rsidR="00DF3BF0" w:rsidRDefault="00DF3BF0">
          <w:pPr>
            <w:pStyle w:val="TOC2"/>
            <w:tabs>
              <w:tab w:val="right" w:leader="dot" w:pos="8296"/>
            </w:tabs>
            <w:rPr>
              <w:rFonts w:hint="eastAsia"/>
              <w:noProof/>
              <w:sz w:val="22"/>
              <w:szCs w:val="24"/>
              <w:lang w:val="en-US"/>
              <w14:ligatures w14:val="standardContextual"/>
            </w:rPr>
          </w:pPr>
          <w:hyperlink w:anchor="_Toc229600230" w:history="1">
            <w:r w:rsidRPr="00486853">
              <w:rPr>
                <w:rStyle w:val="af5"/>
                <w:rFonts w:ascii="Times New Roman" w:hAnsi="Times New Roman" w:cs="Times New Roman" w:hint="eastAsia"/>
                <w:b/>
                <w:bCs/>
                <w:noProof/>
              </w:rPr>
              <w:t xml:space="preserve">Figure S14: </w:t>
            </w:r>
            <w:r w:rsidRPr="00486853">
              <w:rPr>
                <w:rStyle w:val="af5"/>
                <w:rFonts w:ascii="Times New Roman" w:hAnsi="Times New Roman" w:cs="Times New Roman" w:hint="eastAsia"/>
                <w:noProof/>
              </w:rPr>
              <w:t>MWAS and PWAS after exclusion of LPA-defining biomarker overlaps and molecular proxies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19</w:t>
            </w:r>
            <w:r>
              <w:rPr>
                <w:rFonts w:hint="eastAsia"/>
                <w:noProof/>
                <w:webHidden/>
              </w:rPr>
              <w:fldChar w:fldCharType="end"/>
            </w:r>
          </w:hyperlink>
        </w:p>
        <w:p w14:paraId="7CB2C9F8" w14:textId="4959DD48" w:rsidR="00DF3BF0" w:rsidRDefault="00DF3BF0">
          <w:pPr>
            <w:pStyle w:val="TOC2"/>
            <w:tabs>
              <w:tab w:val="right" w:leader="dot" w:pos="8296"/>
            </w:tabs>
            <w:rPr>
              <w:rFonts w:hint="eastAsia"/>
              <w:noProof/>
              <w:sz w:val="22"/>
              <w:szCs w:val="24"/>
              <w:lang w:val="en-US"/>
              <w14:ligatures w14:val="standardContextual"/>
            </w:rPr>
          </w:pPr>
          <w:hyperlink w:anchor="_Toc229600231" w:history="1">
            <w:r w:rsidRPr="00486853">
              <w:rPr>
                <w:rStyle w:val="af5"/>
                <w:rFonts w:ascii="Times New Roman" w:hAnsi="Times New Roman" w:cs="Times New Roman" w:hint="eastAsia"/>
                <w:b/>
                <w:bCs/>
                <w:noProof/>
              </w:rPr>
              <w:t xml:space="preserve">Figure S15: </w:t>
            </w:r>
            <w:r w:rsidRPr="00486853">
              <w:rPr>
                <w:rStyle w:val="af5"/>
                <w:rFonts w:ascii="Times New Roman" w:hAnsi="Times New Roman" w:cs="Times New Roman" w:hint="eastAsia"/>
                <w:noProof/>
              </w:rPr>
              <w:t>Genome-wide association analysis of predicted subtypes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w:t>
            </w:r>
            <w:r>
              <w:rPr>
                <w:rFonts w:hint="eastAsia"/>
                <w:noProof/>
                <w:webHidden/>
              </w:rPr>
              <w:fldChar w:fldCharType="end"/>
            </w:r>
          </w:hyperlink>
        </w:p>
        <w:p w14:paraId="71FB398F" w14:textId="4967B0A7" w:rsidR="00DF3BF0" w:rsidRDefault="00DF3BF0">
          <w:pPr>
            <w:pStyle w:val="TOC2"/>
            <w:tabs>
              <w:tab w:val="right" w:leader="dot" w:pos="8296"/>
            </w:tabs>
            <w:rPr>
              <w:rFonts w:hint="eastAsia"/>
              <w:noProof/>
              <w:sz w:val="22"/>
              <w:szCs w:val="24"/>
              <w:lang w:val="en-US"/>
              <w14:ligatures w14:val="standardContextual"/>
            </w:rPr>
          </w:pPr>
          <w:hyperlink w:anchor="_Toc229600232" w:history="1">
            <w:r w:rsidRPr="00486853">
              <w:rPr>
                <w:rStyle w:val="af5"/>
                <w:rFonts w:ascii="Times New Roman" w:hAnsi="Times New Roman" w:cs="Times New Roman" w:hint="eastAsia"/>
                <w:b/>
                <w:bCs/>
                <w:noProof/>
              </w:rPr>
              <w:t xml:space="preserve">Figure S16: </w:t>
            </w:r>
            <w:r w:rsidRPr="00486853">
              <w:rPr>
                <w:rStyle w:val="af5"/>
                <w:rFonts w:ascii="Times New Roman" w:hAnsi="Times New Roman" w:cs="Times New Roman" w:hint="eastAsia"/>
                <w:noProof/>
              </w:rPr>
              <w:t>Gene-level association analysis of predicted obesity subtypes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w:t>
            </w:r>
            <w:r>
              <w:rPr>
                <w:rFonts w:hint="eastAsia"/>
                <w:noProof/>
                <w:webHidden/>
              </w:rPr>
              <w:fldChar w:fldCharType="end"/>
            </w:r>
          </w:hyperlink>
        </w:p>
        <w:p w14:paraId="4DDC1690" w14:textId="1487B367" w:rsidR="00DF3BF0" w:rsidRDefault="00DF3BF0">
          <w:pPr>
            <w:pStyle w:val="TOC1"/>
            <w:tabs>
              <w:tab w:val="right" w:leader="dot" w:pos="8296"/>
            </w:tabs>
            <w:rPr>
              <w:rFonts w:hint="eastAsia"/>
              <w:noProof/>
              <w:sz w:val="22"/>
              <w:szCs w:val="24"/>
              <w:lang w:val="en-US"/>
              <w14:ligatures w14:val="standardContextual"/>
            </w:rPr>
          </w:pPr>
          <w:hyperlink w:anchor="_Toc229600233" w:history="1">
            <w:r w:rsidRPr="00486853">
              <w:rPr>
                <w:rStyle w:val="af5"/>
                <w:rFonts w:ascii="Times New Roman" w:hAnsi="Times New Roman" w:cs="Times New Roman" w:hint="eastAsia"/>
                <w:b/>
                <w:bCs/>
                <w:noProof/>
              </w:rPr>
              <w:t>Supplementary Data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w:t>
            </w:r>
            <w:r>
              <w:rPr>
                <w:rFonts w:hint="eastAsia"/>
                <w:noProof/>
                <w:webHidden/>
              </w:rPr>
              <w:fldChar w:fldCharType="end"/>
            </w:r>
          </w:hyperlink>
        </w:p>
        <w:p w14:paraId="0F5A76A5" w14:textId="000E5ADD" w:rsidR="00DF3BF0" w:rsidRDefault="00DF3BF0">
          <w:pPr>
            <w:pStyle w:val="TOC2"/>
            <w:tabs>
              <w:tab w:val="right" w:leader="dot" w:pos="8296"/>
            </w:tabs>
            <w:rPr>
              <w:rFonts w:hint="eastAsia"/>
              <w:noProof/>
              <w:sz w:val="22"/>
              <w:szCs w:val="24"/>
              <w:lang w:val="en-US"/>
              <w14:ligatures w14:val="standardContextual"/>
            </w:rPr>
          </w:pPr>
          <w:hyperlink w:anchor="_Toc229600234" w:history="1">
            <w:r w:rsidRPr="00486853">
              <w:rPr>
                <w:rStyle w:val="af5"/>
                <w:rFonts w:ascii="Times New Roman" w:hAnsi="Times New Roman" w:cs="Times New Roman" w:hint="eastAsia"/>
                <w:b/>
                <w:bCs/>
                <w:noProof/>
              </w:rPr>
              <w:t xml:space="preserve">Supplementary Data 1: </w:t>
            </w:r>
            <w:r w:rsidRPr="00486853">
              <w:rPr>
                <w:rStyle w:val="af5"/>
                <w:rFonts w:ascii="Times New Roman" w:hAnsi="Times New Roman" w:cs="Times New Roman" w:hint="eastAsia"/>
                <w:noProof/>
              </w:rPr>
              <w:t>Overall classification performance across models and datasets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w:t>
            </w:r>
            <w:r>
              <w:rPr>
                <w:rFonts w:hint="eastAsia"/>
                <w:noProof/>
                <w:webHidden/>
              </w:rPr>
              <w:fldChar w:fldCharType="end"/>
            </w:r>
          </w:hyperlink>
        </w:p>
        <w:p w14:paraId="1C8653BD" w14:textId="0F46FBA4" w:rsidR="00DF3BF0" w:rsidRDefault="00DF3BF0">
          <w:pPr>
            <w:pStyle w:val="TOC2"/>
            <w:tabs>
              <w:tab w:val="right" w:leader="dot" w:pos="8296"/>
            </w:tabs>
            <w:rPr>
              <w:rFonts w:hint="eastAsia"/>
              <w:noProof/>
              <w:sz w:val="22"/>
              <w:szCs w:val="24"/>
              <w:lang w:val="en-US"/>
              <w14:ligatures w14:val="standardContextual"/>
            </w:rPr>
          </w:pPr>
          <w:hyperlink w:anchor="_Toc229600235" w:history="1">
            <w:r w:rsidRPr="00486853">
              <w:rPr>
                <w:rStyle w:val="af5"/>
                <w:rFonts w:ascii="Times New Roman" w:hAnsi="Times New Roman" w:cs="Times New Roman" w:hint="eastAsia"/>
                <w:b/>
                <w:bCs/>
                <w:noProof/>
              </w:rPr>
              <w:t xml:space="preserve">Supplementary Data 2: </w:t>
            </w:r>
            <w:r w:rsidRPr="00486853">
              <w:rPr>
                <w:rStyle w:val="af5"/>
                <w:rFonts w:ascii="Times New Roman" w:hAnsi="Times New Roman" w:cs="Times New Roman" w:hint="eastAsia"/>
                <w:noProof/>
              </w:rPr>
              <w:t>Per-class classification performance across models and datasets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w:t>
            </w:r>
            <w:r>
              <w:rPr>
                <w:rFonts w:hint="eastAsia"/>
                <w:noProof/>
                <w:webHidden/>
              </w:rPr>
              <w:fldChar w:fldCharType="end"/>
            </w:r>
          </w:hyperlink>
        </w:p>
        <w:p w14:paraId="68472B30" w14:textId="2B6D05EA" w:rsidR="00DF3BF0" w:rsidRDefault="00DF3BF0">
          <w:pPr>
            <w:pStyle w:val="TOC2"/>
            <w:tabs>
              <w:tab w:val="right" w:leader="dot" w:pos="8296"/>
            </w:tabs>
            <w:rPr>
              <w:rFonts w:hint="eastAsia"/>
              <w:noProof/>
              <w:sz w:val="22"/>
              <w:szCs w:val="24"/>
              <w:lang w:val="en-US"/>
              <w14:ligatures w14:val="standardContextual"/>
            </w:rPr>
          </w:pPr>
          <w:hyperlink w:anchor="_Toc229600236" w:history="1">
            <w:r w:rsidRPr="00486853">
              <w:rPr>
                <w:rStyle w:val="af5"/>
                <w:rFonts w:ascii="Times New Roman" w:hAnsi="Times New Roman" w:cs="Times New Roman" w:hint="eastAsia"/>
                <w:b/>
                <w:bCs/>
                <w:noProof/>
              </w:rPr>
              <w:t>Supplementary Data 3:</w:t>
            </w:r>
            <w:r w:rsidRPr="00486853">
              <w:rPr>
                <w:rStyle w:val="af5"/>
                <w:rFonts w:ascii="Times New Roman" w:hAnsi="Times New Roman" w:cs="Times New Roman" w:hint="eastAsia"/>
                <w:noProof/>
              </w:rPr>
              <w:t xml:space="preserve"> Sensitivity analysis of distillation temperature and soft-label weighting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w:t>
            </w:r>
            <w:r>
              <w:rPr>
                <w:rFonts w:hint="eastAsia"/>
                <w:noProof/>
                <w:webHidden/>
              </w:rPr>
              <w:fldChar w:fldCharType="end"/>
            </w:r>
          </w:hyperlink>
        </w:p>
        <w:p w14:paraId="0D50ACC1" w14:textId="66735E55" w:rsidR="00DF3BF0" w:rsidRDefault="00DF3BF0">
          <w:pPr>
            <w:pStyle w:val="TOC2"/>
            <w:tabs>
              <w:tab w:val="right" w:leader="dot" w:pos="8296"/>
            </w:tabs>
            <w:rPr>
              <w:rFonts w:hint="eastAsia"/>
              <w:noProof/>
              <w:sz w:val="22"/>
              <w:szCs w:val="24"/>
              <w:lang w:val="en-US"/>
              <w14:ligatures w14:val="standardContextual"/>
            </w:rPr>
          </w:pPr>
          <w:hyperlink w:anchor="_Toc229600237" w:history="1">
            <w:r w:rsidRPr="00486853">
              <w:rPr>
                <w:rStyle w:val="af5"/>
                <w:rFonts w:ascii="Times New Roman" w:hAnsi="Times New Roman" w:cs="Times New Roman" w:hint="eastAsia"/>
                <w:b/>
                <w:bCs/>
                <w:noProof/>
              </w:rPr>
              <w:t xml:space="preserve">Supplementary Data 4: </w:t>
            </w:r>
            <w:r w:rsidRPr="00486853">
              <w:rPr>
                <w:rStyle w:val="af5"/>
                <w:rFonts w:ascii="Times New Roman" w:hAnsi="Times New Roman" w:cs="Times New Roman" w:hint="eastAsia"/>
                <w:noProof/>
              </w:rPr>
              <w:t>Ancestry-stratified classification performance of ROSA and comparator models in UKB-CHV</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w:t>
            </w:r>
            <w:r>
              <w:rPr>
                <w:rFonts w:hint="eastAsia"/>
                <w:noProof/>
                <w:webHidden/>
              </w:rPr>
              <w:fldChar w:fldCharType="end"/>
            </w:r>
          </w:hyperlink>
        </w:p>
        <w:p w14:paraId="6B001332" w14:textId="023947E9" w:rsidR="00DF3BF0" w:rsidRDefault="00DF3BF0">
          <w:pPr>
            <w:pStyle w:val="TOC2"/>
            <w:tabs>
              <w:tab w:val="right" w:leader="dot" w:pos="8296"/>
            </w:tabs>
            <w:rPr>
              <w:rFonts w:hint="eastAsia"/>
              <w:noProof/>
              <w:sz w:val="22"/>
              <w:szCs w:val="24"/>
              <w:lang w:val="en-US"/>
              <w14:ligatures w14:val="standardContextual"/>
            </w:rPr>
          </w:pPr>
          <w:hyperlink w:anchor="_Toc229600238" w:history="1">
            <w:r w:rsidRPr="00486853">
              <w:rPr>
                <w:rStyle w:val="af5"/>
                <w:rFonts w:ascii="Times New Roman" w:hAnsi="Times New Roman" w:cs="Times New Roman" w:hint="eastAsia"/>
                <w:b/>
                <w:bCs/>
                <w:noProof/>
              </w:rPr>
              <w:t>Supplementary Data 5:</w:t>
            </w:r>
            <w:r w:rsidRPr="00486853">
              <w:rPr>
                <w:rStyle w:val="af5"/>
                <w:rFonts w:ascii="Times New Roman" w:hAnsi="Times New Roman" w:cs="Times New Roman" w:hint="eastAsia"/>
                <w:noProof/>
              </w:rPr>
              <w:t xml:space="preserve"> Stratified performance of ROSA across demographic, BMI and assessment-centre subgroups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w:t>
            </w:r>
            <w:r>
              <w:rPr>
                <w:rFonts w:hint="eastAsia"/>
                <w:noProof/>
                <w:webHidden/>
              </w:rPr>
              <w:fldChar w:fldCharType="end"/>
            </w:r>
          </w:hyperlink>
        </w:p>
        <w:p w14:paraId="7CED5002" w14:textId="0FB10ADE" w:rsidR="00DF3BF0" w:rsidRDefault="00DF3BF0">
          <w:pPr>
            <w:pStyle w:val="TOC2"/>
            <w:tabs>
              <w:tab w:val="right" w:leader="dot" w:pos="8296"/>
            </w:tabs>
            <w:rPr>
              <w:rFonts w:hint="eastAsia"/>
              <w:noProof/>
              <w:sz w:val="22"/>
              <w:szCs w:val="24"/>
              <w:lang w:val="en-US"/>
              <w14:ligatures w14:val="standardContextual"/>
            </w:rPr>
          </w:pPr>
          <w:hyperlink w:anchor="_Toc229600239" w:history="1">
            <w:r w:rsidRPr="00486853">
              <w:rPr>
                <w:rStyle w:val="af5"/>
                <w:rFonts w:ascii="Times New Roman" w:hAnsi="Times New Roman" w:cs="Times New Roman" w:hint="eastAsia"/>
                <w:b/>
                <w:bCs/>
                <w:noProof/>
              </w:rPr>
              <w:t>Supplementary Data 6:</w:t>
            </w:r>
            <w:r w:rsidRPr="00486853">
              <w:rPr>
                <w:rStyle w:val="af5"/>
                <w:rFonts w:ascii="Times New Roman" w:hAnsi="Times New Roman" w:cs="Times New Roman" w:hint="eastAsia"/>
                <w:noProof/>
              </w:rPr>
              <w:t xml:space="preserve"> Performance of a demographics- and centre-only baseline model for LPA subtype prediction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_Toc229600239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w:t>
            </w:r>
            <w:r>
              <w:rPr>
                <w:rFonts w:hint="eastAsia"/>
                <w:noProof/>
                <w:webHidden/>
              </w:rPr>
              <w:fldChar w:fldCharType="end"/>
            </w:r>
          </w:hyperlink>
        </w:p>
        <w:p w14:paraId="37235DD4" w14:textId="4C505444" w:rsidR="00DF3BF0" w:rsidRDefault="00DF3BF0">
          <w:pPr>
            <w:pStyle w:val="TOC2"/>
            <w:tabs>
              <w:tab w:val="right" w:leader="dot" w:pos="8296"/>
            </w:tabs>
            <w:rPr>
              <w:rFonts w:hint="eastAsia"/>
              <w:noProof/>
              <w:sz w:val="22"/>
              <w:szCs w:val="24"/>
              <w:lang w:val="en-US"/>
              <w14:ligatures w14:val="standardContextual"/>
            </w:rPr>
          </w:pPr>
          <w:hyperlink w:anchor="_Toc229600240" w:history="1">
            <w:r w:rsidRPr="00486853">
              <w:rPr>
                <w:rStyle w:val="af5"/>
                <w:rFonts w:ascii="Times New Roman" w:hAnsi="Times New Roman" w:cs="Times New Roman" w:hint="eastAsia"/>
                <w:b/>
                <w:bCs/>
                <w:noProof/>
              </w:rPr>
              <w:t xml:space="preserve">Supplementary Data 7: </w:t>
            </w:r>
            <w:r w:rsidRPr="00486853">
              <w:rPr>
                <w:rStyle w:val="af5"/>
                <w:rFonts w:ascii="Times New Roman" w:hAnsi="Times New Roman" w:cs="Times New Roman" w:hint="eastAsia"/>
                <w:noProof/>
              </w:rPr>
              <w:t>Quantitative performance of direct retina-to-biomarker and retina-to-residual prediction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_Toc229600240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23</w:t>
            </w:r>
            <w:r>
              <w:rPr>
                <w:rFonts w:hint="eastAsia"/>
                <w:noProof/>
                <w:webHidden/>
              </w:rPr>
              <w:fldChar w:fldCharType="end"/>
            </w:r>
          </w:hyperlink>
        </w:p>
        <w:p w14:paraId="62D366A7" w14:textId="4628B89A" w:rsidR="00DF3BF0" w:rsidRDefault="00DF3BF0">
          <w:pPr>
            <w:pStyle w:val="TOC2"/>
            <w:tabs>
              <w:tab w:val="right" w:leader="dot" w:pos="8296"/>
            </w:tabs>
            <w:rPr>
              <w:rFonts w:hint="eastAsia"/>
              <w:noProof/>
              <w:sz w:val="22"/>
              <w:szCs w:val="24"/>
              <w:lang w:val="en-US"/>
              <w14:ligatures w14:val="standardContextual"/>
            </w:rPr>
          </w:pPr>
          <w:hyperlink w:anchor="_Toc229600241" w:history="1">
            <w:r w:rsidRPr="00486853">
              <w:rPr>
                <w:rStyle w:val="af5"/>
                <w:rFonts w:ascii="Times New Roman" w:hAnsi="Times New Roman" w:cs="Times New Roman" w:hint="eastAsia"/>
                <w:b/>
                <w:bCs/>
                <w:noProof/>
              </w:rPr>
              <w:t xml:space="preserve">Supplementary Data 8: </w:t>
            </w:r>
            <w:r w:rsidRPr="00486853">
              <w:rPr>
                <w:rStyle w:val="af5"/>
                <w:rFonts w:ascii="Times New Roman" w:hAnsi="Times New Roman" w:cs="Times New Roman" w:hint="eastAsia"/>
                <w:noProof/>
              </w:rPr>
              <w:t>Classification performance of retinal-image models for biomarker-only latent profile labels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_Toc229600241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6316104C" w14:textId="3CC8C414" w:rsidR="00DF3BF0" w:rsidRDefault="00DF3BF0">
          <w:pPr>
            <w:pStyle w:val="TOC2"/>
            <w:tabs>
              <w:tab w:val="right" w:leader="dot" w:pos="8296"/>
            </w:tabs>
            <w:rPr>
              <w:rFonts w:hint="eastAsia"/>
              <w:noProof/>
              <w:sz w:val="22"/>
              <w:szCs w:val="24"/>
              <w:lang w:val="en-US"/>
              <w14:ligatures w14:val="standardContextual"/>
            </w:rPr>
          </w:pPr>
          <w:hyperlink w:anchor="_Toc229600242" w:history="1">
            <w:r w:rsidRPr="00486853">
              <w:rPr>
                <w:rStyle w:val="af5"/>
                <w:rFonts w:ascii="Times New Roman" w:hAnsi="Times New Roman" w:cs="Times New Roman" w:hint="eastAsia"/>
                <w:b/>
                <w:bCs/>
                <w:noProof/>
              </w:rPr>
              <w:t xml:space="preserve">Supplementary Data 9: </w:t>
            </w:r>
            <w:r w:rsidRPr="00486853">
              <w:rPr>
                <w:rStyle w:val="af5"/>
                <w:rFonts w:ascii="Times New Roman" w:hAnsi="Times New Roman" w:cs="Times New Roman" w:hint="eastAsia"/>
                <w:noProof/>
              </w:rPr>
              <w:t>Clinical risk patterns of three- and six-profile latent profile solutions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_Toc229600242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607C2892" w14:textId="74DADEF5" w:rsidR="00DF3BF0" w:rsidRDefault="00DF3BF0">
          <w:pPr>
            <w:pStyle w:val="TOC2"/>
            <w:tabs>
              <w:tab w:val="right" w:leader="dot" w:pos="8296"/>
            </w:tabs>
            <w:rPr>
              <w:rFonts w:hint="eastAsia"/>
              <w:noProof/>
              <w:sz w:val="22"/>
              <w:szCs w:val="24"/>
              <w:lang w:val="en-US"/>
              <w14:ligatures w14:val="standardContextual"/>
            </w:rPr>
          </w:pPr>
          <w:hyperlink w:anchor="_Toc229600243" w:history="1">
            <w:r w:rsidRPr="00486853">
              <w:rPr>
                <w:rStyle w:val="af5"/>
                <w:rFonts w:ascii="Times New Roman" w:hAnsi="Times New Roman" w:cs="Times New Roman" w:hint="eastAsia"/>
                <w:b/>
                <w:bCs/>
                <w:noProof/>
              </w:rPr>
              <w:t xml:space="preserve">Supplementary Data 10: </w:t>
            </w:r>
            <w:r w:rsidRPr="00486853">
              <w:rPr>
                <w:rStyle w:val="af5"/>
                <w:rFonts w:ascii="Times New Roman" w:hAnsi="Times New Roman" w:cs="Times New Roman" w:hint="eastAsia"/>
                <w:noProof/>
              </w:rPr>
              <w:t>Full phenome-wide association results for predicted obesity subtypes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_Toc229600243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162D57A3" w14:textId="52D3659B" w:rsidR="00DF3BF0" w:rsidRDefault="00DF3BF0">
          <w:pPr>
            <w:pStyle w:val="TOC2"/>
            <w:tabs>
              <w:tab w:val="right" w:leader="dot" w:pos="8296"/>
            </w:tabs>
            <w:rPr>
              <w:rFonts w:hint="eastAsia"/>
              <w:noProof/>
              <w:sz w:val="22"/>
              <w:szCs w:val="24"/>
              <w:lang w:val="en-US"/>
              <w14:ligatures w14:val="standardContextual"/>
            </w:rPr>
          </w:pPr>
          <w:hyperlink w:anchor="_Toc229600244" w:history="1">
            <w:r w:rsidRPr="00486853">
              <w:rPr>
                <w:rStyle w:val="af5"/>
                <w:rFonts w:ascii="Times New Roman" w:hAnsi="Times New Roman" w:cs="Times New Roman" w:hint="eastAsia"/>
                <w:b/>
                <w:bCs/>
                <w:noProof/>
              </w:rPr>
              <w:t xml:space="preserve">Supplementary Data 11: </w:t>
            </w:r>
            <w:r w:rsidRPr="00486853">
              <w:rPr>
                <w:rStyle w:val="af5"/>
                <w:rFonts w:ascii="Times New Roman" w:hAnsi="Times New Roman" w:cs="Times New Roman" w:hint="eastAsia"/>
                <w:noProof/>
              </w:rPr>
              <w:t>Full metabolome-wide association results for predicted obesity subtypes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_Toc229600244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6487BF96" w14:textId="4937D761" w:rsidR="00DF3BF0" w:rsidRDefault="00DF3BF0">
          <w:pPr>
            <w:pStyle w:val="TOC2"/>
            <w:tabs>
              <w:tab w:val="right" w:leader="dot" w:pos="8296"/>
            </w:tabs>
            <w:rPr>
              <w:rFonts w:hint="eastAsia"/>
              <w:noProof/>
              <w:sz w:val="22"/>
              <w:szCs w:val="24"/>
              <w:lang w:val="en-US"/>
              <w14:ligatures w14:val="standardContextual"/>
            </w:rPr>
          </w:pPr>
          <w:hyperlink w:anchor="_Toc229600245" w:history="1">
            <w:r w:rsidRPr="00486853">
              <w:rPr>
                <w:rStyle w:val="af5"/>
                <w:rFonts w:ascii="Times New Roman" w:hAnsi="Times New Roman" w:cs="Times New Roman" w:hint="eastAsia"/>
                <w:b/>
                <w:bCs/>
                <w:noProof/>
              </w:rPr>
              <w:t xml:space="preserve">Supplementary Data 12: </w:t>
            </w:r>
            <w:r w:rsidRPr="00486853">
              <w:rPr>
                <w:rStyle w:val="af5"/>
                <w:rFonts w:ascii="Times New Roman" w:hAnsi="Times New Roman" w:cs="Times New Roman" w:hint="eastAsia"/>
                <w:noProof/>
              </w:rPr>
              <w:t>Full proteome-wide association results for predicted obesity subtypes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_Toc229600245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5870701E" w14:textId="46CDC03F" w:rsidR="00450581" w:rsidRPr="003D6AF6" w:rsidRDefault="00450581">
          <w:pPr>
            <w:rPr>
              <w:rFonts w:ascii="Times New Roman" w:hAnsi="Times New Roman" w:cs="Times New Roman"/>
            </w:rPr>
          </w:pPr>
          <w:r w:rsidRPr="003D6AF6">
            <w:rPr>
              <w:rFonts w:ascii="Times New Roman" w:hAnsi="Times New Roman" w:cs="Times New Roman"/>
              <w:b/>
              <w:bCs/>
            </w:rPr>
            <w:fldChar w:fldCharType="end"/>
          </w:r>
        </w:p>
      </w:sdtContent>
    </w:sdt>
    <w:p w14:paraId="73A0988A" w14:textId="77777777" w:rsidR="00450581" w:rsidRPr="003D6AF6" w:rsidRDefault="00450581" w:rsidP="00450581">
      <w:pPr>
        <w:spacing w:line="480" w:lineRule="auto"/>
        <w:outlineLvl w:val="0"/>
        <w:rPr>
          <w:rFonts w:ascii="Times New Roman" w:hAnsi="Times New Roman" w:cs="Times New Roman"/>
          <w:b/>
          <w:bCs/>
          <w:sz w:val="20"/>
          <w:szCs w:val="20"/>
        </w:rPr>
        <w:sectPr w:rsidR="00450581" w:rsidRPr="003D6AF6" w:rsidSect="00813A3C">
          <w:type w:val="continuous"/>
          <w:pgSz w:w="11906" w:h="16838"/>
          <w:pgMar w:top="1440" w:right="1800" w:bottom="1440" w:left="1800" w:header="851" w:footer="992" w:gutter="0"/>
          <w:cols w:space="425"/>
          <w:docGrid w:type="lines" w:linePitch="312"/>
        </w:sectPr>
      </w:pPr>
    </w:p>
    <w:p w14:paraId="2461F3B7" w14:textId="7DB79AA5" w:rsidR="00230EB1" w:rsidRPr="003D6AF6" w:rsidRDefault="00450581" w:rsidP="00450581">
      <w:pPr>
        <w:spacing w:line="480" w:lineRule="auto"/>
        <w:outlineLvl w:val="0"/>
        <w:rPr>
          <w:rFonts w:ascii="Times New Roman" w:hAnsi="Times New Roman" w:cs="Times New Roman"/>
          <w:b/>
          <w:bCs/>
          <w:sz w:val="20"/>
          <w:szCs w:val="20"/>
        </w:rPr>
      </w:pPr>
      <w:bookmarkStart w:id="0" w:name="_Toc229600210"/>
      <w:r w:rsidRPr="003D6AF6">
        <w:rPr>
          <w:rFonts w:ascii="Times New Roman" w:hAnsi="Times New Roman" w:cs="Times New Roman"/>
          <w:b/>
          <w:bCs/>
          <w:sz w:val="20"/>
          <w:szCs w:val="20"/>
        </w:rPr>
        <w:lastRenderedPageBreak/>
        <w:t>Supplementary Tables</w:t>
      </w:r>
      <w:bookmarkEnd w:id="0"/>
    </w:p>
    <w:p w14:paraId="5CCF720B" w14:textId="7EC1FB07" w:rsidR="001D5239" w:rsidRPr="003D6AF6" w:rsidRDefault="001D5239" w:rsidP="00450581">
      <w:pPr>
        <w:outlineLvl w:val="1"/>
        <w:rPr>
          <w:rFonts w:ascii="Times New Roman" w:hAnsi="Times New Roman" w:cs="Times New Roman"/>
          <w:sz w:val="20"/>
          <w:szCs w:val="20"/>
        </w:rPr>
      </w:pPr>
      <w:bookmarkStart w:id="1" w:name="_Toc229600211"/>
      <w:r w:rsidRPr="003D6AF6">
        <w:rPr>
          <w:rFonts w:ascii="Times New Roman" w:hAnsi="Times New Roman" w:cs="Times New Roman"/>
          <w:b/>
          <w:bCs/>
          <w:sz w:val="20"/>
          <w:szCs w:val="20"/>
        </w:rPr>
        <w:t>Table S1:</w:t>
      </w:r>
      <w:r w:rsidRPr="003D6AF6">
        <w:rPr>
          <w:rFonts w:ascii="Times New Roman" w:hAnsi="Times New Roman" w:cs="Times New Roman"/>
          <w:sz w:val="20"/>
          <w:szCs w:val="20"/>
        </w:rPr>
        <w:t xml:space="preserve"> Baseline characteristics of study cohorts by data partition</w:t>
      </w:r>
      <w:bookmarkEnd w:id="1"/>
      <w:r w:rsidRPr="003D6AF6">
        <w:rPr>
          <w:rFonts w:ascii="Times New Roman" w:hAnsi="Times New Roman" w:cs="Times New Roman"/>
          <w:sz w:val="20"/>
          <w:szCs w:val="20"/>
        </w:rPr>
        <w:t xml:space="preserve"> </w:t>
      </w:r>
    </w:p>
    <w:tbl>
      <w:tblPr>
        <w:tblStyle w:val="11"/>
        <w:tblW w:w="10490" w:type="dxa"/>
        <w:tblInd w:w="-709" w:type="dxa"/>
        <w:tblLook w:val="04A0" w:firstRow="1" w:lastRow="0" w:firstColumn="1" w:lastColumn="0" w:noHBand="0" w:noVBand="1"/>
      </w:tblPr>
      <w:tblGrid>
        <w:gridCol w:w="2383"/>
        <w:gridCol w:w="1950"/>
        <w:gridCol w:w="1950"/>
        <w:gridCol w:w="2068"/>
        <w:gridCol w:w="2139"/>
      </w:tblGrid>
      <w:tr w:rsidR="00AA5BD8" w:rsidRPr="003D6AF6" w14:paraId="02927CE3" w14:textId="77777777" w:rsidTr="00F8091F">
        <w:trPr>
          <w:cnfStyle w:val="100000000000" w:firstRow="1" w:lastRow="0" w:firstColumn="0" w:lastColumn="0" w:oddVBand="0" w:evenVBand="0" w:oddHBand="0" w:evenHBand="0" w:firstRowFirstColumn="0" w:firstRowLastColumn="0" w:lastRowFirstColumn="0" w:lastRowLastColumn="0"/>
          <w:trHeight w:val="270"/>
        </w:trPr>
        <w:tc>
          <w:tcPr>
            <w:tcW w:w="2383" w:type="dxa"/>
            <w:noWrap/>
            <w:hideMark/>
          </w:tcPr>
          <w:p w14:paraId="1D57038A" w14:textId="77777777" w:rsidR="00AA5BD8" w:rsidRPr="003D6AF6" w:rsidRDefault="00AA5BD8" w:rsidP="000675A6">
            <w:pPr>
              <w:widowControl/>
              <w:jc w:val="left"/>
              <w:rPr>
                <w:rFonts w:eastAsia="宋体"/>
                <w:kern w:val="0"/>
                <w:sz w:val="20"/>
                <w:szCs w:val="20"/>
              </w:rPr>
            </w:pPr>
          </w:p>
        </w:tc>
        <w:tc>
          <w:tcPr>
            <w:tcW w:w="0" w:type="auto"/>
            <w:noWrap/>
            <w:hideMark/>
          </w:tcPr>
          <w:p w14:paraId="6EB70464" w14:textId="7B95A404" w:rsidR="00AA5BD8" w:rsidRPr="003D6AF6" w:rsidRDefault="00F8091F" w:rsidP="000675A6">
            <w:pPr>
              <w:widowControl/>
              <w:jc w:val="left"/>
              <w:rPr>
                <w:rFonts w:eastAsia="宋体"/>
                <w:color w:val="000000"/>
                <w:kern w:val="0"/>
                <w:sz w:val="20"/>
                <w:szCs w:val="20"/>
              </w:rPr>
            </w:pPr>
            <w:r w:rsidRPr="003D6AF6">
              <w:rPr>
                <w:rFonts w:eastAsia="宋体" w:hint="eastAsia"/>
                <w:color w:val="000000"/>
                <w:kern w:val="0"/>
                <w:sz w:val="20"/>
                <w:szCs w:val="20"/>
              </w:rPr>
              <w:t>UKB-DT</w:t>
            </w:r>
            <w:r w:rsidR="00AA5BD8" w:rsidRPr="003D6AF6">
              <w:rPr>
                <w:rFonts w:eastAsia="宋体"/>
                <w:color w:val="000000"/>
                <w:kern w:val="0"/>
                <w:sz w:val="20"/>
                <w:szCs w:val="20"/>
              </w:rPr>
              <w:t xml:space="preserve"> (N=13487)</w:t>
            </w:r>
          </w:p>
        </w:tc>
        <w:tc>
          <w:tcPr>
            <w:tcW w:w="0" w:type="auto"/>
            <w:noWrap/>
            <w:hideMark/>
          </w:tcPr>
          <w:p w14:paraId="7E307253" w14:textId="0C151D58" w:rsidR="00AA5BD8" w:rsidRPr="003D6AF6" w:rsidRDefault="00F8091F" w:rsidP="000675A6">
            <w:pPr>
              <w:widowControl/>
              <w:jc w:val="left"/>
              <w:rPr>
                <w:rFonts w:eastAsia="宋体"/>
                <w:color w:val="000000"/>
                <w:kern w:val="0"/>
                <w:sz w:val="20"/>
                <w:szCs w:val="20"/>
              </w:rPr>
            </w:pPr>
            <w:r w:rsidRPr="003D6AF6">
              <w:rPr>
                <w:rFonts w:eastAsia="宋体" w:hint="eastAsia"/>
                <w:color w:val="000000"/>
                <w:kern w:val="0"/>
                <w:sz w:val="20"/>
                <w:szCs w:val="20"/>
              </w:rPr>
              <w:t>UKB-DV</w:t>
            </w:r>
            <w:r w:rsidR="00AA5BD8" w:rsidRPr="003D6AF6">
              <w:rPr>
                <w:rFonts w:eastAsia="宋体"/>
                <w:color w:val="000000"/>
                <w:kern w:val="0"/>
                <w:sz w:val="20"/>
                <w:szCs w:val="20"/>
              </w:rPr>
              <w:t xml:space="preserve"> (N=3246)</w:t>
            </w:r>
          </w:p>
        </w:tc>
        <w:tc>
          <w:tcPr>
            <w:tcW w:w="0" w:type="auto"/>
            <w:noWrap/>
            <w:hideMark/>
          </w:tcPr>
          <w:p w14:paraId="239EE00D" w14:textId="2A90B62C" w:rsidR="00AA5BD8" w:rsidRPr="003D6AF6" w:rsidRDefault="00F8091F" w:rsidP="000675A6">
            <w:pPr>
              <w:widowControl/>
              <w:jc w:val="left"/>
              <w:rPr>
                <w:rFonts w:eastAsia="宋体"/>
                <w:color w:val="000000"/>
                <w:kern w:val="0"/>
                <w:sz w:val="20"/>
                <w:szCs w:val="20"/>
              </w:rPr>
            </w:pPr>
            <w:r w:rsidRPr="003D6AF6">
              <w:rPr>
                <w:rFonts w:eastAsia="宋体" w:hint="eastAsia"/>
                <w:color w:val="000000"/>
                <w:kern w:val="0"/>
                <w:sz w:val="20"/>
                <w:szCs w:val="20"/>
              </w:rPr>
              <w:t>UKB-CHV</w:t>
            </w:r>
            <w:r w:rsidR="00AA5BD8" w:rsidRPr="003D6AF6">
              <w:rPr>
                <w:rFonts w:eastAsia="宋体"/>
                <w:color w:val="000000"/>
                <w:kern w:val="0"/>
                <w:sz w:val="20"/>
                <w:szCs w:val="20"/>
              </w:rPr>
              <w:t xml:space="preserve"> (N=20404)</w:t>
            </w:r>
          </w:p>
        </w:tc>
        <w:tc>
          <w:tcPr>
            <w:tcW w:w="2139" w:type="dxa"/>
            <w:noWrap/>
            <w:hideMark/>
          </w:tcPr>
          <w:p w14:paraId="21061CFB" w14:textId="6BE87F70"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BHMC</w:t>
            </w:r>
            <w:r w:rsidR="00F8091F" w:rsidRPr="003D6AF6">
              <w:rPr>
                <w:rFonts w:eastAsia="宋体" w:hint="eastAsia"/>
                <w:color w:val="000000"/>
                <w:kern w:val="0"/>
                <w:sz w:val="20"/>
                <w:szCs w:val="20"/>
              </w:rPr>
              <w:t>-EV</w:t>
            </w:r>
            <w:r w:rsidRPr="003D6AF6">
              <w:rPr>
                <w:rFonts w:eastAsia="宋体"/>
                <w:color w:val="000000"/>
                <w:kern w:val="0"/>
                <w:sz w:val="20"/>
                <w:szCs w:val="20"/>
              </w:rPr>
              <w:t xml:space="preserve"> (N=26556)</w:t>
            </w:r>
          </w:p>
        </w:tc>
      </w:tr>
      <w:tr w:rsidR="00AA5BD8" w:rsidRPr="003D6AF6" w14:paraId="7DFDF252" w14:textId="77777777" w:rsidTr="00F8091F">
        <w:trPr>
          <w:trHeight w:val="270"/>
        </w:trPr>
        <w:tc>
          <w:tcPr>
            <w:tcW w:w="2383" w:type="dxa"/>
            <w:noWrap/>
            <w:hideMark/>
          </w:tcPr>
          <w:p w14:paraId="48CDD0AE"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Age (mean (SD))</w:t>
            </w:r>
          </w:p>
        </w:tc>
        <w:tc>
          <w:tcPr>
            <w:tcW w:w="0" w:type="auto"/>
            <w:noWrap/>
            <w:hideMark/>
          </w:tcPr>
          <w:p w14:paraId="099DBA84"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55.09 (8.35)</w:t>
            </w:r>
          </w:p>
        </w:tc>
        <w:tc>
          <w:tcPr>
            <w:tcW w:w="0" w:type="auto"/>
            <w:noWrap/>
            <w:hideMark/>
          </w:tcPr>
          <w:p w14:paraId="03091214"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55.08 (8.23)</w:t>
            </w:r>
          </w:p>
        </w:tc>
        <w:tc>
          <w:tcPr>
            <w:tcW w:w="0" w:type="auto"/>
            <w:noWrap/>
            <w:hideMark/>
          </w:tcPr>
          <w:p w14:paraId="0E073E9E"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55.87 (8.18)</w:t>
            </w:r>
          </w:p>
        </w:tc>
        <w:tc>
          <w:tcPr>
            <w:tcW w:w="2139" w:type="dxa"/>
            <w:noWrap/>
            <w:hideMark/>
          </w:tcPr>
          <w:p w14:paraId="46F9F377"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40.84 (12.61)</w:t>
            </w:r>
          </w:p>
        </w:tc>
      </w:tr>
      <w:tr w:rsidR="00AA5BD8" w:rsidRPr="003D6AF6" w14:paraId="50A524BA" w14:textId="77777777" w:rsidTr="00F8091F">
        <w:trPr>
          <w:trHeight w:val="270"/>
        </w:trPr>
        <w:tc>
          <w:tcPr>
            <w:tcW w:w="2383" w:type="dxa"/>
            <w:noWrap/>
            <w:hideMark/>
          </w:tcPr>
          <w:p w14:paraId="124628AE"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Sex (%)</w:t>
            </w:r>
          </w:p>
        </w:tc>
        <w:tc>
          <w:tcPr>
            <w:tcW w:w="0" w:type="auto"/>
            <w:noWrap/>
            <w:hideMark/>
          </w:tcPr>
          <w:p w14:paraId="384F6FD0" w14:textId="77777777" w:rsidR="00AA5BD8" w:rsidRPr="003D6AF6" w:rsidRDefault="00AA5BD8" w:rsidP="000675A6">
            <w:pPr>
              <w:widowControl/>
              <w:jc w:val="left"/>
              <w:rPr>
                <w:kern w:val="0"/>
                <w:sz w:val="20"/>
                <w:szCs w:val="20"/>
              </w:rPr>
            </w:pPr>
          </w:p>
        </w:tc>
        <w:tc>
          <w:tcPr>
            <w:tcW w:w="0" w:type="auto"/>
            <w:noWrap/>
            <w:hideMark/>
          </w:tcPr>
          <w:p w14:paraId="5A8160F1" w14:textId="77777777" w:rsidR="00AA5BD8" w:rsidRPr="003D6AF6" w:rsidRDefault="00AA5BD8" w:rsidP="000675A6">
            <w:pPr>
              <w:widowControl/>
              <w:jc w:val="left"/>
              <w:rPr>
                <w:kern w:val="0"/>
                <w:sz w:val="20"/>
                <w:szCs w:val="20"/>
              </w:rPr>
            </w:pPr>
          </w:p>
        </w:tc>
        <w:tc>
          <w:tcPr>
            <w:tcW w:w="0" w:type="auto"/>
            <w:noWrap/>
            <w:hideMark/>
          </w:tcPr>
          <w:p w14:paraId="3070EA59" w14:textId="77777777" w:rsidR="00AA5BD8" w:rsidRPr="003D6AF6" w:rsidRDefault="00AA5BD8" w:rsidP="000675A6">
            <w:pPr>
              <w:widowControl/>
              <w:jc w:val="left"/>
              <w:rPr>
                <w:kern w:val="0"/>
                <w:sz w:val="20"/>
                <w:szCs w:val="20"/>
              </w:rPr>
            </w:pPr>
          </w:p>
        </w:tc>
        <w:tc>
          <w:tcPr>
            <w:tcW w:w="2139" w:type="dxa"/>
            <w:noWrap/>
            <w:hideMark/>
          </w:tcPr>
          <w:p w14:paraId="76DB2847" w14:textId="77777777" w:rsidR="00AA5BD8" w:rsidRPr="003D6AF6" w:rsidRDefault="00AA5BD8" w:rsidP="000675A6">
            <w:pPr>
              <w:widowControl/>
              <w:jc w:val="left"/>
              <w:rPr>
                <w:kern w:val="0"/>
                <w:sz w:val="20"/>
                <w:szCs w:val="20"/>
              </w:rPr>
            </w:pPr>
          </w:p>
        </w:tc>
      </w:tr>
      <w:tr w:rsidR="00AA5BD8" w:rsidRPr="003D6AF6" w14:paraId="4BC97517" w14:textId="77777777" w:rsidTr="00F8091F">
        <w:trPr>
          <w:trHeight w:val="270"/>
        </w:trPr>
        <w:tc>
          <w:tcPr>
            <w:tcW w:w="2383" w:type="dxa"/>
            <w:noWrap/>
            <w:hideMark/>
          </w:tcPr>
          <w:p w14:paraId="6A7ED400" w14:textId="77777777" w:rsidR="00AA5BD8" w:rsidRPr="003D6AF6" w:rsidRDefault="00AA5BD8"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Female</w:t>
            </w:r>
          </w:p>
        </w:tc>
        <w:tc>
          <w:tcPr>
            <w:tcW w:w="0" w:type="auto"/>
            <w:noWrap/>
            <w:hideMark/>
          </w:tcPr>
          <w:p w14:paraId="4795BFB2"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7544 (55.9) </w:t>
            </w:r>
          </w:p>
        </w:tc>
        <w:tc>
          <w:tcPr>
            <w:tcW w:w="0" w:type="auto"/>
            <w:noWrap/>
            <w:hideMark/>
          </w:tcPr>
          <w:p w14:paraId="56E7D87E"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1809 (55.7) </w:t>
            </w:r>
          </w:p>
        </w:tc>
        <w:tc>
          <w:tcPr>
            <w:tcW w:w="0" w:type="auto"/>
            <w:noWrap/>
            <w:hideMark/>
          </w:tcPr>
          <w:p w14:paraId="176948E5"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10879 (53.3) </w:t>
            </w:r>
          </w:p>
        </w:tc>
        <w:tc>
          <w:tcPr>
            <w:tcW w:w="2139" w:type="dxa"/>
            <w:noWrap/>
            <w:hideMark/>
          </w:tcPr>
          <w:p w14:paraId="3D1E3AF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13695 ( 51.6) </w:t>
            </w:r>
          </w:p>
        </w:tc>
      </w:tr>
      <w:tr w:rsidR="00AA5BD8" w:rsidRPr="003D6AF6" w14:paraId="3D77976E" w14:textId="77777777" w:rsidTr="00F8091F">
        <w:trPr>
          <w:trHeight w:val="270"/>
        </w:trPr>
        <w:tc>
          <w:tcPr>
            <w:tcW w:w="2383" w:type="dxa"/>
            <w:noWrap/>
            <w:hideMark/>
          </w:tcPr>
          <w:p w14:paraId="0A9DDF41" w14:textId="77777777" w:rsidR="00AA5BD8" w:rsidRPr="003D6AF6" w:rsidRDefault="00AA5BD8"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Male</w:t>
            </w:r>
          </w:p>
        </w:tc>
        <w:tc>
          <w:tcPr>
            <w:tcW w:w="0" w:type="auto"/>
            <w:noWrap/>
            <w:hideMark/>
          </w:tcPr>
          <w:p w14:paraId="0ED042C9"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5943 (44.1) </w:t>
            </w:r>
          </w:p>
        </w:tc>
        <w:tc>
          <w:tcPr>
            <w:tcW w:w="0" w:type="auto"/>
            <w:noWrap/>
            <w:hideMark/>
          </w:tcPr>
          <w:p w14:paraId="669ECE71"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1437 (44.3) </w:t>
            </w:r>
          </w:p>
        </w:tc>
        <w:tc>
          <w:tcPr>
            <w:tcW w:w="0" w:type="auto"/>
            <w:noWrap/>
            <w:hideMark/>
          </w:tcPr>
          <w:p w14:paraId="7562B271"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9525 (46.7) </w:t>
            </w:r>
          </w:p>
        </w:tc>
        <w:tc>
          <w:tcPr>
            <w:tcW w:w="2139" w:type="dxa"/>
            <w:noWrap/>
            <w:hideMark/>
          </w:tcPr>
          <w:p w14:paraId="6664A0BE"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12861 ( 48.4) </w:t>
            </w:r>
          </w:p>
        </w:tc>
      </w:tr>
      <w:tr w:rsidR="00AA5BD8" w:rsidRPr="003D6AF6" w14:paraId="69018272" w14:textId="77777777" w:rsidTr="00F8091F">
        <w:trPr>
          <w:trHeight w:val="270"/>
        </w:trPr>
        <w:tc>
          <w:tcPr>
            <w:tcW w:w="2383" w:type="dxa"/>
            <w:noWrap/>
            <w:hideMark/>
          </w:tcPr>
          <w:p w14:paraId="2FF91AD9"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Ethnicity (%)</w:t>
            </w:r>
          </w:p>
        </w:tc>
        <w:tc>
          <w:tcPr>
            <w:tcW w:w="0" w:type="auto"/>
            <w:noWrap/>
            <w:hideMark/>
          </w:tcPr>
          <w:p w14:paraId="2CDF04DE" w14:textId="77777777" w:rsidR="00AA5BD8" w:rsidRPr="003D6AF6" w:rsidRDefault="00AA5BD8" w:rsidP="000675A6">
            <w:pPr>
              <w:widowControl/>
              <w:jc w:val="left"/>
              <w:rPr>
                <w:kern w:val="0"/>
                <w:sz w:val="20"/>
                <w:szCs w:val="20"/>
              </w:rPr>
            </w:pPr>
          </w:p>
        </w:tc>
        <w:tc>
          <w:tcPr>
            <w:tcW w:w="0" w:type="auto"/>
            <w:noWrap/>
            <w:hideMark/>
          </w:tcPr>
          <w:p w14:paraId="02CA8C33" w14:textId="77777777" w:rsidR="00AA5BD8" w:rsidRPr="003D6AF6" w:rsidRDefault="00AA5BD8" w:rsidP="000675A6">
            <w:pPr>
              <w:widowControl/>
              <w:jc w:val="left"/>
              <w:rPr>
                <w:kern w:val="0"/>
                <w:sz w:val="20"/>
                <w:szCs w:val="20"/>
              </w:rPr>
            </w:pPr>
          </w:p>
        </w:tc>
        <w:tc>
          <w:tcPr>
            <w:tcW w:w="0" w:type="auto"/>
            <w:noWrap/>
            <w:hideMark/>
          </w:tcPr>
          <w:p w14:paraId="2F7138F3" w14:textId="77777777" w:rsidR="00AA5BD8" w:rsidRPr="003D6AF6" w:rsidRDefault="00AA5BD8" w:rsidP="000675A6">
            <w:pPr>
              <w:widowControl/>
              <w:jc w:val="left"/>
              <w:rPr>
                <w:kern w:val="0"/>
                <w:sz w:val="20"/>
                <w:szCs w:val="20"/>
              </w:rPr>
            </w:pPr>
          </w:p>
        </w:tc>
        <w:tc>
          <w:tcPr>
            <w:tcW w:w="2139" w:type="dxa"/>
            <w:noWrap/>
            <w:hideMark/>
          </w:tcPr>
          <w:p w14:paraId="25A29381" w14:textId="77777777" w:rsidR="00AA5BD8" w:rsidRPr="003D6AF6" w:rsidRDefault="00AA5BD8" w:rsidP="000675A6">
            <w:pPr>
              <w:widowControl/>
              <w:jc w:val="left"/>
              <w:rPr>
                <w:kern w:val="0"/>
                <w:sz w:val="20"/>
                <w:szCs w:val="20"/>
              </w:rPr>
            </w:pPr>
          </w:p>
        </w:tc>
      </w:tr>
      <w:tr w:rsidR="00AA5BD8" w:rsidRPr="003D6AF6" w14:paraId="4AD3B823" w14:textId="77777777" w:rsidTr="00F8091F">
        <w:trPr>
          <w:trHeight w:val="270"/>
        </w:trPr>
        <w:tc>
          <w:tcPr>
            <w:tcW w:w="2383" w:type="dxa"/>
            <w:noWrap/>
            <w:hideMark/>
          </w:tcPr>
          <w:p w14:paraId="79F62D4C" w14:textId="77777777" w:rsidR="00AA5BD8" w:rsidRPr="003D6AF6" w:rsidRDefault="00AA5BD8"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Non-white</w:t>
            </w:r>
          </w:p>
        </w:tc>
        <w:tc>
          <w:tcPr>
            <w:tcW w:w="0" w:type="auto"/>
            <w:noWrap/>
            <w:hideMark/>
          </w:tcPr>
          <w:p w14:paraId="23E94402"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1636 (12.1) </w:t>
            </w:r>
          </w:p>
        </w:tc>
        <w:tc>
          <w:tcPr>
            <w:tcW w:w="0" w:type="auto"/>
            <w:noWrap/>
            <w:hideMark/>
          </w:tcPr>
          <w:p w14:paraId="46E2BCE5"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368 (11.3) </w:t>
            </w:r>
          </w:p>
        </w:tc>
        <w:tc>
          <w:tcPr>
            <w:tcW w:w="0" w:type="auto"/>
            <w:noWrap/>
            <w:hideMark/>
          </w:tcPr>
          <w:p w14:paraId="03757191"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767 ( 3.8) </w:t>
            </w:r>
          </w:p>
        </w:tc>
        <w:tc>
          <w:tcPr>
            <w:tcW w:w="2139" w:type="dxa"/>
            <w:noWrap/>
            <w:hideMark/>
          </w:tcPr>
          <w:p w14:paraId="4B926905"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26556 (100.0) </w:t>
            </w:r>
          </w:p>
        </w:tc>
      </w:tr>
      <w:tr w:rsidR="00AA5BD8" w:rsidRPr="003D6AF6" w14:paraId="121D3515" w14:textId="77777777" w:rsidTr="00F8091F">
        <w:trPr>
          <w:trHeight w:val="270"/>
        </w:trPr>
        <w:tc>
          <w:tcPr>
            <w:tcW w:w="2383" w:type="dxa"/>
            <w:noWrap/>
            <w:hideMark/>
          </w:tcPr>
          <w:p w14:paraId="374BEFF5" w14:textId="77777777" w:rsidR="00AA5BD8" w:rsidRPr="003D6AF6" w:rsidRDefault="00AA5BD8"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White</w:t>
            </w:r>
          </w:p>
        </w:tc>
        <w:tc>
          <w:tcPr>
            <w:tcW w:w="0" w:type="auto"/>
            <w:noWrap/>
            <w:hideMark/>
          </w:tcPr>
          <w:p w14:paraId="1ECBF33E"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11851 (87.9) </w:t>
            </w:r>
          </w:p>
        </w:tc>
        <w:tc>
          <w:tcPr>
            <w:tcW w:w="0" w:type="auto"/>
            <w:noWrap/>
            <w:hideMark/>
          </w:tcPr>
          <w:p w14:paraId="113F5CD4"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2878 (88.7) </w:t>
            </w:r>
          </w:p>
        </w:tc>
        <w:tc>
          <w:tcPr>
            <w:tcW w:w="0" w:type="auto"/>
            <w:noWrap/>
            <w:hideMark/>
          </w:tcPr>
          <w:p w14:paraId="46D8F98C"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19637 (96.2) </w:t>
            </w:r>
          </w:p>
        </w:tc>
        <w:tc>
          <w:tcPr>
            <w:tcW w:w="2139" w:type="dxa"/>
            <w:noWrap/>
            <w:hideMark/>
          </w:tcPr>
          <w:p w14:paraId="0CEA431C"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0 (  0.0) </w:t>
            </w:r>
          </w:p>
        </w:tc>
      </w:tr>
      <w:tr w:rsidR="00AA5BD8" w:rsidRPr="003D6AF6" w14:paraId="046AFB93" w14:textId="77777777" w:rsidTr="00F8091F">
        <w:trPr>
          <w:trHeight w:val="270"/>
        </w:trPr>
        <w:tc>
          <w:tcPr>
            <w:tcW w:w="2383" w:type="dxa"/>
            <w:noWrap/>
            <w:hideMark/>
          </w:tcPr>
          <w:p w14:paraId="058A2B0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BMI (median [IQR])</w:t>
            </w:r>
          </w:p>
        </w:tc>
        <w:tc>
          <w:tcPr>
            <w:tcW w:w="0" w:type="auto"/>
            <w:noWrap/>
            <w:hideMark/>
          </w:tcPr>
          <w:p w14:paraId="7FD7765C"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26.06 [23.56, 29.08]</w:t>
            </w:r>
          </w:p>
        </w:tc>
        <w:tc>
          <w:tcPr>
            <w:tcW w:w="0" w:type="auto"/>
            <w:noWrap/>
            <w:hideMark/>
          </w:tcPr>
          <w:p w14:paraId="07E4A3F5"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26.11 [23.60, 29.15]</w:t>
            </w:r>
          </w:p>
        </w:tc>
        <w:tc>
          <w:tcPr>
            <w:tcW w:w="0" w:type="auto"/>
            <w:noWrap/>
            <w:hideMark/>
          </w:tcPr>
          <w:p w14:paraId="69729D48"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26.98 [24.39, 30.01]</w:t>
            </w:r>
          </w:p>
        </w:tc>
        <w:tc>
          <w:tcPr>
            <w:tcW w:w="2139" w:type="dxa"/>
            <w:noWrap/>
            <w:hideMark/>
          </w:tcPr>
          <w:p w14:paraId="6D08C498"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23.85 [21.45, 26.45]</w:t>
            </w:r>
          </w:p>
        </w:tc>
      </w:tr>
      <w:tr w:rsidR="00AA5BD8" w:rsidRPr="003D6AF6" w14:paraId="4D813B44" w14:textId="77777777" w:rsidTr="00F8091F">
        <w:trPr>
          <w:trHeight w:val="270"/>
        </w:trPr>
        <w:tc>
          <w:tcPr>
            <w:tcW w:w="2383" w:type="dxa"/>
            <w:noWrap/>
            <w:hideMark/>
          </w:tcPr>
          <w:p w14:paraId="1741EFBA"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LDL-C (median [IQR])</w:t>
            </w:r>
          </w:p>
        </w:tc>
        <w:tc>
          <w:tcPr>
            <w:tcW w:w="0" w:type="auto"/>
            <w:noWrap/>
            <w:hideMark/>
          </w:tcPr>
          <w:p w14:paraId="3F938F02"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3.47 [2.92, 4.03]</w:t>
            </w:r>
          </w:p>
        </w:tc>
        <w:tc>
          <w:tcPr>
            <w:tcW w:w="0" w:type="auto"/>
            <w:noWrap/>
            <w:hideMark/>
          </w:tcPr>
          <w:p w14:paraId="1AE204D0"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3.46 [2.93, 4.04]</w:t>
            </w:r>
          </w:p>
        </w:tc>
        <w:tc>
          <w:tcPr>
            <w:tcW w:w="0" w:type="auto"/>
            <w:noWrap/>
            <w:hideMark/>
          </w:tcPr>
          <w:p w14:paraId="6BDF652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3.55 [2.97, 4.15]</w:t>
            </w:r>
          </w:p>
        </w:tc>
        <w:tc>
          <w:tcPr>
            <w:tcW w:w="2139" w:type="dxa"/>
            <w:noWrap/>
            <w:hideMark/>
          </w:tcPr>
          <w:p w14:paraId="74391901"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2.92 [2.48, 3.40]</w:t>
            </w:r>
          </w:p>
        </w:tc>
      </w:tr>
      <w:tr w:rsidR="00AA5BD8" w:rsidRPr="003D6AF6" w14:paraId="74838A7F" w14:textId="77777777" w:rsidTr="00F8091F">
        <w:trPr>
          <w:trHeight w:val="270"/>
        </w:trPr>
        <w:tc>
          <w:tcPr>
            <w:tcW w:w="2383" w:type="dxa"/>
            <w:noWrap/>
            <w:hideMark/>
          </w:tcPr>
          <w:p w14:paraId="71CB7BF0"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HDL-C (median [IQR])</w:t>
            </w:r>
          </w:p>
        </w:tc>
        <w:tc>
          <w:tcPr>
            <w:tcW w:w="0" w:type="auto"/>
            <w:noWrap/>
            <w:hideMark/>
          </w:tcPr>
          <w:p w14:paraId="15D4D6AA"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1.46 [1.23, 1.74]</w:t>
            </w:r>
          </w:p>
        </w:tc>
        <w:tc>
          <w:tcPr>
            <w:tcW w:w="0" w:type="auto"/>
            <w:noWrap/>
            <w:hideMark/>
          </w:tcPr>
          <w:p w14:paraId="213BF98C"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1.47 [1.23, 1.75]</w:t>
            </w:r>
          </w:p>
        </w:tc>
        <w:tc>
          <w:tcPr>
            <w:tcW w:w="0" w:type="auto"/>
            <w:noWrap/>
            <w:hideMark/>
          </w:tcPr>
          <w:p w14:paraId="14E135C5"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1.41 [1.19, 1.68]</w:t>
            </w:r>
          </w:p>
        </w:tc>
        <w:tc>
          <w:tcPr>
            <w:tcW w:w="2139" w:type="dxa"/>
            <w:noWrap/>
            <w:hideMark/>
          </w:tcPr>
          <w:p w14:paraId="1ED88C1A"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1.29 [1.12, 1.49]</w:t>
            </w:r>
          </w:p>
        </w:tc>
      </w:tr>
      <w:tr w:rsidR="00AA5BD8" w:rsidRPr="003D6AF6" w14:paraId="216A5396" w14:textId="77777777" w:rsidTr="00F8091F">
        <w:trPr>
          <w:trHeight w:val="270"/>
        </w:trPr>
        <w:tc>
          <w:tcPr>
            <w:tcW w:w="2383" w:type="dxa"/>
            <w:noWrap/>
            <w:hideMark/>
          </w:tcPr>
          <w:p w14:paraId="75652E28"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Triglycerides (median [IQR])</w:t>
            </w:r>
          </w:p>
        </w:tc>
        <w:tc>
          <w:tcPr>
            <w:tcW w:w="0" w:type="auto"/>
            <w:noWrap/>
            <w:hideMark/>
          </w:tcPr>
          <w:p w14:paraId="747ADE6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1.33 [0.96, 1.92]</w:t>
            </w:r>
          </w:p>
        </w:tc>
        <w:tc>
          <w:tcPr>
            <w:tcW w:w="0" w:type="auto"/>
            <w:noWrap/>
            <w:hideMark/>
          </w:tcPr>
          <w:p w14:paraId="28B3B54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1.34 [0.96, 1.94]</w:t>
            </w:r>
          </w:p>
        </w:tc>
        <w:tc>
          <w:tcPr>
            <w:tcW w:w="0" w:type="auto"/>
            <w:noWrap/>
            <w:hideMark/>
          </w:tcPr>
          <w:p w14:paraId="113ED2FE"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1.48 [1.05, 2.11]</w:t>
            </w:r>
          </w:p>
        </w:tc>
        <w:tc>
          <w:tcPr>
            <w:tcW w:w="2139" w:type="dxa"/>
            <w:noWrap/>
            <w:hideMark/>
          </w:tcPr>
          <w:p w14:paraId="32311E76"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1.06 [0.78, 1.53]</w:t>
            </w:r>
          </w:p>
        </w:tc>
      </w:tr>
      <w:tr w:rsidR="00AA5BD8" w:rsidRPr="003D6AF6" w14:paraId="232A9718" w14:textId="77777777" w:rsidTr="00F8091F">
        <w:trPr>
          <w:trHeight w:val="270"/>
        </w:trPr>
        <w:tc>
          <w:tcPr>
            <w:tcW w:w="2383" w:type="dxa"/>
            <w:noWrap/>
            <w:hideMark/>
          </w:tcPr>
          <w:p w14:paraId="0715563F" w14:textId="77777777" w:rsidR="00AA5BD8" w:rsidRPr="003D6AF6" w:rsidRDefault="00AA5BD8" w:rsidP="000675A6">
            <w:pPr>
              <w:widowControl/>
              <w:jc w:val="left"/>
              <w:rPr>
                <w:rFonts w:eastAsia="宋体"/>
                <w:color w:val="000000"/>
                <w:kern w:val="0"/>
                <w:sz w:val="20"/>
                <w:szCs w:val="20"/>
              </w:rPr>
            </w:pPr>
            <w:proofErr w:type="spellStart"/>
            <w:r w:rsidRPr="003D6AF6">
              <w:rPr>
                <w:rFonts w:eastAsia="宋体"/>
                <w:color w:val="000000"/>
                <w:kern w:val="0"/>
                <w:sz w:val="20"/>
                <w:szCs w:val="20"/>
              </w:rPr>
              <w:t>ApoA</w:t>
            </w:r>
            <w:proofErr w:type="spellEnd"/>
            <w:r w:rsidRPr="003D6AF6">
              <w:rPr>
                <w:rFonts w:eastAsia="宋体"/>
                <w:color w:val="000000"/>
                <w:kern w:val="0"/>
                <w:sz w:val="20"/>
                <w:szCs w:val="20"/>
              </w:rPr>
              <w:t xml:space="preserve"> (median [IQR])</w:t>
            </w:r>
          </w:p>
        </w:tc>
        <w:tc>
          <w:tcPr>
            <w:tcW w:w="0" w:type="auto"/>
            <w:noWrap/>
            <w:hideMark/>
          </w:tcPr>
          <w:p w14:paraId="350463BC"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1.55 [1.38, 1.74]</w:t>
            </w:r>
          </w:p>
        </w:tc>
        <w:tc>
          <w:tcPr>
            <w:tcW w:w="0" w:type="auto"/>
            <w:noWrap/>
            <w:hideMark/>
          </w:tcPr>
          <w:p w14:paraId="0472F7E5"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1.55 [1.39, 1.74]</w:t>
            </w:r>
          </w:p>
        </w:tc>
        <w:tc>
          <w:tcPr>
            <w:tcW w:w="0" w:type="auto"/>
            <w:noWrap/>
            <w:hideMark/>
          </w:tcPr>
          <w:p w14:paraId="499CC270"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1.52 [1.36, 1.71]</w:t>
            </w:r>
          </w:p>
        </w:tc>
        <w:tc>
          <w:tcPr>
            <w:tcW w:w="2139" w:type="dxa"/>
            <w:noWrap/>
            <w:hideMark/>
          </w:tcPr>
          <w:p w14:paraId="1DDC3003"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1.36 [1.24, 1.51]</w:t>
            </w:r>
          </w:p>
        </w:tc>
      </w:tr>
      <w:tr w:rsidR="00AA5BD8" w:rsidRPr="003D6AF6" w14:paraId="6FD300C2" w14:textId="77777777" w:rsidTr="00F8091F">
        <w:trPr>
          <w:trHeight w:val="270"/>
        </w:trPr>
        <w:tc>
          <w:tcPr>
            <w:tcW w:w="2383" w:type="dxa"/>
            <w:noWrap/>
            <w:hideMark/>
          </w:tcPr>
          <w:p w14:paraId="33F32972"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Glucose (median [IQR])</w:t>
            </w:r>
          </w:p>
        </w:tc>
        <w:tc>
          <w:tcPr>
            <w:tcW w:w="0" w:type="auto"/>
            <w:noWrap/>
            <w:hideMark/>
          </w:tcPr>
          <w:p w14:paraId="483CA5DA"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5.00 [4.71, 5.32]</w:t>
            </w:r>
          </w:p>
        </w:tc>
        <w:tc>
          <w:tcPr>
            <w:tcW w:w="0" w:type="auto"/>
            <w:noWrap/>
            <w:hideMark/>
          </w:tcPr>
          <w:p w14:paraId="59B375A9"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5.00 [4.71, 5.35]</w:t>
            </w:r>
          </w:p>
        </w:tc>
        <w:tc>
          <w:tcPr>
            <w:tcW w:w="0" w:type="auto"/>
            <w:noWrap/>
            <w:hideMark/>
          </w:tcPr>
          <w:p w14:paraId="54B5A996"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5.00 [4.71, 5.33]</w:t>
            </w:r>
          </w:p>
        </w:tc>
        <w:tc>
          <w:tcPr>
            <w:tcW w:w="2139" w:type="dxa"/>
            <w:noWrap/>
            <w:hideMark/>
          </w:tcPr>
          <w:p w14:paraId="5837CD7C"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5.00 [4.73, 5.36]</w:t>
            </w:r>
          </w:p>
        </w:tc>
      </w:tr>
      <w:tr w:rsidR="00AA5BD8" w:rsidRPr="003D6AF6" w14:paraId="516D0862" w14:textId="77777777" w:rsidTr="00F8091F">
        <w:trPr>
          <w:trHeight w:val="270"/>
        </w:trPr>
        <w:tc>
          <w:tcPr>
            <w:tcW w:w="2383" w:type="dxa"/>
            <w:noWrap/>
            <w:hideMark/>
          </w:tcPr>
          <w:p w14:paraId="0CD11634"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CRP (median [IQR])</w:t>
            </w:r>
          </w:p>
        </w:tc>
        <w:tc>
          <w:tcPr>
            <w:tcW w:w="0" w:type="auto"/>
            <w:noWrap/>
            <w:hideMark/>
          </w:tcPr>
          <w:p w14:paraId="558BDE18"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1.11 [0.56, 2.31]</w:t>
            </w:r>
          </w:p>
        </w:tc>
        <w:tc>
          <w:tcPr>
            <w:tcW w:w="0" w:type="auto"/>
            <w:noWrap/>
            <w:hideMark/>
          </w:tcPr>
          <w:p w14:paraId="71D4164F"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1.10 [0.56, 2.33]</w:t>
            </w:r>
          </w:p>
        </w:tc>
        <w:tc>
          <w:tcPr>
            <w:tcW w:w="0" w:type="auto"/>
            <w:noWrap/>
            <w:hideMark/>
          </w:tcPr>
          <w:p w14:paraId="7068BB80"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1.32 [0.66, 2.68]</w:t>
            </w:r>
          </w:p>
        </w:tc>
        <w:tc>
          <w:tcPr>
            <w:tcW w:w="2139" w:type="dxa"/>
            <w:noWrap/>
            <w:hideMark/>
          </w:tcPr>
          <w:p w14:paraId="7CEDFF6E"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0.65 [0.33, 1.38]</w:t>
            </w:r>
          </w:p>
        </w:tc>
      </w:tr>
      <w:tr w:rsidR="00AA5BD8" w:rsidRPr="003D6AF6" w14:paraId="5F456995" w14:textId="77777777" w:rsidTr="00F8091F">
        <w:trPr>
          <w:trHeight w:val="270"/>
        </w:trPr>
        <w:tc>
          <w:tcPr>
            <w:tcW w:w="2383" w:type="dxa"/>
            <w:noWrap/>
            <w:hideMark/>
          </w:tcPr>
          <w:p w14:paraId="5EE78751"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ALT (median [IQR])</w:t>
            </w:r>
          </w:p>
        </w:tc>
        <w:tc>
          <w:tcPr>
            <w:tcW w:w="0" w:type="auto"/>
            <w:noWrap/>
            <w:hideMark/>
          </w:tcPr>
          <w:p w14:paraId="58ECD3A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19.95 [15.19, 27.11]</w:t>
            </w:r>
          </w:p>
        </w:tc>
        <w:tc>
          <w:tcPr>
            <w:tcW w:w="0" w:type="auto"/>
            <w:noWrap/>
            <w:hideMark/>
          </w:tcPr>
          <w:p w14:paraId="10813618"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20.30 [15.44, 27.87]</w:t>
            </w:r>
          </w:p>
        </w:tc>
        <w:tc>
          <w:tcPr>
            <w:tcW w:w="0" w:type="auto"/>
            <w:noWrap/>
            <w:hideMark/>
          </w:tcPr>
          <w:p w14:paraId="4804EA92"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20.69 [15.83, 27.90]</w:t>
            </w:r>
          </w:p>
        </w:tc>
        <w:tc>
          <w:tcPr>
            <w:tcW w:w="2139" w:type="dxa"/>
            <w:noWrap/>
            <w:hideMark/>
          </w:tcPr>
          <w:p w14:paraId="7FA7B130"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17.00 [12.00, 26.00]</w:t>
            </w:r>
          </w:p>
        </w:tc>
      </w:tr>
      <w:tr w:rsidR="00AA5BD8" w:rsidRPr="003D6AF6" w14:paraId="44ACDDC7" w14:textId="77777777" w:rsidTr="00F8091F">
        <w:trPr>
          <w:trHeight w:val="270"/>
        </w:trPr>
        <w:tc>
          <w:tcPr>
            <w:tcW w:w="2383" w:type="dxa"/>
            <w:noWrap/>
            <w:hideMark/>
          </w:tcPr>
          <w:p w14:paraId="04F06FBF"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GGT (median [IQR])</w:t>
            </w:r>
          </w:p>
        </w:tc>
        <w:tc>
          <w:tcPr>
            <w:tcW w:w="0" w:type="auto"/>
            <w:noWrap/>
            <w:hideMark/>
          </w:tcPr>
          <w:p w14:paraId="4C6D9F9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24.50 [17.50, 37.75]</w:t>
            </w:r>
          </w:p>
        </w:tc>
        <w:tc>
          <w:tcPr>
            <w:tcW w:w="0" w:type="auto"/>
            <w:noWrap/>
            <w:hideMark/>
          </w:tcPr>
          <w:p w14:paraId="2490E84F"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24.10 [17.20, 37.68]</w:t>
            </w:r>
          </w:p>
        </w:tc>
        <w:tc>
          <w:tcPr>
            <w:tcW w:w="0" w:type="auto"/>
            <w:noWrap/>
            <w:hideMark/>
          </w:tcPr>
          <w:p w14:paraId="662CE0DC"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26.10 [18.50, 40.00]</w:t>
            </w:r>
          </w:p>
        </w:tc>
        <w:tc>
          <w:tcPr>
            <w:tcW w:w="2139" w:type="dxa"/>
            <w:noWrap/>
            <w:hideMark/>
          </w:tcPr>
          <w:p w14:paraId="62BB40A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19.00 [15.00, 28.00]</w:t>
            </w:r>
          </w:p>
        </w:tc>
      </w:tr>
      <w:tr w:rsidR="00AA5BD8" w:rsidRPr="003D6AF6" w14:paraId="51C339D4" w14:textId="77777777" w:rsidTr="00F8091F">
        <w:trPr>
          <w:trHeight w:val="270"/>
        </w:trPr>
        <w:tc>
          <w:tcPr>
            <w:tcW w:w="2383" w:type="dxa"/>
            <w:noWrap/>
            <w:hideMark/>
          </w:tcPr>
          <w:p w14:paraId="36C4E639"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Creatinine (median [IQR])</w:t>
            </w:r>
          </w:p>
        </w:tc>
        <w:tc>
          <w:tcPr>
            <w:tcW w:w="0" w:type="auto"/>
            <w:noWrap/>
            <w:hideMark/>
          </w:tcPr>
          <w:p w14:paraId="1514CE55"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70.30 [61.50, 80.50]</w:t>
            </w:r>
          </w:p>
        </w:tc>
        <w:tc>
          <w:tcPr>
            <w:tcW w:w="0" w:type="auto"/>
            <w:noWrap/>
            <w:hideMark/>
          </w:tcPr>
          <w:p w14:paraId="5A3C3CEA"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70.40 [61.60, 80.30]</w:t>
            </w:r>
          </w:p>
        </w:tc>
        <w:tc>
          <w:tcPr>
            <w:tcW w:w="0" w:type="auto"/>
            <w:noWrap/>
            <w:hideMark/>
          </w:tcPr>
          <w:p w14:paraId="53F9B306"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71.70 [62.50, 82.40]</w:t>
            </w:r>
          </w:p>
        </w:tc>
        <w:tc>
          <w:tcPr>
            <w:tcW w:w="2139" w:type="dxa"/>
            <w:noWrap/>
            <w:hideMark/>
          </w:tcPr>
          <w:p w14:paraId="2D55DB1A"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62.00 [53.00, 72.25]</w:t>
            </w:r>
          </w:p>
        </w:tc>
      </w:tr>
      <w:tr w:rsidR="00AA5BD8" w:rsidRPr="003D6AF6" w14:paraId="0F79727C" w14:textId="77777777" w:rsidTr="00F8091F">
        <w:trPr>
          <w:trHeight w:val="270"/>
        </w:trPr>
        <w:tc>
          <w:tcPr>
            <w:tcW w:w="2383" w:type="dxa"/>
            <w:noWrap/>
            <w:hideMark/>
          </w:tcPr>
          <w:p w14:paraId="498E5B7F"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Cystatin C (median [IQR])</w:t>
            </w:r>
          </w:p>
        </w:tc>
        <w:tc>
          <w:tcPr>
            <w:tcW w:w="0" w:type="auto"/>
            <w:noWrap/>
            <w:hideMark/>
          </w:tcPr>
          <w:p w14:paraId="71F043AB"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0.86 [0.78, 0.96]</w:t>
            </w:r>
          </w:p>
        </w:tc>
        <w:tc>
          <w:tcPr>
            <w:tcW w:w="0" w:type="auto"/>
            <w:noWrap/>
            <w:hideMark/>
          </w:tcPr>
          <w:p w14:paraId="2960EBA3"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0.86 [0.78, 0.95]</w:t>
            </w:r>
          </w:p>
        </w:tc>
        <w:tc>
          <w:tcPr>
            <w:tcW w:w="0" w:type="auto"/>
            <w:noWrap/>
            <w:hideMark/>
          </w:tcPr>
          <w:p w14:paraId="063C9114"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0.88 [0.80, 0.97]</w:t>
            </w:r>
          </w:p>
        </w:tc>
        <w:tc>
          <w:tcPr>
            <w:tcW w:w="2139" w:type="dxa"/>
            <w:noWrap/>
            <w:hideMark/>
          </w:tcPr>
          <w:p w14:paraId="5C965CF8" w14:textId="77777777" w:rsidR="00AA5BD8" w:rsidRPr="003D6AF6" w:rsidRDefault="00AA5BD8" w:rsidP="000675A6">
            <w:pPr>
              <w:widowControl/>
              <w:jc w:val="left"/>
              <w:rPr>
                <w:rFonts w:eastAsia="宋体"/>
                <w:color w:val="000000"/>
                <w:kern w:val="0"/>
                <w:sz w:val="20"/>
                <w:szCs w:val="20"/>
              </w:rPr>
            </w:pPr>
            <w:r w:rsidRPr="003D6AF6">
              <w:rPr>
                <w:rFonts w:eastAsia="宋体"/>
                <w:color w:val="000000"/>
                <w:kern w:val="0"/>
                <w:sz w:val="20"/>
                <w:szCs w:val="20"/>
              </w:rPr>
              <w:t xml:space="preserve"> 0.64 [0.55, 0.72]</w:t>
            </w:r>
          </w:p>
        </w:tc>
      </w:tr>
    </w:tbl>
    <w:p w14:paraId="4129B119" w14:textId="09304516" w:rsidR="001D5239" w:rsidRPr="003D6AF6" w:rsidRDefault="001D5239" w:rsidP="001D5239">
      <w:pPr>
        <w:rPr>
          <w:rFonts w:ascii="Times New Roman" w:hAnsi="Times New Roman" w:cs="Times New Roman"/>
          <w:sz w:val="20"/>
          <w:szCs w:val="20"/>
        </w:rPr>
        <w:sectPr w:rsidR="001D5239" w:rsidRPr="003D6AF6" w:rsidSect="00AA5BD8">
          <w:pgSz w:w="11906" w:h="16838"/>
          <w:pgMar w:top="1440" w:right="1800" w:bottom="1440" w:left="1800" w:header="851" w:footer="992" w:gutter="0"/>
          <w:pgNumType w:start="1"/>
          <w:cols w:space="425"/>
          <w:docGrid w:type="lines" w:linePitch="312"/>
        </w:sectPr>
      </w:pPr>
      <w:r w:rsidRPr="003D6AF6">
        <w:rPr>
          <w:rFonts w:ascii="Times New Roman" w:hAnsi="Times New Roman" w:cs="Times New Roman"/>
          <w:b/>
          <w:bCs/>
          <w:sz w:val="20"/>
          <w:szCs w:val="20"/>
        </w:rPr>
        <w:t xml:space="preserve">Notes: </w:t>
      </w:r>
      <w:r w:rsidRPr="003D6AF6">
        <w:rPr>
          <w:rFonts w:ascii="Times New Roman" w:hAnsi="Times New Roman" w:cs="Times New Roman"/>
          <w:sz w:val="20"/>
          <w:szCs w:val="20"/>
        </w:rPr>
        <w:t xml:space="preserve">Data are presented as mean (s.d.), median [IQR] or n (%). UK Biobank (UKB) participants are shown by data split: </w:t>
      </w:r>
      <w:r w:rsidR="00C74C4B" w:rsidRPr="003D6AF6">
        <w:rPr>
          <w:rFonts w:ascii="Times New Roman" w:hAnsi="Times New Roman" w:cs="Times New Roman" w:hint="eastAsia"/>
          <w:sz w:val="20"/>
          <w:szCs w:val="20"/>
        </w:rPr>
        <w:t>UKB-DT, UKB-DV, and UKB-CHV sets</w:t>
      </w:r>
      <w:r w:rsidRPr="003D6AF6">
        <w:rPr>
          <w:rFonts w:ascii="Times New Roman" w:hAnsi="Times New Roman" w:cs="Times New Roman"/>
          <w:sz w:val="20"/>
          <w:szCs w:val="20"/>
        </w:rPr>
        <w:t>. The BHMC</w:t>
      </w:r>
      <w:r w:rsidR="00C74C4B" w:rsidRPr="003D6AF6">
        <w:rPr>
          <w:rFonts w:ascii="Times New Roman" w:hAnsi="Times New Roman" w:cs="Times New Roman" w:hint="eastAsia"/>
          <w:sz w:val="20"/>
          <w:szCs w:val="20"/>
        </w:rPr>
        <w:t>-EV set</w:t>
      </w:r>
      <w:r w:rsidRPr="003D6AF6">
        <w:rPr>
          <w:rFonts w:ascii="Times New Roman" w:hAnsi="Times New Roman" w:cs="Times New Roman"/>
          <w:sz w:val="20"/>
          <w:szCs w:val="20"/>
        </w:rPr>
        <w:t xml:space="preserve"> served as an independent external validation. BMI, body-mass index; LDL-C, low-density lipoprotein cholesterol; HDL-C, high-density lipoprotein cholesterol; </w:t>
      </w:r>
      <w:proofErr w:type="spellStart"/>
      <w:r w:rsidRPr="003D6AF6">
        <w:rPr>
          <w:rFonts w:ascii="Times New Roman" w:hAnsi="Times New Roman" w:cs="Times New Roman"/>
          <w:sz w:val="20"/>
          <w:szCs w:val="20"/>
        </w:rPr>
        <w:t>ApoA</w:t>
      </w:r>
      <w:proofErr w:type="spellEnd"/>
      <w:r w:rsidRPr="003D6AF6">
        <w:rPr>
          <w:rFonts w:ascii="Times New Roman" w:hAnsi="Times New Roman" w:cs="Times New Roman"/>
          <w:sz w:val="20"/>
          <w:szCs w:val="20"/>
        </w:rPr>
        <w:t>, apolipoprotein A; CRP, C-reactive protein; ALT, alanine aminotransferase; GGT, gamma-glutamyl transferase</w:t>
      </w:r>
      <w:r w:rsidR="00C74C4B" w:rsidRPr="003D6AF6">
        <w:rPr>
          <w:rFonts w:ascii="Times New Roman" w:hAnsi="Times New Roman" w:cs="Times New Roman"/>
          <w:sz w:val="20"/>
          <w:szCs w:val="20"/>
        </w:rPr>
        <w:t xml:space="preserve">; </w:t>
      </w:r>
      <w:r w:rsidR="00C74C4B" w:rsidRPr="003D6AF6">
        <w:rPr>
          <w:rFonts w:ascii="Times New Roman" w:hAnsi="Times New Roman" w:cs="Times New Roman" w:hint="eastAsia"/>
          <w:sz w:val="20"/>
          <w:szCs w:val="20"/>
        </w:rPr>
        <w:t>UKB-DT, UK Biobank development train; UKB-DV, UK Biobank development validation; UKB-CHV, UK Biobank centre-held-out validation; BHMC-EV, Beijing Health Management Cohort external validation</w:t>
      </w:r>
      <w:r w:rsidRPr="003D6AF6">
        <w:rPr>
          <w:rFonts w:ascii="Times New Roman" w:hAnsi="Times New Roman" w:cs="Times New Roman"/>
          <w:sz w:val="20"/>
          <w:szCs w:val="20"/>
        </w:rPr>
        <w:t xml:space="preserve">. </w:t>
      </w:r>
    </w:p>
    <w:p w14:paraId="777BF2CE" w14:textId="72C8446F" w:rsidR="001D5239" w:rsidRPr="003D6AF6" w:rsidRDefault="001D5239" w:rsidP="00450581">
      <w:pPr>
        <w:outlineLvl w:val="1"/>
        <w:rPr>
          <w:rFonts w:ascii="Times New Roman" w:hAnsi="Times New Roman" w:cs="Times New Roman"/>
          <w:sz w:val="20"/>
          <w:szCs w:val="20"/>
        </w:rPr>
      </w:pPr>
      <w:bookmarkStart w:id="2" w:name="_Toc229600212"/>
      <w:r w:rsidRPr="003D6AF6">
        <w:rPr>
          <w:rFonts w:ascii="Times New Roman" w:hAnsi="Times New Roman" w:cs="Times New Roman"/>
          <w:b/>
          <w:bCs/>
          <w:sz w:val="20"/>
          <w:szCs w:val="20"/>
        </w:rPr>
        <w:lastRenderedPageBreak/>
        <w:t xml:space="preserve">Table S2: </w:t>
      </w:r>
      <w:r w:rsidRPr="003D6AF6">
        <w:rPr>
          <w:rFonts w:ascii="Times New Roman" w:hAnsi="Times New Roman" w:cs="Times New Roman"/>
          <w:sz w:val="20"/>
          <w:szCs w:val="20"/>
        </w:rPr>
        <w:t>Classification performance of the ROSA model</w:t>
      </w:r>
      <w:bookmarkEnd w:id="2"/>
    </w:p>
    <w:tbl>
      <w:tblPr>
        <w:tblStyle w:val="11"/>
        <w:tblW w:w="5000" w:type="pct"/>
        <w:tblLook w:val="04A0" w:firstRow="1" w:lastRow="0" w:firstColumn="1" w:lastColumn="0" w:noHBand="0" w:noVBand="1"/>
      </w:tblPr>
      <w:tblGrid>
        <w:gridCol w:w="2613"/>
        <w:gridCol w:w="2847"/>
        <w:gridCol w:w="2846"/>
      </w:tblGrid>
      <w:tr w:rsidR="00BF37DA" w:rsidRPr="003D6AF6" w14:paraId="559EB4CD" w14:textId="77777777" w:rsidTr="00D24815">
        <w:trPr>
          <w:cnfStyle w:val="100000000000" w:firstRow="1" w:lastRow="0" w:firstColumn="0" w:lastColumn="0" w:oddVBand="0" w:evenVBand="0" w:oddHBand="0" w:evenHBand="0" w:firstRowFirstColumn="0" w:firstRowLastColumn="0" w:lastRowFirstColumn="0" w:lastRowLastColumn="0"/>
          <w:trHeight w:val="270"/>
        </w:trPr>
        <w:tc>
          <w:tcPr>
            <w:tcW w:w="1573" w:type="pct"/>
            <w:noWrap/>
            <w:hideMark/>
          </w:tcPr>
          <w:p w14:paraId="691ECA29" w14:textId="33D0456D" w:rsidR="00BF37DA" w:rsidRPr="003D6AF6" w:rsidRDefault="00BF37DA" w:rsidP="000675A6">
            <w:pPr>
              <w:widowControl/>
              <w:rPr>
                <w:rFonts w:eastAsia="宋体"/>
                <w:color w:val="000000"/>
                <w:kern w:val="0"/>
                <w:sz w:val="20"/>
                <w:szCs w:val="20"/>
              </w:rPr>
            </w:pPr>
            <w:r w:rsidRPr="003D6AF6">
              <w:rPr>
                <w:rFonts w:eastAsia="宋体" w:hint="eastAsia"/>
                <w:color w:val="000000"/>
                <w:kern w:val="0"/>
                <w:sz w:val="20"/>
                <w:szCs w:val="20"/>
              </w:rPr>
              <w:t>Metrics</w:t>
            </w:r>
          </w:p>
        </w:tc>
        <w:tc>
          <w:tcPr>
            <w:tcW w:w="1714" w:type="pct"/>
            <w:noWrap/>
            <w:hideMark/>
          </w:tcPr>
          <w:p w14:paraId="4008BBD4" w14:textId="3F483C76" w:rsidR="00BF37DA" w:rsidRPr="003D6AF6" w:rsidRDefault="00C74C4B" w:rsidP="000675A6">
            <w:pPr>
              <w:widowControl/>
              <w:rPr>
                <w:rFonts w:eastAsia="宋体"/>
                <w:color w:val="000000"/>
                <w:kern w:val="0"/>
                <w:sz w:val="20"/>
                <w:szCs w:val="20"/>
              </w:rPr>
            </w:pPr>
            <w:r w:rsidRPr="003D6AF6">
              <w:rPr>
                <w:rFonts w:eastAsia="宋体" w:hint="eastAsia"/>
                <w:color w:val="000000"/>
                <w:kern w:val="0"/>
                <w:sz w:val="20"/>
                <w:szCs w:val="20"/>
              </w:rPr>
              <w:t>UKB-CHV</w:t>
            </w:r>
          </w:p>
        </w:tc>
        <w:tc>
          <w:tcPr>
            <w:tcW w:w="1713" w:type="pct"/>
            <w:noWrap/>
            <w:hideMark/>
          </w:tcPr>
          <w:p w14:paraId="2A1A7F9F" w14:textId="37D3A58F" w:rsidR="00BF37DA" w:rsidRPr="003D6AF6" w:rsidRDefault="00BF37DA" w:rsidP="000675A6">
            <w:pPr>
              <w:widowControl/>
              <w:rPr>
                <w:rFonts w:eastAsia="宋体"/>
                <w:color w:val="000000"/>
                <w:kern w:val="0"/>
                <w:sz w:val="20"/>
                <w:szCs w:val="20"/>
              </w:rPr>
            </w:pPr>
            <w:r w:rsidRPr="003D6AF6">
              <w:rPr>
                <w:rFonts w:eastAsia="宋体"/>
                <w:color w:val="000000"/>
                <w:kern w:val="0"/>
                <w:sz w:val="20"/>
                <w:szCs w:val="20"/>
              </w:rPr>
              <w:t>BHMC</w:t>
            </w:r>
            <w:r w:rsidR="00C74C4B" w:rsidRPr="003D6AF6">
              <w:rPr>
                <w:rFonts w:eastAsia="宋体" w:hint="eastAsia"/>
                <w:color w:val="000000"/>
                <w:kern w:val="0"/>
                <w:sz w:val="20"/>
                <w:szCs w:val="20"/>
              </w:rPr>
              <w:t>-EV</w:t>
            </w:r>
          </w:p>
        </w:tc>
      </w:tr>
      <w:tr w:rsidR="00BF37DA" w:rsidRPr="003D6AF6" w14:paraId="390D3549" w14:textId="77777777" w:rsidTr="00D24815">
        <w:trPr>
          <w:trHeight w:val="270"/>
        </w:trPr>
        <w:tc>
          <w:tcPr>
            <w:tcW w:w="1573" w:type="pct"/>
            <w:noWrap/>
            <w:hideMark/>
          </w:tcPr>
          <w:p w14:paraId="448B0599" w14:textId="77777777" w:rsidR="00BF37DA" w:rsidRPr="003D6AF6" w:rsidRDefault="00BF37DA" w:rsidP="001D5239">
            <w:pPr>
              <w:widowControl/>
              <w:rPr>
                <w:rFonts w:eastAsia="宋体"/>
                <w:color w:val="000000"/>
                <w:kern w:val="0"/>
                <w:sz w:val="20"/>
                <w:szCs w:val="20"/>
              </w:rPr>
            </w:pPr>
            <w:r w:rsidRPr="003D6AF6">
              <w:rPr>
                <w:rFonts w:eastAsia="宋体"/>
                <w:color w:val="000000"/>
                <w:kern w:val="0"/>
                <w:sz w:val="20"/>
                <w:szCs w:val="20"/>
              </w:rPr>
              <w:t>Macro average</w:t>
            </w:r>
          </w:p>
        </w:tc>
        <w:tc>
          <w:tcPr>
            <w:tcW w:w="1714" w:type="pct"/>
            <w:noWrap/>
            <w:vAlign w:val="bottom"/>
          </w:tcPr>
          <w:p w14:paraId="74956361" w14:textId="77777777" w:rsidR="00BF37DA" w:rsidRPr="003D6AF6" w:rsidRDefault="00BF37DA" w:rsidP="001D5239">
            <w:pPr>
              <w:widowControl/>
              <w:rPr>
                <w:rFonts w:eastAsia="宋体"/>
                <w:color w:val="000000"/>
                <w:kern w:val="0"/>
                <w:sz w:val="20"/>
                <w:szCs w:val="20"/>
              </w:rPr>
            </w:pPr>
          </w:p>
        </w:tc>
        <w:tc>
          <w:tcPr>
            <w:tcW w:w="1713" w:type="pct"/>
            <w:noWrap/>
            <w:vAlign w:val="bottom"/>
          </w:tcPr>
          <w:p w14:paraId="22127487" w14:textId="77777777" w:rsidR="00BF37DA" w:rsidRPr="003D6AF6" w:rsidRDefault="00BF37DA" w:rsidP="001D5239">
            <w:pPr>
              <w:widowControl/>
              <w:rPr>
                <w:rFonts w:eastAsia="宋体"/>
                <w:color w:val="000000"/>
                <w:kern w:val="0"/>
                <w:sz w:val="20"/>
                <w:szCs w:val="20"/>
              </w:rPr>
            </w:pPr>
          </w:p>
        </w:tc>
      </w:tr>
      <w:tr w:rsidR="00BF37DA" w:rsidRPr="003D6AF6" w14:paraId="5CCF0AB8" w14:textId="77777777" w:rsidTr="00D24815">
        <w:trPr>
          <w:trHeight w:val="270"/>
        </w:trPr>
        <w:tc>
          <w:tcPr>
            <w:tcW w:w="1573" w:type="pct"/>
            <w:noWrap/>
            <w:hideMark/>
          </w:tcPr>
          <w:p w14:paraId="4AC20DFB" w14:textId="77777777" w:rsidR="00BF37DA" w:rsidRPr="003D6AF6" w:rsidRDefault="00BF37DA" w:rsidP="001D5239">
            <w:pPr>
              <w:widowControl/>
              <w:ind w:firstLineChars="200" w:firstLine="400"/>
              <w:rPr>
                <w:rFonts w:eastAsia="宋体"/>
                <w:color w:val="000000"/>
                <w:kern w:val="0"/>
                <w:sz w:val="20"/>
                <w:szCs w:val="20"/>
              </w:rPr>
            </w:pPr>
            <w:r w:rsidRPr="003D6AF6">
              <w:rPr>
                <w:rFonts w:eastAsia="宋体"/>
                <w:color w:val="000000"/>
                <w:kern w:val="0"/>
                <w:sz w:val="20"/>
                <w:szCs w:val="20"/>
              </w:rPr>
              <w:t>AUROC</w:t>
            </w:r>
          </w:p>
        </w:tc>
        <w:tc>
          <w:tcPr>
            <w:tcW w:w="1714" w:type="pct"/>
            <w:noWrap/>
            <w:vAlign w:val="bottom"/>
            <w:hideMark/>
          </w:tcPr>
          <w:p w14:paraId="23D6DE49" w14:textId="77777777" w:rsidR="00BF37DA" w:rsidRPr="003D6AF6" w:rsidRDefault="00BF37DA" w:rsidP="001D5239">
            <w:pPr>
              <w:widowControl/>
              <w:rPr>
                <w:rFonts w:eastAsia="宋体"/>
                <w:color w:val="000000"/>
                <w:kern w:val="0"/>
                <w:sz w:val="20"/>
                <w:szCs w:val="20"/>
              </w:rPr>
            </w:pPr>
            <w:r w:rsidRPr="003D6AF6">
              <w:rPr>
                <w:color w:val="000000"/>
                <w:sz w:val="20"/>
                <w:szCs w:val="20"/>
              </w:rPr>
              <w:t>0.80 (0.79 - 0.82)</w:t>
            </w:r>
          </w:p>
        </w:tc>
        <w:tc>
          <w:tcPr>
            <w:tcW w:w="1713" w:type="pct"/>
            <w:noWrap/>
            <w:vAlign w:val="bottom"/>
            <w:hideMark/>
          </w:tcPr>
          <w:p w14:paraId="051A4B7F" w14:textId="77777777" w:rsidR="00BF37DA" w:rsidRPr="003D6AF6" w:rsidRDefault="00BF37DA" w:rsidP="001D5239">
            <w:pPr>
              <w:widowControl/>
              <w:rPr>
                <w:rFonts w:eastAsia="宋体"/>
                <w:color w:val="000000"/>
                <w:kern w:val="0"/>
                <w:sz w:val="20"/>
                <w:szCs w:val="20"/>
              </w:rPr>
            </w:pPr>
            <w:r w:rsidRPr="003D6AF6">
              <w:rPr>
                <w:color w:val="000000"/>
                <w:sz w:val="20"/>
                <w:szCs w:val="20"/>
              </w:rPr>
              <w:t>0.66 (0.64 - 0.67)</w:t>
            </w:r>
          </w:p>
        </w:tc>
      </w:tr>
      <w:tr w:rsidR="00BF37DA" w:rsidRPr="003D6AF6" w14:paraId="59C2DC8D" w14:textId="77777777" w:rsidTr="00D24815">
        <w:trPr>
          <w:trHeight w:val="270"/>
        </w:trPr>
        <w:tc>
          <w:tcPr>
            <w:tcW w:w="1573" w:type="pct"/>
            <w:noWrap/>
            <w:hideMark/>
          </w:tcPr>
          <w:p w14:paraId="15A772CA" w14:textId="77777777" w:rsidR="00BF37DA" w:rsidRPr="003D6AF6" w:rsidRDefault="00BF37DA" w:rsidP="001D5239">
            <w:pPr>
              <w:widowControl/>
              <w:ind w:firstLineChars="200" w:firstLine="400"/>
              <w:rPr>
                <w:rFonts w:eastAsia="宋体"/>
                <w:color w:val="000000"/>
                <w:kern w:val="0"/>
                <w:sz w:val="20"/>
                <w:szCs w:val="20"/>
              </w:rPr>
            </w:pPr>
            <w:r w:rsidRPr="003D6AF6">
              <w:rPr>
                <w:rFonts w:eastAsia="宋体"/>
                <w:color w:val="000000"/>
                <w:kern w:val="0"/>
                <w:sz w:val="20"/>
                <w:szCs w:val="20"/>
              </w:rPr>
              <w:t>Sensitivity</w:t>
            </w:r>
          </w:p>
        </w:tc>
        <w:tc>
          <w:tcPr>
            <w:tcW w:w="1714" w:type="pct"/>
            <w:noWrap/>
            <w:vAlign w:val="bottom"/>
            <w:hideMark/>
          </w:tcPr>
          <w:p w14:paraId="0944D7B3" w14:textId="77777777" w:rsidR="00BF37DA" w:rsidRPr="003D6AF6" w:rsidRDefault="00BF37DA" w:rsidP="001D5239">
            <w:pPr>
              <w:widowControl/>
              <w:rPr>
                <w:rFonts w:eastAsia="宋体"/>
                <w:color w:val="000000"/>
                <w:kern w:val="0"/>
                <w:sz w:val="20"/>
                <w:szCs w:val="20"/>
              </w:rPr>
            </w:pPr>
            <w:r w:rsidRPr="003D6AF6">
              <w:rPr>
                <w:color w:val="000000"/>
                <w:sz w:val="20"/>
                <w:szCs w:val="20"/>
              </w:rPr>
              <w:t>0.59 (0.57 - 0.61)</w:t>
            </w:r>
          </w:p>
        </w:tc>
        <w:tc>
          <w:tcPr>
            <w:tcW w:w="1713" w:type="pct"/>
            <w:noWrap/>
            <w:vAlign w:val="bottom"/>
            <w:hideMark/>
          </w:tcPr>
          <w:p w14:paraId="3113A58D" w14:textId="77777777" w:rsidR="00BF37DA" w:rsidRPr="003D6AF6" w:rsidRDefault="00BF37DA" w:rsidP="001D5239">
            <w:pPr>
              <w:widowControl/>
              <w:rPr>
                <w:rFonts w:eastAsia="宋体"/>
                <w:color w:val="000000"/>
                <w:kern w:val="0"/>
                <w:sz w:val="20"/>
                <w:szCs w:val="20"/>
              </w:rPr>
            </w:pPr>
            <w:r w:rsidRPr="003D6AF6">
              <w:rPr>
                <w:color w:val="000000"/>
                <w:sz w:val="20"/>
                <w:szCs w:val="20"/>
              </w:rPr>
              <w:t>0.45 (0.45 - 0.47)</w:t>
            </w:r>
          </w:p>
        </w:tc>
      </w:tr>
      <w:tr w:rsidR="00BF37DA" w:rsidRPr="003D6AF6" w14:paraId="145F060F" w14:textId="77777777" w:rsidTr="00D24815">
        <w:trPr>
          <w:trHeight w:val="270"/>
        </w:trPr>
        <w:tc>
          <w:tcPr>
            <w:tcW w:w="1573" w:type="pct"/>
            <w:noWrap/>
            <w:hideMark/>
          </w:tcPr>
          <w:p w14:paraId="2393EE42" w14:textId="77777777" w:rsidR="00BF37DA" w:rsidRPr="003D6AF6" w:rsidRDefault="00BF37DA" w:rsidP="001D5239">
            <w:pPr>
              <w:widowControl/>
              <w:ind w:firstLineChars="200" w:firstLine="400"/>
              <w:rPr>
                <w:rFonts w:eastAsia="宋体"/>
                <w:color w:val="000000"/>
                <w:kern w:val="0"/>
                <w:sz w:val="20"/>
                <w:szCs w:val="20"/>
              </w:rPr>
            </w:pPr>
            <w:r w:rsidRPr="003D6AF6">
              <w:rPr>
                <w:rFonts w:eastAsia="宋体"/>
                <w:color w:val="000000"/>
                <w:kern w:val="0"/>
                <w:sz w:val="20"/>
                <w:szCs w:val="20"/>
              </w:rPr>
              <w:t>Specificity</w:t>
            </w:r>
          </w:p>
        </w:tc>
        <w:tc>
          <w:tcPr>
            <w:tcW w:w="1714" w:type="pct"/>
            <w:noWrap/>
            <w:vAlign w:val="bottom"/>
            <w:hideMark/>
          </w:tcPr>
          <w:p w14:paraId="05E37DF2" w14:textId="77777777" w:rsidR="00BF37DA" w:rsidRPr="003D6AF6" w:rsidRDefault="00BF37DA" w:rsidP="001D5239">
            <w:pPr>
              <w:widowControl/>
              <w:rPr>
                <w:rFonts w:eastAsia="宋体"/>
                <w:color w:val="000000"/>
                <w:kern w:val="0"/>
                <w:sz w:val="20"/>
                <w:szCs w:val="20"/>
              </w:rPr>
            </w:pPr>
            <w:r w:rsidRPr="003D6AF6">
              <w:rPr>
                <w:color w:val="000000"/>
                <w:sz w:val="20"/>
                <w:szCs w:val="20"/>
              </w:rPr>
              <w:t>0.80 (0.80 - 0.81)</w:t>
            </w:r>
          </w:p>
        </w:tc>
        <w:tc>
          <w:tcPr>
            <w:tcW w:w="1713" w:type="pct"/>
            <w:noWrap/>
            <w:vAlign w:val="bottom"/>
            <w:hideMark/>
          </w:tcPr>
          <w:p w14:paraId="03635275" w14:textId="77777777" w:rsidR="00BF37DA" w:rsidRPr="003D6AF6" w:rsidRDefault="00BF37DA" w:rsidP="001D5239">
            <w:pPr>
              <w:widowControl/>
              <w:rPr>
                <w:rFonts w:eastAsia="宋体"/>
                <w:color w:val="000000"/>
                <w:kern w:val="0"/>
                <w:sz w:val="20"/>
                <w:szCs w:val="20"/>
              </w:rPr>
            </w:pPr>
            <w:r w:rsidRPr="003D6AF6">
              <w:rPr>
                <w:color w:val="000000"/>
                <w:sz w:val="20"/>
                <w:szCs w:val="20"/>
              </w:rPr>
              <w:t>0.76 (0.75 - 0.76)</w:t>
            </w:r>
          </w:p>
        </w:tc>
      </w:tr>
      <w:tr w:rsidR="00BF37DA" w:rsidRPr="003D6AF6" w14:paraId="15B91549" w14:textId="77777777" w:rsidTr="00D24815">
        <w:trPr>
          <w:trHeight w:val="270"/>
        </w:trPr>
        <w:tc>
          <w:tcPr>
            <w:tcW w:w="1573" w:type="pct"/>
            <w:noWrap/>
            <w:hideMark/>
          </w:tcPr>
          <w:p w14:paraId="1C781FBB" w14:textId="77777777" w:rsidR="00BF37DA" w:rsidRPr="003D6AF6" w:rsidRDefault="00BF37DA" w:rsidP="001D5239">
            <w:pPr>
              <w:widowControl/>
              <w:ind w:firstLineChars="200" w:firstLine="400"/>
              <w:rPr>
                <w:rFonts w:eastAsia="宋体"/>
                <w:color w:val="000000"/>
                <w:kern w:val="0"/>
                <w:sz w:val="20"/>
                <w:szCs w:val="20"/>
              </w:rPr>
            </w:pPr>
            <w:r w:rsidRPr="003D6AF6">
              <w:rPr>
                <w:rFonts w:eastAsia="宋体"/>
                <w:color w:val="000000"/>
                <w:kern w:val="0"/>
                <w:sz w:val="20"/>
                <w:szCs w:val="20"/>
              </w:rPr>
              <w:t>PPV</w:t>
            </w:r>
          </w:p>
        </w:tc>
        <w:tc>
          <w:tcPr>
            <w:tcW w:w="1714" w:type="pct"/>
            <w:noWrap/>
            <w:vAlign w:val="bottom"/>
            <w:hideMark/>
          </w:tcPr>
          <w:p w14:paraId="2DE1C1B5" w14:textId="77777777" w:rsidR="00BF37DA" w:rsidRPr="003D6AF6" w:rsidRDefault="00BF37DA" w:rsidP="001D5239">
            <w:pPr>
              <w:widowControl/>
              <w:rPr>
                <w:rFonts w:eastAsia="宋体"/>
                <w:color w:val="000000"/>
                <w:kern w:val="0"/>
                <w:sz w:val="20"/>
                <w:szCs w:val="20"/>
              </w:rPr>
            </w:pPr>
            <w:r w:rsidRPr="003D6AF6">
              <w:rPr>
                <w:color w:val="000000"/>
                <w:sz w:val="20"/>
                <w:szCs w:val="20"/>
              </w:rPr>
              <w:t>0.83 (0.81 - 0.84)</w:t>
            </w:r>
          </w:p>
        </w:tc>
        <w:tc>
          <w:tcPr>
            <w:tcW w:w="1713" w:type="pct"/>
            <w:noWrap/>
            <w:vAlign w:val="bottom"/>
            <w:hideMark/>
          </w:tcPr>
          <w:p w14:paraId="48D104FC" w14:textId="77777777" w:rsidR="00BF37DA" w:rsidRPr="003D6AF6" w:rsidRDefault="00BF37DA" w:rsidP="001D5239">
            <w:pPr>
              <w:widowControl/>
              <w:rPr>
                <w:rFonts w:eastAsia="宋体"/>
                <w:color w:val="000000"/>
                <w:kern w:val="0"/>
                <w:sz w:val="20"/>
                <w:szCs w:val="20"/>
              </w:rPr>
            </w:pPr>
            <w:r w:rsidRPr="003D6AF6">
              <w:rPr>
                <w:color w:val="000000"/>
                <w:sz w:val="20"/>
                <w:szCs w:val="20"/>
              </w:rPr>
              <w:t>0.65 (0.58 - 0.70)</w:t>
            </w:r>
          </w:p>
        </w:tc>
      </w:tr>
      <w:tr w:rsidR="00BF37DA" w:rsidRPr="003D6AF6" w14:paraId="79CBC2AE" w14:textId="77777777" w:rsidTr="00D24815">
        <w:trPr>
          <w:trHeight w:val="270"/>
        </w:trPr>
        <w:tc>
          <w:tcPr>
            <w:tcW w:w="1573" w:type="pct"/>
            <w:noWrap/>
            <w:hideMark/>
          </w:tcPr>
          <w:p w14:paraId="78724DE9" w14:textId="77777777" w:rsidR="00BF37DA" w:rsidRPr="003D6AF6" w:rsidRDefault="00BF37DA" w:rsidP="001D5239">
            <w:pPr>
              <w:widowControl/>
              <w:ind w:firstLineChars="200" w:firstLine="400"/>
              <w:rPr>
                <w:rFonts w:eastAsia="宋体"/>
                <w:color w:val="000000"/>
                <w:kern w:val="0"/>
                <w:sz w:val="20"/>
                <w:szCs w:val="20"/>
              </w:rPr>
            </w:pPr>
            <w:r w:rsidRPr="003D6AF6">
              <w:rPr>
                <w:rFonts w:eastAsia="宋体"/>
                <w:color w:val="000000"/>
                <w:kern w:val="0"/>
                <w:sz w:val="20"/>
                <w:szCs w:val="20"/>
              </w:rPr>
              <w:t>NPV</w:t>
            </w:r>
          </w:p>
        </w:tc>
        <w:tc>
          <w:tcPr>
            <w:tcW w:w="1714" w:type="pct"/>
            <w:noWrap/>
            <w:vAlign w:val="bottom"/>
            <w:hideMark/>
          </w:tcPr>
          <w:p w14:paraId="7C793526" w14:textId="77777777" w:rsidR="00BF37DA" w:rsidRPr="003D6AF6" w:rsidRDefault="00BF37DA" w:rsidP="001D5239">
            <w:pPr>
              <w:widowControl/>
              <w:rPr>
                <w:rFonts w:eastAsia="宋体"/>
                <w:color w:val="000000"/>
                <w:kern w:val="0"/>
                <w:sz w:val="20"/>
                <w:szCs w:val="20"/>
              </w:rPr>
            </w:pPr>
            <w:r w:rsidRPr="003D6AF6">
              <w:rPr>
                <w:color w:val="000000"/>
                <w:sz w:val="20"/>
                <w:szCs w:val="20"/>
              </w:rPr>
              <w:t>0.84 (0.83 - 0.85)</w:t>
            </w:r>
          </w:p>
        </w:tc>
        <w:tc>
          <w:tcPr>
            <w:tcW w:w="1713" w:type="pct"/>
            <w:noWrap/>
            <w:vAlign w:val="bottom"/>
            <w:hideMark/>
          </w:tcPr>
          <w:p w14:paraId="50F8F494" w14:textId="77777777" w:rsidR="00BF37DA" w:rsidRPr="003D6AF6" w:rsidRDefault="00BF37DA" w:rsidP="001D5239">
            <w:pPr>
              <w:widowControl/>
              <w:rPr>
                <w:rFonts w:eastAsia="宋体"/>
                <w:color w:val="000000"/>
                <w:kern w:val="0"/>
                <w:sz w:val="20"/>
                <w:szCs w:val="20"/>
              </w:rPr>
            </w:pPr>
            <w:r w:rsidRPr="003D6AF6">
              <w:rPr>
                <w:color w:val="000000"/>
                <w:sz w:val="20"/>
                <w:szCs w:val="20"/>
              </w:rPr>
              <w:t>0.75 (0.74 - 0.75)</w:t>
            </w:r>
          </w:p>
        </w:tc>
      </w:tr>
      <w:tr w:rsidR="00BF37DA" w:rsidRPr="003D6AF6" w14:paraId="50EAC717" w14:textId="77777777" w:rsidTr="00D24815">
        <w:trPr>
          <w:trHeight w:val="270"/>
        </w:trPr>
        <w:tc>
          <w:tcPr>
            <w:tcW w:w="1573" w:type="pct"/>
            <w:noWrap/>
          </w:tcPr>
          <w:p w14:paraId="18F88327" w14:textId="77777777" w:rsidR="00BF37DA" w:rsidRPr="003D6AF6" w:rsidRDefault="00BF37DA" w:rsidP="001D5239">
            <w:pPr>
              <w:widowControl/>
              <w:rPr>
                <w:rFonts w:eastAsia="宋体"/>
                <w:color w:val="000000"/>
                <w:kern w:val="0"/>
                <w:sz w:val="20"/>
                <w:szCs w:val="20"/>
              </w:rPr>
            </w:pPr>
            <w:r w:rsidRPr="003D6AF6">
              <w:rPr>
                <w:rFonts w:eastAsia="宋体"/>
                <w:color w:val="000000"/>
                <w:kern w:val="0"/>
                <w:sz w:val="20"/>
                <w:szCs w:val="20"/>
              </w:rPr>
              <w:t>Micro average</w:t>
            </w:r>
          </w:p>
        </w:tc>
        <w:tc>
          <w:tcPr>
            <w:tcW w:w="1714" w:type="pct"/>
            <w:noWrap/>
            <w:vAlign w:val="bottom"/>
          </w:tcPr>
          <w:p w14:paraId="01CFEBD3" w14:textId="77777777" w:rsidR="00BF37DA" w:rsidRPr="003D6AF6" w:rsidRDefault="00BF37DA" w:rsidP="001D5239">
            <w:pPr>
              <w:widowControl/>
              <w:rPr>
                <w:color w:val="000000"/>
                <w:sz w:val="20"/>
                <w:szCs w:val="20"/>
              </w:rPr>
            </w:pPr>
          </w:p>
        </w:tc>
        <w:tc>
          <w:tcPr>
            <w:tcW w:w="1713" w:type="pct"/>
            <w:noWrap/>
            <w:vAlign w:val="bottom"/>
          </w:tcPr>
          <w:p w14:paraId="2096B6AD" w14:textId="77777777" w:rsidR="00BF37DA" w:rsidRPr="003D6AF6" w:rsidRDefault="00BF37DA" w:rsidP="001D5239">
            <w:pPr>
              <w:widowControl/>
              <w:rPr>
                <w:color w:val="000000"/>
                <w:sz w:val="20"/>
                <w:szCs w:val="20"/>
              </w:rPr>
            </w:pPr>
          </w:p>
        </w:tc>
      </w:tr>
      <w:tr w:rsidR="00BF37DA" w:rsidRPr="003D6AF6" w14:paraId="237BF62F" w14:textId="77777777" w:rsidTr="00D24815">
        <w:trPr>
          <w:trHeight w:val="270"/>
        </w:trPr>
        <w:tc>
          <w:tcPr>
            <w:tcW w:w="1573" w:type="pct"/>
            <w:noWrap/>
          </w:tcPr>
          <w:p w14:paraId="59E4AFB2" w14:textId="77777777" w:rsidR="00BF37DA" w:rsidRPr="003D6AF6" w:rsidRDefault="00BF37DA" w:rsidP="00CD5C1F">
            <w:pPr>
              <w:widowControl/>
              <w:ind w:firstLineChars="200" w:firstLine="400"/>
              <w:rPr>
                <w:rFonts w:eastAsia="宋体"/>
                <w:color w:val="000000"/>
                <w:kern w:val="0"/>
                <w:sz w:val="20"/>
                <w:szCs w:val="20"/>
              </w:rPr>
            </w:pPr>
            <w:r w:rsidRPr="003D6AF6">
              <w:rPr>
                <w:rFonts w:eastAsia="宋体"/>
                <w:color w:val="000000"/>
                <w:kern w:val="0"/>
                <w:sz w:val="20"/>
                <w:szCs w:val="20"/>
              </w:rPr>
              <w:t>AUROC</w:t>
            </w:r>
          </w:p>
        </w:tc>
        <w:tc>
          <w:tcPr>
            <w:tcW w:w="1714" w:type="pct"/>
            <w:noWrap/>
            <w:vAlign w:val="bottom"/>
          </w:tcPr>
          <w:p w14:paraId="522E6F61" w14:textId="77777777" w:rsidR="00BF37DA" w:rsidRPr="003D6AF6" w:rsidRDefault="00BF37DA" w:rsidP="00CD5C1F">
            <w:pPr>
              <w:widowControl/>
              <w:rPr>
                <w:color w:val="000000"/>
                <w:sz w:val="20"/>
                <w:szCs w:val="20"/>
              </w:rPr>
            </w:pPr>
            <w:r w:rsidRPr="003D6AF6">
              <w:rPr>
                <w:color w:val="000000"/>
                <w:sz w:val="20"/>
                <w:szCs w:val="20"/>
              </w:rPr>
              <w:t>0.93 (0.93 - 0.94)</w:t>
            </w:r>
          </w:p>
        </w:tc>
        <w:tc>
          <w:tcPr>
            <w:tcW w:w="1713" w:type="pct"/>
            <w:noWrap/>
            <w:vAlign w:val="bottom"/>
          </w:tcPr>
          <w:p w14:paraId="5A73B1E1" w14:textId="77777777" w:rsidR="00BF37DA" w:rsidRPr="003D6AF6" w:rsidRDefault="00BF37DA" w:rsidP="00CD5C1F">
            <w:pPr>
              <w:widowControl/>
              <w:rPr>
                <w:color w:val="000000"/>
                <w:sz w:val="20"/>
                <w:szCs w:val="20"/>
              </w:rPr>
            </w:pPr>
            <w:r w:rsidRPr="003D6AF6">
              <w:rPr>
                <w:color w:val="000000"/>
                <w:sz w:val="20"/>
                <w:szCs w:val="20"/>
              </w:rPr>
              <w:t>0.89 (0.89 - 0.89)</w:t>
            </w:r>
          </w:p>
        </w:tc>
      </w:tr>
      <w:tr w:rsidR="00BF37DA" w:rsidRPr="003D6AF6" w14:paraId="2EC6967A" w14:textId="77777777" w:rsidTr="00D24815">
        <w:trPr>
          <w:trHeight w:val="270"/>
        </w:trPr>
        <w:tc>
          <w:tcPr>
            <w:tcW w:w="1573" w:type="pct"/>
            <w:noWrap/>
          </w:tcPr>
          <w:p w14:paraId="4D30755A" w14:textId="77777777" w:rsidR="00BF37DA" w:rsidRPr="003D6AF6" w:rsidRDefault="00BF37DA" w:rsidP="00CD5C1F">
            <w:pPr>
              <w:widowControl/>
              <w:ind w:firstLineChars="200" w:firstLine="400"/>
              <w:rPr>
                <w:rFonts w:eastAsia="宋体"/>
                <w:color w:val="000000"/>
                <w:kern w:val="0"/>
                <w:sz w:val="20"/>
                <w:szCs w:val="20"/>
              </w:rPr>
            </w:pPr>
            <w:r w:rsidRPr="003D6AF6">
              <w:rPr>
                <w:rFonts w:eastAsia="宋体"/>
                <w:color w:val="000000"/>
                <w:kern w:val="0"/>
                <w:sz w:val="20"/>
                <w:szCs w:val="20"/>
              </w:rPr>
              <w:t>Sensitivity</w:t>
            </w:r>
          </w:p>
        </w:tc>
        <w:tc>
          <w:tcPr>
            <w:tcW w:w="1714" w:type="pct"/>
            <w:noWrap/>
            <w:vAlign w:val="bottom"/>
          </w:tcPr>
          <w:p w14:paraId="0A8161D2" w14:textId="77777777" w:rsidR="00BF37DA" w:rsidRPr="003D6AF6" w:rsidRDefault="00BF37DA" w:rsidP="00CD5C1F">
            <w:pPr>
              <w:widowControl/>
              <w:rPr>
                <w:color w:val="000000"/>
                <w:sz w:val="20"/>
                <w:szCs w:val="20"/>
              </w:rPr>
            </w:pPr>
            <w:r w:rsidRPr="003D6AF6">
              <w:rPr>
                <w:color w:val="000000"/>
                <w:sz w:val="20"/>
                <w:szCs w:val="20"/>
              </w:rPr>
              <w:t>0.81 (0.80 - 0.81)</w:t>
            </w:r>
          </w:p>
        </w:tc>
        <w:tc>
          <w:tcPr>
            <w:tcW w:w="1713" w:type="pct"/>
            <w:noWrap/>
            <w:vAlign w:val="bottom"/>
          </w:tcPr>
          <w:p w14:paraId="20927CB3" w14:textId="77777777" w:rsidR="00BF37DA" w:rsidRPr="003D6AF6" w:rsidRDefault="00BF37DA" w:rsidP="00CD5C1F">
            <w:pPr>
              <w:widowControl/>
              <w:rPr>
                <w:color w:val="000000"/>
                <w:sz w:val="20"/>
                <w:szCs w:val="20"/>
              </w:rPr>
            </w:pPr>
            <w:r w:rsidRPr="003D6AF6">
              <w:rPr>
                <w:color w:val="000000"/>
                <w:sz w:val="20"/>
                <w:szCs w:val="20"/>
              </w:rPr>
              <w:t>0.76 (0.75 - 0.77)</w:t>
            </w:r>
          </w:p>
        </w:tc>
      </w:tr>
      <w:tr w:rsidR="00BF37DA" w:rsidRPr="003D6AF6" w14:paraId="50A22C79" w14:textId="77777777" w:rsidTr="00D24815">
        <w:trPr>
          <w:trHeight w:val="270"/>
        </w:trPr>
        <w:tc>
          <w:tcPr>
            <w:tcW w:w="1573" w:type="pct"/>
            <w:noWrap/>
          </w:tcPr>
          <w:p w14:paraId="138789AF" w14:textId="77777777" w:rsidR="00BF37DA" w:rsidRPr="003D6AF6" w:rsidRDefault="00BF37DA" w:rsidP="00CD5C1F">
            <w:pPr>
              <w:widowControl/>
              <w:ind w:firstLineChars="200" w:firstLine="400"/>
              <w:rPr>
                <w:rFonts w:eastAsia="宋体"/>
                <w:color w:val="000000"/>
                <w:kern w:val="0"/>
                <w:sz w:val="20"/>
                <w:szCs w:val="20"/>
              </w:rPr>
            </w:pPr>
            <w:r w:rsidRPr="003D6AF6">
              <w:rPr>
                <w:rFonts w:eastAsia="宋体"/>
                <w:color w:val="000000"/>
                <w:kern w:val="0"/>
                <w:sz w:val="20"/>
                <w:szCs w:val="20"/>
              </w:rPr>
              <w:t>Specificity</w:t>
            </w:r>
          </w:p>
        </w:tc>
        <w:tc>
          <w:tcPr>
            <w:tcW w:w="1714" w:type="pct"/>
            <w:noWrap/>
            <w:vAlign w:val="bottom"/>
          </w:tcPr>
          <w:p w14:paraId="5DA27ADD" w14:textId="77777777" w:rsidR="00BF37DA" w:rsidRPr="003D6AF6" w:rsidRDefault="00BF37DA" w:rsidP="00CD5C1F">
            <w:pPr>
              <w:widowControl/>
              <w:rPr>
                <w:color w:val="000000"/>
                <w:sz w:val="20"/>
                <w:szCs w:val="20"/>
              </w:rPr>
            </w:pPr>
            <w:r w:rsidRPr="003D6AF6">
              <w:rPr>
                <w:color w:val="000000"/>
                <w:sz w:val="20"/>
                <w:szCs w:val="20"/>
              </w:rPr>
              <w:t>0.90 (0.90 - 0.91)</w:t>
            </w:r>
          </w:p>
        </w:tc>
        <w:tc>
          <w:tcPr>
            <w:tcW w:w="1713" w:type="pct"/>
            <w:noWrap/>
            <w:vAlign w:val="bottom"/>
          </w:tcPr>
          <w:p w14:paraId="3D506792" w14:textId="77777777" w:rsidR="00BF37DA" w:rsidRPr="003D6AF6" w:rsidRDefault="00BF37DA" w:rsidP="00CD5C1F">
            <w:pPr>
              <w:widowControl/>
              <w:rPr>
                <w:color w:val="000000"/>
                <w:sz w:val="20"/>
                <w:szCs w:val="20"/>
              </w:rPr>
            </w:pPr>
            <w:r w:rsidRPr="003D6AF6">
              <w:rPr>
                <w:color w:val="000000"/>
                <w:sz w:val="20"/>
                <w:szCs w:val="20"/>
              </w:rPr>
              <w:t>0.88 (0.88 - 0.88)</w:t>
            </w:r>
          </w:p>
        </w:tc>
      </w:tr>
      <w:tr w:rsidR="00BF37DA" w:rsidRPr="003D6AF6" w14:paraId="48A88BE9" w14:textId="77777777" w:rsidTr="00D24815">
        <w:trPr>
          <w:trHeight w:val="270"/>
        </w:trPr>
        <w:tc>
          <w:tcPr>
            <w:tcW w:w="1573" w:type="pct"/>
            <w:noWrap/>
          </w:tcPr>
          <w:p w14:paraId="7890EF07" w14:textId="77777777" w:rsidR="00BF37DA" w:rsidRPr="003D6AF6" w:rsidRDefault="00BF37DA" w:rsidP="00CD5C1F">
            <w:pPr>
              <w:widowControl/>
              <w:ind w:firstLineChars="200" w:firstLine="400"/>
              <w:rPr>
                <w:rFonts w:eastAsia="宋体"/>
                <w:color w:val="000000"/>
                <w:kern w:val="0"/>
                <w:sz w:val="20"/>
                <w:szCs w:val="20"/>
              </w:rPr>
            </w:pPr>
            <w:r w:rsidRPr="003D6AF6">
              <w:rPr>
                <w:rFonts w:eastAsia="宋体"/>
                <w:color w:val="000000"/>
                <w:kern w:val="0"/>
                <w:sz w:val="20"/>
                <w:szCs w:val="20"/>
              </w:rPr>
              <w:t>PPV</w:t>
            </w:r>
          </w:p>
        </w:tc>
        <w:tc>
          <w:tcPr>
            <w:tcW w:w="1714" w:type="pct"/>
            <w:noWrap/>
            <w:vAlign w:val="bottom"/>
          </w:tcPr>
          <w:p w14:paraId="7D9E52E9" w14:textId="77777777" w:rsidR="00BF37DA" w:rsidRPr="003D6AF6" w:rsidRDefault="00BF37DA" w:rsidP="00CD5C1F">
            <w:pPr>
              <w:widowControl/>
              <w:rPr>
                <w:color w:val="000000"/>
                <w:sz w:val="20"/>
                <w:szCs w:val="20"/>
              </w:rPr>
            </w:pPr>
            <w:r w:rsidRPr="003D6AF6">
              <w:rPr>
                <w:color w:val="000000"/>
                <w:sz w:val="20"/>
                <w:szCs w:val="20"/>
              </w:rPr>
              <w:t>0.81 (0.80 - 0.81)</w:t>
            </w:r>
          </w:p>
        </w:tc>
        <w:tc>
          <w:tcPr>
            <w:tcW w:w="1713" w:type="pct"/>
            <w:noWrap/>
            <w:vAlign w:val="bottom"/>
          </w:tcPr>
          <w:p w14:paraId="3DDFAACF" w14:textId="77777777" w:rsidR="00BF37DA" w:rsidRPr="003D6AF6" w:rsidRDefault="00BF37DA" w:rsidP="00CD5C1F">
            <w:pPr>
              <w:widowControl/>
              <w:rPr>
                <w:color w:val="000000"/>
                <w:sz w:val="20"/>
                <w:szCs w:val="20"/>
              </w:rPr>
            </w:pPr>
            <w:r w:rsidRPr="003D6AF6">
              <w:rPr>
                <w:color w:val="000000"/>
                <w:sz w:val="20"/>
                <w:szCs w:val="20"/>
              </w:rPr>
              <w:t>0.76 (0.75 - 0.77)</w:t>
            </w:r>
          </w:p>
        </w:tc>
      </w:tr>
      <w:tr w:rsidR="00BF37DA" w:rsidRPr="003D6AF6" w14:paraId="35E2AFA6" w14:textId="77777777" w:rsidTr="00D24815">
        <w:trPr>
          <w:trHeight w:val="270"/>
        </w:trPr>
        <w:tc>
          <w:tcPr>
            <w:tcW w:w="1573" w:type="pct"/>
            <w:noWrap/>
          </w:tcPr>
          <w:p w14:paraId="050C32C7" w14:textId="77777777" w:rsidR="00BF37DA" w:rsidRPr="003D6AF6" w:rsidRDefault="00BF37DA" w:rsidP="00CD5C1F">
            <w:pPr>
              <w:widowControl/>
              <w:ind w:firstLineChars="200" w:firstLine="400"/>
              <w:rPr>
                <w:rFonts w:eastAsia="宋体"/>
                <w:color w:val="000000"/>
                <w:kern w:val="0"/>
                <w:sz w:val="20"/>
                <w:szCs w:val="20"/>
              </w:rPr>
            </w:pPr>
            <w:r w:rsidRPr="003D6AF6">
              <w:rPr>
                <w:rFonts w:eastAsia="宋体"/>
                <w:color w:val="000000"/>
                <w:kern w:val="0"/>
                <w:sz w:val="20"/>
                <w:szCs w:val="20"/>
              </w:rPr>
              <w:t>NPV</w:t>
            </w:r>
          </w:p>
        </w:tc>
        <w:tc>
          <w:tcPr>
            <w:tcW w:w="1714" w:type="pct"/>
            <w:noWrap/>
            <w:vAlign w:val="bottom"/>
          </w:tcPr>
          <w:p w14:paraId="1075D79E" w14:textId="77777777" w:rsidR="00BF37DA" w:rsidRPr="003D6AF6" w:rsidRDefault="00BF37DA" w:rsidP="00CD5C1F">
            <w:pPr>
              <w:widowControl/>
              <w:rPr>
                <w:color w:val="000000"/>
                <w:sz w:val="20"/>
                <w:szCs w:val="20"/>
              </w:rPr>
            </w:pPr>
            <w:r w:rsidRPr="003D6AF6">
              <w:rPr>
                <w:color w:val="000000"/>
                <w:sz w:val="20"/>
                <w:szCs w:val="20"/>
              </w:rPr>
              <w:t>0.90 (0.90 - 0.91)</w:t>
            </w:r>
          </w:p>
        </w:tc>
        <w:tc>
          <w:tcPr>
            <w:tcW w:w="1713" w:type="pct"/>
            <w:noWrap/>
            <w:vAlign w:val="bottom"/>
          </w:tcPr>
          <w:p w14:paraId="13DD8FCF" w14:textId="77777777" w:rsidR="00BF37DA" w:rsidRPr="003D6AF6" w:rsidRDefault="00BF37DA" w:rsidP="00CD5C1F">
            <w:pPr>
              <w:widowControl/>
              <w:rPr>
                <w:color w:val="000000"/>
                <w:sz w:val="20"/>
                <w:szCs w:val="20"/>
              </w:rPr>
            </w:pPr>
            <w:r w:rsidRPr="003D6AF6">
              <w:rPr>
                <w:color w:val="000000"/>
                <w:sz w:val="20"/>
                <w:szCs w:val="20"/>
              </w:rPr>
              <w:t>0.88 (0.88 - 0.88)</w:t>
            </w:r>
          </w:p>
        </w:tc>
      </w:tr>
    </w:tbl>
    <w:p w14:paraId="547936AA" w14:textId="64F1B739" w:rsidR="001D5239" w:rsidRPr="003D6AF6" w:rsidRDefault="001D5239" w:rsidP="001D5239">
      <w:pPr>
        <w:rPr>
          <w:rFonts w:ascii="Times New Roman" w:hAnsi="Times New Roman" w:cs="Times New Roman"/>
          <w:sz w:val="20"/>
          <w:szCs w:val="20"/>
        </w:rPr>
        <w:sectPr w:rsidR="001D5239" w:rsidRPr="003D6AF6" w:rsidSect="001D5239">
          <w:pgSz w:w="11906" w:h="16838"/>
          <w:pgMar w:top="1440" w:right="1800" w:bottom="1440" w:left="1800" w:header="851" w:footer="992" w:gutter="0"/>
          <w:cols w:space="425"/>
          <w:docGrid w:type="lines" w:linePitch="312"/>
        </w:sectPr>
      </w:pPr>
      <w:r w:rsidRPr="003D6AF6">
        <w:rPr>
          <w:rFonts w:ascii="Times New Roman" w:hAnsi="Times New Roman" w:cs="Times New Roman"/>
          <w:b/>
          <w:bCs/>
          <w:sz w:val="20"/>
          <w:szCs w:val="20"/>
        </w:rPr>
        <w:t xml:space="preserve">Notes: </w:t>
      </w:r>
      <w:r w:rsidRPr="003D6AF6">
        <w:rPr>
          <w:rFonts w:ascii="Times New Roman" w:hAnsi="Times New Roman" w:cs="Times New Roman"/>
          <w:sz w:val="20"/>
          <w:szCs w:val="20"/>
        </w:rPr>
        <w:t xml:space="preserve">Classification metrics for the ROSA model across the </w:t>
      </w:r>
      <w:r w:rsidR="00C74C4B" w:rsidRPr="003D6AF6">
        <w:rPr>
          <w:rFonts w:ascii="Times New Roman" w:hAnsi="Times New Roman" w:cs="Times New Roman" w:hint="eastAsia"/>
          <w:sz w:val="20"/>
          <w:szCs w:val="20"/>
        </w:rPr>
        <w:t xml:space="preserve">UKB-CHV </w:t>
      </w:r>
      <w:r w:rsidRPr="003D6AF6">
        <w:rPr>
          <w:rFonts w:ascii="Times New Roman" w:hAnsi="Times New Roman" w:cs="Times New Roman"/>
          <w:sz w:val="20"/>
          <w:szCs w:val="20"/>
        </w:rPr>
        <w:t>(n = 20,404) and BHMC</w:t>
      </w:r>
      <w:r w:rsidR="00C74C4B" w:rsidRPr="003D6AF6">
        <w:rPr>
          <w:rFonts w:ascii="Times New Roman" w:hAnsi="Times New Roman" w:cs="Times New Roman" w:hint="eastAsia"/>
          <w:sz w:val="20"/>
          <w:szCs w:val="20"/>
        </w:rPr>
        <w:t>-EV</w:t>
      </w:r>
      <w:r w:rsidRPr="003D6AF6">
        <w:rPr>
          <w:rFonts w:ascii="Times New Roman" w:hAnsi="Times New Roman" w:cs="Times New Roman"/>
          <w:sz w:val="20"/>
          <w:szCs w:val="20"/>
        </w:rPr>
        <w:t xml:space="preserve"> (n = 26,556) cohorts. 95% confidence intervals were obtained by 2,000 bootstrap resamples. AUROC, area under the receiver operating characteristic curve; PPV, positive predictive value; NPV, negative predictive value; </w:t>
      </w:r>
      <w:r w:rsidR="00C74C4B" w:rsidRPr="003D6AF6">
        <w:rPr>
          <w:rFonts w:ascii="Times New Roman" w:hAnsi="Times New Roman" w:cs="Times New Roman" w:hint="eastAsia"/>
          <w:sz w:val="20"/>
          <w:szCs w:val="20"/>
        </w:rPr>
        <w:t>UKB-CHV, UK Biobank centre-held-out validation; BHMC-EV, Beijing Health Management Cohort external validation</w:t>
      </w:r>
      <w:r w:rsidR="00C74C4B" w:rsidRPr="003D6AF6">
        <w:rPr>
          <w:rFonts w:ascii="Times New Roman" w:hAnsi="Times New Roman" w:cs="Times New Roman"/>
          <w:sz w:val="20"/>
          <w:szCs w:val="20"/>
        </w:rPr>
        <w:t>.</w:t>
      </w:r>
    </w:p>
    <w:p w14:paraId="4932FCE9" w14:textId="05009402" w:rsidR="009C122B" w:rsidRPr="003D6AF6" w:rsidRDefault="009C122B" w:rsidP="00450581">
      <w:pPr>
        <w:outlineLvl w:val="1"/>
        <w:rPr>
          <w:rFonts w:ascii="Times New Roman" w:hAnsi="Times New Roman" w:cs="Times New Roman"/>
          <w:sz w:val="20"/>
          <w:szCs w:val="20"/>
        </w:rPr>
      </w:pPr>
      <w:bookmarkStart w:id="3" w:name="_Toc229600213"/>
      <w:r w:rsidRPr="003D6AF6">
        <w:rPr>
          <w:rFonts w:ascii="Times New Roman" w:hAnsi="Times New Roman" w:cs="Times New Roman"/>
          <w:b/>
          <w:bCs/>
          <w:sz w:val="20"/>
          <w:szCs w:val="20"/>
        </w:rPr>
        <w:lastRenderedPageBreak/>
        <w:t>Table S3:</w:t>
      </w:r>
      <w:r w:rsidRPr="003D6AF6">
        <w:rPr>
          <w:rFonts w:ascii="Times New Roman" w:hAnsi="Times New Roman" w:cs="Times New Roman"/>
          <w:sz w:val="20"/>
          <w:szCs w:val="20"/>
        </w:rPr>
        <w:t xml:space="preserve"> Baseline characteristics of the </w:t>
      </w:r>
      <w:r w:rsidR="00C74C4B" w:rsidRPr="003D6AF6">
        <w:rPr>
          <w:rFonts w:ascii="Times New Roman" w:hAnsi="Times New Roman" w:cs="Times New Roman" w:hint="eastAsia"/>
          <w:sz w:val="20"/>
          <w:szCs w:val="20"/>
        </w:rPr>
        <w:t>UKB-CHV</w:t>
      </w:r>
      <w:r w:rsidRPr="003D6AF6">
        <w:rPr>
          <w:rFonts w:ascii="Times New Roman" w:hAnsi="Times New Roman" w:cs="Times New Roman"/>
          <w:sz w:val="20"/>
          <w:szCs w:val="20"/>
        </w:rPr>
        <w:t xml:space="preserve"> </w:t>
      </w:r>
      <w:r w:rsidR="00095DEE" w:rsidRPr="003D6AF6">
        <w:rPr>
          <w:rFonts w:ascii="Times New Roman" w:hAnsi="Times New Roman" w:cs="Times New Roman" w:hint="eastAsia"/>
          <w:sz w:val="20"/>
          <w:szCs w:val="20"/>
        </w:rPr>
        <w:t>set</w:t>
      </w:r>
      <w:r w:rsidRPr="003D6AF6">
        <w:rPr>
          <w:rFonts w:ascii="Times New Roman" w:hAnsi="Times New Roman" w:cs="Times New Roman"/>
          <w:sz w:val="20"/>
          <w:szCs w:val="20"/>
        </w:rPr>
        <w:t xml:space="preserve"> stratified by ROSA-predicted obesity subtype</w:t>
      </w:r>
      <w:bookmarkEnd w:id="3"/>
    </w:p>
    <w:tbl>
      <w:tblPr>
        <w:tblStyle w:val="11"/>
        <w:tblW w:w="5000" w:type="pct"/>
        <w:tblLook w:val="04A0" w:firstRow="1" w:lastRow="0" w:firstColumn="1" w:lastColumn="0" w:noHBand="0" w:noVBand="1"/>
      </w:tblPr>
      <w:tblGrid>
        <w:gridCol w:w="2798"/>
        <w:gridCol w:w="1836"/>
        <w:gridCol w:w="1836"/>
        <w:gridCol w:w="1836"/>
      </w:tblGrid>
      <w:tr w:rsidR="009C122B" w:rsidRPr="003D6AF6" w14:paraId="4E417285" w14:textId="77777777" w:rsidTr="000675A6">
        <w:trPr>
          <w:cnfStyle w:val="100000000000" w:firstRow="1" w:lastRow="0" w:firstColumn="0" w:lastColumn="0" w:oddVBand="0" w:evenVBand="0" w:oddHBand="0" w:evenHBand="0" w:firstRowFirstColumn="0" w:firstRowLastColumn="0" w:lastRowFirstColumn="0" w:lastRowLastColumn="0"/>
          <w:trHeight w:val="270"/>
        </w:trPr>
        <w:tc>
          <w:tcPr>
            <w:tcW w:w="1684" w:type="pct"/>
            <w:noWrap/>
            <w:hideMark/>
          </w:tcPr>
          <w:p w14:paraId="441D58BA" w14:textId="77777777" w:rsidR="009C122B" w:rsidRPr="003D6AF6" w:rsidRDefault="009C122B" w:rsidP="000675A6">
            <w:pPr>
              <w:widowControl/>
              <w:jc w:val="left"/>
              <w:rPr>
                <w:rFonts w:eastAsia="宋体"/>
                <w:kern w:val="0"/>
                <w:sz w:val="20"/>
                <w:szCs w:val="20"/>
              </w:rPr>
            </w:pPr>
          </w:p>
        </w:tc>
        <w:tc>
          <w:tcPr>
            <w:tcW w:w="1105" w:type="pct"/>
            <w:noWrap/>
            <w:hideMark/>
          </w:tcPr>
          <w:p w14:paraId="34E1A87E"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BC (N=15715)</w:t>
            </w:r>
          </w:p>
        </w:tc>
        <w:tc>
          <w:tcPr>
            <w:tcW w:w="1105" w:type="pct"/>
            <w:noWrap/>
            <w:hideMark/>
          </w:tcPr>
          <w:p w14:paraId="5009CA35"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DIS (N=3241)</w:t>
            </w:r>
          </w:p>
        </w:tc>
        <w:tc>
          <w:tcPr>
            <w:tcW w:w="1105" w:type="pct"/>
            <w:noWrap/>
            <w:hideMark/>
          </w:tcPr>
          <w:p w14:paraId="229F2454"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DHG (N=148)</w:t>
            </w:r>
          </w:p>
        </w:tc>
      </w:tr>
      <w:tr w:rsidR="009C122B" w:rsidRPr="003D6AF6" w14:paraId="2EFE1D85" w14:textId="77777777" w:rsidTr="000675A6">
        <w:trPr>
          <w:trHeight w:val="270"/>
        </w:trPr>
        <w:tc>
          <w:tcPr>
            <w:tcW w:w="1684" w:type="pct"/>
            <w:noWrap/>
            <w:hideMark/>
          </w:tcPr>
          <w:p w14:paraId="3FD34783"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Age (mean (SD))</w:t>
            </w:r>
          </w:p>
        </w:tc>
        <w:tc>
          <w:tcPr>
            <w:tcW w:w="1105" w:type="pct"/>
            <w:noWrap/>
            <w:hideMark/>
          </w:tcPr>
          <w:p w14:paraId="276B3559"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55.39 (8.20)</w:t>
            </w:r>
          </w:p>
        </w:tc>
        <w:tc>
          <w:tcPr>
            <w:tcW w:w="1105" w:type="pct"/>
            <w:noWrap/>
            <w:hideMark/>
          </w:tcPr>
          <w:p w14:paraId="56EA591E"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56.00 (8.00)</w:t>
            </w:r>
          </w:p>
        </w:tc>
        <w:tc>
          <w:tcPr>
            <w:tcW w:w="1105" w:type="pct"/>
            <w:noWrap/>
            <w:hideMark/>
          </w:tcPr>
          <w:p w14:paraId="7769C02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60.21 (7.07)</w:t>
            </w:r>
          </w:p>
        </w:tc>
      </w:tr>
      <w:tr w:rsidR="009C122B" w:rsidRPr="003D6AF6" w14:paraId="57731592" w14:textId="77777777" w:rsidTr="000675A6">
        <w:trPr>
          <w:trHeight w:val="270"/>
        </w:trPr>
        <w:tc>
          <w:tcPr>
            <w:tcW w:w="1684" w:type="pct"/>
            <w:noWrap/>
            <w:hideMark/>
          </w:tcPr>
          <w:p w14:paraId="65BF405F"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Sex (%)</w:t>
            </w:r>
          </w:p>
        </w:tc>
        <w:tc>
          <w:tcPr>
            <w:tcW w:w="1105" w:type="pct"/>
            <w:noWrap/>
            <w:hideMark/>
          </w:tcPr>
          <w:p w14:paraId="75155A2B" w14:textId="77777777" w:rsidR="009C122B" w:rsidRPr="003D6AF6" w:rsidRDefault="009C122B" w:rsidP="000675A6">
            <w:pPr>
              <w:widowControl/>
              <w:jc w:val="left"/>
              <w:rPr>
                <w:kern w:val="0"/>
                <w:sz w:val="20"/>
                <w:szCs w:val="20"/>
              </w:rPr>
            </w:pPr>
          </w:p>
        </w:tc>
        <w:tc>
          <w:tcPr>
            <w:tcW w:w="1105" w:type="pct"/>
            <w:noWrap/>
            <w:hideMark/>
          </w:tcPr>
          <w:p w14:paraId="4F3125C5" w14:textId="77777777" w:rsidR="009C122B" w:rsidRPr="003D6AF6" w:rsidRDefault="009C122B" w:rsidP="000675A6">
            <w:pPr>
              <w:widowControl/>
              <w:jc w:val="left"/>
              <w:rPr>
                <w:kern w:val="0"/>
                <w:sz w:val="20"/>
                <w:szCs w:val="20"/>
              </w:rPr>
            </w:pPr>
          </w:p>
        </w:tc>
        <w:tc>
          <w:tcPr>
            <w:tcW w:w="1105" w:type="pct"/>
            <w:noWrap/>
            <w:hideMark/>
          </w:tcPr>
          <w:p w14:paraId="2B82E40A" w14:textId="77777777" w:rsidR="009C122B" w:rsidRPr="003D6AF6" w:rsidRDefault="009C122B" w:rsidP="000675A6">
            <w:pPr>
              <w:widowControl/>
              <w:jc w:val="left"/>
              <w:rPr>
                <w:kern w:val="0"/>
                <w:sz w:val="20"/>
                <w:szCs w:val="20"/>
              </w:rPr>
            </w:pPr>
          </w:p>
        </w:tc>
      </w:tr>
      <w:tr w:rsidR="009C122B" w:rsidRPr="003D6AF6" w14:paraId="2EBF5EA7" w14:textId="77777777" w:rsidTr="000675A6">
        <w:trPr>
          <w:trHeight w:val="270"/>
        </w:trPr>
        <w:tc>
          <w:tcPr>
            <w:tcW w:w="1684" w:type="pct"/>
            <w:noWrap/>
            <w:hideMark/>
          </w:tcPr>
          <w:p w14:paraId="750F55E2"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Female</w:t>
            </w:r>
          </w:p>
        </w:tc>
        <w:tc>
          <w:tcPr>
            <w:tcW w:w="1105" w:type="pct"/>
            <w:noWrap/>
            <w:hideMark/>
          </w:tcPr>
          <w:p w14:paraId="685EA2C1"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8606 (54.8) </w:t>
            </w:r>
          </w:p>
        </w:tc>
        <w:tc>
          <w:tcPr>
            <w:tcW w:w="1105" w:type="pct"/>
            <w:noWrap/>
            <w:hideMark/>
          </w:tcPr>
          <w:p w14:paraId="1196B66F"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1787 (55.1) </w:t>
            </w:r>
          </w:p>
        </w:tc>
        <w:tc>
          <w:tcPr>
            <w:tcW w:w="1105" w:type="pct"/>
            <w:noWrap/>
            <w:hideMark/>
          </w:tcPr>
          <w:p w14:paraId="5DE17E83"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53 (35.8) </w:t>
            </w:r>
          </w:p>
        </w:tc>
      </w:tr>
      <w:tr w:rsidR="009C122B" w:rsidRPr="003D6AF6" w14:paraId="394CA73E" w14:textId="77777777" w:rsidTr="000675A6">
        <w:trPr>
          <w:trHeight w:val="270"/>
        </w:trPr>
        <w:tc>
          <w:tcPr>
            <w:tcW w:w="1684" w:type="pct"/>
            <w:noWrap/>
            <w:hideMark/>
          </w:tcPr>
          <w:p w14:paraId="7E9EF831"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Male</w:t>
            </w:r>
          </w:p>
        </w:tc>
        <w:tc>
          <w:tcPr>
            <w:tcW w:w="1105" w:type="pct"/>
            <w:noWrap/>
            <w:hideMark/>
          </w:tcPr>
          <w:p w14:paraId="33A4739A"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7109 (45.2) </w:t>
            </w:r>
          </w:p>
        </w:tc>
        <w:tc>
          <w:tcPr>
            <w:tcW w:w="1105" w:type="pct"/>
            <w:noWrap/>
            <w:hideMark/>
          </w:tcPr>
          <w:p w14:paraId="46F3A1E7"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1454 (44.9) </w:t>
            </w:r>
          </w:p>
        </w:tc>
        <w:tc>
          <w:tcPr>
            <w:tcW w:w="1105" w:type="pct"/>
            <w:noWrap/>
            <w:hideMark/>
          </w:tcPr>
          <w:p w14:paraId="0B96F549"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95 (64.2) </w:t>
            </w:r>
          </w:p>
        </w:tc>
      </w:tr>
      <w:tr w:rsidR="009C122B" w:rsidRPr="003D6AF6" w14:paraId="12C9D046" w14:textId="77777777" w:rsidTr="000675A6">
        <w:trPr>
          <w:trHeight w:val="270"/>
        </w:trPr>
        <w:tc>
          <w:tcPr>
            <w:tcW w:w="1684" w:type="pct"/>
            <w:noWrap/>
            <w:hideMark/>
          </w:tcPr>
          <w:p w14:paraId="4CB8D86E"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Ethnicity (%)</w:t>
            </w:r>
          </w:p>
        </w:tc>
        <w:tc>
          <w:tcPr>
            <w:tcW w:w="1105" w:type="pct"/>
            <w:noWrap/>
            <w:hideMark/>
          </w:tcPr>
          <w:p w14:paraId="6A53C4CE" w14:textId="77777777" w:rsidR="009C122B" w:rsidRPr="003D6AF6" w:rsidRDefault="009C122B" w:rsidP="000675A6">
            <w:pPr>
              <w:widowControl/>
              <w:jc w:val="left"/>
              <w:rPr>
                <w:kern w:val="0"/>
                <w:sz w:val="20"/>
                <w:szCs w:val="20"/>
              </w:rPr>
            </w:pPr>
          </w:p>
        </w:tc>
        <w:tc>
          <w:tcPr>
            <w:tcW w:w="1105" w:type="pct"/>
            <w:noWrap/>
            <w:hideMark/>
          </w:tcPr>
          <w:p w14:paraId="2AB212AA" w14:textId="77777777" w:rsidR="009C122B" w:rsidRPr="003D6AF6" w:rsidRDefault="009C122B" w:rsidP="000675A6">
            <w:pPr>
              <w:widowControl/>
              <w:jc w:val="left"/>
              <w:rPr>
                <w:kern w:val="0"/>
                <w:sz w:val="20"/>
                <w:szCs w:val="20"/>
              </w:rPr>
            </w:pPr>
          </w:p>
        </w:tc>
        <w:tc>
          <w:tcPr>
            <w:tcW w:w="1105" w:type="pct"/>
            <w:noWrap/>
            <w:hideMark/>
          </w:tcPr>
          <w:p w14:paraId="0C82D8F4" w14:textId="77777777" w:rsidR="009C122B" w:rsidRPr="003D6AF6" w:rsidRDefault="009C122B" w:rsidP="000675A6">
            <w:pPr>
              <w:widowControl/>
              <w:jc w:val="left"/>
              <w:rPr>
                <w:kern w:val="0"/>
                <w:sz w:val="20"/>
                <w:szCs w:val="20"/>
              </w:rPr>
            </w:pPr>
          </w:p>
        </w:tc>
      </w:tr>
      <w:tr w:rsidR="009C122B" w:rsidRPr="003D6AF6" w14:paraId="761D729C" w14:textId="77777777" w:rsidTr="000675A6">
        <w:trPr>
          <w:trHeight w:val="270"/>
        </w:trPr>
        <w:tc>
          <w:tcPr>
            <w:tcW w:w="1684" w:type="pct"/>
            <w:noWrap/>
            <w:hideMark/>
          </w:tcPr>
          <w:p w14:paraId="6347D9C8"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Non-white</w:t>
            </w:r>
          </w:p>
        </w:tc>
        <w:tc>
          <w:tcPr>
            <w:tcW w:w="1105" w:type="pct"/>
            <w:noWrap/>
            <w:hideMark/>
          </w:tcPr>
          <w:p w14:paraId="567AAB04"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657 ( 4.2) </w:t>
            </w:r>
          </w:p>
        </w:tc>
        <w:tc>
          <w:tcPr>
            <w:tcW w:w="1105" w:type="pct"/>
            <w:noWrap/>
            <w:hideMark/>
          </w:tcPr>
          <w:p w14:paraId="3AFF9EB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56 ( 1.7) </w:t>
            </w:r>
          </w:p>
        </w:tc>
        <w:tc>
          <w:tcPr>
            <w:tcW w:w="1105" w:type="pct"/>
            <w:noWrap/>
            <w:hideMark/>
          </w:tcPr>
          <w:p w14:paraId="7B794372"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10 ( 6.8) </w:t>
            </w:r>
          </w:p>
        </w:tc>
      </w:tr>
      <w:tr w:rsidR="009C122B" w:rsidRPr="003D6AF6" w14:paraId="6DA39B5D" w14:textId="77777777" w:rsidTr="000675A6">
        <w:trPr>
          <w:trHeight w:val="270"/>
        </w:trPr>
        <w:tc>
          <w:tcPr>
            <w:tcW w:w="1684" w:type="pct"/>
            <w:noWrap/>
            <w:hideMark/>
          </w:tcPr>
          <w:p w14:paraId="62C2B0CC"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White</w:t>
            </w:r>
          </w:p>
        </w:tc>
        <w:tc>
          <w:tcPr>
            <w:tcW w:w="1105" w:type="pct"/>
            <w:noWrap/>
            <w:hideMark/>
          </w:tcPr>
          <w:p w14:paraId="62057220"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15058 (95.8) </w:t>
            </w:r>
          </w:p>
        </w:tc>
        <w:tc>
          <w:tcPr>
            <w:tcW w:w="1105" w:type="pct"/>
            <w:noWrap/>
            <w:hideMark/>
          </w:tcPr>
          <w:p w14:paraId="05F824AC"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3185 (98.3) </w:t>
            </w:r>
          </w:p>
        </w:tc>
        <w:tc>
          <w:tcPr>
            <w:tcW w:w="1105" w:type="pct"/>
            <w:noWrap/>
            <w:hideMark/>
          </w:tcPr>
          <w:p w14:paraId="1BA3954E"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138 (93.2) </w:t>
            </w:r>
          </w:p>
        </w:tc>
      </w:tr>
      <w:tr w:rsidR="009C122B" w:rsidRPr="003D6AF6" w14:paraId="2C35645A" w14:textId="77777777" w:rsidTr="000675A6">
        <w:trPr>
          <w:trHeight w:val="270"/>
        </w:trPr>
        <w:tc>
          <w:tcPr>
            <w:tcW w:w="1684" w:type="pct"/>
            <w:noWrap/>
            <w:hideMark/>
          </w:tcPr>
          <w:p w14:paraId="388C2A4F"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BMI (mean (SD))</w:t>
            </w:r>
          </w:p>
        </w:tc>
        <w:tc>
          <w:tcPr>
            <w:tcW w:w="1105" w:type="pct"/>
            <w:noWrap/>
            <w:hideMark/>
          </w:tcPr>
          <w:p w14:paraId="743FE559"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27.34 (4.57)</w:t>
            </w:r>
          </w:p>
        </w:tc>
        <w:tc>
          <w:tcPr>
            <w:tcW w:w="1105" w:type="pct"/>
            <w:noWrap/>
            <w:hideMark/>
          </w:tcPr>
          <w:p w14:paraId="524E8091"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27.81 (4.65)</w:t>
            </w:r>
          </w:p>
        </w:tc>
        <w:tc>
          <w:tcPr>
            <w:tcW w:w="1105" w:type="pct"/>
            <w:noWrap/>
            <w:hideMark/>
          </w:tcPr>
          <w:p w14:paraId="28A7109F"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30.82 (5.31)</w:t>
            </w:r>
          </w:p>
        </w:tc>
      </w:tr>
      <w:tr w:rsidR="009C122B" w:rsidRPr="003D6AF6" w14:paraId="3D2C411B" w14:textId="77777777" w:rsidTr="000675A6">
        <w:trPr>
          <w:trHeight w:val="270"/>
        </w:trPr>
        <w:tc>
          <w:tcPr>
            <w:tcW w:w="1684" w:type="pct"/>
            <w:noWrap/>
            <w:hideMark/>
          </w:tcPr>
          <w:p w14:paraId="17579A34"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Smoking Status (%)</w:t>
            </w:r>
          </w:p>
        </w:tc>
        <w:tc>
          <w:tcPr>
            <w:tcW w:w="1105" w:type="pct"/>
            <w:noWrap/>
            <w:hideMark/>
          </w:tcPr>
          <w:p w14:paraId="16C377A3" w14:textId="77777777" w:rsidR="009C122B" w:rsidRPr="003D6AF6" w:rsidRDefault="009C122B" w:rsidP="000675A6">
            <w:pPr>
              <w:widowControl/>
              <w:jc w:val="left"/>
              <w:rPr>
                <w:kern w:val="0"/>
                <w:sz w:val="20"/>
                <w:szCs w:val="20"/>
              </w:rPr>
            </w:pPr>
          </w:p>
        </w:tc>
        <w:tc>
          <w:tcPr>
            <w:tcW w:w="1105" w:type="pct"/>
            <w:noWrap/>
            <w:hideMark/>
          </w:tcPr>
          <w:p w14:paraId="63D16B46" w14:textId="77777777" w:rsidR="009C122B" w:rsidRPr="003D6AF6" w:rsidRDefault="009C122B" w:rsidP="000675A6">
            <w:pPr>
              <w:widowControl/>
              <w:jc w:val="left"/>
              <w:rPr>
                <w:kern w:val="0"/>
                <w:sz w:val="20"/>
                <w:szCs w:val="20"/>
              </w:rPr>
            </w:pPr>
          </w:p>
        </w:tc>
        <w:tc>
          <w:tcPr>
            <w:tcW w:w="1105" w:type="pct"/>
            <w:noWrap/>
            <w:hideMark/>
          </w:tcPr>
          <w:p w14:paraId="740D4C12" w14:textId="77777777" w:rsidR="009C122B" w:rsidRPr="003D6AF6" w:rsidRDefault="009C122B" w:rsidP="000675A6">
            <w:pPr>
              <w:widowControl/>
              <w:jc w:val="left"/>
              <w:rPr>
                <w:kern w:val="0"/>
                <w:sz w:val="20"/>
                <w:szCs w:val="20"/>
              </w:rPr>
            </w:pPr>
          </w:p>
        </w:tc>
      </w:tr>
      <w:tr w:rsidR="009C122B" w:rsidRPr="003D6AF6" w14:paraId="5A45A94C" w14:textId="77777777" w:rsidTr="000675A6">
        <w:trPr>
          <w:trHeight w:val="270"/>
        </w:trPr>
        <w:tc>
          <w:tcPr>
            <w:tcW w:w="1684" w:type="pct"/>
            <w:noWrap/>
            <w:hideMark/>
          </w:tcPr>
          <w:p w14:paraId="65CA784E"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Current</w:t>
            </w:r>
          </w:p>
        </w:tc>
        <w:tc>
          <w:tcPr>
            <w:tcW w:w="1105" w:type="pct"/>
            <w:noWrap/>
            <w:hideMark/>
          </w:tcPr>
          <w:p w14:paraId="23763DD3"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1415 ( 9.0) </w:t>
            </w:r>
          </w:p>
        </w:tc>
        <w:tc>
          <w:tcPr>
            <w:tcW w:w="1105" w:type="pct"/>
            <w:noWrap/>
            <w:hideMark/>
          </w:tcPr>
          <w:p w14:paraId="0A2E9A4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277 ( 8.5) </w:t>
            </w:r>
          </w:p>
        </w:tc>
        <w:tc>
          <w:tcPr>
            <w:tcW w:w="1105" w:type="pct"/>
            <w:noWrap/>
            <w:hideMark/>
          </w:tcPr>
          <w:p w14:paraId="38E23CDC"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12 ( 8.1) </w:t>
            </w:r>
          </w:p>
        </w:tc>
      </w:tr>
      <w:tr w:rsidR="009C122B" w:rsidRPr="003D6AF6" w14:paraId="5ABE35DD" w14:textId="77777777" w:rsidTr="000675A6">
        <w:trPr>
          <w:trHeight w:val="270"/>
        </w:trPr>
        <w:tc>
          <w:tcPr>
            <w:tcW w:w="1684" w:type="pct"/>
            <w:noWrap/>
            <w:hideMark/>
          </w:tcPr>
          <w:p w14:paraId="3D7CBF99"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Never</w:t>
            </w:r>
          </w:p>
        </w:tc>
        <w:tc>
          <w:tcPr>
            <w:tcW w:w="1105" w:type="pct"/>
            <w:noWrap/>
            <w:hideMark/>
          </w:tcPr>
          <w:p w14:paraId="75CF1523"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9263 (58.9) </w:t>
            </w:r>
          </w:p>
        </w:tc>
        <w:tc>
          <w:tcPr>
            <w:tcW w:w="1105" w:type="pct"/>
            <w:noWrap/>
            <w:hideMark/>
          </w:tcPr>
          <w:p w14:paraId="246AE7A3"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1895 (58.5) </w:t>
            </w:r>
          </w:p>
        </w:tc>
        <w:tc>
          <w:tcPr>
            <w:tcW w:w="1105" w:type="pct"/>
            <w:noWrap/>
            <w:hideMark/>
          </w:tcPr>
          <w:p w14:paraId="34451EE0"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73 (49.3) </w:t>
            </w:r>
          </w:p>
        </w:tc>
      </w:tr>
      <w:tr w:rsidR="009C122B" w:rsidRPr="003D6AF6" w14:paraId="13C62413" w14:textId="77777777" w:rsidTr="000675A6">
        <w:trPr>
          <w:trHeight w:val="270"/>
        </w:trPr>
        <w:tc>
          <w:tcPr>
            <w:tcW w:w="1684" w:type="pct"/>
            <w:noWrap/>
            <w:hideMark/>
          </w:tcPr>
          <w:p w14:paraId="4E254BDB"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Previous</w:t>
            </w:r>
          </w:p>
        </w:tc>
        <w:tc>
          <w:tcPr>
            <w:tcW w:w="1105" w:type="pct"/>
            <w:noWrap/>
            <w:hideMark/>
          </w:tcPr>
          <w:p w14:paraId="07DBF1F8"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5037 (32.1) </w:t>
            </w:r>
          </w:p>
        </w:tc>
        <w:tc>
          <w:tcPr>
            <w:tcW w:w="1105" w:type="pct"/>
            <w:noWrap/>
            <w:hideMark/>
          </w:tcPr>
          <w:p w14:paraId="1BDE6FA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1069 (33.0) </w:t>
            </w:r>
          </w:p>
        </w:tc>
        <w:tc>
          <w:tcPr>
            <w:tcW w:w="1105" w:type="pct"/>
            <w:noWrap/>
            <w:hideMark/>
          </w:tcPr>
          <w:p w14:paraId="3F6EABE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63 (42.6) </w:t>
            </w:r>
          </w:p>
        </w:tc>
      </w:tr>
      <w:tr w:rsidR="009C122B" w:rsidRPr="003D6AF6" w14:paraId="6141A7E5" w14:textId="77777777" w:rsidTr="000675A6">
        <w:trPr>
          <w:trHeight w:val="270"/>
        </w:trPr>
        <w:tc>
          <w:tcPr>
            <w:tcW w:w="1684" w:type="pct"/>
            <w:noWrap/>
            <w:hideMark/>
          </w:tcPr>
          <w:p w14:paraId="3362AE3E"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Drinking status (%)</w:t>
            </w:r>
          </w:p>
        </w:tc>
        <w:tc>
          <w:tcPr>
            <w:tcW w:w="1105" w:type="pct"/>
            <w:noWrap/>
            <w:hideMark/>
          </w:tcPr>
          <w:p w14:paraId="6BC342FC" w14:textId="77777777" w:rsidR="009C122B" w:rsidRPr="003D6AF6" w:rsidRDefault="009C122B" w:rsidP="000675A6">
            <w:pPr>
              <w:widowControl/>
              <w:jc w:val="left"/>
              <w:rPr>
                <w:kern w:val="0"/>
                <w:sz w:val="20"/>
                <w:szCs w:val="20"/>
              </w:rPr>
            </w:pPr>
          </w:p>
        </w:tc>
        <w:tc>
          <w:tcPr>
            <w:tcW w:w="1105" w:type="pct"/>
            <w:noWrap/>
            <w:hideMark/>
          </w:tcPr>
          <w:p w14:paraId="3CED9BCF" w14:textId="77777777" w:rsidR="009C122B" w:rsidRPr="003D6AF6" w:rsidRDefault="009C122B" w:rsidP="000675A6">
            <w:pPr>
              <w:widowControl/>
              <w:jc w:val="left"/>
              <w:rPr>
                <w:kern w:val="0"/>
                <w:sz w:val="20"/>
                <w:szCs w:val="20"/>
              </w:rPr>
            </w:pPr>
          </w:p>
        </w:tc>
        <w:tc>
          <w:tcPr>
            <w:tcW w:w="1105" w:type="pct"/>
            <w:noWrap/>
            <w:hideMark/>
          </w:tcPr>
          <w:p w14:paraId="027F1B29" w14:textId="77777777" w:rsidR="009C122B" w:rsidRPr="003D6AF6" w:rsidRDefault="009C122B" w:rsidP="000675A6">
            <w:pPr>
              <w:widowControl/>
              <w:jc w:val="left"/>
              <w:rPr>
                <w:kern w:val="0"/>
                <w:sz w:val="20"/>
                <w:szCs w:val="20"/>
              </w:rPr>
            </w:pPr>
          </w:p>
        </w:tc>
      </w:tr>
      <w:tr w:rsidR="009C122B" w:rsidRPr="003D6AF6" w14:paraId="6EEFAE8C" w14:textId="77777777" w:rsidTr="000675A6">
        <w:trPr>
          <w:trHeight w:val="270"/>
        </w:trPr>
        <w:tc>
          <w:tcPr>
            <w:tcW w:w="1684" w:type="pct"/>
            <w:noWrap/>
            <w:hideMark/>
          </w:tcPr>
          <w:p w14:paraId="2ED2D848"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Current</w:t>
            </w:r>
          </w:p>
        </w:tc>
        <w:tc>
          <w:tcPr>
            <w:tcW w:w="1105" w:type="pct"/>
            <w:noWrap/>
            <w:hideMark/>
          </w:tcPr>
          <w:p w14:paraId="69C015B3"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14605 (93.0) </w:t>
            </w:r>
          </w:p>
        </w:tc>
        <w:tc>
          <w:tcPr>
            <w:tcW w:w="1105" w:type="pct"/>
            <w:noWrap/>
            <w:hideMark/>
          </w:tcPr>
          <w:p w14:paraId="090D622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3015 (93.1) </w:t>
            </w:r>
          </w:p>
        </w:tc>
        <w:tc>
          <w:tcPr>
            <w:tcW w:w="1105" w:type="pct"/>
            <w:noWrap/>
            <w:hideMark/>
          </w:tcPr>
          <w:p w14:paraId="617C0C45"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130 (87.8) </w:t>
            </w:r>
          </w:p>
        </w:tc>
      </w:tr>
      <w:tr w:rsidR="009C122B" w:rsidRPr="003D6AF6" w14:paraId="1739DB06" w14:textId="77777777" w:rsidTr="000675A6">
        <w:trPr>
          <w:trHeight w:val="270"/>
        </w:trPr>
        <w:tc>
          <w:tcPr>
            <w:tcW w:w="1684" w:type="pct"/>
            <w:noWrap/>
            <w:hideMark/>
          </w:tcPr>
          <w:p w14:paraId="7C0817E2"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Never</w:t>
            </w:r>
          </w:p>
        </w:tc>
        <w:tc>
          <w:tcPr>
            <w:tcW w:w="1105" w:type="pct"/>
            <w:noWrap/>
            <w:hideMark/>
          </w:tcPr>
          <w:p w14:paraId="5D893003"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640 ( 4.1) </w:t>
            </w:r>
          </w:p>
        </w:tc>
        <w:tc>
          <w:tcPr>
            <w:tcW w:w="1105" w:type="pct"/>
            <w:noWrap/>
            <w:hideMark/>
          </w:tcPr>
          <w:p w14:paraId="7303C71E"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120 ( 3.7) </w:t>
            </w:r>
          </w:p>
        </w:tc>
        <w:tc>
          <w:tcPr>
            <w:tcW w:w="1105" w:type="pct"/>
            <w:noWrap/>
            <w:hideMark/>
          </w:tcPr>
          <w:p w14:paraId="72FAB68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11 ( 7.4) </w:t>
            </w:r>
          </w:p>
        </w:tc>
      </w:tr>
      <w:tr w:rsidR="009C122B" w:rsidRPr="003D6AF6" w14:paraId="7D4D59A6" w14:textId="77777777" w:rsidTr="000675A6">
        <w:trPr>
          <w:trHeight w:val="270"/>
        </w:trPr>
        <w:tc>
          <w:tcPr>
            <w:tcW w:w="1684" w:type="pct"/>
            <w:noWrap/>
            <w:hideMark/>
          </w:tcPr>
          <w:p w14:paraId="219437A5"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Previous</w:t>
            </w:r>
          </w:p>
        </w:tc>
        <w:tc>
          <w:tcPr>
            <w:tcW w:w="1105" w:type="pct"/>
            <w:noWrap/>
            <w:hideMark/>
          </w:tcPr>
          <w:p w14:paraId="4E276CD6"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458 ( 2.9) </w:t>
            </w:r>
          </w:p>
        </w:tc>
        <w:tc>
          <w:tcPr>
            <w:tcW w:w="1105" w:type="pct"/>
            <w:noWrap/>
            <w:hideMark/>
          </w:tcPr>
          <w:p w14:paraId="59873AE9"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104 ( 3.2) </w:t>
            </w:r>
          </w:p>
        </w:tc>
        <w:tc>
          <w:tcPr>
            <w:tcW w:w="1105" w:type="pct"/>
            <w:noWrap/>
            <w:hideMark/>
          </w:tcPr>
          <w:p w14:paraId="33EBEF70"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7 ( 4.7) </w:t>
            </w:r>
          </w:p>
        </w:tc>
      </w:tr>
      <w:tr w:rsidR="009C122B" w:rsidRPr="003D6AF6" w14:paraId="3B280DF0" w14:textId="77777777" w:rsidTr="000675A6">
        <w:trPr>
          <w:trHeight w:val="270"/>
        </w:trPr>
        <w:tc>
          <w:tcPr>
            <w:tcW w:w="1684" w:type="pct"/>
            <w:noWrap/>
            <w:hideMark/>
          </w:tcPr>
          <w:p w14:paraId="1B753DD4"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Diet quality (mean (SD))</w:t>
            </w:r>
          </w:p>
        </w:tc>
        <w:tc>
          <w:tcPr>
            <w:tcW w:w="1105" w:type="pct"/>
            <w:noWrap/>
            <w:hideMark/>
          </w:tcPr>
          <w:p w14:paraId="7BD19FB1"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4.00 (1.26)</w:t>
            </w:r>
          </w:p>
        </w:tc>
        <w:tc>
          <w:tcPr>
            <w:tcW w:w="1105" w:type="pct"/>
            <w:noWrap/>
            <w:hideMark/>
          </w:tcPr>
          <w:p w14:paraId="33E8338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3.96 (1.25)</w:t>
            </w:r>
          </w:p>
        </w:tc>
        <w:tc>
          <w:tcPr>
            <w:tcW w:w="1105" w:type="pct"/>
            <w:noWrap/>
            <w:hideMark/>
          </w:tcPr>
          <w:p w14:paraId="6E0E7193"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3.84 (1.20)</w:t>
            </w:r>
          </w:p>
        </w:tc>
      </w:tr>
      <w:tr w:rsidR="009C122B" w:rsidRPr="003D6AF6" w14:paraId="4EAA2870" w14:textId="77777777" w:rsidTr="000675A6">
        <w:trPr>
          <w:trHeight w:val="270"/>
        </w:trPr>
        <w:tc>
          <w:tcPr>
            <w:tcW w:w="1684" w:type="pct"/>
            <w:noWrap/>
            <w:hideMark/>
          </w:tcPr>
          <w:p w14:paraId="0AAB7BA5"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Sleep quality (mean (SD))</w:t>
            </w:r>
          </w:p>
        </w:tc>
        <w:tc>
          <w:tcPr>
            <w:tcW w:w="1105" w:type="pct"/>
            <w:noWrap/>
            <w:hideMark/>
          </w:tcPr>
          <w:p w14:paraId="6FB3190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3.06 (0.99)</w:t>
            </w:r>
          </w:p>
        </w:tc>
        <w:tc>
          <w:tcPr>
            <w:tcW w:w="1105" w:type="pct"/>
            <w:noWrap/>
            <w:hideMark/>
          </w:tcPr>
          <w:p w14:paraId="44D4AC5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3.05 (1.00)</w:t>
            </w:r>
          </w:p>
        </w:tc>
        <w:tc>
          <w:tcPr>
            <w:tcW w:w="1105" w:type="pct"/>
            <w:noWrap/>
            <w:hideMark/>
          </w:tcPr>
          <w:p w14:paraId="2DE53EE2"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2.74 (1.04)</w:t>
            </w:r>
          </w:p>
        </w:tc>
      </w:tr>
      <w:tr w:rsidR="009C122B" w:rsidRPr="003D6AF6" w14:paraId="332A1AC0" w14:textId="77777777" w:rsidTr="000675A6">
        <w:trPr>
          <w:trHeight w:val="270"/>
        </w:trPr>
        <w:tc>
          <w:tcPr>
            <w:tcW w:w="1684" w:type="pct"/>
            <w:noWrap/>
            <w:hideMark/>
          </w:tcPr>
          <w:p w14:paraId="70DE1D56"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Physical activity (%)</w:t>
            </w:r>
          </w:p>
        </w:tc>
        <w:tc>
          <w:tcPr>
            <w:tcW w:w="1105" w:type="pct"/>
            <w:noWrap/>
            <w:hideMark/>
          </w:tcPr>
          <w:p w14:paraId="1418657B" w14:textId="77777777" w:rsidR="009C122B" w:rsidRPr="003D6AF6" w:rsidRDefault="009C122B" w:rsidP="000675A6">
            <w:pPr>
              <w:widowControl/>
              <w:jc w:val="left"/>
              <w:rPr>
                <w:kern w:val="0"/>
                <w:sz w:val="20"/>
                <w:szCs w:val="20"/>
              </w:rPr>
            </w:pPr>
          </w:p>
        </w:tc>
        <w:tc>
          <w:tcPr>
            <w:tcW w:w="1105" w:type="pct"/>
            <w:noWrap/>
            <w:hideMark/>
          </w:tcPr>
          <w:p w14:paraId="06F9CF44" w14:textId="77777777" w:rsidR="009C122B" w:rsidRPr="003D6AF6" w:rsidRDefault="009C122B" w:rsidP="000675A6">
            <w:pPr>
              <w:widowControl/>
              <w:jc w:val="left"/>
              <w:rPr>
                <w:kern w:val="0"/>
                <w:sz w:val="20"/>
                <w:szCs w:val="20"/>
              </w:rPr>
            </w:pPr>
          </w:p>
        </w:tc>
        <w:tc>
          <w:tcPr>
            <w:tcW w:w="1105" w:type="pct"/>
            <w:noWrap/>
            <w:hideMark/>
          </w:tcPr>
          <w:p w14:paraId="3891244B" w14:textId="77777777" w:rsidR="009C122B" w:rsidRPr="003D6AF6" w:rsidRDefault="009C122B" w:rsidP="000675A6">
            <w:pPr>
              <w:widowControl/>
              <w:jc w:val="left"/>
              <w:rPr>
                <w:kern w:val="0"/>
                <w:sz w:val="20"/>
                <w:szCs w:val="20"/>
              </w:rPr>
            </w:pPr>
          </w:p>
        </w:tc>
      </w:tr>
      <w:tr w:rsidR="009C122B" w:rsidRPr="003D6AF6" w14:paraId="592F70A8" w14:textId="77777777" w:rsidTr="000675A6">
        <w:trPr>
          <w:trHeight w:val="270"/>
        </w:trPr>
        <w:tc>
          <w:tcPr>
            <w:tcW w:w="1684" w:type="pct"/>
            <w:noWrap/>
            <w:hideMark/>
          </w:tcPr>
          <w:p w14:paraId="715118DB"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No</w:t>
            </w:r>
          </w:p>
        </w:tc>
        <w:tc>
          <w:tcPr>
            <w:tcW w:w="1105" w:type="pct"/>
            <w:noWrap/>
            <w:hideMark/>
          </w:tcPr>
          <w:p w14:paraId="4F3372F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5375 (34.2) </w:t>
            </w:r>
          </w:p>
        </w:tc>
        <w:tc>
          <w:tcPr>
            <w:tcW w:w="1105" w:type="pct"/>
            <w:noWrap/>
            <w:hideMark/>
          </w:tcPr>
          <w:p w14:paraId="03CEF6E8"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1171 (36.1) </w:t>
            </w:r>
          </w:p>
        </w:tc>
        <w:tc>
          <w:tcPr>
            <w:tcW w:w="1105" w:type="pct"/>
            <w:noWrap/>
            <w:hideMark/>
          </w:tcPr>
          <w:p w14:paraId="35E2CF17"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59 (39.9) </w:t>
            </w:r>
          </w:p>
        </w:tc>
      </w:tr>
      <w:tr w:rsidR="009C122B" w:rsidRPr="003D6AF6" w14:paraId="183ABA72" w14:textId="77777777" w:rsidTr="000675A6">
        <w:trPr>
          <w:trHeight w:val="270"/>
        </w:trPr>
        <w:tc>
          <w:tcPr>
            <w:tcW w:w="1684" w:type="pct"/>
            <w:noWrap/>
            <w:hideMark/>
          </w:tcPr>
          <w:p w14:paraId="0C01CBEE"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Yes</w:t>
            </w:r>
          </w:p>
        </w:tc>
        <w:tc>
          <w:tcPr>
            <w:tcW w:w="1105" w:type="pct"/>
            <w:noWrap/>
            <w:hideMark/>
          </w:tcPr>
          <w:p w14:paraId="3BF91658"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10340 (65.8) </w:t>
            </w:r>
          </w:p>
        </w:tc>
        <w:tc>
          <w:tcPr>
            <w:tcW w:w="1105" w:type="pct"/>
            <w:noWrap/>
            <w:hideMark/>
          </w:tcPr>
          <w:p w14:paraId="5DDB003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2070 (63.9) </w:t>
            </w:r>
          </w:p>
        </w:tc>
        <w:tc>
          <w:tcPr>
            <w:tcW w:w="1105" w:type="pct"/>
            <w:noWrap/>
            <w:hideMark/>
          </w:tcPr>
          <w:p w14:paraId="35A50EEF"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89 (60.1) </w:t>
            </w:r>
          </w:p>
        </w:tc>
      </w:tr>
      <w:tr w:rsidR="009C122B" w:rsidRPr="003D6AF6" w14:paraId="15A17928" w14:textId="77777777" w:rsidTr="000675A6">
        <w:trPr>
          <w:trHeight w:val="270"/>
        </w:trPr>
        <w:tc>
          <w:tcPr>
            <w:tcW w:w="1684" w:type="pct"/>
            <w:noWrap/>
            <w:hideMark/>
          </w:tcPr>
          <w:p w14:paraId="200F762A"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Hypertension (%)</w:t>
            </w:r>
          </w:p>
        </w:tc>
        <w:tc>
          <w:tcPr>
            <w:tcW w:w="1105" w:type="pct"/>
            <w:noWrap/>
            <w:hideMark/>
          </w:tcPr>
          <w:p w14:paraId="0C34FF6E" w14:textId="77777777" w:rsidR="009C122B" w:rsidRPr="003D6AF6" w:rsidRDefault="009C122B" w:rsidP="000675A6">
            <w:pPr>
              <w:widowControl/>
              <w:jc w:val="left"/>
              <w:rPr>
                <w:kern w:val="0"/>
                <w:sz w:val="20"/>
                <w:szCs w:val="20"/>
              </w:rPr>
            </w:pPr>
          </w:p>
        </w:tc>
        <w:tc>
          <w:tcPr>
            <w:tcW w:w="1105" w:type="pct"/>
            <w:noWrap/>
            <w:hideMark/>
          </w:tcPr>
          <w:p w14:paraId="6837CE17" w14:textId="77777777" w:rsidR="009C122B" w:rsidRPr="003D6AF6" w:rsidRDefault="009C122B" w:rsidP="000675A6">
            <w:pPr>
              <w:widowControl/>
              <w:jc w:val="left"/>
              <w:rPr>
                <w:kern w:val="0"/>
                <w:sz w:val="20"/>
                <w:szCs w:val="20"/>
              </w:rPr>
            </w:pPr>
          </w:p>
        </w:tc>
        <w:tc>
          <w:tcPr>
            <w:tcW w:w="1105" w:type="pct"/>
            <w:noWrap/>
            <w:hideMark/>
          </w:tcPr>
          <w:p w14:paraId="3FEA2BDC" w14:textId="77777777" w:rsidR="009C122B" w:rsidRPr="003D6AF6" w:rsidRDefault="009C122B" w:rsidP="000675A6">
            <w:pPr>
              <w:widowControl/>
              <w:jc w:val="left"/>
              <w:rPr>
                <w:kern w:val="0"/>
                <w:sz w:val="20"/>
                <w:szCs w:val="20"/>
              </w:rPr>
            </w:pPr>
          </w:p>
        </w:tc>
      </w:tr>
      <w:tr w:rsidR="009C122B" w:rsidRPr="003D6AF6" w14:paraId="352E3CF2" w14:textId="77777777" w:rsidTr="000675A6">
        <w:trPr>
          <w:trHeight w:val="270"/>
        </w:trPr>
        <w:tc>
          <w:tcPr>
            <w:tcW w:w="1684" w:type="pct"/>
            <w:noWrap/>
            <w:hideMark/>
          </w:tcPr>
          <w:p w14:paraId="6EB1AC06"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No</w:t>
            </w:r>
          </w:p>
        </w:tc>
        <w:tc>
          <w:tcPr>
            <w:tcW w:w="1105" w:type="pct"/>
            <w:noWrap/>
            <w:hideMark/>
          </w:tcPr>
          <w:p w14:paraId="312160BC"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3601 (22.9) </w:t>
            </w:r>
          </w:p>
        </w:tc>
        <w:tc>
          <w:tcPr>
            <w:tcW w:w="1105" w:type="pct"/>
            <w:noWrap/>
            <w:hideMark/>
          </w:tcPr>
          <w:p w14:paraId="6888DE31"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646 (19.9) </w:t>
            </w:r>
          </w:p>
        </w:tc>
        <w:tc>
          <w:tcPr>
            <w:tcW w:w="1105" w:type="pct"/>
            <w:noWrap/>
            <w:hideMark/>
          </w:tcPr>
          <w:p w14:paraId="65C0EC18"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12 ( 8.1) </w:t>
            </w:r>
          </w:p>
        </w:tc>
      </w:tr>
      <w:tr w:rsidR="009C122B" w:rsidRPr="003D6AF6" w14:paraId="4432416E" w14:textId="77777777" w:rsidTr="000675A6">
        <w:trPr>
          <w:trHeight w:val="270"/>
        </w:trPr>
        <w:tc>
          <w:tcPr>
            <w:tcW w:w="1684" w:type="pct"/>
            <w:noWrap/>
            <w:hideMark/>
          </w:tcPr>
          <w:p w14:paraId="49E4DCCA"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Yes</w:t>
            </w:r>
          </w:p>
        </w:tc>
        <w:tc>
          <w:tcPr>
            <w:tcW w:w="1105" w:type="pct"/>
            <w:noWrap/>
            <w:hideMark/>
          </w:tcPr>
          <w:p w14:paraId="6BF71928"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12114 (77.1) </w:t>
            </w:r>
          </w:p>
        </w:tc>
        <w:tc>
          <w:tcPr>
            <w:tcW w:w="1105" w:type="pct"/>
            <w:noWrap/>
            <w:hideMark/>
          </w:tcPr>
          <w:p w14:paraId="018D0354"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2595 (80.1) </w:t>
            </w:r>
          </w:p>
        </w:tc>
        <w:tc>
          <w:tcPr>
            <w:tcW w:w="1105" w:type="pct"/>
            <w:noWrap/>
            <w:hideMark/>
          </w:tcPr>
          <w:p w14:paraId="19C5614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 xml:space="preserve">  136 (91.9) </w:t>
            </w:r>
          </w:p>
        </w:tc>
      </w:tr>
      <w:tr w:rsidR="009C122B" w:rsidRPr="003D6AF6" w14:paraId="024B0CC9" w14:textId="77777777" w:rsidTr="000675A6">
        <w:trPr>
          <w:trHeight w:val="270"/>
        </w:trPr>
        <w:tc>
          <w:tcPr>
            <w:tcW w:w="1684" w:type="pct"/>
            <w:noWrap/>
            <w:hideMark/>
          </w:tcPr>
          <w:p w14:paraId="5704ED5E"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Follow-up years (median [IQR])</w:t>
            </w:r>
          </w:p>
        </w:tc>
        <w:tc>
          <w:tcPr>
            <w:tcW w:w="1105" w:type="pct"/>
            <w:noWrap/>
            <w:hideMark/>
          </w:tcPr>
          <w:p w14:paraId="73130D8E"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13.33 [13.22, 13.48]</w:t>
            </w:r>
          </w:p>
        </w:tc>
        <w:tc>
          <w:tcPr>
            <w:tcW w:w="1105" w:type="pct"/>
            <w:noWrap/>
            <w:hideMark/>
          </w:tcPr>
          <w:p w14:paraId="3CFBFBB2"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13.34 [13.23, 13.48]</w:t>
            </w:r>
          </w:p>
        </w:tc>
        <w:tc>
          <w:tcPr>
            <w:tcW w:w="1105" w:type="pct"/>
            <w:noWrap/>
            <w:hideMark/>
          </w:tcPr>
          <w:p w14:paraId="29F39FE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13.31 [13.16, 13.46]</w:t>
            </w:r>
          </w:p>
        </w:tc>
      </w:tr>
    </w:tbl>
    <w:p w14:paraId="14362BA7" w14:textId="6DE9E39B" w:rsidR="009C122B" w:rsidRPr="003D6AF6" w:rsidRDefault="009C122B" w:rsidP="009C122B">
      <w:pPr>
        <w:rPr>
          <w:rFonts w:ascii="Times New Roman" w:hAnsi="Times New Roman" w:cs="Times New Roman"/>
          <w:sz w:val="20"/>
          <w:szCs w:val="20"/>
        </w:rPr>
        <w:sectPr w:rsidR="009C122B" w:rsidRPr="003D6AF6" w:rsidSect="009C122B">
          <w:pgSz w:w="11906" w:h="16838"/>
          <w:pgMar w:top="1440" w:right="1800" w:bottom="1440" w:left="1800" w:header="851" w:footer="992" w:gutter="0"/>
          <w:cols w:space="425"/>
          <w:docGrid w:type="lines" w:linePitch="312"/>
        </w:sectPr>
      </w:pPr>
      <w:r w:rsidRPr="003D6AF6">
        <w:rPr>
          <w:rFonts w:ascii="Times New Roman" w:hAnsi="Times New Roman" w:cs="Times New Roman"/>
          <w:b/>
          <w:bCs/>
          <w:sz w:val="20"/>
          <w:szCs w:val="20"/>
        </w:rPr>
        <w:t xml:space="preserve">Notes: </w:t>
      </w:r>
      <w:r w:rsidRPr="003D6AF6">
        <w:rPr>
          <w:rFonts w:ascii="Times New Roman" w:hAnsi="Times New Roman" w:cs="Times New Roman"/>
          <w:sz w:val="20"/>
          <w:szCs w:val="20"/>
        </w:rPr>
        <w:t xml:space="preserve">Data are presented as mean (s.d.), median [IQR] or n (%). </w:t>
      </w:r>
      <w:bookmarkStart w:id="4" w:name="_Hlk224900362"/>
      <w:r w:rsidR="00D177DC" w:rsidRPr="003D6AF6">
        <w:rPr>
          <w:rFonts w:ascii="Times New Roman" w:hAnsi="Times New Roman" w:cs="Times New Roman"/>
          <w:sz w:val="20"/>
          <w:szCs w:val="20"/>
        </w:rPr>
        <w:t>Participants with prevalent cardiometabolic disease at baseline were excluded from the UK</w:t>
      </w:r>
      <w:r w:rsidR="00C74C4B" w:rsidRPr="003D6AF6">
        <w:rPr>
          <w:rFonts w:ascii="Times New Roman" w:hAnsi="Times New Roman" w:cs="Times New Roman" w:hint="eastAsia"/>
          <w:sz w:val="20"/>
          <w:szCs w:val="20"/>
        </w:rPr>
        <w:t>B-CHV</w:t>
      </w:r>
      <w:r w:rsidR="00D177DC" w:rsidRPr="003D6AF6">
        <w:rPr>
          <w:rFonts w:ascii="Times New Roman" w:hAnsi="Times New Roman" w:cs="Times New Roman"/>
          <w:sz w:val="20"/>
          <w:szCs w:val="20"/>
        </w:rPr>
        <w:t xml:space="preserve"> </w:t>
      </w:r>
      <w:r w:rsidR="00095DEE" w:rsidRPr="003D6AF6">
        <w:rPr>
          <w:rFonts w:ascii="Times New Roman" w:hAnsi="Times New Roman" w:cs="Times New Roman" w:hint="eastAsia"/>
          <w:sz w:val="20"/>
          <w:szCs w:val="20"/>
        </w:rPr>
        <w:t>set</w:t>
      </w:r>
      <w:r w:rsidR="00D177DC" w:rsidRPr="003D6AF6">
        <w:rPr>
          <w:rFonts w:ascii="Times New Roman" w:hAnsi="Times New Roman" w:cs="Times New Roman"/>
          <w:sz w:val="20"/>
          <w:szCs w:val="20"/>
        </w:rPr>
        <w:t>, leaving 19,104 participants for incident disease analyses</w:t>
      </w:r>
      <w:bookmarkEnd w:id="4"/>
      <w:r w:rsidR="00D177DC" w:rsidRPr="003D6AF6">
        <w:rPr>
          <w:rFonts w:ascii="Times New Roman" w:hAnsi="Times New Roman" w:cs="Times New Roman"/>
          <w:sz w:val="20"/>
          <w:szCs w:val="20"/>
        </w:rPr>
        <w:t>; these participants were then classified by the ROSA model.</w:t>
      </w:r>
      <w:r w:rsidRPr="003D6AF6">
        <w:rPr>
          <w:rFonts w:ascii="Times New Roman" w:hAnsi="Times New Roman" w:cs="Times New Roman"/>
          <w:sz w:val="20"/>
          <w:szCs w:val="20"/>
        </w:rPr>
        <w:t xml:space="preserve"> BC, baseline concordant; DIS, discordant inflammatory state; DHG, discordant hyperglycaemic; BMI, body-mass index; IQR, interquartile range</w:t>
      </w:r>
      <w:r w:rsidR="00C74C4B" w:rsidRPr="003D6AF6">
        <w:rPr>
          <w:rFonts w:ascii="Times New Roman" w:hAnsi="Times New Roman" w:cs="Times New Roman"/>
          <w:sz w:val="20"/>
          <w:szCs w:val="20"/>
        </w:rPr>
        <w:t xml:space="preserve">; </w:t>
      </w:r>
      <w:r w:rsidR="00C74C4B" w:rsidRPr="003D6AF6">
        <w:rPr>
          <w:rFonts w:ascii="Times New Roman" w:hAnsi="Times New Roman" w:cs="Times New Roman" w:hint="eastAsia"/>
          <w:sz w:val="20"/>
          <w:szCs w:val="20"/>
        </w:rPr>
        <w:t>UKB-CHV, UK Biobank centre-held-out validation</w:t>
      </w:r>
      <w:r w:rsidRPr="003D6AF6">
        <w:rPr>
          <w:rFonts w:ascii="Times New Roman" w:hAnsi="Times New Roman" w:cs="Times New Roman"/>
          <w:sz w:val="20"/>
          <w:szCs w:val="20"/>
        </w:rPr>
        <w:t>.</w:t>
      </w:r>
    </w:p>
    <w:p w14:paraId="7D3554B9" w14:textId="2487394F" w:rsidR="009C122B" w:rsidRPr="003D6AF6" w:rsidRDefault="009C122B" w:rsidP="00450581">
      <w:pPr>
        <w:outlineLvl w:val="1"/>
        <w:rPr>
          <w:rFonts w:ascii="Times New Roman" w:hAnsi="Times New Roman" w:cs="Times New Roman"/>
          <w:sz w:val="20"/>
          <w:szCs w:val="20"/>
        </w:rPr>
      </w:pPr>
      <w:bookmarkStart w:id="5" w:name="_Toc229600214"/>
      <w:r w:rsidRPr="003D6AF6">
        <w:rPr>
          <w:rFonts w:ascii="Times New Roman" w:hAnsi="Times New Roman" w:cs="Times New Roman"/>
          <w:b/>
          <w:bCs/>
          <w:sz w:val="20"/>
          <w:szCs w:val="20"/>
        </w:rPr>
        <w:lastRenderedPageBreak/>
        <w:t xml:space="preserve">Table S4: </w:t>
      </w:r>
      <w:r w:rsidRPr="003D6AF6">
        <w:rPr>
          <w:rFonts w:ascii="Times New Roman" w:hAnsi="Times New Roman" w:cs="Times New Roman"/>
          <w:sz w:val="20"/>
          <w:szCs w:val="20"/>
        </w:rPr>
        <w:t xml:space="preserve">Association between ROSA-predicted obesity subtype and incident cardiometabolic outcomes in the </w:t>
      </w:r>
      <w:r w:rsidR="00C74C4B" w:rsidRPr="003D6AF6">
        <w:rPr>
          <w:rFonts w:ascii="Times New Roman" w:hAnsi="Times New Roman" w:cs="Times New Roman" w:hint="eastAsia"/>
          <w:sz w:val="20"/>
          <w:szCs w:val="20"/>
        </w:rPr>
        <w:t>UKB-CHV</w:t>
      </w:r>
      <w:r w:rsidRPr="003D6AF6">
        <w:rPr>
          <w:rFonts w:ascii="Times New Roman" w:hAnsi="Times New Roman" w:cs="Times New Roman"/>
          <w:sz w:val="20"/>
          <w:szCs w:val="20"/>
        </w:rPr>
        <w:t xml:space="preserve"> </w:t>
      </w:r>
      <w:r w:rsidR="00095DEE" w:rsidRPr="003D6AF6">
        <w:rPr>
          <w:rFonts w:ascii="Times New Roman" w:hAnsi="Times New Roman" w:cs="Times New Roman" w:hint="eastAsia"/>
          <w:sz w:val="20"/>
          <w:szCs w:val="20"/>
        </w:rPr>
        <w:t>set</w:t>
      </w:r>
      <w:bookmarkEnd w:id="5"/>
    </w:p>
    <w:tbl>
      <w:tblPr>
        <w:tblStyle w:val="11"/>
        <w:tblW w:w="5000" w:type="pct"/>
        <w:tblLook w:val="04A0" w:firstRow="1" w:lastRow="0" w:firstColumn="1" w:lastColumn="0" w:noHBand="0" w:noVBand="1"/>
      </w:tblPr>
      <w:tblGrid>
        <w:gridCol w:w="1478"/>
        <w:gridCol w:w="2276"/>
        <w:gridCol w:w="2276"/>
        <w:gridCol w:w="2276"/>
      </w:tblGrid>
      <w:tr w:rsidR="009C122B" w:rsidRPr="003D6AF6" w14:paraId="3EB89BC3" w14:textId="77777777" w:rsidTr="000675A6">
        <w:trPr>
          <w:cnfStyle w:val="100000000000" w:firstRow="1" w:lastRow="0" w:firstColumn="0" w:lastColumn="0" w:oddVBand="0" w:evenVBand="0" w:oddHBand="0" w:evenHBand="0" w:firstRowFirstColumn="0" w:firstRowLastColumn="0" w:lastRowFirstColumn="0" w:lastRowLastColumn="0"/>
          <w:trHeight w:val="270"/>
        </w:trPr>
        <w:tc>
          <w:tcPr>
            <w:tcW w:w="890" w:type="pct"/>
            <w:noWrap/>
            <w:hideMark/>
          </w:tcPr>
          <w:p w14:paraId="020030C0"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Outcome</w:t>
            </w:r>
          </w:p>
        </w:tc>
        <w:tc>
          <w:tcPr>
            <w:tcW w:w="1370" w:type="pct"/>
            <w:noWrap/>
            <w:hideMark/>
          </w:tcPr>
          <w:p w14:paraId="5C5AECD2"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Model 1</w:t>
            </w:r>
          </w:p>
        </w:tc>
        <w:tc>
          <w:tcPr>
            <w:tcW w:w="1370" w:type="pct"/>
            <w:noWrap/>
            <w:hideMark/>
          </w:tcPr>
          <w:p w14:paraId="273C218A"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Model 2</w:t>
            </w:r>
          </w:p>
        </w:tc>
        <w:tc>
          <w:tcPr>
            <w:tcW w:w="1370" w:type="pct"/>
            <w:noWrap/>
            <w:hideMark/>
          </w:tcPr>
          <w:p w14:paraId="48DF6F2B"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Model 3</w:t>
            </w:r>
          </w:p>
        </w:tc>
      </w:tr>
      <w:tr w:rsidR="009C122B" w:rsidRPr="003D6AF6" w14:paraId="7E77E7B0" w14:textId="77777777" w:rsidTr="000675A6">
        <w:trPr>
          <w:trHeight w:val="270"/>
        </w:trPr>
        <w:tc>
          <w:tcPr>
            <w:tcW w:w="890" w:type="pct"/>
            <w:noWrap/>
          </w:tcPr>
          <w:p w14:paraId="4B3C6B32"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IHD</w:t>
            </w:r>
          </w:p>
        </w:tc>
        <w:tc>
          <w:tcPr>
            <w:tcW w:w="1370" w:type="pct"/>
            <w:noWrap/>
          </w:tcPr>
          <w:p w14:paraId="67E93175" w14:textId="77777777" w:rsidR="009C122B" w:rsidRPr="003D6AF6" w:rsidRDefault="009C122B" w:rsidP="000675A6">
            <w:pPr>
              <w:widowControl/>
              <w:jc w:val="left"/>
              <w:rPr>
                <w:rFonts w:eastAsia="宋体"/>
                <w:color w:val="000000"/>
                <w:kern w:val="0"/>
                <w:sz w:val="20"/>
                <w:szCs w:val="20"/>
              </w:rPr>
            </w:pPr>
          </w:p>
        </w:tc>
        <w:tc>
          <w:tcPr>
            <w:tcW w:w="1370" w:type="pct"/>
            <w:noWrap/>
          </w:tcPr>
          <w:p w14:paraId="781B3C9A" w14:textId="77777777" w:rsidR="009C122B" w:rsidRPr="003D6AF6" w:rsidRDefault="009C122B" w:rsidP="000675A6">
            <w:pPr>
              <w:widowControl/>
              <w:jc w:val="left"/>
              <w:rPr>
                <w:rFonts w:eastAsia="宋体"/>
                <w:color w:val="000000"/>
                <w:kern w:val="0"/>
                <w:sz w:val="20"/>
                <w:szCs w:val="20"/>
              </w:rPr>
            </w:pPr>
          </w:p>
        </w:tc>
        <w:tc>
          <w:tcPr>
            <w:tcW w:w="1370" w:type="pct"/>
            <w:noWrap/>
          </w:tcPr>
          <w:p w14:paraId="47F0DDC0" w14:textId="77777777" w:rsidR="009C122B" w:rsidRPr="003D6AF6" w:rsidRDefault="009C122B" w:rsidP="000675A6">
            <w:pPr>
              <w:widowControl/>
              <w:jc w:val="left"/>
              <w:rPr>
                <w:rFonts w:eastAsia="宋体"/>
                <w:color w:val="000000"/>
                <w:kern w:val="0"/>
                <w:sz w:val="20"/>
                <w:szCs w:val="20"/>
              </w:rPr>
            </w:pPr>
          </w:p>
        </w:tc>
      </w:tr>
      <w:tr w:rsidR="009C122B" w:rsidRPr="003D6AF6" w14:paraId="10A26A12" w14:textId="77777777" w:rsidTr="000675A6">
        <w:trPr>
          <w:trHeight w:val="270"/>
        </w:trPr>
        <w:tc>
          <w:tcPr>
            <w:tcW w:w="890" w:type="pct"/>
            <w:noWrap/>
          </w:tcPr>
          <w:p w14:paraId="59003C14"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BC</w:t>
            </w:r>
          </w:p>
        </w:tc>
        <w:tc>
          <w:tcPr>
            <w:tcW w:w="1370" w:type="pct"/>
            <w:noWrap/>
          </w:tcPr>
          <w:p w14:paraId="790DAFE4"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c>
          <w:tcPr>
            <w:tcW w:w="1370" w:type="pct"/>
            <w:noWrap/>
            <w:vAlign w:val="top"/>
          </w:tcPr>
          <w:p w14:paraId="1D21BBDC"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c>
          <w:tcPr>
            <w:tcW w:w="1370" w:type="pct"/>
            <w:noWrap/>
            <w:vAlign w:val="top"/>
          </w:tcPr>
          <w:p w14:paraId="3230AE7B"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r>
      <w:tr w:rsidR="009C122B" w:rsidRPr="003D6AF6" w14:paraId="68BC2599" w14:textId="77777777" w:rsidTr="000675A6">
        <w:trPr>
          <w:trHeight w:val="270"/>
        </w:trPr>
        <w:tc>
          <w:tcPr>
            <w:tcW w:w="890" w:type="pct"/>
            <w:noWrap/>
            <w:hideMark/>
          </w:tcPr>
          <w:p w14:paraId="41CBEFA8"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DIS</w:t>
            </w:r>
          </w:p>
        </w:tc>
        <w:tc>
          <w:tcPr>
            <w:tcW w:w="1370" w:type="pct"/>
            <w:noWrap/>
            <w:hideMark/>
          </w:tcPr>
          <w:p w14:paraId="47B5E5EF"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1.14 (1.00 - 1.30)</w:t>
            </w:r>
          </w:p>
        </w:tc>
        <w:tc>
          <w:tcPr>
            <w:tcW w:w="1370" w:type="pct"/>
            <w:noWrap/>
            <w:hideMark/>
          </w:tcPr>
          <w:p w14:paraId="2842DCD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1.13 (0.99 - 1.29)</w:t>
            </w:r>
          </w:p>
        </w:tc>
        <w:tc>
          <w:tcPr>
            <w:tcW w:w="1370" w:type="pct"/>
            <w:noWrap/>
            <w:hideMark/>
          </w:tcPr>
          <w:p w14:paraId="281FD85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1.13 (0.99 - 1.29)</w:t>
            </w:r>
          </w:p>
        </w:tc>
      </w:tr>
      <w:tr w:rsidR="009C122B" w:rsidRPr="003D6AF6" w14:paraId="09307720" w14:textId="77777777" w:rsidTr="000675A6">
        <w:trPr>
          <w:trHeight w:val="270"/>
        </w:trPr>
        <w:tc>
          <w:tcPr>
            <w:tcW w:w="890" w:type="pct"/>
            <w:noWrap/>
            <w:hideMark/>
          </w:tcPr>
          <w:p w14:paraId="14FB592B"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DHG</w:t>
            </w:r>
          </w:p>
        </w:tc>
        <w:tc>
          <w:tcPr>
            <w:tcW w:w="1370" w:type="pct"/>
            <w:noWrap/>
            <w:hideMark/>
          </w:tcPr>
          <w:p w14:paraId="09988065"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1.17 (0.80 - 1.71)</w:t>
            </w:r>
          </w:p>
        </w:tc>
        <w:tc>
          <w:tcPr>
            <w:tcW w:w="1370" w:type="pct"/>
            <w:noWrap/>
            <w:hideMark/>
          </w:tcPr>
          <w:p w14:paraId="3A8257E4"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1.12 (0.76 - 1.63)</w:t>
            </w:r>
          </w:p>
        </w:tc>
        <w:tc>
          <w:tcPr>
            <w:tcW w:w="1370" w:type="pct"/>
            <w:noWrap/>
            <w:hideMark/>
          </w:tcPr>
          <w:p w14:paraId="35729E52"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1.11 (0.76 - 1.63)</w:t>
            </w:r>
          </w:p>
        </w:tc>
      </w:tr>
      <w:tr w:rsidR="009C122B" w:rsidRPr="003D6AF6" w14:paraId="16210D2B" w14:textId="77777777" w:rsidTr="000675A6">
        <w:trPr>
          <w:trHeight w:val="270"/>
        </w:trPr>
        <w:tc>
          <w:tcPr>
            <w:tcW w:w="890" w:type="pct"/>
            <w:noWrap/>
          </w:tcPr>
          <w:p w14:paraId="2356B71B"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Stroke</w:t>
            </w:r>
          </w:p>
        </w:tc>
        <w:tc>
          <w:tcPr>
            <w:tcW w:w="1370" w:type="pct"/>
            <w:noWrap/>
          </w:tcPr>
          <w:p w14:paraId="50BB4E4A" w14:textId="77777777" w:rsidR="009C122B" w:rsidRPr="003D6AF6" w:rsidRDefault="009C122B" w:rsidP="000675A6">
            <w:pPr>
              <w:widowControl/>
              <w:jc w:val="left"/>
              <w:rPr>
                <w:rFonts w:eastAsia="宋体"/>
                <w:color w:val="000000"/>
                <w:kern w:val="0"/>
                <w:sz w:val="20"/>
                <w:szCs w:val="20"/>
              </w:rPr>
            </w:pPr>
          </w:p>
        </w:tc>
        <w:tc>
          <w:tcPr>
            <w:tcW w:w="1370" w:type="pct"/>
            <w:noWrap/>
          </w:tcPr>
          <w:p w14:paraId="3CB751A9" w14:textId="77777777" w:rsidR="009C122B" w:rsidRPr="003D6AF6" w:rsidRDefault="009C122B" w:rsidP="000675A6">
            <w:pPr>
              <w:widowControl/>
              <w:jc w:val="left"/>
              <w:rPr>
                <w:rFonts w:eastAsia="宋体"/>
                <w:color w:val="000000"/>
                <w:kern w:val="0"/>
                <w:sz w:val="20"/>
                <w:szCs w:val="20"/>
              </w:rPr>
            </w:pPr>
          </w:p>
        </w:tc>
        <w:tc>
          <w:tcPr>
            <w:tcW w:w="1370" w:type="pct"/>
            <w:noWrap/>
          </w:tcPr>
          <w:p w14:paraId="5FC4A5FF" w14:textId="77777777" w:rsidR="009C122B" w:rsidRPr="003D6AF6" w:rsidRDefault="009C122B" w:rsidP="000675A6">
            <w:pPr>
              <w:widowControl/>
              <w:jc w:val="left"/>
              <w:rPr>
                <w:rFonts w:eastAsia="宋体"/>
                <w:color w:val="000000"/>
                <w:kern w:val="0"/>
                <w:sz w:val="20"/>
                <w:szCs w:val="20"/>
              </w:rPr>
            </w:pPr>
          </w:p>
        </w:tc>
      </w:tr>
      <w:tr w:rsidR="009C122B" w:rsidRPr="003D6AF6" w14:paraId="303CB05B" w14:textId="77777777" w:rsidTr="000675A6">
        <w:trPr>
          <w:trHeight w:val="270"/>
        </w:trPr>
        <w:tc>
          <w:tcPr>
            <w:tcW w:w="890" w:type="pct"/>
            <w:noWrap/>
          </w:tcPr>
          <w:p w14:paraId="0D02E2D2"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BC</w:t>
            </w:r>
          </w:p>
        </w:tc>
        <w:tc>
          <w:tcPr>
            <w:tcW w:w="1370" w:type="pct"/>
            <w:noWrap/>
          </w:tcPr>
          <w:p w14:paraId="42C44E9B"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c>
          <w:tcPr>
            <w:tcW w:w="1370" w:type="pct"/>
            <w:noWrap/>
            <w:vAlign w:val="top"/>
          </w:tcPr>
          <w:p w14:paraId="0008729E"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c>
          <w:tcPr>
            <w:tcW w:w="1370" w:type="pct"/>
            <w:noWrap/>
            <w:vAlign w:val="top"/>
          </w:tcPr>
          <w:p w14:paraId="5F21D6DC"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r>
      <w:tr w:rsidR="009C122B" w:rsidRPr="003D6AF6" w14:paraId="74A70DFD" w14:textId="77777777" w:rsidTr="000675A6">
        <w:trPr>
          <w:trHeight w:val="270"/>
        </w:trPr>
        <w:tc>
          <w:tcPr>
            <w:tcW w:w="890" w:type="pct"/>
            <w:noWrap/>
            <w:hideMark/>
          </w:tcPr>
          <w:p w14:paraId="234672E5"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DIS</w:t>
            </w:r>
          </w:p>
        </w:tc>
        <w:tc>
          <w:tcPr>
            <w:tcW w:w="1370" w:type="pct"/>
            <w:noWrap/>
            <w:hideMark/>
          </w:tcPr>
          <w:p w14:paraId="60B27AE1"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1.06 (0.83 - 1.35)</w:t>
            </w:r>
          </w:p>
        </w:tc>
        <w:tc>
          <w:tcPr>
            <w:tcW w:w="1370" w:type="pct"/>
            <w:noWrap/>
            <w:hideMark/>
          </w:tcPr>
          <w:p w14:paraId="3A20F2B7"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1.06 (0.83 - 1.35)</w:t>
            </w:r>
          </w:p>
        </w:tc>
        <w:tc>
          <w:tcPr>
            <w:tcW w:w="1370" w:type="pct"/>
            <w:noWrap/>
            <w:hideMark/>
          </w:tcPr>
          <w:p w14:paraId="1D0C1C51"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1.05 (0.82 - 1.34)</w:t>
            </w:r>
          </w:p>
        </w:tc>
      </w:tr>
      <w:tr w:rsidR="009C122B" w:rsidRPr="003D6AF6" w14:paraId="03D4976C" w14:textId="77777777" w:rsidTr="000675A6">
        <w:trPr>
          <w:trHeight w:val="270"/>
        </w:trPr>
        <w:tc>
          <w:tcPr>
            <w:tcW w:w="890" w:type="pct"/>
            <w:noWrap/>
            <w:hideMark/>
          </w:tcPr>
          <w:p w14:paraId="47D09673"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DHG</w:t>
            </w:r>
          </w:p>
        </w:tc>
        <w:tc>
          <w:tcPr>
            <w:tcW w:w="1370" w:type="pct"/>
            <w:noWrap/>
            <w:hideMark/>
          </w:tcPr>
          <w:p w14:paraId="28289737"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0.67 (0.30 - 1.50)</w:t>
            </w:r>
          </w:p>
        </w:tc>
        <w:tc>
          <w:tcPr>
            <w:tcW w:w="1370" w:type="pct"/>
            <w:noWrap/>
            <w:hideMark/>
          </w:tcPr>
          <w:p w14:paraId="383DDFD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0.64 (0.28 - 1.44)</w:t>
            </w:r>
          </w:p>
        </w:tc>
        <w:tc>
          <w:tcPr>
            <w:tcW w:w="1370" w:type="pct"/>
            <w:noWrap/>
            <w:hideMark/>
          </w:tcPr>
          <w:p w14:paraId="38C1F4AE"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0.64 (0.28 - 1.44)</w:t>
            </w:r>
          </w:p>
        </w:tc>
      </w:tr>
      <w:tr w:rsidR="009C122B" w:rsidRPr="003D6AF6" w14:paraId="71760116" w14:textId="77777777" w:rsidTr="000675A6">
        <w:trPr>
          <w:trHeight w:val="270"/>
        </w:trPr>
        <w:tc>
          <w:tcPr>
            <w:tcW w:w="890" w:type="pct"/>
            <w:noWrap/>
          </w:tcPr>
          <w:p w14:paraId="0DC1C668"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T2DM</w:t>
            </w:r>
          </w:p>
        </w:tc>
        <w:tc>
          <w:tcPr>
            <w:tcW w:w="1370" w:type="pct"/>
            <w:noWrap/>
          </w:tcPr>
          <w:p w14:paraId="5DE531C9" w14:textId="77777777" w:rsidR="009C122B" w:rsidRPr="003D6AF6" w:rsidRDefault="009C122B" w:rsidP="000675A6">
            <w:pPr>
              <w:widowControl/>
              <w:jc w:val="left"/>
              <w:rPr>
                <w:rFonts w:eastAsia="宋体"/>
                <w:color w:val="000000"/>
                <w:kern w:val="0"/>
                <w:sz w:val="20"/>
                <w:szCs w:val="20"/>
              </w:rPr>
            </w:pPr>
          </w:p>
        </w:tc>
        <w:tc>
          <w:tcPr>
            <w:tcW w:w="1370" w:type="pct"/>
            <w:noWrap/>
          </w:tcPr>
          <w:p w14:paraId="3CB3DA17" w14:textId="77777777" w:rsidR="009C122B" w:rsidRPr="003D6AF6" w:rsidRDefault="009C122B" w:rsidP="000675A6">
            <w:pPr>
              <w:widowControl/>
              <w:jc w:val="left"/>
              <w:rPr>
                <w:rFonts w:eastAsia="宋体"/>
                <w:color w:val="000000"/>
                <w:kern w:val="0"/>
                <w:sz w:val="20"/>
                <w:szCs w:val="20"/>
              </w:rPr>
            </w:pPr>
          </w:p>
        </w:tc>
        <w:tc>
          <w:tcPr>
            <w:tcW w:w="1370" w:type="pct"/>
            <w:noWrap/>
          </w:tcPr>
          <w:p w14:paraId="5AC277AD" w14:textId="77777777" w:rsidR="009C122B" w:rsidRPr="003D6AF6" w:rsidRDefault="009C122B" w:rsidP="000675A6">
            <w:pPr>
              <w:widowControl/>
              <w:jc w:val="left"/>
              <w:rPr>
                <w:rFonts w:eastAsia="宋体"/>
                <w:color w:val="000000"/>
                <w:kern w:val="0"/>
                <w:sz w:val="20"/>
                <w:szCs w:val="20"/>
              </w:rPr>
            </w:pPr>
          </w:p>
        </w:tc>
      </w:tr>
      <w:tr w:rsidR="009C122B" w:rsidRPr="003D6AF6" w14:paraId="29DF4E19" w14:textId="77777777" w:rsidTr="000675A6">
        <w:trPr>
          <w:trHeight w:val="270"/>
        </w:trPr>
        <w:tc>
          <w:tcPr>
            <w:tcW w:w="890" w:type="pct"/>
            <w:noWrap/>
          </w:tcPr>
          <w:p w14:paraId="57148FA5"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BC</w:t>
            </w:r>
          </w:p>
        </w:tc>
        <w:tc>
          <w:tcPr>
            <w:tcW w:w="1370" w:type="pct"/>
            <w:noWrap/>
          </w:tcPr>
          <w:p w14:paraId="4AD78116"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c>
          <w:tcPr>
            <w:tcW w:w="1370" w:type="pct"/>
            <w:noWrap/>
            <w:vAlign w:val="top"/>
          </w:tcPr>
          <w:p w14:paraId="48800228"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c>
          <w:tcPr>
            <w:tcW w:w="1370" w:type="pct"/>
            <w:noWrap/>
            <w:vAlign w:val="top"/>
          </w:tcPr>
          <w:p w14:paraId="71DF9836"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r>
      <w:tr w:rsidR="009C122B" w:rsidRPr="003D6AF6" w14:paraId="0DCFE381" w14:textId="77777777" w:rsidTr="000675A6">
        <w:trPr>
          <w:trHeight w:val="270"/>
        </w:trPr>
        <w:tc>
          <w:tcPr>
            <w:tcW w:w="890" w:type="pct"/>
            <w:noWrap/>
            <w:hideMark/>
          </w:tcPr>
          <w:p w14:paraId="76C3DFEF"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DIS</w:t>
            </w:r>
          </w:p>
        </w:tc>
        <w:tc>
          <w:tcPr>
            <w:tcW w:w="1370" w:type="pct"/>
            <w:noWrap/>
            <w:hideMark/>
          </w:tcPr>
          <w:p w14:paraId="5372BF45"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1.20 (1.03 - 1.39)</w:t>
            </w:r>
          </w:p>
        </w:tc>
        <w:tc>
          <w:tcPr>
            <w:tcW w:w="1370" w:type="pct"/>
            <w:noWrap/>
            <w:hideMark/>
          </w:tcPr>
          <w:p w14:paraId="7420A62F"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1.19 (1.03 - 1.38)</w:t>
            </w:r>
          </w:p>
        </w:tc>
        <w:tc>
          <w:tcPr>
            <w:tcW w:w="1370" w:type="pct"/>
            <w:noWrap/>
            <w:hideMark/>
          </w:tcPr>
          <w:p w14:paraId="23945D66"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1.19 (1.02 - 1.38)</w:t>
            </w:r>
          </w:p>
        </w:tc>
      </w:tr>
      <w:tr w:rsidR="009C122B" w:rsidRPr="003D6AF6" w14:paraId="1444A861" w14:textId="77777777" w:rsidTr="000675A6">
        <w:trPr>
          <w:trHeight w:val="270"/>
        </w:trPr>
        <w:tc>
          <w:tcPr>
            <w:tcW w:w="890" w:type="pct"/>
            <w:noWrap/>
            <w:hideMark/>
          </w:tcPr>
          <w:p w14:paraId="7B579058"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DHG</w:t>
            </w:r>
          </w:p>
        </w:tc>
        <w:tc>
          <w:tcPr>
            <w:tcW w:w="1370" w:type="pct"/>
            <w:noWrap/>
            <w:hideMark/>
          </w:tcPr>
          <w:p w14:paraId="694980EB"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5.05 (3.96 - 6.43)</w:t>
            </w:r>
          </w:p>
        </w:tc>
        <w:tc>
          <w:tcPr>
            <w:tcW w:w="1370" w:type="pct"/>
            <w:noWrap/>
            <w:hideMark/>
          </w:tcPr>
          <w:p w14:paraId="43E3A870"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4.75 (3.72 - 6.06)</w:t>
            </w:r>
          </w:p>
        </w:tc>
        <w:tc>
          <w:tcPr>
            <w:tcW w:w="1370" w:type="pct"/>
            <w:noWrap/>
            <w:hideMark/>
          </w:tcPr>
          <w:p w14:paraId="0FC1AE34"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4.72 (3.70 - 6.02)</w:t>
            </w:r>
          </w:p>
        </w:tc>
      </w:tr>
      <w:tr w:rsidR="009C122B" w:rsidRPr="003D6AF6" w14:paraId="4B6626FF" w14:textId="77777777" w:rsidTr="000675A6">
        <w:trPr>
          <w:trHeight w:val="270"/>
        </w:trPr>
        <w:tc>
          <w:tcPr>
            <w:tcW w:w="890" w:type="pct"/>
            <w:noWrap/>
          </w:tcPr>
          <w:p w14:paraId="28FC6084"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CMD</w:t>
            </w:r>
          </w:p>
        </w:tc>
        <w:tc>
          <w:tcPr>
            <w:tcW w:w="1370" w:type="pct"/>
            <w:noWrap/>
          </w:tcPr>
          <w:p w14:paraId="750F622B" w14:textId="77777777" w:rsidR="009C122B" w:rsidRPr="003D6AF6" w:rsidRDefault="009C122B" w:rsidP="000675A6">
            <w:pPr>
              <w:widowControl/>
              <w:jc w:val="left"/>
              <w:rPr>
                <w:rFonts w:eastAsia="宋体"/>
                <w:color w:val="000000"/>
                <w:kern w:val="0"/>
                <w:sz w:val="20"/>
                <w:szCs w:val="20"/>
              </w:rPr>
            </w:pPr>
          </w:p>
        </w:tc>
        <w:tc>
          <w:tcPr>
            <w:tcW w:w="1370" w:type="pct"/>
            <w:noWrap/>
          </w:tcPr>
          <w:p w14:paraId="6A3610FE" w14:textId="77777777" w:rsidR="009C122B" w:rsidRPr="003D6AF6" w:rsidRDefault="009C122B" w:rsidP="000675A6">
            <w:pPr>
              <w:widowControl/>
              <w:jc w:val="left"/>
              <w:rPr>
                <w:rFonts w:eastAsia="宋体"/>
                <w:color w:val="000000"/>
                <w:kern w:val="0"/>
                <w:sz w:val="20"/>
                <w:szCs w:val="20"/>
              </w:rPr>
            </w:pPr>
          </w:p>
        </w:tc>
        <w:tc>
          <w:tcPr>
            <w:tcW w:w="1370" w:type="pct"/>
            <w:noWrap/>
          </w:tcPr>
          <w:p w14:paraId="3736C667" w14:textId="77777777" w:rsidR="009C122B" w:rsidRPr="003D6AF6" w:rsidRDefault="009C122B" w:rsidP="000675A6">
            <w:pPr>
              <w:widowControl/>
              <w:jc w:val="left"/>
              <w:rPr>
                <w:rFonts w:eastAsia="宋体"/>
                <w:color w:val="000000"/>
                <w:kern w:val="0"/>
                <w:sz w:val="20"/>
                <w:szCs w:val="20"/>
              </w:rPr>
            </w:pPr>
          </w:p>
        </w:tc>
      </w:tr>
      <w:tr w:rsidR="009C122B" w:rsidRPr="003D6AF6" w14:paraId="2DBEDE6A" w14:textId="77777777" w:rsidTr="000675A6">
        <w:trPr>
          <w:trHeight w:val="270"/>
        </w:trPr>
        <w:tc>
          <w:tcPr>
            <w:tcW w:w="890" w:type="pct"/>
            <w:noWrap/>
          </w:tcPr>
          <w:p w14:paraId="28F2ECB7"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BC</w:t>
            </w:r>
          </w:p>
        </w:tc>
        <w:tc>
          <w:tcPr>
            <w:tcW w:w="1370" w:type="pct"/>
            <w:noWrap/>
          </w:tcPr>
          <w:p w14:paraId="0A6FE76D"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c>
          <w:tcPr>
            <w:tcW w:w="1370" w:type="pct"/>
            <w:noWrap/>
            <w:vAlign w:val="top"/>
          </w:tcPr>
          <w:p w14:paraId="020DE3E5"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c>
          <w:tcPr>
            <w:tcW w:w="1370" w:type="pct"/>
            <w:noWrap/>
            <w:vAlign w:val="top"/>
          </w:tcPr>
          <w:p w14:paraId="69EC6A82" w14:textId="77777777" w:rsidR="009C122B" w:rsidRPr="003D6AF6" w:rsidRDefault="009C122B" w:rsidP="000675A6">
            <w:pPr>
              <w:widowControl/>
              <w:jc w:val="left"/>
              <w:rPr>
                <w:rFonts w:eastAsia="宋体"/>
                <w:color w:val="000000"/>
                <w:kern w:val="0"/>
                <w:sz w:val="20"/>
                <w:szCs w:val="20"/>
              </w:rPr>
            </w:pPr>
            <w:r w:rsidRPr="003D6AF6">
              <w:rPr>
                <w:rFonts w:eastAsia="宋体"/>
                <w:color w:val="000000"/>
                <w:kern w:val="0"/>
                <w:sz w:val="20"/>
                <w:szCs w:val="20"/>
              </w:rPr>
              <w:t>Reference</w:t>
            </w:r>
          </w:p>
        </w:tc>
      </w:tr>
      <w:tr w:rsidR="009C122B" w:rsidRPr="003D6AF6" w14:paraId="058F6EDC" w14:textId="77777777" w:rsidTr="000675A6">
        <w:trPr>
          <w:trHeight w:val="270"/>
        </w:trPr>
        <w:tc>
          <w:tcPr>
            <w:tcW w:w="890" w:type="pct"/>
            <w:noWrap/>
            <w:hideMark/>
          </w:tcPr>
          <w:p w14:paraId="0E67432E"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DIS</w:t>
            </w:r>
          </w:p>
        </w:tc>
        <w:tc>
          <w:tcPr>
            <w:tcW w:w="1370" w:type="pct"/>
            <w:noWrap/>
            <w:hideMark/>
          </w:tcPr>
          <w:p w14:paraId="2A88F7CE"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1.16 (1.05 - 1.29)</w:t>
            </w:r>
          </w:p>
        </w:tc>
        <w:tc>
          <w:tcPr>
            <w:tcW w:w="1370" w:type="pct"/>
            <w:noWrap/>
            <w:hideMark/>
          </w:tcPr>
          <w:p w14:paraId="6397673C"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1.15 (1.04 - 1.28)</w:t>
            </w:r>
          </w:p>
        </w:tc>
        <w:tc>
          <w:tcPr>
            <w:tcW w:w="1370" w:type="pct"/>
            <w:noWrap/>
            <w:hideMark/>
          </w:tcPr>
          <w:p w14:paraId="42605AFD"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1.15 (1.04 - 1.27)</w:t>
            </w:r>
          </w:p>
        </w:tc>
      </w:tr>
      <w:tr w:rsidR="009C122B" w:rsidRPr="003D6AF6" w14:paraId="2164EC5D" w14:textId="77777777" w:rsidTr="000675A6">
        <w:trPr>
          <w:trHeight w:val="270"/>
        </w:trPr>
        <w:tc>
          <w:tcPr>
            <w:tcW w:w="890" w:type="pct"/>
            <w:noWrap/>
            <w:hideMark/>
          </w:tcPr>
          <w:p w14:paraId="6A9CA451" w14:textId="77777777" w:rsidR="009C122B" w:rsidRPr="003D6AF6" w:rsidRDefault="009C122B" w:rsidP="000675A6">
            <w:pPr>
              <w:widowControl/>
              <w:ind w:firstLineChars="200" w:firstLine="400"/>
              <w:jc w:val="left"/>
              <w:rPr>
                <w:rFonts w:eastAsia="宋体"/>
                <w:color w:val="000000"/>
                <w:kern w:val="0"/>
                <w:sz w:val="20"/>
                <w:szCs w:val="20"/>
              </w:rPr>
            </w:pPr>
            <w:r w:rsidRPr="003D6AF6">
              <w:rPr>
                <w:rFonts w:eastAsia="宋体"/>
                <w:color w:val="000000"/>
                <w:kern w:val="0"/>
                <w:sz w:val="20"/>
                <w:szCs w:val="20"/>
              </w:rPr>
              <w:t>DHG</w:t>
            </w:r>
          </w:p>
        </w:tc>
        <w:tc>
          <w:tcPr>
            <w:tcW w:w="1370" w:type="pct"/>
            <w:noWrap/>
            <w:hideMark/>
          </w:tcPr>
          <w:p w14:paraId="1658B2B0"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3.08 (2.44 - 3.91)</w:t>
            </w:r>
          </w:p>
        </w:tc>
        <w:tc>
          <w:tcPr>
            <w:tcW w:w="1370" w:type="pct"/>
            <w:noWrap/>
            <w:hideMark/>
          </w:tcPr>
          <w:p w14:paraId="63CBB5B2"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2.89 (2.28 - 3.66)</w:t>
            </w:r>
          </w:p>
        </w:tc>
        <w:tc>
          <w:tcPr>
            <w:tcW w:w="1370" w:type="pct"/>
            <w:noWrap/>
            <w:hideMark/>
          </w:tcPr>
          <w:p w14:paraId="19064A81" w14:textId="77777777" w:rsidR="009C122B" w:rsidRPr="003D6AF6" w:rsidRDefault="009C122B" w:rsidP="000675A6">
            <w:pPr>
              <w:widowControl/>
              <w:jc w:val="left"/>
              <w:rPr>
                <w:rFonts w:eastAsia="宋体"/>
                <w:color w:val="000000"/>
                <w:kern w:val="0"/>
                <w:sz w:val="20"/>
                <w:szCs w:val="20"/>
              </w:rPr>
            </w:pPr>
            <w:r w:rsidRPr="003D6AF6">
              <w:rPr>
                <w:color w:val="000000"/>
                <w:sz w:val="20"/>
                <w:szCs w:val="20"/>
              </w:rPr>
              <w:t>2.87 (2.26 - 3.63)</w:t>
            </w:r>
          </w:p>
        </w:tc>
      </w:tr>
    </w:tbl>
    <w:p w14:paraId="37CC79C9" w14:textId="72B946AF" w:rsidR="009C122B" w:rsidRPr="003D6AF6" w:rsidRDefault="009C122B" w:rsidP="009C122B">
      <w:pPr>
        <w:rPr>
          <w:rFonts w:ascii="Times New Roman" w:hAnsi="Times New Roman" w:cs="Times New Roman"/>
          <w:sz w:val="20"/>
          <w:szCs w:val="20"/>
        </w:rPr>
      </w:pPr>
      <w:r w:rsidRPr="003D6AF6">
        <w:rPr>
          <w:rFonts w:ascii="Times New Roman" w:hAnsi="Times New Roman" w:cs="Times New Roman"/>
          <w:b/>
          <w:bCs/>
          <w:sz w:val="20"/>
          <w:szCs w:val="20"/>
        </w:rPr>
        <w:t xml:space="preserve">Notes: </w:t>
      </w:r>
      <w:r w:rsidRPr="003D6AF6">
        <w:rPr>
          <w:rFonts w:ascii="Times New Roman" w:hAnsi="Times New Roman" w:cs="Times New Roman"/>
          <w:sz w:val="20"/>
          <w:szCs w:val="20"/>
        </w:rPr>
        <w:t xml:space="preserve">Hazard ratios (95% CI) from Cox proportional hazards models in the </w:t>
      </w:r>
      <w:r w:rsidR="00C74C4B" w:rsidRPr="003D6AF6">
        <w:rPr>
          <w:rFonts w:ascii="Times New Roman" w:hAnsi="Times New Roman" w:cs="Times New Roman" w:hint="eastAsia"/>
          <w:sz w:val="20"/>
          <w:szCs w:val="20"/>
        </w:rPr>
        <w:t>UKB-CHV</w:t>
      </w:r>
      <w:r w:rsidRPr="003D6AF6">
        <w:rPr>
          <w:rFonts w:ascii="Times New Roman" w:hAnsi="Times New Roman" w:cs="Times New Roman"/>
          <w:sz w:val="20"/>
          <w:szCs w:val="20"/>
        </w:rPr>
        <w:t xml:space="preserve"> </w:t>
      </w:r>
      <w:r w:rsidR="00095DEE" w:rsidRPr="003D6AF6">
        <w:rPr>
          <w:rFonts w:ascii="Times New Roman" w:hAnsi="Times New Roman" w:cs="Times New Roman" w:hint="eastAsia"/>
          <w:sz w:val="20"/>
          <w:szCs w:val="20"/>
        </w:rPr>
        <w:t>set</w:t>
      </w:r>
      <w:r w:rsidRPr="003D6AF6">
        <w:rPr>
          <w:rFonts w:ascii="Times New Roman" w:hAnsi="Times New Roman" w:cs="Times New Roman"/>
          <w:sz w:val="20"/>
          <w:szCs w:val="20"/>
        </w:rPr>
        <w:t xml:space="preserve">. </w:t>
      </w:r>
      <w:r w:rsidR="00095DEE" w:rsidRPr="003D6AF6">
        <w:rPr>
          <w:rFonts w:ascii="Times New Roman" w:hAnsi="Times New Roman" w:cs="Times New Roman"/>
          <w:sz w:val="20"/>
          <w:szCs w:val="20"/>
        </w:rPr>
        <w:t>Participants with prevalent cardiometabolic disease at baseline were excluded, leaving 19,104 participants for incident disease analyses</w:t>
      </w:r>
      <w:r w:rsidR="00095DEE" w:rsidRPr="003D6AF6">
        <w:rPr>
          <w:rFonts w:ascii="Times New Roman" w:hAnsi="Times New Roman" w:cs="Times New Roman" w:hint="eastAsia"/>
          <w:sz w:val="20"/>
          <w:szCs w:val="20"/>
        </w:rPr>
        <w:t>.</w:t>
      </w:r>
      <w:r w:rsidR="00095DEE" w:rsidRPr="003D6AF6">
        <w:rPr>
          <w:rFonts w:ascii="Times New Roman" w:hAnsi="Times New Roman" w:cs="Times New Roman"/>
          <w:sz w:val="20"/>
          <w:szCs w:val="20"/>
        </w:rPr>
        <w:t xml:space="preserve"> </w:t>
      </w:r>
      <w:r w:rsidRPr="003D6AF6">
        <w:rPr>
          <w:rFonts w:ascii="Times New Roman" w:hAnsi="Times New Roman" w:cs="Times New Roman"/>
          <w:sz w:val="20"/>
          <w:szCs w:val="20"/>
        </w:rPr>
        <w:t xml:space="preserve">BC (reference group) denotes baseline concordant. Model 1: adjusted for age, sex, ethnicity and BMI. Model 2: Model 1 plus smoking status, alcohol intake, diet quality score, sleep quality score and physical activity. Model 3: Model 2 plus </w:t>
      </w:r>
      <w:r w:rsidR="00BA5D3A" w:rsidRPr="003D6AF6">
        <w:rPr>
          <w:rFonts w:ascii="Times New Roman" w:hAnsi="Times New Roman" w:cs="Times New Roman"/>
          <w:sz w:val="20"/>
          <w:szCs w:val="20"/>
        </w:rPr>
        <w:t>hypertension, eGFR, hyperlipidaemia, medication use</w:t>
      </w:r>
      <w:r w:rsidRPr="003D6AF6">
        <w:rPr>
          <w:rFonts w:ascii="Times New Roman" w:hAnsi="Times New Roman" w:cs="Times New Roman"/>
          <w:sz w:val="20"/>
          <w:szCs w:val="20"/>
        </w:rPr>
        <w:t>. IHD, ischaemic heart disease; T2DM, type 2 diabetes mellitus; CMD, composite cardiometabolic disease; DIS, discordant inflammatory state; DHG, discordant hyperglycaemic; HR, hazard ratio; CI, confidence interval</w:t>
      </w:r>
      <w:r w:rsidR="00C74C4B" w:rsidRPr="003D6AF6">
        <w:rPr>
          <w:rFonts w:ascii="Times New Roman" w:hAnsi="Times New Roman" w:cs="Times New Roman"/>
          <w:sz w:val="20"/>
          <w:szCs w:val="20"/>
        </w:rPr>
        <w:t xml:space="preserve">; </w:t>
      </w:r>
      <w:r w:rsidR="00C74C4B" w:rsidRPr="003D6AF6">
        <w:rPr>
          <w:rFonts w:ascii="Times New Roman" w:hAnsi="Times New Roman" w:cs="Times New Roman" w:hint="eastAsia"/>
          <w:sz w:val="20"/>
          <w:szCs w:val="20"/>
        </w:rPr>
        <w:t>UKB-CHV, UK Biobank centre-held-out validation</w:t>
      </w:r>
      <w:r w:rsidRPr="003D6AF6">
        <w:rPr>
          <w:rFonts w:ascii="Times New Roman" w:hAnsi="Times New Roman" w:cs="Times New Roman"/>
          <w:sz w:val="20"/>
          <w:szCs w:val="20"/>
        </w:rPr>
        <w:t>.</w:t>
      </w:r>
    </w:p>
    <w:p w14:paraId="74F54457" w14:textId="77777777" w:rsidR="002C4AC4" w:rsidRPr="003D6AF6" w:rsidRDefault="002C4AC4">
      <w:pPr>
        <w:rPr>
          <w:rFonts w:ascii="Times New Roman" w:eastAsia="宋体" w:hAnsi="Times New Roman" w:cs="Times New Roman"/>
          <w:sz w:val="20"/>
          <w:szCs w:val="20"/>
        </w:rPr>
        <w:sectPr w:rsidR="002C4AC4" w:rsidRPr="003D6AF6">
          <w:pgSz w:w="11906" w:h="16838"/>
          <w:pgMar w:top="1440" w:right="1800" w:bottom="1440" w:left="1800" w:header="851" w:footer="992" w:gutter="0"/>
          <w:cols w:space="425"/>
          <w:docGrid w:type="lines" w:linePitch="312"/>
        </w:sectPr>
      </w:pPr>
    </w:p>
    <w:p w14:paraId="1B3DD5FB" w14:textId="52D8620B" w:rsidR="002C4AC4" w:rsidRPr="003D6AF6" w:rsidRDefault="002C4AC4" w:rsidP="002C4AC4">
      <w:pPr>
        <w:outlineLvl w:val="1"/>
        <w:rPr>
          <w:rFonts w:ascii="Times New Roman" w:hAnsi="Times New Roman" w:cs="Times New Roman"/>
          <w:sz w:val="20"/>
          <w:szCs w:val="20"/>
        </w:rPr>
      </w:pPr>
      <w:bookmarkStart w:id="6" w:name="_Toc229600215"/>
      <w:r w:rsidRPr="003D6AF6">
        <w:rPr>
          <w:rFonts w:ascii="Times New Roman" w:hAnsi="Times New Roman" w:cs="Times New Roman"/>
          <w:b/>
          <w:bCs/>
          <w:sz w:val="20"/>
          <w:szCs w:val="20"/>
        </w:rPr>
        <w:lastRenderedPageBreak/>
        <w:t>Table S</w:t>
      </w:r>
      <w:r w:rsidRPr="003D6AF6">
        <w:rPr>
          <w:rFonts w:ascii="Times New Roman" w:hAnsi="Times New Roman" w:cs="Times New Roman" w:hint="eastAsia"/>
          <w:b/>
          <w:bCs/>
          <w:sz w:val="20"/>
          <w:szCs w:val="20"/>
        </w:rPr>
        <w:t>5</w:t>
      </w:r>
      <w:r w:rsidRPr="003D6AF6">
        <w:rPr>
          <w:rFonts w:ascii="Times New Roman" w:hAnsi="Times New Roman" w:cs="Times New Roman"/>
          <w:b/>
          <w:bCs/>
          <w:sz w:val="20"/>
          <w:szCs w:val="20"/>
        </w:rPr>
        <w:t xml:space="preserve">: </w:t>
      </w:r>
      <w:r w:rsidRPr="003D6AF6">
        <w:rPr>
          <w:rFonts w:ascii="Times New Roman" w:hAnsi="Times New Roman" w:cs="Times New Roman" w:hint="eastAsia"/>
          <w:sz w:val="20"/>
          <w:szCs w:val="20"/>
        </w:rPr>
        <w:t>Incremental predictive performance of ROSA probabilities beyond BMI-only and established clinical risk-score models for 10-year incident outcomes</w:t>
      </w:r>
      <w:bookmarkEnd w:id="6"/>
    </w:p>
    <w:tbl>
      <w:tblPr>
        <w:tblStyle w:val="11"/>
        <w:tblW w:w="5000" w:type="pct"/>
        <w:tblLook w:val="04A0" w:firstRow="1" w:lastRow="0" w:firstColumn="1" w:lastColumn="0" w:noHBand="0" w:noVBand="1"/>
      </w:tblPr>
      <w:tblGrid>
        <w:gridCol w:w="1126"/>
        <w:gridCol w:w="5595"/>
        <w:gridCol w:w="1542"/>
        <w:gridCol w:w="2195"/>
        <w:gridCol w:w="2540"/>
        <w:gridCol w:w="960"/>
      </w:tblGrid>
      <w:tr w:rsidR="006E6EDE" w:rsidRPr="003D6AF6" w14:paraId="48606043" w14:textId="77777777" w:rsidTr="006E6EDE">
        <w:trPr>
          <w:cnfStyle w:val="100000000000" w:firstRow="1" w:lastRow="0" w:firstColumn="0" w:lastColumn="0" w:oddVBand="0" w:evenVBand="0" w:oddHBand="0" w:evenHBand="0" w:firstRowFirstColumn="0" w:firstRowLastColumn="0" w:lastRowFirstColumn="0" w:lastRowLastColumn="0"/>
          <w:trHeight w:val="510"/>
        </w:trPr>
        <w:tc>
          <w:tcPr>
            <w:tcW w:w="403" w:type="pct"/>
            <w:hideMark/>
          </w:tcPr>
          <w:p w14:paraId="3189CAB6" w14:textId="77777777" w:rsidR="006E6EDE" w:rsidRPr="006E6EDE" w:rsidRDefault="006E6EDE" w:rsidP="006E6EDE">
            <w:pPr>
              <w:widowControl/>
              <w:jc w:val="center"/>
              <w:rPr>
                <w:rFonts w:eastAsia="宋体"/>
                <w:color w:val="000000"/>
                <w:kern w:val="0"/>
                <w:sz w:val="20"/>
                <w:szCs w:val="20"/>
                <w:lang w:val="en-US"/>
              </w:rPr>
            </w:pPr>
            <w:r w:rsidRPr="006E6EDE">
              <w:rPr>
                <w:rFonts w:eastAsia="宋体"/>
                <w:color w:val="000000"/>
                <w:kern w:val="0"/>
                <w:sz w:val="20"/>
                <w:szCs w:val="20"/>
                <w:lang w:val="en-US"/>
              </w:rPr>
              <w:t>Endpoint</w:t>
            </w:r>
          </w:p>
        </w:tc>
        <w:tc>
          <w:tcPr>
            <w:tcW w:w="2004" w:type="pct"/>
            <w:hideMark/>
          </w:tcPr>
          <w:p w14:paraId="0E3267E2" w14:textId="77777777" w:rsidR="006E6EDE" w:rsidRPr="006E6EDE" w:rsidRDefault="006E6EDE" w:rsidP="006E6EDE">
            <w:pPr>
              <w:widowControl/>
              <w:jc w:val="center"/>
              <w:rPr>
                <w:rFonts w:eastAsia="宋体"/>
                <w:color w:val="000000"/>
                <w:kern w:val="0"/>
                <w:sz w:val="20"/>
                <w:szCs w:val="20"/>
                <w:lang w:val="en-US"/>
              </w:rPr>
            </w:pPr>
            <w:r w:rsidRPr="006E6EDE">
              <w:rPr>
                <w:rFonts w:eastAsia="宋体"/>
                <w:color w:val="000000"/>
                <w:kern w:val="0"/>
                <w:sz w:val="20"/>
                <w:szCs w:val="20"/>
                <w:lang w:val="en-US"/>
              </w:rPr>
              <w:t>Model comparison</w:t>
            </w:r>
          </w:p>
        </w:tc>
        <w:tc>
          <w:tcPr>
            <w:tcW w:w="552" w:type="pct"/>
            <w:hideMark/>
          </w:tcPr>
          <w:p w14:paraId="2FE326D3" w14:textId="77777777" w:rsidR="006E6EDE" w:rsidRPr="006E6EDE" w:rsidRDefault="006E6EDE" w:rsidP="006E6EDE">
            <w:pPr>
              <w:widowControl/>
              <w:jc w:val="center"/>
              <w:rPr>
                <w:rFonts w:eastAsia="宋体"/>
                <w:color w:val="000000"/>
                <w:kern w:val="0"/>
                <w:sz w:val="20"/>
                <w:szCs w:val="20"/>
                <w:lang w:val="en-US"/>
              </w:rPr>
            </w:pPr>
            <w:r w:rsidRPr="006E6EDE">
              <w:rPr>
                <w:rFonts w:eastAsia="宋体"/>
                <w:color w:val="000000"/>
                <w:kern w:val="0"/>
                <w:sz w:val="20"/>
                <w:szCs w:val="20"/>
                <w:lang w:val="en-US"/>
              </w:rPr>
              <w:t>Base C-index</w:t>
            </w:r>
          </w:p>
        </w:tc>
        <w:tc>
          <w:tcPr>
            <w:tcW w:w="786" w:type="pct"/>
            <w:hideMark/>
          </w:tcPr>
          <w:p w14:paraId="3855364F" w14:textId="77777777" w:rsidR="006E6EDE" w:rsidRPr="006E6EDE" w:rsidRDefault="006E6EDE" w:rsidP="006E6EDE">
            <w:pPr>
              <w:widowControl/>
              <w:jc w:val="center"/>
              <w:rPr>
                <w:rFonts w:eastAsia="宋体"/>
                <w:color w:val="000000"/>
                <w:kern w:val="0"/>
                <w:sz w:val="20"/>
                <w:szCs w:val="20"/>
                <w:lang w:val="en-US"/>
              </w:rPr>
            </w:pPr>
            <w:r w:rsidRPr="006E6EDE">
              <w:rPr>
                <w:rFonts w:eastAsia="宋体"/>
                <w:color w:val="000000"/>
                <w:kern w:val="0"/>
                <w:sz w:val="20"/>
                <w:szCs w:val="20"/>
                <w:lang w:val="en-US"/>
              </w:rPr>
              <w:t>C-index with ROSA</w:t>
            </w:r>
          </w:p>
        </w:tc>
        <w:tc>
          <w:tcPr>
            <w:tcW w:w="910" w:type="pct"/>
            <w:hideMark/>
          </w:tcPr>
          <w:p w14:paraId="38113D61" w14:textId="77777777" w:rsidR="006E6EDE" w:rsidRPr="006E6EDE" w:rsidRDefault="006E6EDE" w:rsidP="006E6EDE">
            <w:pPr>
              <w:widowControl/>
              <w:jc w:val="center"/>
              <w:rPr>
                <w:rFonts w:eastAsia="宋体"/>
                <w:color w:val="000000"/>
                <w:kern w:val="0"/>
                <w:sz w:val="20"/>
                <w:szCs w:val="20"/>
                <w:lang w:val="en-US"/>
              </w:rPr>
            </w:pPr>
            <w:r w:rsidRPr="006E6EDE">
              <w:rPr>
                <w:rFonts w:eastAsia="宋体"/>
                <w:color w:val="000000"/>
                <w:kern w:val="0"/>
                <w:sz w:val="20"/>
                <w:szCs w:val="20"/>
                <w:lang w:val="en-US"/>
              </w:rPr>
              <w:t>Delta C-index (95% CI)</w:t>
            </w:r>
          </w:p>
        </w:tc>
        <w:tc>
          <w:tcPr>
            <w:tcW w:w="344" w:type="pct"/>
            <w:hideMark/>
          </w:tcPr>
          <w:p w14:paraId="086C936D" w14:textId="77777777" w:rsidR="006E6EDE" w:rsidRPr="006E6EDE" w:rsidRDefault="006E6EDE" w:rsidP="006E6EDE">
            <w:pPr>
              <w:widowControl/>
              <w:jc w:val="center"/>
              <w:rPr>
                <w:rFonts w:eastAsia="宋体"/>
                <w:color w:val="000000"/>
                <w:kern w:val="0"/>
                <w:sz w:val="20"/>
                <w:szCs w:val="20"/>
                <w:lang w:val="en-US"/>
              </w:rPr>
            </w:pPr>
            <w:r w:rsidRPr="006E6EDE">
              <w:rPr>
                <w:rFonts w:eastAsia="宋体"/>
                <w:color w:val="000000"/>
                <w:kern w:val="0"/>
                <w:sz w:val="20"/>
                <w:szCs w:val="20"/>
                <w:lang w:val="en-US"/>
              </w:rPr>
              <w:t>P value</w:t>
            </w:r>
          </w:p>
        </w:tc>
      </w:tr>
      <w:tr w:rsidR="006E6EDE" w:rsidRPr="003D6AF6" w14:paraId="1C13D04B" w14:textId="77777777" w:rsidTr="006E6EDE">
        <w:trPr>
          <w:trHeight w:val="300"/>
        </w:trPr>
        <w:tc>
          <w:tcPr>
            <w:tcW w:w="403" w:type="pct"/>
            <w:hideMark/>
          </w:tcPr>
          <w:p w14:paraId="3459D5DD" w14:textId="13CDA2A0"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IHD</w:t>
            </w:r>
          </w:p>
        </w:tc>
        <w:tc>
          <w:tcPr>
            <w:tcW w:w="2004" w:type="pct"/>
            <w:hideMark/>
          </w:tcPr>
          <w:p w14:paraId="756E4BDC"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BMI-only vs BMI-only + ROSA probabilities</w:t>
            </w:r>
          </w:p>
        </w:tc>
        <w:tc>
          <w:tcPr>
            <w:tcW w:w="552" w:type="pct"/>
            <w:hideMark/>
          </w:tcPr>
          <w:p w14:paraId="04956536"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0.576</w:t>
            </w:r>
          </w:p>
        </w:tc>
        <w:tc>
          <w:tcPr>
            <w:tcW w:w="786" w:type="pct"/>
            <w:hideMark/>
          </w:tcPr>
          <w:p w14:paraId="72587366"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0.580</w:t>
            </w:r>
          </w:p>
        </w:tc>
        <w:tc>
          <w:tcPr>
            <w:tcW w:w="910" w:type="pct"/>
            <w:hideMark/>
          </w:tcPr>
          <w:p w14:paraId="46500564"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0.004 (-0.002 to 0.010)</w:t>
            </w:r>
          </w:p>
        </w:tc>
        <w:tc>
          <w:tcPr>
            <w:tcW w:w="344" w:type="pct"/>
            <w:hideMark/>
          </w:tcPr>
          <w:p w14:paraId="06EBB88E"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0.193</w:t>
            </w:r>
          </w:p>
        </w:tc>
      </w:tr>
      <w:tr w:rsidR="006E6EDE" w:rsidRPr="003D6AF6" w14:paraId="599C0FFE" w14:textId="77777777" w:rsidTr="006E6EDE">
        <w:trPr>
          <w:trHeight w:val="300"/>
        </w:trPr>
        <w:tc>
          <w:tcPr>
            <w:tcW w:w="403" w:type="pct"/>
            <w:hideMark/>
          </w:tcPr>
          <w:p w14:paraId="3F2A8345" w14:textId="7FE4012C"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IHD</w:t>
            </w:r>
          </w:p>
        </w:tc>
        <w:tc>
          <w:tcPr>
            <w:tcW w:w="2004" w:type="pct"/>
            <w:hideMark/>
          </w:tcPr>
          <w:p w14:paraId="5CFAC67B"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QRISK3 score vs QRISK3 score + ROSA probabilities</w:t>
            </w:r>
          </w:p>
        </w:tc>
        <w:tc>
          <w:tcPr>
            <w:tcW w:w="552" w:type="pct"/>
            <w:hideMark/>
          </w:tcPr>
          <w:p w14:paraId="78CE6F47"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0.709</w:t>
            </w:r>
          </w:p>
        </w:tc>
        <w:tc>
          <w:tcPr>
            <w:tcW w:w="786" w:type="pct"/>
            <w:hideMark/>
          </w:tcPr>
          <w:p w14:paraId="228FDF2C"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0.708</w:t>
            </w:r>
          </w:p>
        </w:tc>
        <w:tc>
          <w:tcPr>
            <w:tcW w:w="910" w:type="pct"/>
            <w:hideMark/>
          </w:tcPr>
          <w:p w14:paraId="04714F83"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-0.001 (-0.003 to 0.001)</w:t>
            </w:r>
          </w:p>
        </w:tc>
        <w:tc>
          <w:tcPr>
            <w:tcW w:w="344" w:type="pct"/>
            <w:hideMark/>
          </w:tcPr>
          <w:p w14:paraId="0A0414BB"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0.347</w:t>
            </w:r>
          </w:p>
        </w:tc>
      </w:tr>
      <w:tr w:rsidR="006E6EDE" w:rsidRPr="003D6AF6" w14:paraId="24915638" w14:textId="77777777" w:rsidTr="006E6EDE">
        <w:trPr>
          <w:trHeight w:val="300"/>
        </w:trPr>
        <w:tc>
          <w:tcPr>
            <w:tcW w:w="403" w:type="pct"/>
            <w:hideMark/>
          </w:tcPr>
          <w:p w14:paraId="531E56BE" w14:textId="698FA699"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IHD</w:t>
            </w:r>
          </w:p>
        </w:tc>
        <w:tc>
          <w:tcPr>
            <w:tcW w:w="2004" w:type="pct"/>
            <w:hideMark/>
          </w:tcPr>
          <w:p w14:paraId="4DF29E33"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Framingham score vs Framingham score + ROSA probabilities</w:t>
            </w:r>
          </w:p>
        </w:tc>
        <w:tc>
          <w:tcPr>
            <w:tcW w:w="552" w:type="pct"/>
            <w:hideMark/>
          </w:tcPr>
          <w:p w14:paraId="6A4D7C15"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0.679</w:t>
            </w:r>
          </w:p>
        </w:tc>
        <w:tc>
          <w:tcPr>
            <w:tcW w:w="786" w:type="pct"/>
            <w:hideMark/>
          </w:tcPr>
          <w:p w14:paraId="399E1DAD"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0.676</w:t>
            </w:r>
          </w:p>
        </w:tc>
        <w:tc>
          <w:tcPr>
            <w:tcW w:w="910" w:type="pct"/>
            <w:hideMark/>
          </w:tcPr>
          <w:p w14:paraId="01E54CD8"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-0.003 (-0.008 to 0.002)</w:t>
            </w:r>
          </w:p>
        </w:tc>
        <w:tc>
          <w:tcPr>
            <w:tcW w:w="344" w:type="pct"/>
            <w:hideMark/>
          </w:tcPr>
          <w:p w14:paraId="54C1A986"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0.173</w:t>
            </w:r>
          </w:p>
        </w:tc>
      </w:tr>
      <w:tr w:rsidR="006E6EDE" w:rsidRPr="003D6AF6" w14:paraId="2AE3661A" w14:textId="77777777" w:rsidTr="006E6EDE">
        <w:trPr>
          <w:trHeight w:val="300"/>
        </w:trPr>
        <w:tc>
          <w:tcPr>
            <w:tcW w:w="403" w:type="pct"/>
            <w:hideMark/>
          </w:tcPr>
          <w:p w14:paraId="76A57955"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Stroke</w:t>
            </w:r>
          </w:p>
        </w:tc>
        <w:tc>
          <w:tcPr>
            <w:tcW w:w="2004" w:type="pct"/>
            <w:hideMark/>
          </w:tcPr>
          <w:p w14:paraId="452CADA9"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BMI-only vs BMI-only + ROSA probabilities</w:t>
            </w:r>
          </w:p>
        </w:tc>
        <w:tc>
          <w:tcPr>
            <w:tcW w:w="552" w:type="pct"/>
            <w:hideMark/>
          </w:tcPr>
          <w:p w14:paraId="1BE5A20D"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0.568</w:t>
            </w:r>
          </w:p>
        </w:tc>
        <w:tc>
          <w:tcPr>
            <w:tcW w:w="786" w:type="pct"/>
            <w:hideMark/>
          </w:tcPr>
          <w:p w14:paraId="53868213"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0.560</w:t>
            </w:r>
          </w:p>
        </w:tc>
        <w:tc>
          <w:tcPr>
            <w:tcW w:w="910" w:type="pct"/>
            <w:hideMark/>
          </w:tcPr>
          <w:p w14:paraId="6A38E9F7"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-0.008 (-0.022 to 0.009)</w:t>
            </w:r>
          </w:p>
        </w:tc>
        <w:tc>
          <w:tcPr>
            <w:tcW w:w="344" w:type="pct"/>
            <w:hideMark/>
          </w:tcPr>
          <w:p w14:paraId="2474AB7B"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0.320</w:t>
            </w:r>
          </w:p>
        </w:tc>
      </w:tr>
      <w:tr w:rsidR="006E6EDE" w:rsidRPr="003D6AF6" w14:paraId="5EBAC461" w14:textId="77777777" w:rsidTr="006E6EDE">
        <w:trPr>
          <w:trHeight w:val="300"/>
        </w:trPr>
        <w:tc>
          <w:tcPr>
            <w:tcW w:w="403" w:type="pct"/>
            <w:hideMark/>
          </w:tcPr>
          <w:p w14:paraId="70D0B3CE"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Stroke</w:t>
            </w:r>
          </w:p>
        </w:tc>
        <w:tc>
          <w:tcPr>
            <w:tcW w:w="2004" w:type="pct"/>
            <w:hideMark/>
          </w:tcPr>
          <w:p w14:paraId="118EE72A"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QRISK3 score vs QRISK3 score + ROSA probabilities</w:t>
            </w:r>
          </w:p>
        </w:tc>
        <w:tc>
          <w:tcPr>
            <w:tcW w:w="552" w:type="pct"/>
            <w:hideMark/>
          </w:tcPr>
          <w:p w14:paraId="71F3109E"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0.723</w:t>
            </w:r>
          </w:p>
        </w:tc>
        <w:tc>
          <w:tcPr>
            <w:tcW w:w="786" w:type="pct"/>
            <w:hideMark/>
          </w:tcPr>
          <w:p w14:paraId="14D161CE"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0.722</w:t>
            </w:r>
          </w:p>
        </w:tc>
        <w:tc>
          <w:tcPr>
            <w:tcW w:w="910" w:type="pct"/>
            <w:hideMark/>
          </w:tcPr>
          <w:p w14:paraId="3FA1DE99"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-0.001 (-0.003 to 0.001)</w:t>
            </w:r>
          </w:p>
        </w:tc>
        <w:tc>
          <w:tcPr>
            <w:tcW w:w="344" w:type="pct"/>
            <w:hideMark/>
          </w:tcPr>
          <w:p w14:paraId="3FE5675A"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0.360</w:t>
            </w:r>
          </w:p>
        </w:tc>
      </w:tr>
      <w:tr w:rsidR="006E6EDE" w:rsidRPr="003D6AF6" w14:paraId="1D7B86A3" w14:textId="77777777" w:rsidTr="006E6EDE">
        <w:trPr>
          <w:trHeight w:val="300"/>
        </w:trPr>
        <w:tc>
          <w:tcPr>
            <w:tcW w:w="403" w:type="pct"/>
            <w:hideMark/>
          </w:tcPr>
          <w:p w14:paraId="3E0CB187"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Stroke</w:t>
            </w:r>
          </w:p>
        </w:tc>
        <w:tc>
          <w:tcPr>
            <w:tcW w:w="2004" w:type="pct"/>
            <w:hideMark/>
          </w:tcPr>
          <w:p w14:paraId="08035E4A"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Framingham score vs Framingham score + ROSA probabilities</w:t>
            </w:r>
          </w:p>
        </w:tc>
        <w:tc>
          <w:tcPr>
            <w:tcW w:w="552" w:type="pct"/>
            <w:hideMark/>
          </w:tcPr>
          <w:p w14:paraId="49ADAB48"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0.670</w:t>
            </w:r>
          </w:p>
        </w:tc>
        <w:tc>
          <w:tcPr>
            <w:tcW w:w="786" w:type="pct"/>
            <w:hideMark/>
          </w:tcPr>
          <w:p w14:paraId="2690C47F"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0.664</w:t>
            </w:r>
          </w:p>
        </w:tc>
        <w:tc>
          <w:tcPr>
            <w:tcW w:w="910" w:type="pct"/>
            <w:hideMark/>
          </w:tcPr>
          <w:p w14:paraId="1ACEFFBA"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-0.006 (-0.013 to 0.000)</w:t>
            </w:r>
          </w:p>
        </w:tc>
        <w:tc>
          <w:tcPr>
            <w:tcW w:w="344" w:type="pct"/>
            <w:hideMark/>
          </w:tcPr>
          <w:p w14:paraId="12352FE8"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0.067</w:t>
            </w:r>
          </w:p>
        </w:tc>
      </w:tr>
      <w:tr w:rsidR="006E6EDE" w:rsidRPr="003D6AF6" w14:paraId="73715741" w14:textId="77777777" w:rsidTr="006E6EDE">
        <w:trPr>
          <w:trHeight w:val="300"/>
        </w:trPr>
        <w:tc>
          <w:tcPr>
            <w:tcW w:w="403" w:type="pct"/>
            <w:hideMark/>
          </w:tcPr>
          <w:p w14:paraId="26E8ED43" w14:textId="08EFD370"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T2DM</w:t>
            </w:r>
          </w:p>
        </w:tc>
        <w:tc>
          <w:tcPr>
            <w:tcW w:w="2004" w:type="pct"/>
            <w:hideMark/>
          </w:tcPr>
          <w:p w14:paraId="50E2F935"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BMI-only vs BMI-only + ROSA probabilities</w:t>
            </w:r>
          </w:p>
        </w:tc>
        <w:tc>
          <w:tcPr>
            <w:tcW w:w="552" w:type="pct"/>
            <w:hideMark/>
          </w:tcPr>
          <w:p w14:paraId="668582C0"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0.728</w:t>
            </w:r>
          </w:p>
        </w:tc>
        <w:tc>
          <w:tcPr>
            <w:tcW w:w="786" w:type="pct"/>
            <w:hideMark/>
          </w:tcPr>
          <w:p w14:paraId="2AF5ECB3"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0.743</w:t>
            </w:r>
          </w:p>
        </w:tc>
        <w:tc>
          <w:tcPr>
            <w:tcW w:w="910" w:type="pct"/>
            <w:hideMark/>
          </w:tcPr>
          <w:p w14:paraId="3786468D"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0.014 (0.009 to 0.021)</w:t>
            </w:r>
          </w:p>
        </w:tc>
        <w:tc>
          <w:tcPr>
            <w:tcW w:w="344" w:type="pct"/>
            <w:hideMark/>
          </w:tcPr>
          <w:p w14:paraId="354D598D"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&lt;0.001</w:t>
            </w:r>
          </w:p>
        </w:tc>
      </w:tr>
      <w:tr w:rsidR="006E6EDE" w:rsidRPr="003D6AF6" w14:paraId="6937F3F9" w14:textId="77777777" w:rsidTr="006E6EDE">
        <w:trPr>
          <w:trHeight w:val="300"/>
        </w:trPr>
        <w:tc>
          <w:tcPr>
            <w:tcW w:w="403" w:type="pct"/>
            <w:hideMark/>
          </w:tcPr>
          <w:p w14:paraId="5E2D3B11" w14:textId="0E7C691A"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T2DM</w:t>
            </w:r>
          </w:p>
        </w:tc>
        <w:tc>
          <w:tcPr>
            <w:tcW w:w="2004" w:type="pct"/>
            <w:hideMark/>
          </w:tcPr>
          <w:p w14:paraId="083FEF18"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QRISK3 score vs QRISK3 score + ROSA probabilities</w:t>
            </w:r>
          </w:p>
        </w:tc>
        <w:tc>
          <w:tcPr>
            <w:tcW w:w="552" w:type="pct"/>
            <w:hideMark/>
          </w:tcPr>
          <w:p w14:paraId="1BE08B3E"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0.703</w:t>
            </w:r>
          </w:p>
        </w:tc>
        <w:tc>
          <w:tcPr>
            <w:tcW w:w="786" w:type="pct"/>
            <w:hideMark/>
          </w:tcPr>
          <w:p w14:paraId="104A9761"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0.711</w:t>
            </w:r>
          </w:p>
        </w:tc>
        <w:tc>
          <w:tcPr>
            <w:tcW w:w="910" w:type="pct"/>
            <w:hideMark/>
          </w:tcPr>
          <w:p w14:paraId="189E0D27"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0.008 (0.004 to 0.014)</w:t>
            </w:r>
          </w:p>
        </w:tc>
        <w:tc>
          <w:tcPr>
            <w:tcW w:w="344" w:type="pct"/>
            <w:hideMark/>
          </w:tcPr>
          <w:p w14:paraId="026B4B64"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&lt;0.001</w:t>
            </w:r>
          </w:p>
        </w:tc>
      </w:tr>
      <w:tr w:rsidR="006E6EDE" w:rsidRPr="003D6AF6" w14:paraId="10CA669C" w14:textId="77777777" w:rsidTr="006E6EDE">
        <w:trPr>
          <w:trHeight w:val="300"/>
        </w:trPr>
        <w:tc>
          <w:tcPr>
            <w:tcW w:w="403" w:type="pct"/>
            <w:hideMark/>
          </w:tcPr>
          <w:p w14:paraId="22977D97" w14:textId="2B6972BF"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T2DM</w:t>
            </w:r>
          </w:p>
        </w:tc>
        <w:tc>
          <w:tcPr>
            <w:tcW w:w="2004" w:type="pct"/>
            <w:hideMark/>
          </w:tcPr>
          <w:p w14:paraId="28B9C414"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Framingham score vs Framingham score + ROSA probabilities</w:t>
            </w:r>
          </w:p>
        </w:tc>
        <w:tc>
          <w:tcPr>
            <w:tcW w:w="552" w:type="pct"/>
            <w:hideMark/>
          </w:tcPr>
          <w:p w14:paraId="6F9B8895"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0.657</w:t>
            </w:r>
          </w:p>
        </w:tc>
        <w:tc>
          <w:tcPr>
            <w:tcW w:w="786" w:type="pct"/>
            <w:hideMark/>
          </w:tcPr>
          <w:p w14:paraId="3CD3AB2C"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0.668</w:t>
            </w:r>
          </w:p>
        </w:tc>
        <w:tc>
          <w:tcPr>
            <w:tcW w:w="910" w:type="pct"/>
            <w:hideMark/>
          </w:tcPr>
          <w:p w14:paraId="1F5A9852"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0.011 (0.003 to 0.019)</w:t>
            </w:r>
          </w:p>
        </w:tc>
        <w:tc>
          <w:tcPr>
            <w:tcW w:w="344" w:type="pct"/>
            <w:hideMark/>
          </w:tcPr>
          <w:p w14:paraId="71923364"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0.007</w:t>
            </w:r>
          </w:p>
        </w:tc>
      </w:tr>
      <w:tr w:rsidR="006E6EDE" w:rsidRPr="003D6AF6" w14:paraId="3AE3E45F" w14:textId="77777777" w:rsidTr="006E6EDE">
        <w:trPr>
          <w:trHeight w:val="300"/>
        </w:trPr>
        <w:tc>
          <w:tcPr>
            <w:tcW w:w="403" w:type="pct"/>
            <w:hideMark/>
          </w:tcPr>
          <w:p w14:paraId="3FCF3C13" w14:textId="4EF9896E"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CMD</w:t>
            </w:r>
          </w:p>
        </w:tc>
        <w:tc>
          <w:tcPr>
            <w:tcW w:w="2004" w:type="pct"/>
            <w:hideMark/>
          </w:tcPr>
          <w:p w14:paraId="0C4070BC"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BMI-only vs BMI-only + ROSA probabilities</w:t>
            </w:r>
          </w:p>
        </w:tc>
        <w:tc>
          <w:tcPr>
            <w:tcW w:w="552" w:type="pct"/>
            <w:hideMark/>
          </w:tcPr>
          <w:p w14:paraId="6C4F8F64"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0.632</w:t>
            </w:r>
          </w:p>
        </w:tc>
        <w:tc>
          <w:tcPr>
            <w:tcW w:w="786" w:type="pct"/>
            <w:hideMark/>
          </w:tcPr>
          <w:p w14:paraId="433CE7D0"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0.637</w:t>
            </w:r>
          </w:p>
        </w:tc>
        <w:tc>
          <w:tcPr>
            <w:tcW w:w="910" w:type="pct"/>
            <w:hideMark/>
          </w:tcPr>
          <w:p w14:paraId="1295F367"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0.006 (0.001 to 0.010)</w:t>
            </w:r>
          </w:p>
        </w:tc>
        <w:tc>
          <w:tcPr>
            <w:tcW w:w="344" w:type="pct"/>
            <w:hideMark/>
          </w:tcPr>
          <w:p w14:paraId="1DA76BEB"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0.007</w:t>
            </w:r>
          </w:p>
        </w:tc>
      </w:tr>
      <w:tr w:rsidR="006E6EDE" w:rsidRPr="003D6AF6" w14:paraId="253A3BBF" w14:textId="77777777" w:rsidTr="006E6EDE">
        <w:trPr>
          <w:trHeight w:val="300"/>
        </w:trPr>
        <w:tc>
          <w:tcPr>
            <w:tcW w:w="403" w:type="pct"/>
            <w:hideMark/>
          </w:tcPr>
          <w:p w14:paraId="53BCEDB9" w14:textId="043009CC"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CMD</w:t>
            </w:r>
          </w:p>
        </w:tc>
        <w:tc>
          <w:tcPr>
            <w:tcW w:w="2004" w:type="pct"/>
            <w:hideMark/>
          </w:tcPr>
          <w:p w14:paraId="11F8AA8D"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QRISK3 score vs QRISK3 score + ROSA probabilities</w:t>
            </w:r>
          </w:p>
        </w:tc>
        <w:tc>
          <w:tcPr>
            <w:tcW w:w="552" w:type="pct"/>
            <w:hideMark/>
          </w:tcPr>
          <w:p w14:paraId="125FB3C8"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0.705</w:t>
            </w:r>
          </w:p>
        </w:tc>
        <w:tc>
          <w:tcPr>
            <w:tcW w:w="786" w:type="pct"/>
            <w:hideMark/>
          </w:tcPr>
          <w:p w14:paraId="7C80C51D"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0.708</w:t>
            </w:r>
          </w:p>
        </w:tc>
        <w:tc>
          <w:tcPr>
            <w:tcW w:w="910" w:type="pct"/>
            <w:hideMark/>
          </w:tcPr>
          <w:p w14:paraId="7316D1FB"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0.002 (0.000 to 0.005)</w:t>
            </w:r>
          </w:p>
        </w:tc>
        <w:tc>
          <w:tcPr>
            <w:tcW w:w="344" w:type="pct"/>
            <w:hideMark/>
          </w:tcPr>
          <w:p w14:paraId="4D82927A"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0.047</w:t>
            </w:r>
          </w:p>
        </w:tc>
      </w:tr>
      <w:tr w:rsidR="006E6EDE" w:rsidRPr="003D6AF6" w14:paraId="225B8DD5" w14:textId="77777777" w:rsidTr="006E6EDE">
        <w:trPr>
          <w:trHeight w:val="300"/>
        </w:trPr>
        <w:tc>
          <w:tcPr>
            <w:tcW w:w="403" w:type="pct"/>
            <w:hideMark/>
          </w:tcPr>
          <w:p w14:paraId="4612D7AB" w14:textId="50A997D6"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CMD</w:t>
            </w:r>
          </w:p>
        </w:tc>
        <w:tc>
          <w:tcPr>
            <w:tcW w:w="2004" w:type="pct"/>
            <w:hideMark/>
          </w:tcPr>
          <w:p w14:paraId="5BE88752"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Framingham score vs Framingham score + ROSA probabilities</w:t>
            </w:r>
          </w:p>
        </w:tc>
        <w:tc>
          <w:tcPr>
            <w:tcW w:w="552" w:type="pct"/>
            <w:hideMark/>
          </w:tcPr>
          <w:p w14:paraId="4C994F81"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0.669</w:t>
            </w:r>
          </w:p>
        </w:tc>
        <w:tc>
          <w:tcPr>
            <w:tcW w:w="786" w:type="pct"/>
            <w:hideMark/>
          </w:tcPr>
          <w:p w14:paraId="308BDF61"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0.671</w:t>
            </w:r>
          </w:p>
        </w:tc>
        <w:tc>
          <w:tcPr>
            <w:tcW w:w="910" w:type="pct"/>
            <w:hideMark/>
          </w:tcPr>
          <w:p w14:paraId="01056C13"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0.002 (-0.003 to 0.006)</w:t>
            </w:r>
          </w:p>
        </w:tc>
        <w:tc>
          <w:tcPr>
            <w:tcW w:w="344" w:type="pct"/>
            <w:hideMark/>
          </w:tcPr>
          <w:p w14:paraId="480FD497"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0.467</w:t>
            </w:r>
          </w:p>
        </w:tc>
      </w:tr>
      <w:tr w:rsidR="006E6EDE" w:rsidRPr="003D6AF6" w14:paraId="3C227090" w14:textId="77777777" w:rsidTr="006E6EDE">
        <w:trPr>
          <w:trHeight w:val="300"/>
        </w:trPr>
        <w:tc>
          <w:tcPr>
            <w:tcW w:w="403" w:type="pct"/>
            <w:hideMark/>
          </w:tcPr>
          <w:p w14:paraId="2D5CF5AD" w14:textId="6FD71247"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CVD</w:t>
            </w:r>
          </w:p>
        </w:tc>
        <w:tc>
          <w:tcPr>
            <w:tcW w:w="2004" w:type="pct"/>
            <w:hideMark/>
          </w:tcPr>
          <w:p w14:paraId="6249CAC2"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BMI-only vs BMI-only + ROSA probabilities</w:t>
            </w:r>
          </w:p>
        </w:tc>
        <w:tc>
          <w:tcPr>
            <w:tcW w:w="552" w:type="pct"/>
            <w:hideMark/>
          </w:tcPr>
          <w:p w14:paraId="42E87A5A"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0.576</w:t>
            </w:r>
          </w:p>
        </w:tc>
        <w:tc>
          <w:tcPr>
            <w:tcW w:w="786" w:type="pct"/>
            <w:hideMark/>
          </w:tcPr>
          <w:p w14:paraId="6BAAA383"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0.578</w:t>
            </w:r>
          </w:p>
        </w:tc>
        <w:tc>
          <w:tcPr>
            <w:tcW w:w="910" w:type="pct"/>
            <w:hideMark/>
          </w:tcPr>
          <w:p w14:paraId="0C4FCA1C"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0.002 (-0.004 to 0.007)</w:t>
            </w:r>
          </w:p>
        </w:tc>
        <w:tc>
          <w:tcPr>
            <w:tcW w:w="344" w:type="pct"/>
            <w:hideMark/>
          </w:tcPr>
          <w:p w14:paraId="6C094ED7"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0.513</w:t>
            </w:r>
          </w:p>
        </w:tc>
      </w:tr>
      <w:tr w:rsidR="006E6EDE" w:rsidRPr="003D6AF6" w14:paraId="708C3FE3" w14:textId="77777777" w:rsidTr="006E6EDE">
        <w:trPr>
          <w:trHeight w:val="300"/>
        </w:trPr>
        <w:tc>
          <w:tcPr>
            <w:tcW w:w="403" w:type="pct"/>
            <w:hideMark/>
          </w:tcPr>
          <w:p w14:paraId="104511DE" w14:textId="77912DFD"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CVD</w:t>
            </w:r>
          </w:p>
        </w:tc>
        <w:tc>
          <w:tcPr>
            <w:tcW w:w="2004" w:type="pct"/>
            <w:hideMark/>
          </w:tcPr>
          <w:p w14:paraId="44CB250D"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QRISK3 score vs QRISK3 score + ROSA probabilities</w:t>
            </w:r>
          </w:p>
        </w:tc>
        <w:tc>
          <w:tcPr>
            <w:tcW w:w="552" w:type="pct"/>
            <w:hideMark/>
          </w:tcPr>
          <w:p w14:paraId="7939A505"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0.712</w:t>
            </w:r>
          </w:p>
        </w:tc>
        <w:tc>
          <w:tcPr>
            <w:tcW w:w="786" w:type="pct"/>
            <w:hideMark/>
          </w:tcPr>
          <w:p w14:paraId="337CA674"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0.711</w:t>
            </w:r>
          </w:p>
        </w:tc>
        <w:tc>
          <w:tcPr>
            <w:tcW w:w="910" w:type="pct"/>
            <w:hideMark/>
          </w:tcPr>
          <w:p w14:paraId="500A90DF"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-0.001 (-0.003 to 0.001)</w:t>
            </w:r>
          </w:p>
        </w:tc>
        <w:tc>
          <w:tcPr>
            <w:tcW w:w="344" w:type="pct"/>
            <w:hideMark/>
          </w:tcPr>
          <w:p w14:paraId="4064A7F5"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0.313</w:t>
            </w:r>
          </w:p>
        </w:tc>
      </w:tr>
      <w:tr w:rsidR="006E6EDE" w:rsidRPr="003D6AF6" w14:paraId="02C4EED2" w14:textId="77777777" w:rsidTr="006E6EDE">
        <w:trPr>
          <w:trHeight w:val="300"/>
        </w:trPr>
        <w:tc>
          <w:tcPr>
            <w:tcW w:w="403" w:type="pct"/>
            <w:hideMark/>
          </w:tcPr>
          <w:p w14:paraId="4F7BD828" w14:textId="54BEB3C6" w:rsidR="006E6EDE" w:rsidRPr="006E6EDE" w:rsidRDefault="006E6EDE" w:rsidP="006E6EDE">
            <w:pPr>
              <w:widowControl/>
              <w:jc w:val="left"/>
              <w:rPr>
                <w:rFonts w:eastAsia="宋体"/>
                <w:color w:val="000000"/>
                <w:kern w:val="0"/>
                <w:sz w:val="20"/>
                <w:szCs w:val="20"/>
                <w:lang w:val="en-US"/>
              </w:rPr>
            </w:pPr>
            <w:r w:rsidRPr="003D6AF6">
              <w:rPr>
                <w:rFonts w:eastAsia="宋体" w:hint="eastAsia"/>
                <w:color w:val="000000"/>
                <w:kern w:val="0"/>
                <w:sz w:val="20"/>
                <w:szCs w:val="20"/>
                <w:lang w:val="en-US"/>
              </w:rPr>
              <w:t>CVD</w:t>
            </w:r>
          </w:p>
        </w:tc>
        <w:tc>
          <w:tcPr>
            <w:tcW w:w="2004" w:type="pct"/>
            <w:hideMark/>
          </w:tcPr>
          <w:p w14:paraId="5D205790"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Framingham score vs Framingham score + ROSA probabilities</w:t>
            </w:r>
          </w:p>
        </w:tc>
        <w:tc>
          <w:tcPr>
            <w:tcW w:w="552" w:type="pct"/>
            <w:hideMark/>
          </w:tcPr>
          <w:p w14:paraId="558418EC"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0.680</w:t>
            </w:r>
          </w:p>
        </w:tc>
        <w:tc>
          <w:tcPr>
            <w:tcW w:w="786" w:type="pct"/>
            <w:hideMark/>
          </w:tcPr>
          <w:p w14:paraId="47BCE8AE" w14:textId="77777777" w:rsidR="006E6EDE" w:rsidRPr="006E6EDE" w:rsidRDefault="006E6EDE" w:rsidP="006E6EDE">
            <w:pPr>
              <w:widowControl/>
              <w:jc w:val="right"/>
              <w:rPr>
                <w:rFonts w:eastAsia="宋体"/>
                <w:color w:val="000000"/>
                <w:kern w:val="0"/>
                <w:sz w:val="20"/>
                <w:szCs w:val="20"/>
                <w:lang w:val="en-US"/>
              </w:rPr>
            </w:pPr>
            <w:r w:rsidRPr="006E6EDE">
              <w:rPr>
                <w:rFonts w:eastAsia="宋体"/>
                <w:color w:val="000000"/>
                <w:kern w:val="0"/>
                <w:sz w:val="20"/>
                <w:szCs w:val="20"/>
                <w:lang w:val="en-US"/>
              </w:rPr>
              <w:t>0.676</w:t>
            </w:r>
          </w:p>
        </w:tc>
        <w:tc>
          <w:tcPr>
            <w:tcW w:w="910" w:type="pct"/>
            <w:hideMark/>
          </w:tcPr>
          <w:p w14:paraId="353737F9"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-0.004 (-0.008 to 0.000)</w:t>
            </w:r>
          </w:p>
        </w:tc>
        <w:tc>
          <w:tcPr>
            <w:tcW w:w="344" w:type="pct"/>
            <w:hideMark/>
          </w:tcPr>
          <w:p w14:paraId="226B205A" w14:textId="77777777" w:rsidR="006E6EDE" w:rsidRPr="006E6EDE" w:rsidRDefault="006E6EDE" w:rsidP="006E6EDE">
            <w:pPr>
              <w:widowControl/>
              <w:jc w:val="left"/>
              <w:rPr>
                <w:rFonts w:eastAsia="宋体"/>
                <w:color w:val="000000"/>
                <w:kern w:val="0"/>
                <w:sz w:val="20"/>
                <w:szCs w:val="20"/>
                <w:lang w:val="en-US"/>
              </w:rPr>
            </w:pPr>
            <w:r w:rsidRPr="006E6EDE">
              <w:rPr>
                <w:rFonts w:eastAsia="宋体"/>
                <w:color w:val="000000"/>
                <w:kern w:val="0"/>
                <w:sz w:val="20"/>
                <w:szCs w:val="20"/>
                <w:lang w:val="en-US"/>
              </w:rPr>
              <w:t>0.087</w:t>
            </w:r>
          </w:p>
        </w:tc>
      </w:tr>
    </w:tbl>
    <w:p w14:paraId="0F3A5487" w14:textId="16D47D81" w:rsidR="002C4AC4" w:rsidRPr="003D6AF6" w:rsidRDefault="002C4AC4" w:rsidP="002C4AC4">
      <w:pPr>
        <w:rPr>
          <w:rFonts w:ascii="Times New Roman" w:hAnsi="Times New Roman" w:cs="Times New Roman"/>
          <w:sz w:val="20"/>
          <w:szCs w:val="20"/>
        </w:rPr>
      </w:pPr>
      <w:r w:rsidRPr="003D6AF6">
        <w:rPr>
          <w:rFonts w:ascii="Times New Roman" w:hAnsi="Times New Roman" w:cs="Times New Roman"/>
          <w:b/>
          <w:bCs/>
          <w:sz w:val="20"/>
          <w:szCs w:val="20"/>
        </w:rPr>
        <w:t xml:space="preserve">Notes: </w:t>
      </w:r>
      <w:r w:rsidRPr="003D6AF6">
        <w:rPr>
          <w:rFonts w:ascii="Times New Roman" w:hAnsi="Times New Roman" w:cs="Times New Roman"/>
          <w:sz w:val="20"/>
          <w:szCs w:val="20"/>
        </w:rPr>
        <w:t>Concordance indices were compared between base prediction models and corresponding models additionally incorporating ROSA-predicted subtype probabilities. Endpoints were 10-year incident ischaemic heart disease, stroke, type 2 diabetes mellitus, composite cardiometabolic disease and cardiovascular disease. Base models included a BMI-only model, a QRISK3 score model and a Framingham score model. For each endpoint and comparison, Δ C-index was calculated as the C-index of the model including ROSA probabilities minus the C-index of the corresponding base model. ROSA probabilities refer to the predicted probabilities for the three retina-derived obesity subtypes generated by the ROSA model. IHD, ischaemic heart disease; T2DM, type 2 diabetes mellitus; CMD, cardiometabolic disease; CVD, cardiovascular disease; BMI, body-mass index; ROSA, Retinal-based Obesity Subtyping Algorithm.</w:t>
      </w:r>
    </w:p>
    <w:p w14:paraId="3A68F13B" w14:textId="77777777" w:rsidR="00DE58ED" w:rsidRPr="003D6AF6" w:rsidRDefault="00DE58ED">
      <w:pPr>
        <w:rPr>
          <w:rFonts w:ascii="Times New Roman" w:hAnsi="Times New Roman" w:cs="Times New Roman"/>
          <w:b/>
          <w:bCs/>
          <w:sz w:val="20"/>
          <w:szCs w:val="20"/>
        </w:rPr>
        <w:sectPr w:rsidR="00DE58ED" w:rsidRPr="003D6AF6" w:rsidSect="006E6EDE">
          <w:pgSz w:w="16838" w:h="11906" w:orient="landscape"/>
          <w:pgMar w:top="1800" w:right="1440" w:bottom="1800" w:left="1440" w:header="851" w:footer="992" w:gutter="0"/>
          <w:cols w:space="425"/>
          <w:docGrid w:type="lines" w:linePitch="312"/>
        </w:sectPr>
      </w:pPr>
    </w:p>
    <w:p w14:paraId="36CD1554" w14:textId="60A68622" w:rsidR="00450581" w:rsidRPr="003D6AF6" w:rsidRDefault="00450581" w:rsidP="00450581">
      <w:pPr>
        <w:outlineLvl w:val="0"/>
        <w:rPr>
          <w:rFonts w:ascii="Times New Roman" w:eastAsia="宋体" w:hAnsi="Times New Roman" w:cs="Times New Roman"/>
          <w:b/>
          <w:bCs/>
          <w:sz w:val="20"/>
          <w:szCs w:val="20"/>
        </w:rPr>
      </w:pPr>
      <w:bookmarkStart w:id="7" w:name="_Toc229600216"/>
      <w:r w:rsidRPr="003D6AF6">
        <w:rPr>
          <w:rFonts w:ascii="Times New Roman" w:eastAsia="宋体" w:hAnsi="Times New Roman" w:cs="Times New Roman"/>
          <w:b/>
          <w:bCs/>
          <w:sz w:val="20"/>
          <w:szCs w:val="20"/>
        </w:rPr>
        <w:lastRenderedPageBreak/>
        <w:t>Supplementary Figures</w:t>
      </w:r>
      <w:bookmarkEnd w:id="7"/>
    </w:p>
    <w:p w14:paraId="66FB3CC6" w14:textId="78A105D4" w:rsidR="001D5239" w:rsidRPr="003D6AF6" w:rsidRDefault="00C74C4B">
      <w:pPr>
        <w:rPr>
          <w:rFonts w:ascii="Times New Roman" w:eastAsia="宋体" w:hAnsi="Times New Roman" w:cs="Times New Roman"/>
          <w:sz w:val="20"/>
          <w:szCs w:val="20"/>
        </w:rPr>
      </w:pPr>
      <w:r w:rsidRPr="003D6AF6">
        <w:rPr>
          <w:noProof/>
        </w:rPr>
        <w:drawing>
          <wp:inline distT="0" distB="0" distL="0" distR="0" wp14:anchorId="65BF5297" wp14:editId="1C35629C">
            <wp:extent cx="5274310" cy="4483100"/>
            <wp:effectExtent l="0" t="0" r="2540" b="0"/>
            <wp:docPr id="9905377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483100"/>
                    </a:xfrm>
                    <a:prstGeom prst="rect">
                      <a:avLst/>
                    </a:prstGeom>
                    <a:noFill/>
                    <a:ln>
                      <a:noFill/>
                    </a:ln>
                  </pic:spPr>
                </pic:pic>
              </a:graphicData>
            </a:graphic>
          </wp:inline>
        </w:drawing>
      </w:r>
    </w:p>
    <w:p w14:paraId="1616C043" w14:textId="17AB3F88" w:rsidR="00450581" w:rsidRPr="003D6AF6" w:rsidRDefault="00DE58ED" w:rsidP="00450581">
      <w:pPr>
        <w:outlineLvl w:val="1"/>
        <w:rPr>
          <w:rFonts w:ascii="Times New Roman" w:eastAsia="宋体" w:hAnsi="Times New Roman" w:cs="Times New Roman"/>
          <w:sz w:val="20"/>
          <w:szCs w:val="20"/>
        </w:rPr>
      </w:pPr>
      <w:bookmarkStart w:id="8" w:name="_Toc229600217"/>
      <w:r w:rsidRPr="003D6AF6">
        <w:rPr>
          <w:rFonts w:ascii="Times New Roman" w:eastAsia="宋体" w:hAnsi="Times New Roman" w:cs="Times New Roman"/>
          <w:b/>
          <w:bCs/>
          <w:sz w:val="20"/>
          <w:szCs w:val="20"/>
        </w:rPr>
        <w:t>Figure S1:</w:t>
      </w:r>
      <w:r w:rsidRPr="003D6AF6">
        <w:rPr>
          <w:rFonts w:ascii="Times New Roman" w:eastAsia="宋体" w:hAnsi="Times New Roman" w:cs="Times New Roman"/>
          <w:sz w:val="20"/>
          <w:szCs w:val="20"/>
        </w:rPr>
        <w:t xml:space="preserve"> Participant inclusion and exclusion flowchart</w:t>
      </w:r>
      <w:bookmarkEnd w:id="8"/>
      <w:r w:rsidRPr="003D6AF6">
        <w:rPr>
          <w:rFonts w:ascii="Times New Roman" w:eastAsia="宋体" w:hAnsi="Times New Roman" w:cs="Times New Roman"/>
          <w:sz w:val="20"/>
          <w:szCs w:val="20"/>
        </w:rPr>
        <w:t xml:space="preserve"> </w:t>
      </w:r>
    </w:p>
    <w:p w14:paraId="6C79EB8B" w14:textId="018CCCB9" w:rsidR="009F0305" w:rsidRPr="003D6AF6" w:rsidRDefault="00DE58ED">
      <w:pPr>
        <w:rPr>
          <w:rFonts w:ascii="Times New Roman" w:eastAsia="宋体" w:hAnsi="Times New Roman" w:cs="Times New Roman"/>
          <w:sz w:val="20"/>
          <w:szCs w:val="20"/>
        </w:rPr>
        <w:sectPr w:rsidR="009F0305" w:rsidRPr="003D6AF6">
          <w:pgSz w:w="11906" w:h="16838"/>
          <w:pgMar w:top="1440" w:right="1800" w:bottom="1440" w:left="1800" w:header="851" w:footer="992" w:gutter="0"/>
          <w:cols w:space="425"/>
          <w:docGrid w:type="lines" w:linePitch="312"/>
        </w:sectPr>
      </w:pPr>
      <w:r w:rsidRPr="003D6AF6">
        <w:rPr>
          <w:rFonts w:ascii="Times New Roman" w:eastAsia="宋体" w:hAnsi="Times New Roman" w:cs="Times New Roman"/>
          <w:sz w:val="20"/>
          <w:szCs w:val="20"/>
        </w:rPr>
        <w:t xml:space="preserve">Flow diagram showing the selection of participants from the UK Biobank (left) and Beijing Health Management Cohort (right). UK Biobank participants were included if they had at least one gradable fundus image and complete data for all ten biochemical markers. The final UK Biobank analytic sample comprised 37,137 participants allocated to </w:t>
      </w:r>
      <w:r w:rsidR="00C74C4B" w:rsidRPr="003D6AF6">
        <w:rPr>
          <w:rFonts w:ascii="Times New Roman" w:eastAsia="宋体" w:hAnsi="Times New Roman" w:cs="Times New Roman" w:hint="eastAsia"/>
          <w:sz w:val="20"/>
          <w:szCs w:val="20"/>
        </w:rPr>
        <w:t xml:space="preserve">UKB-DT </w:t>
      </w:r>
      <w:r w:rsidRPr="003D6AF6">
        <w:rPr>
          <w:rFonts w:ascii="Times New Roman" w:eastAsia="宋体" w:hAnsi="Times New Roman" w:cs="Times New Roman"/>
          <w:sz w:val="20"/>
          <w:szCs w:val="20"/>
        </w:rPr>
        <w:t xml:space="preserve">(n = 13,487), </w:t>
      </w:r>
      <w:r w:rsidR="00C74C4B" w:rsidRPr="003D6AF6">
        <w:rPr>
          <w:rFonts w:ascii="Times New Roman" w:eastAsia="宋体" w:hAnsi="Times New Roman" w:cs="Times New Roman" w:hint="eastAsia"/>
          <w:sz w:val="20"/>
          <w:szCs w:val="20"/>
        </w:rPr>
        <w:t>UKB-DV</w:t>
      </w:r>
      <w:r w:rsidRPr="003D6AF6">
        <w:rPr>
          <w:rFonts w:ascii="Times New Roman" w:eastAsia="宋体" w:hAnsi="Times New Roman" w:cs="Times New Roman"/>
          <w:sz w:val="20"/>
          <w:szCs w:val="20"/>
        </w:rPr>
        <w:t xml:space="preserve"> (n = 3,246), and </w:t>
      </w:r>
      <w:r w:rsidR="00C74C4B" w:rsidRPr="003D6AF6">
        <w:rPr>
          <w:rFonts w:ascii="Times New Roman" w:eastAsia="宋体" w:hAnsi="Times New Roman" w:cs="Times New Roman" w:hint="eastAsia"/>
          <w:sz w:val="20"/>
          <w:szCs w:val="20"/>
        </w:rPr>
        <w:t xml:space="preserve">UKB-CHV </w:t>
      </w:r>
      <w:r w:rsidRPr="003D6AF6">
        <w:rPr>
          <w:rFonts w:ascii="Times New Roman" w:eastAsia="宋体" w:hAnsi="Times New Roman" w:cs="Times New Roman"/>
          <w:sz w:val="20"/>
          <w:szCs w:val="20"/>
        </w:rPr>
        <w:t>(n = 20,404) sets by assessment centre.</w:t>
      </w:r>
      <w:r w:rsidR="003A36ED" w:rsidRPr="003D6AF6">
        <w:rPr>
          <w:rFonts w:ascii="Times New Roman" w:eastAsia="宋体" w:hAnsi="Times New Roman" w:cs="Times New Roman" w:hint="eastAsia"/>
          <w:sz w:val="20"/>
          <w:szCs w:val="20"/>
        </w:rPr>
        <w:t xml:space="preserve"> </w:t>
      </w:r>
      <w:r w:rsidR="003A36ED" w:rsidRPr="003D6AF6">
        <w:rPr>
          <w:rFonts w:ascii="Times New Roman" w:eastAsia="宋体" w:hAnsi="Times New Roman" w:cs="Times New Roman"/>
          <w:sz w:val="20"/>
          <w:szCs w:val="20"/>
        </w:rPr>
        <w:t xml:space="preserve">Participants with prevalent cardiometabolic disease at baseline were further excluded from the </w:t>
      </w:r>
      <w:r w:rsidR="00DF3BF0">
        <w:rPr>
          <w:rFonts w:ascii="Times New Roman" w:eastAsia="宋体" w:hAnsi="Times New Roman" w:cs="Times New Roman" w:hint="eastAsia"/>
          <w:sz w:val="20"/>
          <w:szCs w:val="20"/>
        </w:rPr>
        <w:t>UKB-CHV</w:t>
      </w:r>
      <w:r w:rsidR="003A36ED" w:rsidRPr="003D6AF6">
        <w:rPr>
          <w:rFonts w:ascii="Times New Roman" w:eastAsia="宋体" w:hAnsi="Times New Roman" w:cs="Times New Roman"/>
          <w:sz w:val="20"/>
          <w:szCs w:val="20"/>
        </w:rPr>
        <w:t xml:space="preserve"> </w:t>
      </w:r>
      <w:r w:rsidR="00095DEE" w:rsidRPr="003D6AF6">
        <w:rPr>
          <w:rFonts w:ascii="Times New Roman" w:eastAsia="宋体" w:hAnsi="Times New Roman" w:cs="Times New Roman" w:hint="eastAsia"/>
          <w:sz w:val="20"/>
          <w:szCs w:val="20"/>
        </w:rPr>
        <w:t>set</w:t>
      </w:r>
      <w:r w:rsidR="003A36ED" w:rsidRPr="003D6AF6">
        <w:rPr>
          <w:rFonts w:ascii="Times New Roman" w:eastAsia="宋体" w:hAnsi="Times New Roman" w:cs="Times New Roman"/>
          <w:sz w:val="20"/>
          <w:szCs w:val="20"/>
        </w:rPr>
        <w:t xml:space="preserve"> for incident outcome analyses, as described in the main text.</w:t>
      </w:r>
      <w:r w:rsidRPr="003D6AF6">
        <w:rPr>
          <w:rFonts w:ascii="Times New Roman" w:eastAsia="宋体" w:hAnsi="Times New Roman" w:cs="Times New Roman"/>
          <w:sz w:val="20"/>
          <w:szCs w:val="20"/>
        </w:rPr>
        <w:t xml:space="preserve"> The BHMC</w:t>
      </w:r>
      <w:r w:rsidR="00C74C4B" w:rsidRPr="003D6AF6">
        <w:rPr>
          <w:rFonts w:ascii="Times New Roman" w:eastAsia="宋体" w:hAnsi="Times New Roman" w:cs="Times New Roman" w:hint="eastAsia"/>
          <w:sz w:val="20"/>
          <w:szCs w:val="20"/>
        </w:rPr>
        <w:t xml:space="preserve">-EV set </w:t>
      </w:r>
      <w:r w:rsidRPr="003D6AF6">
        <w:rPr>
          <w:rFonts w:ascii="Times New Roman" w:eastAsia="宋体" w:hAnsi="Times New Roman" w:cs="Times New Roman"/>
          <w:sz w:val="20"/>
          <w:szCs w:val="20"/>
        </w:rPr>
        <w:t>(n = 26,556) served as an independent cross-ethnic external validation set</w:t>
      </w:r>
      <w:r w:rsidR="00C74C4B" w:rsidRPr="003D6AF6">
        <w:rPr>
          <w:rFonts w:ascii="Times New Roman" w:hAnsi="Times New Roman" w:cs="Times New Roman" w:hint="eastAsia"/>
          <w:sz w:val="20"/>
          <w:szCs w:val="20"/>
        </w:rPr>
        <w:t>. UKB-DT, UK Biobank development train; UKB-DV, UK Biobank development validation; UKB-CHV, UK Biobank centre-held-out validation; BHMC-EV, Beijing Health Management Cohort external validation</w:t>
      </w:r>
      <w:r w:rsidRPr="003D6AF6">
        <w:rPr>
          <w:rFonts w:ascii="Times New Roman" w:eastAsia="宋体" w:hAnsi="Times New Roman" w:cs="Times New Roman"/>
          <w:sz w:val="20"/>
          <w:szCs w:val="20"/>
        </w:rPr>
        <w:t>.</w:t>
      </w:r>
      <w:r w:rsidR="003A36ED" w:rsidRPr="003D6AF6">
        <w:rPr>
          <w:rFonts w:ascii="Times New Roman" w:eastAsia="宋体" w:hAnsi="Times New Roman" w:cs="Times New Roman" w:hint="eastAsia"/>
          <w:sz w:val="20"/>
          <w:szCs w:val="20"/>
        </w:rPr>
        <w:t xml:space="preserve"> </w:t>
      </w:r>
    </w:p>
    <w:p w14:paraId="35D2AF77" w14:textId="1E3CBAE8" w:rsidR="001D5239" w:rsidRPr="003D6AF6" w:rsidRDefault="008249D4">
      <w:pPr>
        <w:rPr>
          <w:rFonts w:ascii="Times New Roman" w:eastAsia="宋体" w:hAnsi="Times New Roman" w:cs="Times New Roman"/>
          <w:sz w:val="20"/>
          <w:szCs w:val="20"/>
        </w:rPr>
      </w:pPr>
      <w:r w:rsidRPr="003D6AF6">
        <w:rPr>
          <w:rFonts w:ascii="Times New Roman" w:eastAsia="宋体" w:hAnsi="Times New Roman" w:cs="Times New Roman"/>
          <w:noProof/>
          <w:sz w:val="20"/>
          <w:szCs w:val="20"/>
        </w:rPr>
        <w:lastRenderedPageBreak/>
        <w:drawing>
          <wp:inline distT="0" distB="0" distL="0" distR="0" wp14:anchorId="0D4337C6" wp14:editId="0E1A33AA">
            <wp:extent cx="5274310" cy="3562350"/>
            <wp:effectExtent l="0" t="0" r="0" b="0"/>
            <wp:docPr id="473102023"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02023" name=""/>
                    <pic:cNvPicPr/>
                  </pic:nvPicPr>
                  <pic:blipFill>
                    <a:blip r:embed="rId8">
                      <a:extLst>
                        <a:ext uri="{96DAC541-7B7A-43D3-8B79-37D633B846F1}">
                          <asvg:svgBlip xmlns:asvg="http://schemas.microsoft.com/office/drawing/2016/SVG/main" r:embed="rId9"/>
                        </a:ext>
                      </a:extLst>
                    </a:blip>
                    <a:stretch>
                      <a:fillRect/>
                    </a:stretch>
                  </pic:blipFill>
                  <pic:spPr>
                    <a:xfrm>
                      <a:off x="0" y="0"/>
                      <a:ext cx="5274310" cy="3562350"/>
                    </a:xfrm>
                    <a:prstGeom prst="rect">
                      <a:avLst/>
                    </a:prstGeom>
                  </pic:spPr>
                </pic:pic>
              </a:graphicData>
            </a:graphic>
          </wp:inline>
        </w:drawing>
      </w:r>
    </w:p>
    <w:p w14:paraId="42758C5E" w14:textId="1FB1018D" w:rsidR="009F0305" w:rsidRPr="003D6AF6" w:rsidRDefault="009F0305" w:rsidP="009F0305">
      <w:pPr>
        <w:outlineLvl w:val="1"/>
        <w:rPr>
          <w:rFonts w:ascii="Times New Roman" w:eastAsia="宋体" w:hAnsi="Times New Roman" w:cs="Times New Roman"/>
          <w:b/>
          <w:bCs/>
          <w:sz w:val="20"/>
          <w:szCs w:val="20"/>
        </w:rPr>
      </w:pPr>
      <w:bookmarkStart w:id="9" w:name="_Toc229600218"/>
      <w:r w:rsidRPr="003D6AF6">
        <w:rPr>
          <w:rFonts w:ascii="Times New Roman" w:eastAsia="宋体" w:hAnsi="Times New Roman" w:cs="Times New Roman"/>
          <w:b/>
          <w:bCs/>
          <w:sz w:val="20"/>
          <w:szCs w:val="20"/>
        </w:rPr>
        <w:t xml:space="preserve">Figure S2: </w:t>
      </w:r>
      <w:r w:rsidR="00FE1480" w:rsidRPr="003D6AF6">
        <w:rPr>
          <w:rFonts w:ascii="Times New Roman" w:eastAsia="宋体" w:hAnsi="Times New Roman" w:cs="Times New Roman" w:hint="eastAsia"/>
          <w:sz w:val="20"/>
          <w:szCs w:val="20"/>
        </w:rPr>
        <w:t>Latent profile analysis model selection for subtype number</w:t>
      </w:r>
      <w:bookmarkEnd w:id="9"/>
    </w:p>
    <w:p w14:paraId="4170680D" w14:textId="6D9AC9FD" w:rsidR="009F0305" w:rsidRPr="003D6AF6" w:rsidRDefault="00ED3F3A">
      <w:pPr>
        <w:rPr>
          <w:rFonts w:ascii="Times New Roman" w:eastAsia="宋体" w:hAnsi="Times New Roman" w:cs="Times New Roman"/>
          <w:sz w:val="20"/>
          <w:szCs w:val="20"/>
        </w:rPr>
        <w:sectPr w:rsidR="009F0305" w:rsidRPr="003D6AF6" w:rsidSect="009F0305">
          <w:pgSz w:w="11906" w:h="16838"/>
          <w:pgMar w:top="1440" w:right="1800" w:bottom="1440" w:left="1800" w:header="851" w:footer="992" w:gutter="0"/>
          <w:cols w:space="425"/>
          <w:docGrid w:type="lines" w:linePitch="312"/>
        </w:sectPr>
      </w:pPr>
      <w:r w:rsidRPr="003D6AF6">
        <w:rPr>
          <w:rFonts w:ascii="Times New Roman" w:eastAsia="宋体" w:hAnsi="Times New Roman" w:cs="Times New Roman"/>
          <w:b/>
          <w:bCs/>
          <w:sz w:val="20"/>
          <w:szCs w:val="20"/>
        </w:rPr>
        <w:t>a,</w:t>
      </w:r>
      <w:r w:rsidR="009F0305" w:rsidRPr="003D6AF6">
        <w:rPr>
          <w:rFonts w:ascii="Times New Roman" w:eastAsia="宋体" w:hAnsi="Times New Roman" w:cs="Times New Roman"/>
          <w:sz w:val="20"/>
          <w:szCs w:val="20"/>
        </w:rPr>
        <w:t xml:space="preserve"> Information criteria (AIC, BIC, ICL, SABIC) across 2–10 profile solutions fitted by Gaussian mixture models (mclust v6.1.2). The ICL criterion was minimised at G = 6 (dashed line); BIC and SABIC showed diminishing improvement beyond G = 3, consistent with an inflection point at the three-profile boundary. </w:t>
      </w:r>
      <w:r w:rsidRPr="003D6AF6">
        <w:rPr>
          <w:rFonts w:ascii="Times New Roman" w:eastAsia="宋体" w:hAnsi="Times New Roman" w:cs="Times New Roman"/>
          <w:b/>
          <w:bCs/>
          <w:sz w:val="20"/>
          <w:szCs w:val="20"/>
        </w:rPr>
        <w:t>b,</w:t>
      </w:r>
      <w:r w:rsidR="009F0305" w:rsidRPr="003D6AF6">
        <w:rPr>
          <w:rFonts w:ascii="Times New Roman" w:eastAsia="宋体" w:hAnsi="Times New Roman" w:cs="Times New Roman"/>
          <w:sz w:val="20"/>
          <w:szCs w:val="20"/>
        </w:rPr>
        <w:t xml:space="preserve"> Classification entropy and minimum average posterior probability across profile solutions. Entropy remained stable (approximately 0.75) from G = 3 onwards; however, the minimum average posterior probability declined progressively beyond G = 5, indicating increasing classification uncertainty in higher-order solutions. </w:t>
      </w:r>
      <w:r w:rsidRPr="003D6AF6">
        <w:rPr>
          <w:rFonts w:ascii="Times New Roman" w:eastAsia="宋体" w:hAnsi="Times New Roman" w:cs="Times New Roman"/>
          <w:b/>
          <w:bCs/>
          <w:sz w:val="20"/>
          <w:szCs w:val="20"/>
        </w:rPr>
        <w:t>c,</w:t>
      </w:r>
      <w:r w:rsidR="009F0305" w:rsidRPr="003D6AF6">
        <w:rPr>
          <w:rFonts w:ascii="Times New Roman" w:eastAsia="宋体" w:hAnsi="Times New Roman" w:cs="Times New Roman"/>
          <w:sz w:val="20"/>
          <w:szCs w:val="20"/>
        </w:rPr>
        <w:t xml:space="preserve"> Bootstrap stability of the three-profile solution (20 iterations). Jaccard coefficients exceeded the 0.75 stability threshold (red dashed line) for all three profiles: BC (median 0.95), DIS (median 0.92), and DHG (median 0.75), confirming acceptable-to-high resampling stability. </w:t>
      </w:r>
      <w:r w:rsidRPr="003D6AF6">
        <w:rPr>
          <w:rFonts w:ascii="Times New Roman" w:eastAsia="宋体" w:hAnsi="Times New Roman" w:cs="Times New Roman"/>
          <w:b/>
          <w:bCs/>
          <w:sz w:val="20"/>
          <w:szCs w:val="20"/>
        </w:rPr>
        <w:t>d,</w:t>
      </w:r>
      <w:r w:rsidR="009F0305" w:rsidRPr="003D6AF6">
        <w:rPr>
          <w:rFonts w:ascii="Times New Roman" w:eastAsia="宋体" w:hAnsi="Times New Roman" w:cs="Times New Roman"/>
          <w:sz w:val="20"/>
          <w:szCs w:val="20"/>
        </w:rPr>
        <w:t xml:space="preserve"> Cross-classification of the six-profile solution onto the three-profile solution in the </w:t>
      </w:r>
      <w:r w:rsidR="00C74C4B" w:rsidRPr="003D6AF6">
        <w:rPr>
          <w:rFonts w:ascii="Times New Roman" w:eastAsia="宋体" w:hAnsi="Times New Roman" w:cs="Times New Roman" w:hint="eastAsia"/>
          <w:sz w:val="20"/>
          <w:szCs w:val="20"/>
        </w:rPr>
        <w:t xml:space="preserve">UKB-DT </w:t>
      </w:r>
      <w:r w:rsidR="009F0305" w:rsidRPr="003D6AF6">
        <w:rPr>
          <w:rFonts w:ascii="Times New Roman" w:eastAsia="宋体" w:hAnsi="Times New Roman" w:cs="Times New Roman"/>
          <w:sz w:val="20"/>
          <w:szCs w:val="20"/>
        </w:rPr>
        <w:t xml:space="preserve">set (row percentages). Several six-profile classes showed mixed allocation across the three parent profiles (e.g., G6_P2: 71.5% to G3_P1 and 28.3% to G3_P2), indicating poor separability at G = 6. </w:t>
      </w:r>
      <w:r w:rsidRPr="003D6AF6">
        <w:rPr>
          <w:rFonts w:ascii="Times New Roman" w:eastAsia="宋体" w:hAnsi="Times New Roman" w:cs="Times New Roman"/>
          <w:b/>
          <w:bCs/>
          <w:sz w:val="20"/>
          <w:szCs w:val="20"/>
        </w:rPr>
        <w:t>e,</w:t>
      </w:r>
      <w:r w:rsidR="009F0305" w:rsidRPr="003D6AF6">
        <w:rPr>
          <w:rFonts w:ascii="Times New Roman" w:eastAsia="宋体" w:hAnsi="Times New Roman" w:cs="Times New Roman"/>
          <w:sz w:val="20"/>
          <w:szCs w:val="20"/>
        </w:rPr>
        <w:t xml:space="preserve"> Cross-classification of the five-profile solution onto the three-profile solution. All five profiles mapped near-exclusively onto a single three-profile parent (≥99.7%), demonstrating that the additional profiles at G = 5 represent sub-divisions of the baseline concordant class rather than novel cardiometabolic phenotypes. </w:t>
      </w:r>
      <w:r w:rsidRPr="003D6AF6">
        <w:rPr>
          <w:rFonts w:ascii="Times New Roman" w:eastAsia="宋体" w:hAnsi="Times New Roman" w:cs="Times New Roman"/>
          <w:b/>
          <w:bCs/>
          <w:sz w:val="20"/>
          <w:szCs w:val="20"/>
        </w:rPr>
        <w:t>f,</w:t>
      </w:r>
      <w:r w:rsidR="009F0305" w:rsidRPr="003D6AF6">
        <w:rPr>
          <w:rFonts w:ascii="Times New Roman" w:eastAsia="宋体" w:hAnsi="Times New Roman" w:cs="Times New Roman"/>
          <w:sz w:val="20"/>
          <w:szCs w:val="20"/>
        </w:rPr>
        <w:t xml:space="preserve"> Cross-classification of the four-profile solution onto the three-profile solution. Two of four profiles (G4_P1 and G4_P2) showed approximately 23% leakage into G3_P2 (DIS), suggesting incomplete separation of the inflammatory profile at G = 4. Together, these analyses support the three-profile solution as the most parsimonious, stable, and clinically interpretable partitioning of cardiometabolic heterogeneity within obesity. BC, baseline concordant; DIS, discordant inflammatory state; DHG, discordant hyperglycaemic; ICL, integrated completed likelihood; BIC, Bayesian information criterion; AIC, Akaike information criterion; SABIC, sample-size adjusted BIC</w:t>
      </w:r>
      <w:r w:rsidR="00C74C4B" w:rsidRPr="003D6AF6">
        <w:rPr>
          <w:rFonts w:ascii="Times New Roman" w:eastAsia="宋体" w:hAnsi="Times New Roman" w:cs="Times New Roman" w:hint="eastAsia"/>
          <w:sz w:val="20"/>
          <w:szCs w:val="20"/>
        </w:rPr>
        <w:t xml:space="preserve">; </w:t>
      </w:r>
      <w:r w:rsidR="00C74C4B" w:rsidRPr="003D6AF6">
        <w:rPr>
          <w:rFonts w:ascii="Times New Roman" w:hAnsi="Times New Roman" w:cs="Times New Roman" w:hint="eastAsia"/>
          <w:sz w:val="20"/>
          <w:szCs w:val="20"/>
        </w:rPr>
        <w:t>UKB-DT, UK Biobank development train</w:t>
      </w:r>
      <w:r w:rsidR="009F0305" w:rsidRPr="003D6AF6">
        <w:rPr>
          <w:rFonts w:ascii="Times New Roman" w:eastAsia="宋体" w:hAnsi="Times New Roman" w:cs="Times New Roman"/>
          <w:sz w:val="20"/>
          <w:szCs w:val="20"/>
        </w:rPr>
        <w:t>.</w:t>
      </w:r>
    </w:p>
    <w:p w14:paraId="44CC3FF0" w14:textId="7FAB6CBE" w:rsidR="009F0305" w:rsidRPr="003D6AF6" w:rsidRDefault="008249D4">
      <w:pPr>
        <w:rPr>
          <w:rFonts w:ascii="Times New Roman" w:eastAsia="宋体" w:hAnsi="Times New Roman" w:cs="Times New Roman"/>
          <w:sz w:val="20"/>
          <w:szCs w:val="20"/>
        </w:rPr>
      </w:pPr>
      <w:r w:rsidRPr="003D6AF6">
        <w:rPr>
          <w:rFonts w:ascii="Times New Roman" w:eastAsia="宋体" w:hAnsi="Times New Roman" w:cs="Times New Roman"/>
          <w:noProof/>
          <w:sz w:val="20"/>
          <w:szCs w:val="20"/>
        </w:rPr>
        <w:lastRenderedPageBreak/>
        <w:drawing>
          <wp:inline distT="0" distB="0" distL="0" distR="0" wp14:anchorId="6BA48B4A" wp14:editId="620F4A8A">
            <wp:extent cx="5274310" cy="4621530"/>
            <wp:effectExtent l="0" t="0" r="0" b="0"/>
            <wp:docPr id="180677431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77431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274310" cy="4621530"/>
                    </a:xfrm>
                    <a:prstGeom prst="rect">
                      <a:avLst/>
                    </a:prstGeom>
                  </pic:spPr>
                </pic:pic>
              </a:graphicData>
            </a:graphic>
          </wp:inline>
        </w:drawing>
      </w:r>
    </w:p>
    <w:p w14:paraId="26F9053E" w14:textId="64953A17" w:rsidR="009F0305" w:rsidRPr="003D6AF6" w:rsidRDefault="009F0305" w:rsidP="009F0305">
      <w:pPr>
        <w:outlineLvl w:val="1"/>
        <w:rPr>
          <w:rFonts w:ascii="Times New Roman" w:eastAsia="宋体" w:hAnsi="Times New Roman" w:cs="Times New Roman"/>
          <w:sz w:val="20"/>
          <w:szCs w:val="20"/>
        </w:rPr>
      </w:pPr>
      <w:bookmarkStart w:id="10" w:name="_Toc229600219"/>
      <w:r w:rsidRPr="003D6AF6">
        <w:rPr>
          <w:rFonts w:ascii="Times New Roman" w:eastAsia="宋体" w:hAnsi="Times New Roman" w:cs="Times New Roman"/>
          <w:b/>
          <w:bCs/>
          <w:sz w:val="20"/>
          <w:szCs w:val="20"/>
        </w:rPr>
        <w:t xml:space="preserve">Figure S3: </w:t>
      </w:r>
      <w:r w:rsidRPr="003D6AF6">
        <w:rPr>
          <w:rFonts w:ascii="Times New Roman" w:eastAsia="宋体" w:hAnsi="Times New Roman" w:cs="Times New Roman"/>
          <w:sz w:val="20"/>
          <w:szCs w:val="20"/>
        </w:rPr>
        <w:t>Biochemical residual profiles for alternative latent profile analysis solutions (G = 4, 5, and 6), stratified by sex</w:t>
      </w:r>
      <w:bookmarkEnd w:id="10"/>
      <w:r w:rsidRPr="003D6AF6">
        <w:rPr>
          <w:rFonts w:ascii="Times New Roman" w:eastAsia="宋体" w:hAnsi="Times New Roman" w:cs="Times New Roman"/>
          <w:sz w:val="20"/>
          <w:szCs w:val="20"/>
        </w:rPr>
        <w:t xml:space="preserve"> </w:t>
      </w:r>
    </w:p>
    <w:p w14:paraId="4F5757B0" w14:textId="66989255" w:rsidR="009F0305" w:rsidRPr="003D6AF6" w:rsidRDefault="009F0305">
      <w:pPr>
        <w:rPr>
          <w:rFonts w:ascii="Times New Roman" w:eastAsia="宋体" w:hAnsi="Times New Roman" w:cs="Times New Roman"/>
          <w:sz w:val="20"/>
          <w:szCs w:val="20"/>
        </w:rPr>
        <w:sectPr w:rsidR="009F0305" w:rsidRPr="003D6AF6" w:rsidSect="009F0305">
          <w:pgSz w:w="11906" w:h="16838"/>
          <w:pgMar w:top="1440" w:right="1800" w:bottom="1440" w:left="1800" w:header="851" w:footer="992" w:gutter="0"/>
          <w:cols w:space="425"/>
          <w:docGrid w:type="lines" w:linePitch="312"/>
        </w:sectPr>
      </w:pPr>
      <w:r w:rsidRPr="003D6AF6">
        <w:rPr>
          <w:rFonts w:ascii="Times New Roman" w:eastAsia="宋体" w:hAnsi="Times New Roman" w:cs="Times New Roman"/>
          <w:sz w:val="20"/>
          <w:szCs w:val="20"/>
        </w:rPr>
        <w:t xml:space="preserve">Standardised biochemical residual profiles (z-scores) for each latent profile across the 10 cardiometabolic indicators in the </w:t>
      </w:r>
      <w:r w:rsidR="00A72AEB" w:rsidRPr="003D6AF6">
        <w:rPr>
          <w:rFonts w:ascii="Times New Roman" w:eastAsia="宋体" w:hAnsi="Times New Roman" w:cs="Times New Roman" w:hint="eastAsia"/>
          <w:sz w:val="20"/>
          <w:szCs w:val="20"/>
        </w:rPr>
        <w:t xml:space="preserve">UKB-DT </w:t>
      </w:r>
      <w:r w:rsidRPr="003D6AF6">
        <w:rPr>
          <w:rFonts w:ascii="Times New Roman" w:eastAsia="宋体" w:hAnsi="Times New Roman" w:cs="Times New Roman"/>
          <w:sz w:val="20"/>
          <w:szCs w:val="20"/>
        </w:rPr>
        <w:t xml:space="preserve">set. </w:t>
      </w:r>
      <w:r w:rsidR="00ED3F3A" w:rsidRPr="003D6AF6">
        <w:rPr>
          <w:rFonts w:ascii="Times New Roman" w:eastAsia="宋体" w:hAnsi="Times New Roman" w:cs="Times New Roman"/>
          <w:b/>
          <w:bCs/>
          <w:sz w:val="20"/>
          <w:szCs w:val="20"/>
        </w:rPr>
        <w:t>a,</w:t>
      </w:r>
      <w:r w:rsidR="AFC0115E" w:rsidRPr="003D6AF6">
        <w:rPr>
          <w:rFonts w:ascii="Times New Roman" w:eastAsia="宋体" w:hAnsi="Times New Roman" w:cs="Times New Roman"/>
          <w:b/>
          <w:bCs/>
          <w:sz w:val="20"/>
          <w:szCs w:val="20"/>
        </w:rPr>
        <w:t xml:space="preserve"> b,</w:t>
      </w:r>
      <w:r w:rsidR="AFC0115E" w:rsidRPr="003D6AF6">
        <w:rPr>
          <w:rFonts w:ascii="Times New Roman" w:eastAsia="宋体" w:hAnsi="Times New Roman" w:cs="Times New Roman"/>
          <w:sz w:val="20"/>
          <w:szCs w:val="20"/>
        </w:rPr>
        <w:t xml:space="preserve"> Six-profile solution in males (</w:t>
      </w:r>
      <w:r w:rsidR="00ED3F3A" w:rsidRPr="003D6AF6">
        <w:rPr>
          <w:rFonts w:ascii="Times New Roman" w:eastAsia="宋体" w:hAnsi="Times New Roman" w:cs="Times New Roman"/>
          <w:b/>
          <w:bCs/>
          <w:sz w:val="20"/>
          <w:szCs w:val="20"/>
        </w:rPr>
        <w:t>a</w:t>
      </w:r>
      <w:r w:rsidRPr="003D6AF6">
        <w:rPr>
          <w:rFonts w:ascii="Times New Roman" w:eastAsia="宋体" w:hAnsi="Times New Roman" w:cs="Times New Roman"/>
          <w:sz w:val="20"/>
          <w:szCs w:val="20"/>
        </w:rPr>
        <w:t>) and females (</w:t>
      </w:r>
      <w:r w:rsidR="00ED3F3A" w:rsidRPr="003D6AF6">
        <w:rPr>
          <w:rFonts w:ascii="Times New Roman" w:eastAsia="宋体" w:hAnsi="Times New Roman" w:cs="Times New Roman"/>
          <w:b/>
          <w:bCs/>
          <w:sz w:val="20"/>
          <w:szCs w:val="20"/>
        </w:rPr>
        <w:t>b</w:t>
      </w:r>
      <w:r w:rsidRPr="003D6AF6">
        <w:rPr>
          <w:rFonts w:ascii="Times New Roman" w:eastAsia="宋体" w:hAnsi="Times New Roman" w:cs="Times New Roman"/>
          <w:sz w:val="20"/>
          <w:szCs w:val="20"/>
        </w:rPr>
        <w:t>). Multiple profiles exhibit overlapping biochemical signatures—particularly profiles 1–4, which cluster near-zero residuals across most indicators—consistent with the high classification entropy observed at G = 6.</w:t>
      </w:r>
      <w:r w:rsidR="00ED3F3A" w:rsidRPr="003D6AF6">
        <w:rPr>
          <w:rFonts w:ascii="Times New Roman" w:eastAsia="宋体" w:hAnsi="Times New Roman" w:cs="Times New Roman"/>
          <w:b/>
          <w:bCs/>
          <w:sz w:val="20"/>
          <w:szCs w:val="20"/>
        </w:rPr>
        <w:t xml:space="preserve"> c, d,</w:t>
      </w:r>
      <w:r w:rsidR="AFC0115E" w:rsidRPr="003D6AF6">
        <w:rPr>
          <w:rFonts w:ascii="Times New Roman" w:eastAsia="宋体" w:hAnsi="Times New Roman" w:cs="Times New Roman"/>
          <w:sz w:val="20"/>
          <w:szCs w:val="20"/>
        </w:rPr>
        <w:t xml:space="preserve"> Five-profile solution in males (</w:t>
      </w:r>
      <w:r w:rsidR="00ED3F3A" w:rsidRPr="003D6AF6">
        <w:rPr>
          <w:rFonts w:ascii="Times New Roman" w:eastAsia="宋体" w:hAnsi="Times New Roman" w:cs="Times New Roman"/>
          <w:b/>
          <w:bCs/>
          <w:sz w:val="20"/>
          <w:szCs w:val="20"/>
        </w:rPr>
        <w:t>c</w:t>
      </w:r>
      <w:r w:rsidRPr="003D6AF6">
        <w:rPr>
          <w:rFonts w:ascii="Times New Roman" w:eastAsia="宋体" w:hAnsi="Times New Roman" w:cs="Times New Roman"/>
          <w:sz w:val="20"/>
          <w:szCs w:val="20"/>
        </w:rPr>
        <w:t>) and females (</w:t>
      </w:r>
      <w:r w:rsidR="00ED3F3A" w:rsidRPr="003D6AF6">
        <w:rPr>
          <w:rFonts w:ascii="Times New Roman" w:eastAsia="宋体" w:hAnsi="Times New Roman" w:cs="Times New Roman"/>
          <w:b/>
          <w:bCs/>
          <w:sz w:val="20"/>
          <w:szCs w:val="20"/>
        </w:rPr>
        <w:t>d</w:t>
      </w:r>
      <w:r w:rsidRPr="003D6AF6">
        <w:rPr>
          <w:rFonts w:ascii="Times New Roman" w:eastAsia="宋体" w:hAnsi="Times New Roman" w:cs="Times New Roman"/>
          <w:sz w:val="20"/>
          <w:szCs w:val="20"/>
        </w:rPr>
        <w:t>). Three of five profiles (profiles 1–3) show near-identical biochemical patterns corresponding to the baseline concordant class, while profiles 4 (elevated CRP/ALT/GGT) and 5 (elevated glucose, reduced LDL-C) retain the distinctive signatures of DIS and DHG, respectively. This redundancy in the concordant class, together with the near-perfect cross-classification onto the three-profile solution (Figure S2</w:t>
      </w:r>
      <w:r w:rsidR="00ED3F3A" w:rsidRPr="003D6AF6">
        <w:rPr>
          <w:rFonts w:ascii="Times New Roman" w:eastAsia="宋体" w:hAnsi="Times New Roman" w:cs="Times New Roman"/>
          <w:sz w:val="20"/>
          <w:szCs w:val="20"/>
        </w:rPr>
        <w:t>e</w:t>
      </w:r>
      <w:r w:rsidRPr="003D6AF6">
        <w:rPr>
          <w:rFonts w:ascii="Times New Roman" w:eastAsia="宋体" w:hAnsi="Times New Roman" w:cs="Times New Roman"/>
          <w:sz w:val="20"/>
          <w:szCs w:val="20"/>
        </w:rPr>
        <w:t xml:space="preserve">), confirms that the additional profiles at G = 5 do not capture novel cardiometabolic phenotypes. </w:t>
      </w:r>
      <w:r w:rsidR="00ED3F3A" w:rsidRPr="003D6AF6">
        <w:rPr>
          <w:rFonts w:ascii="Times New Roman" w:eastAsia="宋体" w:hAnsi="Times New Roman" w:cs="Times New Roman"/>
          <w:b/>
          <w:bCs/>
          <w:sz w:val="20"/>
          <w:szCs w:val="20"/>
        </w:rPr>
        <w:t xml:space="preserve"> e, f,</w:t>
      </w:r>
      <w:r w:rsidR="AFC0115E" w:rsidRPr="003D6AF6">
        <w:rPr>
          <w:rFonts w:ascii="Times New Roman" w:eastAsia="宋体" w:hAnsi="Times New Roman" w:cs="Times New Roman"/>
          <w:sz w:val="20"/>
          <w:szCs w:val="20"/>
        </w:rPr>
        <w:t xml:space="preserve"> Four-profile solution in males (</w:t>
      </w:r>
      <w:r w:rsidR="00ED3F3A" w:rsidRPr="003D6AF6">
        <w:rPr>
          <w:rFonts w:ascii="Times New Roman" w:eastAsia="宋体" w:hAnsi="Times New Roman" w:cs="Times New Roman"/>
          <w:b/>
          <w:bCs/>
          <w:sz w:val="20"/>
          <w:szCs w:val="20"/>
        </w:rPr>
        <w:t>e</w:t>
      </w:r>
      <w:r w:rsidRPr="003D6AF6">
        <w:rPr>
          <w:rFonts w:ascii="Times New Roman" w:eastAsia="宋体" w:hAnsi="Times New Roman" w:cs="Times New Roman"/>
          <w:sz w:val="20"/>
          <w:szCs w:val="20"/>
        </w:rPr>
        <w:t>) and females (</w:t>
      </w:r>
      <w:r w:rsidR="00ED3F3A" w:rsidRPr="003D6AF6">
        <w:rPr>
          <w:rFonts w:ascii="Times New Roman" w:eastAsia="宋体" w:hAnsi="Times New Roman" w:cs="Times New Roman"/>
          <w:b/>
          <w:bCs/>
          <w:sz w:val="20"/>
          <w:szCs w:val="20"/>
        </w:rPr>
        <w:t>f</w:t>
      </w:r>
      <w:r w:rsidRPr="003D6AF6">
        <w:rPr>
          <w:rFonts w:ascii="Times New Roman" w:eastAsia="宋体" w:hAnsi="Times New Roman" w:cs="Times New Roman"/>
          <w:sz w:val="20"/>
          <w:szCs w:val="20"/>
        </w:rPr>
        <w:t xml:space="preserve">). A distinctive profile characterised by markedly reduced LDL-C with elevated glucose (purple line, profile 4) is consistent with DHG; however, the DIS signal (elevated CRP) is distributed across profiles 1 and 2 rather than consolidated, indicating incomplete resolution of the inflammatory phenotype at G = 4. Biochemical residuals were obtained after regression adjustment for age and smoking status within sex strata. BC, baseline concordant; DIS, discordant inflammatory state; DHG, discordant hyperglycaemic; TG, triglycerides; LDL, low-density lipoprotein cholesterol; HDL, high-density lipoprotein cholesterol; </w:t>
      </w:r>
      <w:proofErr w:type="spellStart"/>
      <w:r w:rsidRPr="003D6AF6">
        <w:rPr>
          <w:rFonts w:ascii="Times New Roman" w:eastAsia="宋体" w:hAnsi="Times New Roman" w:cs="Times New Roman"/>
          <w:sz w:val="20"/>
          <w:szCs w:val="20"/>
        </w:rPr>
        <w:t>ApoA</w:t>
      </w:r>
      <w:proofErr w:type="spellEnd"/>
      <w:r w:rsidRPr="003D6AF6">
        <w:rPr>
          <w:rFonts w:ascii="Times New Roman" w:eastAsia="宋体" w:hAnsi="Times New Roman" w:cs="Times New Roman"/>
          <w:sz w:val="20"/>
          <w:szCs w:val="20"/>
        </w:rPr>
        <w:t>, apolipoprotein A; CRP, C-reactive protein; ALT, alanine aminotransferase; GGT, gamma-glutamyl transferase</w:t>
      </w:r>
      <w:r w:rsidR="00A72AEB" w:rsidRPr="003D6AF6">
        <w:rPr>
          <w:rFonts w:ascii="Times New Roman" w:eastAsia="宋体" w:hAnsi="Times New Roman" w:cs="Times New Roman" w:hint="eastAsia"/>
          <w:sz w:val="20"/>
          <w:szCs w:val="20"/>
        </w:rPr>
        <w:t xml:space="preserve">; </w:t>
      </w:r>
      <w:r w:rsidR="00A72AEB" w:rsidRPr="003D6AF6">
        <w:rPr>
          <w:rFonts w:ascii="Times New Roman" w:hAnsi="Times New Roman" w:cs="Times New Roman" w:hint="eastAsia"/>
          <w:sz w:val="20"/>
          <w:szCs w:val="20"/>
        </w:rPr>
        <w:t>UKB-DT, UK Biobank development train</w:t>
      </w:r>
      <w:r w:rsidRPr="003D6AF6">
        <w:rPr>
          <w:rFonts w:ascii="Times New Roman" w:eastAsia="宋体" w:hAnsi="Times New Roman" w:cs="Times New Roman"/>
          <w:sz w:val="20"/>
          <w:szCs w:val="20"/>
        </w:rPr>
        <w:t>.</w:t>
      </w:r>
    </w:p>
    <w:p w14:paraId="64CBDA05" w14:textId="58827380" w:rsidR="009C122B" w:rsidRPr="003D6AF6" w:rsidRDefault="00F26994" w:rsidP="009C122B">
      <w:pPr>
        <w:rPr>
          <w:rFonts w:ascii="Times New Roman" w:hAnsi="Times New Roman" w:cs="Times New Roman"/>
          <w:sz w:val="20"/>
          <w:szCs w:val="20"/>
        </w:rPr>
      </w:pPr>
      <w:r w:rsidRPr="003D6AF6">
        <w:rPr>
          <w:noProof/>
        </w:rPr>
        <w:lastRenderedPageBreak/>
        <w:drawing>
          <wp:inline distT="0" distB="0" distL="0" distR="0" wp14:anchorId="1F95D2A3" wp14:editId="00245F14">
            <wp:extent cx="5274310" cy="5988050"/>
            <wp:effectExtent l="0" t="0" r="0" b="0"/>
            <wp:docPr id="334403370"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03370"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274310" cy="5988050"/>
                    </a:xfrm>
                    <a:prstGeom prst="rect">
                      <a:avLst/>
                    </a:prstGeom>
                  </pic:spPr>
                </pic:pic>
              </a:graphicData>
            </a:graphic>
          </wp:inline>
        </w:drawing>
      </w:r>
    </w:p>
    <w:p w14:paraId="5DAB2C7F" w14:textId="3B6B8E62" w:rsidR="00BB1F20" w:rsidRPr="003D6AF6" w:rsidRDefault="009C122B" w:rsidP="00BB1F20">
      <w:pPr>
        <w:outlineLvl w:val="1"/>
        <w:rPr>
          <w:rFonts w:ascii="Times New Roman" w:hAnsi="Times New Roman" w:cs="Times New Roman"/>
          <w:sz w:val="20"/>
          <w:szCs w:val="20"/>
        </w:rPr>
      </w:pPr>
      <w:bookmarkStart w:id="11" w:name="_Toc229600220"/>
      <w:r w:rsidRPr="003D6AF6">
        <w:rPr>
          <w:rFonts w:ascii="Times New Roman" w:hAnsi="Times New Roman" w:cs="Times New Roman"/>
          <w:b/>
          <w:bCs/>
          <w:sz w:val="20"/>
          <w:szCs w:val="20"/>
        </w:rPr>
        <w:t>Figure S</w:t>
      </w:r>
      <w:r w:rsidR="009F0305" w:rsidRPr="003D6AF6">
        <w:rPr>
          <w:rFonts w:ascii="Times New Roman" w:hAnsi="Times New Roman" w:cs="Times New Roman"/>
          <w:b/>
          <w:bCs/>
          <w:sz w:val="20"/>
          <w:szCs w:val="20"/>
        </w:rPr>
        <w:t>4</w:t>
      </w:r>
      <w:r w:rsidRPr="003D6AF6">
        <w:rPr>
          <w:rFonts w:ascii="Times New Roman" w:hAnsi="Times New Roman" w:cs="Times New Roman"/>
          <w:b/>
          <w:bCs/>
          <w:sz w:val="20"/>
          <w:szCs w:val="20"/>
        </w:rPr>
        <w:t xml:space="preserve">: </w:t>
      </w:r>
      <w:r w:rsidR="00F26994" w:rsidRPr="003D6AF6">
        <w:rPr>
          <w:rFonts w:ascii="Times New Roman" w:hAnsi="Times New Roman" w:cs="Times New Roman" w:hint="eastAsia"/>
          <w:sz w:val="20"/>
          <w:szCs w:val="20"/>
        </w:rPr>
        <w:t>Replication of the three-profile latent profile structure across sex and datasets</w:t>
      </w:r>
      <w:bookmarkEnd w:id="11"/>
    </w:p>
    <w:p w14:paraId="7621D3B0" w14:textId="21F20061" w:rsidR="000824D8" w:rsidRPr="003D6AF6" w:rsidRDefault="00F26994" w:rsidP="000824D8">
      <w:pPr>
        <w:rPr>
          <w:rFonts w:ascii="Times New Roman" w:hAnsi="Times New Roman" w:cs="Times New Roman"/>
          <w:sz w:val="20"/>
          <w:szCs w:val="20"/>
          <w:lang w:val="en-US"/>
        </w:rPr>
      </w:pPr>
      <w:r w:rsidRPr="003D6AF6">
        <w:rPr>
          <w:rFonts w:ascii="Times New Roman" w:hAnsi="Times New Roman" w:cs="Times New Roman"/>
          <w:sz w:val="20"/>
          <w:szCs w:val="20"/>
        </w:rPr>
        <w:t xml:space="preserve">Standardised biochemical residual profiles for the three latent profiles are shown separately by sex and dataset. </w:t>
      </w:r>
      <w:proofErr w:type="spellStart"/>
      <w:r w:rsidRPr="003D6AF6">
        <w:rPr>
          <w:rFonts w:ascii="Times New Roman" w:hAnsi="Times New Roman" w:cs="Times New Roman"/>
          <w:b/>
          <w:bCs/>
          <w:sz w:val="20"/>
          <w:szCs w:val="20"/>
        </w:rPr>
        <w:t>a,b</w:t>
      </w:r>
      <w:proofErr w:type="spellEnd"/>
      <w:r w:rsidRPr="003D6AF6">
        <w:rPr>
          <w:rFonts w:ascii="Times New Roman" w:hAnsi="Times New Roman" w:cs="Times New Roman"/>
          <w:b/>
          <w:bCs/>
          <w:sz w:val="20"/>
          <w:szCs w:val="20"/>
        </w:rPr>
        <w:t>,</w:t>
      </w:r>
      <w:r w:rsidRPr="003D6AF6">
        <w:rPr>
          <w:rFonts w:ascii="Times New Roman" w:hAnsi="Times New Roman" w:cs="Times New Roman"/>
          <w:sz w:val="20"/>
          <w:szCs w:val="20"/>
        </w:rPr>
        <w:t xml:space="preserve"> Male and female participants in the UKB-DT set. </w:t>
      </w:r>
      <w:proofErr w:type="spellStart"/>
      <w:r w:rsidRPr="003D6AF6">
        <w:rPr>
          <w:rFonts w:ascii="Times New Roman" w:hAnsi="Times New Roman" w:cs="Times New Roman"/>
          <w:b/>
          <w:bCs/>
          <w:sz w:val="20"/>
          <w:szCs w:val="20"/>
        </w:rPr>
        <w:t>c,d</w:t>
      </w:r>
      <w:proofErr w:type="spellEnd"/>
      <w:r w:rsidRPr="003D6AF6">
        <w:rPr>
          <w:rFonts w:ascii="Times New Roman" w:hAnsi="Times New Roman" w:cs="Times New Roman"/>
          <w:b/>
          <w:bCs/>
          <w:sz w:val="20"/>
          <w:szCs w:val="20"/>
        </w:rPr>
        <w:t>,</w:t>
      </w:r>
      <w:r w:rsidRPr="003D6AF6">
        <w:rPr>
          <w:rFonts w:ascii="Times New Roman" w:hAnsi="Times New Roman" w:cs="Times New Roman"/>
          <w:sz w:val="20"/>
          <w:szCs w:val="20"/>
        </w:rPr>
        <w:t xml:space="preserve"> Male and female participants in the UKB-DV set. </w:t>
      </w:r>
      <w:proofErr w:type="spellStart"/>
      <w:r w:rsidRPr="003D6AF6">
        <w:rPr>
          <w:rFonts w:ascii="Times New Roman" w:hAnsi="Times New Roman" w:cs="Times New Roman"/>
          <w:b/>
          <w:bCs/>
          <w:sz w:val="20"/>
          <w:szCs w:val="20"/>
        </w:rPr>
        <w:t>e,f</w:t>
      </w:r>
      <w:proofErr w:type="spellEnd"/>
      <w:r w:rsidRPr="003D6AF6">
        <w:rPr>
          <w:rFonts w:ascii="Times New Roman" w:hAnsi="Times New Roman" w:cs="Times New Roman"/>
          <w:b/>
          <w:bCs/>
          <w:sz w:val="20"/>
          <w:szCs w:val="20"/>
        </w:rPr>
        <w:t>,</w:t>
      </w:r>
      <w:r w:rsidRPr="003D6AF6">
        <w:rPr>
          <w:rFonts w:ascii="Times New Roman" w:hAnsi="Times New Roman" w:cs="Times New Roman"/>
          <w:sz w:val="20"/>
          <w:szCs w:val="20"/>
        </w:rPr>
        <w:t xml:space="preserve"> Male and female participants in the UKB-CHV set. </w:t>
      </w:r>
      <w:proofErr w:type="spellStart"/>
      <w:r w:rsidRPr="003D6AF6">
        <w:rPr>
          <w:rFonts w:ascii="Times New Roman" w:hAnsi="Times New Roman" w:cs="Times New Roman"/>
          <w:b/>
          <w:bCs/>
          <w:sz w:val="20"/>
          <w:szCs w:val="20"/>
        </w:rPr>
        <w:t>g,h</w:t>
      </w:r>
      <w:proofErr w:type="spellEnd"/>
      <w:r w:rsidRPr="003D6AF6">
        <w:rPr>
          <w:rFonts w:ascii="Times New Roman" w:hAnsi="Times New Roman" w:cs="Times New Roman"/>
          <w:b/>
          <w:bCs/>
          <w:sz w:val="20"/>
          <w:szCs w:val="20"/>
        </w:rPr>
        <w:t>,</w:t>
      </w:r>
      <w:r w:rsidRPr="003D6AF6">
        <w:rPr>
          <w:rFonts w:ascii="Times New Roman" w:hAnsi="Times New Roman" w:cs="Times New Roman"/>
          <w:sz w:val="20"/>
          <w:szCs w:val="20"/>
        </w:rPr>
        <w:t xml:space="preserve"> Male and female participants in the BHMC-EV cohort. Lines show the mean standardised residuals for each biochemical indicator within each subtype, with shaded bands indicating uncertainty around the mean. Biochemical residuals were derived after adjustment for age, smoking status and BMI within sex strata. BC, baseline concordant; DIS, discordant inflammatory state; DHG, discordant hyperglycaemic; UKB-DT, UK Biobank development train; UKB-DV, UK Biobank development validation; UKB-CHV, UK Biobank centre-held-out validation; BHMC-EV, Beijing Health Management Cohort external validation; TG, triglycerides; LDL, low-density lipoprotein cholesterol; HDL, high-density lipoprotein cholesterol; </w:t>
      </w:r>
      <w:proofErr w:type="spellStart"/>
      <w:r w:rsidRPr="003D6AF6">
        <w:rPr>
          <w:rFonts w:ascii="Times New Roman" w:hAnsi="Times New Roman" w:cs="Times New Roman"/>
          <w:sz w:val="20"/>
          <w:szCs w:val="20"/>
        </w:rPr>
        <w:t>ApoA</w:t>
      </w:r>
      <w:proofErr w:type="spellEnd"/>
      <w:r w:rsidRPr="003D6AF6">
        <w:rPr>
          <w:rFonts w:ascii="Times New Roman" w:hAnsi="Times New Roman" w:cs="Times New Roman"/>
          <w:sz w:val="20"/>
          <w:szCs w:val="20"/>
        </w:rPr>
        <w:t>, apolipoprotein A; CRP, C-reactive protein; ALT, alanine aminotransferase; GGT, gamma-glutamyl transferase.</w:t>
      </w:r>
      <w:r w:rsidR="000824D8" w:rsidRPr="003D6AF6">
        <w:rPr>
          <w:noProof/>
        </w:rPr>
        <w:t xml:space="preserve"> </w:t>
      </w:r>
      <w:r w:rsidR="000824D8" w:rsidRPr="003D6AF6">
        <w:rPr>
          <w:noProof/>
        </w:rPr>
        <w:lastRenderedPageBreak/>
        <w:drawing>
          <wp:inline distT="0" distB="0" distL="0" distR="0" wp14:anchorId="10AB034D" wp14:editId="0BAA5E58">
            <wp:extent cx="5274310" cy="3115310"/>
            <wp:effectExtent l="0" t="0" r="2540" b="8890"/>
            <wp:docPr id="108287802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7802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274310" cy="3115310"/>
                    </a:xfrm>
                    <a:prstGeom prst="rect">
                      <a:avLst/>
                    </a:prstGeom>
                  </pic:spPr>
                </pic:pic>
              </a:graphicData>
            </a:graphic>
          </wp:inline>
        </w:drawing>
      </w:r>
    </w:p>
    <w:p w14:paraId="0AC310BC" w14:textId="636AFBD0" w:rsidR="000824D8" w:rsidRPr="003D6AF6" w:rsidRDefault="000824D8" w:rsidP="000824D8">
      <w:pPr>
        <w:outlineLvl w:val="1"/>
        <w:rPr>
          <w:rFonts w:ascii="Times New Roman" w:hAnsi="Times New Roman" w:cs="Times New Roman"/>
          <w:b/>
          <w:bCs/>
          <w:sz w:val="20"/>
          <w:szCs w:val="20"/>
        </w:rPr>
      </w:pPr>
      <w:bookmarkStart w:id="12" w:name="_Toc229600221"/>
      <w:r w:rsidRPr="00CC0011">
        <w:rPr>
          <w:rFonts w:ascii="Times New Roman" w:hAnsi="Times New Roman" w:cs="Times New Roman"/>
          <w:b/>
          <w:bCs/>
          <w:sz w:val="20"/>
          <w:szCs w:val="20"/>
        </w:rPr>
        <w:t>Figure S</w:t>
      </w:r>
      <w:r w:rsidRPr="003D6AF6">
        <w:rPr>
          <w:rFonts w:ascii="Times New Roman" w:hAnsi="Times New Roman" w:cs="Times New Roman" w:hint="eastAsia"/>
          <w:b/>
          <w:bCs/>
          <w:sz w:val="20"/>
          <w:szCs w:val="20"/>
        </w:rPr>
        <w:t>5</w:t>
      </w:r>
      <w:r w:rsidRPr="00CC0011">
        <w:rPr>
          <w:rFonts w:ascii="Times New Roman" w:hAnsi="Times New Roman" w:cs="Times New Roman"/>
          <w:b/>
          <w:bCs/>
          <w:sz w:val="20"/>
          <w:szCs w:val="20"/>
        </w:rPr>
        <w:t xml:space="preserve">: </w:t>
      </w:r>
      <w:r w:rsidRPr="003D6AF6">
        <w:rPr>
          <w:rFonts w:ascii="Times New Roman" w:hAnsi="Times New Roman" w:cs="Times New Roman" w:hint="eastAsia"/>
          <w:sz w:val="20"/>
          <w:szCs w:val="20"/>
        </w:rPr>
        <w:t>Biomarker-only latent profile solutions across candidate profile numbers</w:t>
      </w:r>
      <w:bookmarkEnd w:id="12"/>
    </w:p>
    <w:p w14:paraId="649C422F" w14:textId="77777777" w:rsidR="000824D8" w:rsidRPr="003D6AF6" w:rsidRDefault="000824D8" w:rsidP="000824D8">
      <w:pPr>
        <w:rPr>
          <w:rFonts w:ascii="Times New Roman" w:hAnsi="Times New Roman" w:cs="Times New Roman"/>
          <w:sz w:val="20"/>
          <w:szCs w:val="20"/>
        </w:rPr>
        <w:sectPr w:rsidR="000824D8" w:rsidRPr="003D6AF6" w:rsidSect="000824D8">
          <w:pgSz w:w="11906" w:h="16838"/>
          <w:pgMar w:top="1440" w:right="1800" w:bottom="1440" w:left="1800" w:header="851" w:footer="992" w:gutter="0"/>
          <w:cols w:space="425"/>
          <w:docGrid w:type="lines" w:linePitch="312"/>
        </w:sectPr>
      </w:pPr>
      <w:r w:rsidRPr="003D6AF6">
        <w:rPr>
          <w:rFonts w:ascii="Times New Roman" w:hAnsi="Times New Roman" w:cs="Times New Roman"/>
          <w:sz w:val="20"/>
          <w:szCs w:val="20"/>
        </w:rPr>
        <w:t xml:space="preserve">Biomarker-only latent profile analysis was performed using the ten observed biochemical residuals without inclusion of retinal features or RETFound-derived components. </w:t>
      </w:r>
      <w:r w:rsidRPr="003D6AF6">
        <w:rPr>
          <w:rFonts w:ascii="Times New Roman" w:hAnsi="Times New Roman" w:cs="Times New Roman"/>
          <w:b/>
          <w:bCs/>
          <w:sz w:val="20"/>
          <w:szCs w:val="20"/>
        </w:rPr>
        <w:t>a–d,</w:t>
      </w:r>
      <w:r w:rsidRPr="003D6AF6">
        <w:rPr>
          <w:rFonts w:ascii="Times New Roman" w:hAnsi="Times New Roman" w:cs="Times New Roman"/>
          <w:sz w:val="20"/>
          <w:szCs w:val="20"/>
        </w:rPr>
        <w:t xml:space="preserve"> Three-, four-, five- and six-profile solutions, respectively. For each solution, standardised biochemical residual profiles are shown across the ten cardiometabolic indicators, stratified by sex and dataset. The analysis was used to assess whether the major cardiometabolic subtype structure identified in the multimodal framework could be recovered from biochemical information alone. Across candidate profile numbers, the biomarker-only solutions retained recurrent inflammatory and hyperglycaemic patterns, supporting the presence of stable biochemical subtype structure independent of retinal-feature input. Biochemical residuals were derived after adjustment for age, smoking status and BMI within sex strata. TG, triglycerides; LDL, low-density lipoprotein cholesterol; HDL, high-density lipoprotein cholesterol; </w:t>
      </w:r>
      <w:proofErr w:type="spellStart"/>
      <w:r w:rsidRPr="003D6AF6">
        <w:rPr>
          <w:rFonts w:ascii="Times New Roman" w:hAnsi="Times New Roman" w:cs="Times New Roman"/>
          <w:sz w:val="20"/>
          <w:szCs w:val="20"/>
        </w:rPr>
        <w:t>ApoA</w:t>
      </w:r>
      <w:proofErr w:type="spellEnd"/>
      <w:r w:rsidRPr="003D6AF6">
        <w:rPr>
          <w:rFonts w:ascii="Times New Roman" w:hAnsi="Times New Roman" w:cs="Times New Roman"/>
          <w:sz w:val="20"/>
          <w:szCs w:val="20"/>
        </w:rPr>
        <w:t xml:space="preserve">, apolipoprotein A; CRP, C-reactive protein; ALT, alanine aminotransferase; GGT, gamma-glutamyl transferase; LPA, latent profile analysis; BC, baseline concordant; DIS, discordant inflammatory state; DHG, discordant hyperglycaemic; UKB-DT, UK Biobank development train; UKB-DV, UK Biobank development validation; UKB-CHV, UK Biobank centre-held-out validation; BHMC-EV, Beijing Health Management Cohort external validation. </w:t>
      </w:r>
    </w:p>
    <w:p w14:paraId="4658BBF1" w14:textId="3CD3D0CE" w:rsidR="000824D8" w:rsidRPr="003D6AF6" w:rsidRDefault="000824D8" w:rsidP="000824D8">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4472AC8D" wp14:editId="7E527808">
            <wp:extent cx="5274310" cy="1684655"/>
            <wp:effectExtent l="0" t="0" r="2540" b="0"/>
            <wp:docPr id="10994507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5076"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274310" cy="1684655"/>
                    </a:xfrm>
                    <a:prstGeom prst="rect">
                      <a:avLst/>
                    </a:prstGeom>
                  </pic:spPr>
                </pic:pic>
              </a:graphicData>
            </a:graphic>
          </wp:inline>
        </w:drawing>
      </w:r>
    </w:p>
    <w:p w14:paraId="552EE0D8" w14:textId="77777777" w:rsidR="000824D8" w:rsidRPr="003D6AF6" w:rsidRDefault="000824D8" w:rsidP="000824D8">
      <w:pPr>
        <w:outlineLvl w:val="1"/>
        <w:rPr>
          <w:rFonts w:ascii="Times New Roman" w:hAnsi="Times New Roman" w:cs="Times New Roman"/>
          <w:b/>
          <w:bCs/>
          <w:sz w:val="20"/>
          <w:szCs w:val="20"/>
        </w:rPr>
      </w:pPr>
      <w:bookmarkStart w:id="13" w:name="_Toc229600222"/>
      <w:r w:rsidRPr="00CC0011">
        <w:rPr>
          <w:rFonts w:ascii="Times New Roman" w:hAnsi="Times New Roman" w:cs="Times New Roman"/>
          <w:b/>
          <w:bCs/>
          <w:sz w:val="20"/>
          <w:szCs w:val="20"/>
        </w:rPr>
        <w:t>Figure S</w:t>
      </w:r>
      <w:r w:rsidRPr="003D6AF6">
        <w:rPr>
          <w:rFonts w:ascii="Times New Roman" w:hAnsi="Times New Roman" w:cs="Times New Roman" w:hint="eastAsia"/>
          <w:b/>
          <w:bCs/>
          <w:sz w:val="20"/>
          <w:szCs w:val="20"/>
        </w:rPr>
        <w:t>6</w:t>
      </w:r>
      <w:r w:rsidRPr="00CC0011">
        <w:rPr>
          <w:rFonts w:ascii="Times New Roman" w:hAnsi="Times New Roman" w:cs="Times New Roman"/>
          <w:b/>
          <w:bCs/>
          <w:sz w:val="20"/>
          <w:szCs w:val="20"/>
        </w:rPr>
        <w:t xml:space="preserve">: </w:t>
      </w:r>
      <w:r w:rsidRPr="003D6AF6">
        <w:rPr>
          <w:rFonts w:ascii="Times New Roman" w:hAnsi="Times New Roman" w:cs="Times New Roman" w:hint="eastAsia"/>
          <w:sz w:val="20"/>
          <w:szCs w:val="20"/>
        </w:rPr>
        <w:t>Latent profile structures under left-eye-prioritised and right-eye-prioritised retinal feature selection</w:t>
      </w:r>
      <w:bookmarkEnd w:id="13"/>
    </w:p>
    <w:p w14:paraId="0274A593" w14:textId="77777777" w:rsidR="000824D8" w:rsidRPr="003D6AF6" w:rsidRDefault="000824D8" w:rsidP="000824D8">
      <w:pPr>
        <w:rPr>
          <w:rFonts w:ascii="Times New Roman" w:hAnsi="Times New Roman" w:cs="Times New Roman"/>
          <w:sz w:val="20"/>
          <w:szCs w:val="20"/>
        </w:rPr>
        <w:sectPr w:rsidR="000824D8" w:rsidRPr="003D6AF6" w:rsidSect="000824D8">
          <w:pgSz w:w="11906" w:h="16838"/>
          <w:pgMar w:top="1440" w:right="1800" w:bottom="1440" w:left="1800" w:header="851" w:footer="992" w:gutter="0"/>
          <w:cols w:space="425"/>
          <w:docGrid w:type="lines" w:linePitch="312"/>
        </w:sectPr>
      </w:pPr>
      <w:r w:rsidRPr="003D6AF6">
        <w:rPr>
          <w:rFonts w:ascii="Times New Roman" w:hAnsi="Times New Roman" w:cs="Times New Roman"/>
          <w:sz w:val="20"/>
          <w:szCs w:val="20"/>
        </w:rPr>
        <w:t xml:space="preserve">Alternative eye-selection analyses were performed to assess the influence of bilateral-eye handling on latent profile analysis. a, Left-eye-prioritised analysis, in which the left-eye fundus image was used when available and the right-eye image was used only if the left-eye image was unavailable. b, Right-eye-prioritised analysis, in which the right-eye fundus image was used when available and the left-eye image was used only if the right-eye image was unavailable. For each strategy, RETFound-derived retinal features were extracted from the selected image, combined with the ten standardised biochemical residuals through partial least squares regression, and then used for latent profile analysis following the same pipeline as the primary analysis. Profiles are shown by sex and dataset across the ten biochemical indicators. Biochemical residuals were derived after adjustment for age, smoking status and BMI within sex strata. TG, triglycerides; LDL, low-density lipoprotein cholesterol; HDL, high-density lipoprotein cholesterol; </w:t>
      </w:r>
      <w:proofErr w:type="spellStart"/>
      <w:r w:rsidRPr="003D6AF6">
        <w:rPr>
          <w:rFonts w:ascii="Times New Roman" w:hAnsi="Times New Roman" w:cs="Times New Roman"/>
          <w:sz w:val="20"/>
          <w:szCs w:val="20"/>
        </w:rPr>
        <w:t>ApoA</w:t>
      </w:r>
      <w:proofErr w:type="spellEnd"/>
      <w:r w:rsidRPr="003D6AF6">
        <w:rPr>
          <w:rFonts w:ascii="Times New Roman" w:hAnsi="Times New Roman" w:cs="Times New Roman"/>
          <w:sz w:val="20"/>
          <w:szCs w:val="20"/>
        </w:rPr>
        <w:t>, apolipoprotein A; CRP, C-reactive protein; ALT, alanine aminotransferase; GGT, gamma-glutamyl transferase; LPA, latent profile analysis; UKB-DT, UK Biobank development train; UKB-DV, UK Biobank development validation; UKB-CHV, UK Biobank centre-held-out validation; BHMC-EV, Beijing Health Management Cohort external validation.</w:t>
      </w:r>
    </w:p>
    <w:p w14:paraId="3C29DF22" w14:textId="77777777" w:rsidR="000824D8" w:rsidRPr="003D6AF6" w:rsidRDefault="000824D8" w:rsidP="000824D8">
      <w:pPr>
        <w:rPr>
          <w:rFonts w:ascii="Times New Roman" w:hAnsi="Times New Roman" w:cs="Times New Roman"/>
          <w:b/>
          <w:bCs/>
          <w:sz w:val="20"/>
          <w:szCs w:val="20"/>
          <w:lang w:val="en-US"/>
        </w:rPr>
      </w:pPr>
      <w:r w:rsidRPr="003D6AF6">
        <w:rPr>
          <w:rFonts w:ascii="Times New Roman" w:hAnsi="Times New Roman" w:cs="Times New Roman"/>
          <w:b/>
          <w:bCs/>
          <w:noProof/>
          <w:sz w:val="20"/>
          <w:szCs w:val="20"/>
          <w:lang w:val="en-US"/>
        </w:rPr>
        <w:lastRenderedPageBreak/>
        <w:drawing>
          <wp:inline distT="0" distB="0" distL="0" distR="0" wp14:anchorId="73137781" wp14:editId="4CDC7FCE">
            <wp:extent cx="5274310" cy="3091180"/>
            <wp:effectExtent l="0" t="0" r="2540" b="0"/>
            <wp:docPr id="386048443"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48443"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274310" cy="3091180"/>
                    </a:xfrm>
                    <a:prstGeom prst="rect">
                      <a:avLst/>
                    </a:prstGeom>
                  </pic:spPr>
                </pic:pic>
              </a:graphicData>
            </a:graphic>
          </wp:inline>
        </w:drawing>
      </w:r>
    </w:p>
    <w:p w14:paraId="2D61FBF0" w14:textId="7D3F3D68" w:rsidR="000824D8" w:rsidRPr="003D6AF6" w:rsidRDefault="000824D8" w:rsidP="000824D8">
      <w:pPr>
        <w:outlineLvl w:val="1"/>
        <w:rPr>
          <w:rFonts w:ascii="Times New Roman" w:hAnsi="Times New Roman" w:cs="Times New Roman"/>
          <w:b/>
          <w:bCs/>
          <w:sz w:val="20"/>
          <w:szCs w:val="20"/>
        </w:rPr>
      </w:pPr>
      <w:bookmarkStart w:id="14" w:name="_Toc229600223"/>
      <w:r w:rsidRPr="00CC0011">
        <w:rPr>
          <w:rFonts w:ascii="Times New Roman" w:hAnsi="Times New Roman" w:cs="Times New Roman"/>
          <w:b/>
          <w:bCs/>
          <w:sz w:val="20"/>
          <w:szCs w:val="20"/>
        </w:rPr>
        <w:t>Figure S</w:t>
      </w:r>
      <w:r w:rsidRPr="003D6AF6">
        <w:rPr>
          <w:rFonts w:ascii="Times New Roman" w:hAnsi="Times New Roman" w:cs="Times New Roman" w:hint="eastAsia"/>
          <w:b/>
          <w:bCs/>
          <w:sz w:val="20"/>
          <w:szCs w:val="20"/>
        </w:rPr>
        <w:t>7</w:t>
      </w:r>
      <w:r w:rsidRPr="00CC0011">
        <w:rPr>
          <w:rFonts w:ascii="Times New Roman" w:hAnsi="Times New Roman" w:cs="Times New Roman"/>
          <w:b/>
          <w:bCs/>
          <w:sz w:val="20"/>
          <w:szCs w:val="20"/>
        </w:rPr>
        <w:t xml:space="preserve">: </w:t>
      </w:r>
      <w:r w:rsidRPr="003D6AF6">
        <w:rPr>
          <w:rFonts w:ascii="Times New Roman" w:hAnsi="Times New Roman" w:cs="Times New Roman" w:hint="eastAsia"/>
          <w:sz w:val="20"/>
          <w:szCs w:val="20"/>
        </w:rPr>
        <w:t>Latent profile solutions derived from retina-predicted biochemical residuals</w:t>
      </w:r>
      <w:bookmarkEnd w:id="14"/>
    </w:p>
    <w:p w14:paraId="230ADED6" w14:textId="77777777" w:rsidR="000824D8" w:rsidRPr="003D6AF6" w:rsidRDefault="000824D8" w:rsidP="000824D8">
      <w:pPr>
        <w:rPr>
          <w:rFonts w:ascii="Times New Roman" w:hAnsi="Times New Roman" w:cs="Times New Roman"/>
          <w:sz w:val="20"/>
          <w:szCs w:val="20"/>
        </w:rPr>
        <w:sectPr w:rsidR="000824D8" w:rsidRPr="003D6AF6" w:rsidSect="000824D8">
          <w:pgSz w:w="11906" w:h="16838"/>
          <w:pgMar w:top="1440" w:right="1800" w:bottom="1440" w:left="1800" w:header="851" w:footer="992" w:gutter="0"/>
          <w:cols w:space="425"/>
          <w:docGrid w:type="lines" w:linePitch="312"/>
        </w:sectPr>
      </w:pPr>
      <w:r w:rsidRPr="003D6AF6">
        <w:rPr>
          <w:rFonts w:ascii="Times New Roman" w:hAnsi="Times New Roman" w:cs="Times New Roman"/>
          <w:sz w:val="20"/>
          <w:szCs w:val="20"/>
        </w:rPr>
        <w:t xml:space="preserve">Latent profile analysis was applied to the ten biochemical residuals predicted directly from retinal fundus images by the retina-to-residual regression baseline. </w:t>
      </w:r>
      <w:r w:rsidRPr="003D6AF6">
        <w:rPr>
          <w:rFonts w:ascii="Times New Roman" w:hAnsi="Times New Roman" w:cs="Times New Roman"/>
          <w:b/>
          <w:bCs/>
          <w:sz w:val="20"/>
          <w:szCs w:val="20"/>
        </w:rPr>
        <w:t>a–d</w:t>
      </w:r>
      <w:r w:rsidRPr="003D6AF6">
        <w:rPr>
          <w:rFonts w:ascii="Times New Roman" w:hAnsi="Times New Roman" w:cs="Times New Roman"/>
          <w:sz w:val="20"/>
          <w:szCs w:val="20"/>
        </w:rPr>
        <w:t xml:space="preserve">, </w:t>
      </w:r>
      <w:r w:rsidRPr="003D6AF6">
        <w:rPr>
          <w:rFonts w:ascii="Times New Roman" w:hAnsi="Times New Roman" w:cs="Times New Roman" w:hint="eastAsia"/>
          <w:sz w:val="20"/>
          <w:szCs w:val="20"/>
        </w:rPr>
        <w:t>Three</w:t>
      </w:r>
      <w:r w:rsidRPr="003D6AF6">
        <w:rPr>
          <w:rFonts w:ascii="Times New Roman" w:hAnsi="Times New Roman" w:cs="Times New Roman"/>
          <w:sz w:val="20"/>
          <w:szCs w:val="20"/>
        </w:rPr>
        <w:t xml:space="preserve">-, </w:t>
      </w:r>
      <w:r w:rsidRPr="003D6AF6">
        <w:rPr>
          <w:rFonts w:ascii="Times New Roman" w:hAnsi="Times New Roman" w:cs="Times New Roman" w:hint="eastAsia"/>
          <w:sz w:val="20"/>
          <w:szCs w:val="20"/>
        </w:rPr>
        <w:t>four</w:t>
      </w:r>
      <w:r w:rsidRPr="003D6AF6">
        <w:rPr>
          <w:rFonts w:ascii="Times New Roman" w:hAnsi="Times New Roman" w:cs="Times New Roman"/>
          <w:sz w:val="20"/>
          <w:szCs w:val="20"/>
        </w:rPr>
        <w:t xml:space="preserve">-, </w:t>
      </w:r>
      <w:r w:rsidRPr="003D6AF6">
        <w:rPr>
          <w:rFonts w:ascii="Times New Roman" w:hAnsi="Times New Roman" w:cs="Times New Roman" w:hint="eastAsia"/>
          <w:sz w:val="20"/>
          <w:szCs w:val="20"/>
        </w:rPr>
        <w:t>five</w:t>
      </w:r>
      <w:r w:rsidRPr="003D6AF6">
        <w:rPr>
          <w:rFonts w:ascii="Times New Roman" w:hAnsi="Times New Roman" w:cs="Times New Roman"/>
          <w:sz w:val="20"/>
          <w:szCs w:val="20"/>
        </w:rPr>
        <w:t xml:space="preserve">- and </w:t>
      </w:r>
      <w:r w:rsidRPr="003D6AF6">
        <w:rPr>
          <w:rFonts w:ascii="Times New Roman" w:hAnsi="Times New Roman" w:cs="Times New Roman" w:hint="eastAsia"/>
          <w:sz w:val="20"/>
          <w:szCs w:val="20"/>
        </w:rPr>
        <w:t>six</w:t>
      </w:r>
      <w:r w:rsidRPr="003D6AF6">
        <w:rPr>
          <w:rFonts w:ascii="Times New Roman" w:hAnsi="Times New Roman" w:cs="Times New Roman"/>
          <w:sz w:val="20"/>
          <w:szCs w:val="20"/>
        </w:rPr>
        <w:t>-profile solutions, respectively. Bars show the mean predicted residual z-score for each biochemical indicator, stratified by sex, latent profile and dataset.</w:t>
      </w:r>
      <w:r w:rsidRPr="003D6AF6">
        <w:rPr>
          <w:rFonts w:ascii="Times New Roman" w:hAnsi="Times New Roman" w:cs="Times New Roman" w:hint="eastAsia"/>
          <w:sz w:val="20"/>
          <w:szCs w:val="20"/>
        </w:rPr>
        <w:t xml:space="preserve"> </w:t>
      </w:r>
      <w:r w:rsidRPr="003D6AF6">
        <w:rPr>
          <w:rFonts w:ascii="Times New Roman" w:hAnsi="Times New Roman" w:cs="Times New Roman"/>
          <w:sz w:val="20"/>
          <w:szCs w:val="20"/>
        </w:rPr>
        <w:t xml:space="preserve">Across profile numbers, the predicted-residual solutions showed compressed residual amplitudes, inconsistent profile patterns across datasets and no reproducible inflammatory or hyperglycaemic signatures comparable to those identified using observed biochemical residuals in the multimodal LPA. UKB-DT, UK Biobank development train; UKB-DV, UK Biobank development validation; UKB-CHV, UK Biobank centre-held-out validation; BHMC-EV, Beijing Health Management Cohort external validation; LPA, latent profile analysis; TG, triglycerides; LDL, low-density lipoprotein cholesterol; HDL, high-density lipoprotein cholesterol; </w:t>
      </w:r>
      <w:proofErr w:type="spellStart"/>
      <w:r w:rsidRPr="003D6AF6">
        <w:rPr>
          <w:rFonts w:ascii="Times New Roman" w:hAnsi="Times New Roman" w:cs="Times New Roman"/>
          <w:sz w:val="20"/>
          <w:szCs w:val="20"/>
        </w:rPr>
        <w:t>ApoA</w:t>
      </w:r>
      <w:proofErr w:type="spellEnd"/>
      <w:r w:rsidRPr="003D6AF6">
        <w:rPr>
          <w:rFonts w:ascii="Times New Roman" w:hAnsi="Times New Roman" w:cs="Times New Roman"/>
          <w:sz w:val="20"/>
          <w:szCs w:val="20"/>
        </w:rPr>
        <w:t>, apolipoprotein A; CRP, C-reactive protein; ALT, alanine aminotransferase; GGT, gamma-glutamyl transferase; BC, baseline concordant; DIS, discordant inflammatory state; DHG, discordant hyperglycaemic.</w:t>
      </w:r>
    </w:p>
    <w:p w14:paraId="57C4DFA8" w14:textId="77777777" w:rsidR="001004FD" w:rsidRPr="003D6AF6" w:rsidRDefault="001004FD" w:rsidP="001004FD">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49EF28F4" wp14:editId="7702ED15">
            <wp:extent cx="3659027" cy="5829300"/>
            <wp:effectExtent l="0" t="0" r="0" b="0"/>
            <wp:docPr id="1775139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71303" cy="5848856"/>
                    </a:xfrm>
                    <a:prstGeom prst="rect">
                      <a:avLst/>
                    </a:prstGeom>
                    <a:noFill/>
                    <a:ln>
                      <a:noFill/>
                    </a:ln>
                  </pic:spPr>
                </pic:pic>
              </a:graphicData>
            </a:graphic>
          </wp:inline>
        </w:drawing>
      </w:r>
    </w:p>
    <w:p w14:paraId="36C512CA" w14:textId="6AE5E9D8" w:rsidR="001004FD" w:rsidRPr="003D6AF6" w:rsidRDefault="001004FD" w:rsidP="001004FD">
      <w:pPr>
        <w:outlineLvl w:val="1"/>
        <w:rPr>
          <w:rFonts w:ascii="Times New Roman" w:hAnsi="Times New Roman" w:cs="Times New Roman"/>
          <w:sz w:val="20"/>
          <w:szCs w:val="20"/>
        </w:rPr>
      </w:pPr>
      <w:bookmarkStart w:id="15" w:name="_Toc229600224"/>
      <w:r w:rsidRPr="00CC0011">
        <w:rPr>
          <w:rFonts w:ascii="Times New Roman" w:hAnsi="Times New Roman" w:cs="Times New Roman"/>
          <w:b/>
          <w:bCs/>
          <w:sz w:val="20"/>
          <w:szCs w:val="20"/>
        </w:rPr>
        <w:t>Figure S</w:t>
      </w:r>
      <w:r w:rsidRPr="003D6AF6">
        <w:rPr>
          <w:rFonts w:ascii="Times New Roman" w:hAnsi="Times New Roman" w:cs="Times New Roman" w:hint="eastAsia"/>
          <w:b/>
          <w:bCs/>
          <w:sz w:val="20"/>
          <w:szCs w:val="20"/>
        </w:rPr>
        <w:t>8</w:t>
      </w:r>
      <w:r w:rsidRPr="00CC0011">
        <w:rPr>
          <w:rFonts w:ascii="Times New Roman" w:hAnsi="Times New Roman" w:cs="Times New Roman"/>
          <w:b/>
          <w:bCs/>
          <w:sz w:val="20"/>
          <w:szCs w:val="20"/>
        </w:rPr>
        <w:t xml:space="preserve">: </w:t>
      </w:r>
      <w:r w:rsidRPr="003D6AF6">
        <w:rPr>
          <w:rFonts w:ascii="Times New Roman" w:hAnsi="Times New Roman" w:cs="Times New Roman" w:hint="eastAsia"/>
          <w:sz w:val="20"/>
          <w:szCs w:val="20"/>
        </w:rPr>
        <w:t>Representative attention heatmaps for correctly and incorrectly classified ROSA predictions in UKB-CHV and BHMC-EV</w:t>
      </w:r>
      <w:bookmarkEnd w:id="15"/>
    </w:p>
    <w:p w14:paraId="7B77DEE9" w14:textId="6EF27420" w:rsidR="009C122B" w:rsidRPr="003D6AF6" w:rsidRDefault="001004FD" w:rsidP="009C122B">
      <w:pPr>
        <w:rPr>
          <w:rFonts w:ascii="Times New Roman" w:hAnsi="Times New Roman" w:cs="Times New Roman"/>
          <w:sz w:val="20"/>
          <w:szCs w:val="20"/>
        </w:rPr>
        <w:sectPr w:rsidR="009C122B" w:rsidRPr="003D6AF6" w:rsidSect="009C122B">
          <w:pgSz w:w="11906" w:h="16838"/>
          <w:pgMar w:top="1440" w:right="1800" w:bottom="1440" w:left="1800" w:header="851" w:footer="992" w:gutter="0"/>
          <w:cols w:space="425"/>
          <w:docGrid w:type="lines" w:linePitch="312"/>
        </w:sectPr>
      </w:pPr>
      <w:r w:rsidRPr="003D6AF6">
        <w:rPr>
          <w:rFonts w:ascii="Times New Roman" w:hAnsi="Times New Roman" w:cs="Times New Roman" w:hint="eastAsia"/>
          <w:sz w:val="20"/>
          <w:szCs w:val="20"/>
        </w:rPr>
        <w:t>Representative examples of ROSA attention heatmaps from UKB-CHV and BHMC-EV are shown for both correctly and incorrectly classified cases. For each example, the original fundus image is displayed together with the overlaid last-layer CLS-to-patch attention map and the corresponding predicted subtype probabilities for BC, DIS and DHG. Cases were selected to illustrate both model strengths and limitations across internal centre-held-out and independent external validation settings. In correctly classified cases, attention was generally concentrated within anatomically plausible posterior-pole regions, including the optic disc/peripapillary area, macular-adjacent retina and major vascular arcades. In incorrectly classified cases, attention was more often diffuse or less focused on these central retinal structures. These visualisations are intended to illustrate model behaviour and do not constitute lesion-localisation maps or evidence of causal mechanisms. UKB-CHV, UK Biobank centre-held-out validation; BHMC-EV, Beijing Health Management Cohort external validation; BC, baseline concordant; DIS, discordant inflammatory state; DHG, discordant hyperglycaemic.</w:t>
      </w:r>
    </w:p>
    <w:p w14:paraId="40AF7C77" w14:textId="77777777" w:rsidR="009C122B" w:rsidRPr="003D6AF6" w:rsidRDefault="009C122B" w:rsidP="009C122B">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5139CD90" wp14:editId="461E4C30">
            <wp:extent cx="7480455" cy="4155033"/>
            <wp:effectExtent l="0" t="0" r="6350" b="0"/>
            <wp:docPr id="114806199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37230" cy="4186569"/>
                    </a:xfrm>
                    <a:prstGeom prst="rect">
                      <a:avLst/>
                    </a:prstGeom>
                    <a:noFill/>
                    <a:ln>
                      <a:noFill/>
                    </a:ln>
                  </pic:spPr>
                </pic:pic>
              </a:graphicData>
            </a:graphic>
          </wp:inline>
        </w:drawing>
      </w:r>
    </w:p>
    <w:p w14:paraId="27D7F411" w14:textId="355E9A6D" w:rsidR="00BB1F20" w:rsidRPr="003D6AF6" w:rsidRDefault="009C122B" w:rsidP="00BB1F20">
      <w:pPr>
        <w:outlineLvl w:val="1"/>
        <w:rPr>
          <w:rFonts w:ascii="Times New Roman" w:hAnsi="Times New Roman" w:cs="Times New Roman"/>
          <w:sz w:val="20"/>
          <w:szCs w:val="20"/>
        </w:rPr>
      </w:pPr>
      <w:bookmarkStart w:id="16" w:name="_Toc229600225"/>
      <w:r w:rsidRPr="003D6AF6">
        <w:rPr>
          <w:rFonts w:ascii="Times New Roman" w:hAnsi="Times New Roman" w:cs="Times New Roman"/>
          <w:b/>
          <w:bCs/>
          <w:sz w:val="20"/>
          <w:szCs w:val="20"/>
        </w:rPr>
        <w:t>Figure S</w:t>
      </w:r>
      <w:r w:rsidR="001004FD" w:rsidRPr="003D6AF6">
        <w:rPr>
          <w:rFonts w:ascii="Times New Roman" w:hAnsi="Times New Roman" w:cs="Times New Roman" w:hint="eastAsia"/>
          <w:b/>
          <w:bCs/>
          <w:sz w:val="20"/>
          <w:szCs w:val="20"/>
        </w:rPr>
        <w:t>9</w:t>
      </w:r>
      <w:r w:rsidRPr="003D6AF6">
        <w:rPr>
          <w:rFonts w:ascii="Times New Roman" w:hAnsi="Times New Roman" w:cs="Times New Roman"/>
          <w:b/>
          <w:bCs/>
          <w:sz w:val="20"/>
          <w:szCs w:val="20"/>
        </w:rPr>
        <w:t xml:space="preserve">: </w:t>
      </w:r>
      <w:r w:rsidR="00FE1480" w:rsidRPr="003D6AF6">
        <w:rPr>
          <w:rFonts w:ascii="Times New Roman" w:hAnsi="Times New Roman" w:cs="Times New Roman" w:hint="eastAsia"/>
          <w:sz w:val="20"/>
          <w:szCs w:val="20"/>
        </w:rPr>
        <w:t>Subgroup analyses of subtype</w:t>
      </w:r>
      <w:r w:rsidR="00FE1480" w:rsidRPr="003D6AF6">
        <w:rPr>
          <w:rFonts w:ascii="Times New Roman" w:hAnsi="Times New Roman" w:cs="Times New Roman" w:hint="eastAsia"/>
          <w:sz w:val="20"/>
          <w:szCs w:val="20"/>
        </w:rPr>
        <w:t>–</w:t>
      </w:r>
      <w:r w:rsidR="00FE1480" w:rsidRPr="003D6AF6">
        <w:rPr>
          <w:rFonts w:ascii="Times New Roman" w:hAnsi="Times New Roman" w:cs="Times New Roman" w:hint="eastAsia"/>
          <w:sz w:val="20"/>
          <w:szCs w:val="20"/>
        </w:rPr>
        <w:t>outcome associations</w:t>
      </w:r>
      <w:bookmarkEnd w:id="16"/>
    </w:p>
    <w:p w14:paraId="176403EF" w14:textId="58A86337" w:rsidR="00BE2A8D" w:rsidRDefault="00FE1480" w:rsidP="00BE2A8D">
      <w:pPr>
        <w:rPr>
          <w:rFonts w:ascii="Times New Roman" w:hAnsi="Times New Roman" w:cs="Times New Roman"/>
          <w:sz w:val="20"/>
          <w:szCs w:val="20"/>
        </w:rPr>
        <w:sectPr w:rsidR="00BE2A8D" w:rsidSect="00BE2A8D">
          <w:pgSz w:w="16838" w:h="11906" w:orient="landscape"/>
          <w:pgMar w:top="1800" w:right="1440" w:bottom="1800" w:left="1440" w:header="851" w:footer="992" w:gutter="0"/>
          <w:cols w:space="425"/>
          <w:docGrid w:type="lines" w:linePitch="312"/>
        </w:sectPr>
      </w:pPr>
      <w:r w:rsidRPr="003D6AF6">
        <w:rPr>
          <w:rFonts w:ascii="Times New Roman" w:hAnsi="Times New Roman" w:cs="Times New Roman"/>
          <w:sz w:val="20"/>
          <w:szCs w:val="20"/>
        </w:rPr>
        <w:t>Forest plots showing hazard ratios (95% CI) for associations between ROSA-predicted subtypes and incident outcomes across strata defined by age (&lt;55 versus ≥55 years), sex, and BMI (&lt;30 versus ≥30 kg/m²). Panels display the subgroup-specific estimates for DIS and DHG relative to BC. Models were adjusted according to Model 3 in Supplementary Table S4. P values for interaction were obtained using likelihood-ratio tests. DIS, discordant inflammatory state; DHG, discordant hyperglycaemic; BC, baseline concordant; HR, hazard ratio; CI, confidence interval; BMI, body-m</w:t>
      </w:r>
      <w:r w:rsidR="00BE2A8D" w:rsidRPr="003D6AF6">
        <w:rPr>
          <w:rFonts w:ascii="Times New Roman" w:hAnsi="Times New Roman" w:cs="Times New Roman"/>
          <w:sz w:val="20"/>
          <w:szCs w:val="20"/>
        </w:rPr>
        <w:t>ass index.</w:t>
      </w:r>
    </w:p>
    <w:p w14:paraId="2F89AC88" w14:textId="718E5D62" w:rsidR="00BE2A8D" w:rsidRPr="003D6AF6" w:rsidRDefault="00BE2A8D" w:rsidP="00BE2A8D">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53A59174" wp14:editId="11C9DEF1">
            <wp:extent cx="4857750" cy="6590071"/>
            <wp:effectExtent l="0" t="0" r="0" b="1270"/>
            <wp:docPr id="122448154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481545"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857973" cy="6590373"/>
                    </a:xfrm>
                    <a:prstGeom prst="rect">
                      <a:avLst/>
                    </a:prstGeom>
                  </pic:spPr>
                </pic:pic>
              </a:graphicData>
            </a:graphic>
          </wp:inline>
        </w:drawing>
      </w:r>
    </w:p>
    <w:p w14:paraId="4FAC9753" w14:textId="77777777" w:rsidR="00BE2A8D" w:rsidRPr="003D6AF6" w:rsidRDefault="00BE2A8D" w:rsidP="00BE2A8D">
      <w:pPr>
        <w:outlineLvl w:val="1"/>
        <w:rPr>
          <w:rFonts w:ascii="Times New Roman" w:hAnsi="Times New Roman" w:cs="Times New Roman"/>
          <w:b/>
          <w:bCs/>
          <w:sz w:val="20"/>
          <w:szCs w:val="20"/>
        </w:rPr>
      </w:pPr>
      <w:bookmarkStart w:id="17" w:name="_Toc229600226"/>
      <w:r w:rsidRPr="00CC0011">
        <w:rPr>
          <w:rFonts w:ascii="Times New Roman" w:hAnsi="Times New Roman" w:cs="Times New Roman"/>
          <w:b/>
          <w:bCs/>
          <w:sz w:val="20"/>
          <w:szCs w:val="20"/>
        </w:rPr>
        <w:t>Figure S1</w:t>
      </w:r>
      <w:r>
        <w:rPr>
          <w:rFonts w:ascii="Times New Roman" w:hAnsi="Times New Roman" w:cs="Times New Roman" w:hint="eastAsia"/>
          <w:b/>
          <w:bCs/>
          <w:sz w:val="20"/>
          <w:szCs w:val="20"/>
        </w:rPr>
        <w:t>0</w:t>
      </w:r>
      <w:r w:rsidRPr="00CC0011">
        <w:rPr>
          <w:rFonts w:ascii="Times New Roman" w:hAnsi="Times New Roman" w:cs="Times New Roman"/>
          <w:b/>
          <w:bCs/>
          <w:sz w:val="20"/>
          <w:szCs w:val="20"/>
        </w:rPr>
        <w:t xml:space="preserve">: </w:t>
      </w:r>
      <w:r w:rsidRPr="003D6AF6">
        <w:rPr>
          <w:rFonts w:ascii="Times New Roman" w:hAnsi="Times New Roman" w:cs="Times New Roman"/>
          <w:sz w:val="20"/>
          <w:szCs w:val="20"/>
        </w:rPr>
        <w:t>Decision-curve analysis for ROSA-predicted obesity subtypes and 10-year clinical outcomes</w:t>
      </w:r>
      <w:bookmarkEnd w:id="17"/>
    </w:p>
    <w:p w14:paraId="2746C9C2" w14:textId="0E8C1EEF" w:rsidR="009C122B" w:rsidRPr="00BE2A8D" w:rsidRDefault="00BE2A8D" w:rsidP="009C122B">
      <w:pPr>
        <w:rPr>
          <w:rFonts w:ascii="Times New Roman" w:hAnsi="Times New Roman" w:cs="Times New Roman"/>
          <w:sz w:val="20"/>
          <w:szCs w:val="20"/>
        </w:rPr>
        <w:sectPr w:rsidR="009C122B" w:rsidRPr="00BE2A8D" w:rsidSect="00BE2A8D">
          <w:pgSz w:w="11906" w:h="16838"/>
          <w:pgMar w:top="1440" w:right="1800" w:bottom="1440" w:left="1800" w:header="851" w:footer="992" w:gutter="0"/>
          <w:cols w:space="425"/>
          <w:docGrid w:type="lines" w:linePitch="312"/>
        </w:sectPr>
      </w:pPr>
      <w:r w:rsidRPr="003D6AF6">
        <w:rPr>
          <w:rFonts w:ascii="Times New Roman" w:hAnsi="Times New Roman" w:cs="Times New Roman"/>
          <w:b/>
          <w:bCs/>
          <w:sz w:val="20"/>
          <w:szCs w:val="20"/>
        </w:rPr>
        <w:t xml:space="preserve">a, </w:t>
      </w:r>
      <w:r w:rsidRPr="003D6AF6">
        <w:rPr>
          <w:rFonts w:ascii="Times New Roman" w:hAnsi="Times New Roman" w:cs="Times New Roman"/>
          <w:sz w:val="20"/>
          <w:szCs w:val="20"/>
        </w:rPr>
        <w:t>Decision-curve analysis for ROSA-predicted subtype probabilities in DIS versus BC and DHG versus BC contrasts. Net benefit was evaluated across threshold probabilities from 0.01 to 0.</w:t>
      </w:r>
      <w:r w:rsidR="00DF3BF0">
        <w:rPr>
          <w:rFonts w:ascii="Times New Roman" w:hAnsi="Times New Roman" w:cs="Times New Roman" w:hint="eastAsia"/>
          <w:sz w:val="20"/>
          <w:szCs w:val="20"/>
        </w:rPr>
        <w:t>3</w:t>
      </w:r>
      <w:r w:rsidRPr="003D6AF6">
        <w:rPr>
          <w:rFonts w:ascii="Times New Roman" w:hAnsi="Times New Roman" w:cs="Times New Roman"/>
          <w:sz w:val="20"/>
          <w:szCs w:val="20"/>
        </w:rPr>
        <w:t xml:space="preserve">0 and compared with treat-all and treat-none strategies. </w:t>
      </w:r>
      <w:r w:rsidRPr="003D6AF6">
        <w:rPr>
          <w:rFonts w:ascii="Times New Roman" w:hAnsi="Times New Roman" w:cs="Times New Roman"/>
          <w:b/>
          <w:bCs/>
          <w:sz w:val="20"/>
          <w:szCs w:val="20"/>
        </w:rPr>
        <w:t xml:space="preserve">b, </w:t>
      </w:r>
      <w:r w:rsidRPr="003D6AF6">
        <w:rPr>
          <w:rFonts w:ascii="Times New Roman" w:hAnsi="Times New Roman" w:cs="Times New Roman"/>
          <w:sz w:val="20"/>
          <w:szCs w:val="20"/>
        </w:rPr>
        <w:t>Decision-curve analysis for 10-year incident CMD, IHD, stroke and T2DM. Models included BMI-only, clinical-full, clinical-full plus ROSA probabilities, and ROSA probabilities alone. Net benefit was calculated across the same threshold-probability range. BC, baseline concordant; DIS, discordant inflammatory state; DHG, discordant hyperglycaemic; CMD, cardiometabolic disease; IHD, ischaemic heart disease; T2DM, type 2 diabetes mellitus; ROSA, Retinal-based Obesity Subtyping Algorithm.</w:t>
      </w:r>
      <w:r w:rsidRPr="003D6AF6">
        <w:rPr>
          <w:noProof/>
        </w:rPr>
        <w:t xml:space="preserve"> </w:t>
      </w:r>
    </w:p>
    <w:p w14:paraId="61B6D9DC" w14:textId="55936F4B" w:rsidR="009C122B" w:rsidRPr="003D6AF6" w:rsidRDefault="008249D4" w:rsidP="009C122B">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463842F6" wp14:editId="172F1F98">
            <wp:extent cx="7735074" cy="4345229"/>
            <wp:effectExtent l="0" t="0" r="0" b="0"/>
            <wp:docPr id="1933203736"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03736"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7764783" cy="4361918"/>
                    </a:xfrm>
                    <a:prstGeom prst="rect">
                      <a:avLst/>
                    </a:prstGeom>
                  </pic:spPr>
                </pic:pic>
              </a:graphicData>
            </a:graphic>
          </wp:inline>
        </w:drawing>
      </w:r>
    </w:p>
    <w:p w14:paraId="389AB85B" w14:textId="6CBCE118" w:rsidR="00BB1F20" w:rsidRPr="003D6AF6" w:rsidRDefault="009C122B" w:rsidP="00BB1F20">
      <w:pPr>
        <w:outlineLvl w:val="1"/>
        <w:rPr>
          <w:rFonts w:ascii="Times New Roman" w:hAnsi="Times New Roman" w:cs="Times New Roman"/>
          <w:sz w:val="20"/>
          <w:szCs w:val="20"/>
        </w:rPr>
      </w:pPr>
      <w:bookmarkStart w:id="18" w:name="_Toc229600227"/>
      <w:r w:rsidRPr="003D6AF6">
        <w:rPr>
          <w:rFonts w:ascii="Times New Roman" w:hAnsi="Times New Roman" w:cs="Times New Roman"/>
          <w:b/>
          <w:bCs/>
          <w:sz w:val="20"/>
          <w:szCs w:val="20"/>
        </w:rPr>
        <w:t>Figure S</w:t>
      </w:r>
      <w:r w:rsidR="001004FD" w:rsidRPr="003D6AF6">
        <w:rPr>
          <w:rFonts w:ascii="Times New Roman" w:hAnsi="Times New Roman" w:cs="Times New Roman" w:hint="eastAsia"/>
          <w:b/>
          <w:bCs/>
          <w:sz w:val="20"/>
          <w:szCs w:val="20"/>
        </w:rPr>
        <w:t>1</w:t>
      </w:r>
      <w:r w:rsidR="00BE2A8D">
        <w:rPr>
          <w:rFonts w:ascii="Times New Roman" w:hAnsi="Times New Roman" w:cs="Times New Roman" w:hint="eastAsia"/>
          <w:b/>
          <w:bCs/>
          <w:sz w:val="20"/>
          <w:szCs w:val="20"/>
        </w:rPr>
        <w:t>1</w:t>
      </w:r>
      <w:r w:rsidRPr="003D6AF6">
        <w:rPr>
          <w:rFonts w:ascii="Times New Roman" w:hAnsi="Times New Roman" w:cs="Times New Roman"/>
          <w:b/>
          <w:bCs/>
          <w:sz w:val="20"/>
          <w:szCs w:val="20"/>
        </w:rPr>
        <w:t xml:space="preserve">: </w:t>
      </w:r>
      <w:r w:rsidR="00FE1480" w:rsidRPr="003D6AF6">
        <w:rPr>
          <w:rFonts w:ascii="Times New Roman" w:hAnsi="Times New Roman" w:cs="Times New Roman" w:hint="eastAsia"/>
          <w:sz w:val="20"/>
          <w:szCs w:val="20"/>
        </w:rPr>
        <w:t>Multi-state transition probabilities by predicted subtype</w:t>
      </w:r>
      <w:bookmarkEnd w:id="18"/>
    </w:p>
    <w:p w14:paraId="3ED0CA94" w14:textId="32A03F8C" w:rsidR="009C122B" w:rsidRPr="003D6AF6" w:rsidRDefault="00FE1480" w:rsidP="009C122B">
      <w:pPr>
        <w:rPr>
          <w:rFonts w:ascii="Times New Roman" w:hAnsi="Times New Roman" w:cs="Times New Roman"/>
          <w:sz w:val="20"/>
          <w:szCs w:val="20"/>
        </w:rPr>
        <w:sectPr w:rsidR="009C122B" w:rsidRPr="003D6AF6" w:rsidSect="009C122B">
          <w:pgSz w:w="16838" w:h="11906" w:orient="landscape"/>
          <w:pgMar w:top="1800" w:right="1440" w:bottom="1800" w:left="1440" w:header="851" w:footer="992" w:gutter="0"/>
          <w:cols w:space="425"/>
          <w:docGrid w:type="lines" w:linePitch="312"/>
        </w:sectPr>
      </w:pPr>
      <w:r w:rsidRPr="003D6AF6">
        <w:rPr>
          <w:rFonts w:ascii="Times New Roman" w:hAnsi="Times New Roman" w:cs="Times New Roman" w:hint="eastAsia"/>
          <w:b/>
          <w:bCs/>
          <w:sz w:val="20"/>
          <w:szCs w:val="20"/>
        </w:rPr>
        <w:t xml:space="preserve">a, </w:t>
      </w:r>
      <w:r w:rsidRPr="003D6AF6">
        <w:rPr>
          <w:rFonts w:ascii="Times New Roman" w:hAnsi="Times New Roman" w:cs="Times New Roman" w:hint="eastAsia"/>
          <w:sz w:val="20"/>
          <w:szCs w:val="20"/>
        </w:rPr>
        <w:t xml:space="preserve">BC. </w:t>
      </w:r>
      <w:r w:rsidRPr="003D6AF6">
        <w:rPr>
          <w:rFonts w:ascii="Times New Roman" w:hAnsi="Times New Roman" w:cs="Times New Roman" w:hint="eastAsia"/>
          <w:b/>
          <w:bCs/>
          <w:sz w:val="20"/>
          <w:szCs w:val="20"/>
        </w:rPr>
        <w:t>b,</w:t>
      </w:r>
      <w:r w:rsidRPr="003D6AF6">
        <w:rPr>
          <w:rFonts w:ascii="Times New Roman" w:hAnsi="Times New Roman" w:cs="Times New Roman" w:hint="eastAsia"/>
          <w:sz w:val="20"/>
          <w:szCs w:val="20"/>
        </w:rPr>
        <w:t xml:space="preserve"> DIS. </w:t>
      </w:r>
      <w:r w:rsidRPr="003D6AF6">
        <w:rPr>
          <w:rFonts w:ascii="Times New Roman" w:hAnsi="Times New Roman" w:cs="Times New Roman" w:hint="eastAsia"/>
          <w:b/>
          <w:bCs/>
          <w:sz w:val="20"/>
          <w:szCs w:val="20"/>
        </w:rPr>
        <w:t>c,</w:t>
      </w:r>
      <w:r w:rsidRPr="003D6AF6">
        <w:rPr>
          <w:rFonts w:ascii="Times New Roman" w:hAnsi="Times New Roman" w:cs="Times New Roman" w:hint="eastAsia"/>
          <w:sz w:val="20"/>
          <w:szCs w:val="20"/>
        </w:rPr>
        <w:t xml:space="preserve"> DHG. Aalen</w:t>
      </w:r>
      <w:r w:rsidRPr="003D6AF6">
        <w:rPr>
          <w:rFonts w:ascii="Times New Roman" w:hAnsi="Times New Roman" w:cs="Times New Roman" w:hint="eastAsia"/>
          <w:sz w:val="20"/>
          <w:szCs w:val="20"/>
        </w:rPr>
        <w:t>–</w:t>
      </w:r>
      <w:r w:rsidRPr="003D6AF6">
        <w:rPr>
          <w:rFonts w:ascii="Times New Roman" w:hAnsi="Times New Roman" w:cs="Times New Roman" w:hint="eastAsia"/>
          <w:sz w:val="20"/>
          <w:szCs w:val="20"/>
        </w:rPr>
        <w:t>Johansen cumulative transition probability curves across four clinical states: CMD-free, first CMD event, cardiometabolic multimorbidity, and death, stratified by ROSA-predicted subtype. Transition-specific hazard ratios from multistate models are provided in Table 1 (main text). CMD, composite cardiometabolic disease; BC, baseline concordant; DIS, discordant inflammatory state; DHG, discordant hyperglycaemic.</w:t>
      </w:r>
    </w:p>
    <w:p w14:paraId="6AF85AB1" w14:textId="091B526F" w:rsidR="009C122B" w:rsidRPr="003D6AF6" w:rsidRDefault="008249D4" w:rsidP="009C122B">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56A5A6B6" wp14:editId="1EF71CDF">
            <wp:extent cx="5274310" cy="5471160"/>
            <wp:effectExtent l="0" t="0" r="0" b="0"/>
            <wp:docPr id="75965017"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017"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274310" cy="5471160"/>
                    </a:xfrm>
                    <a:prstGeom prst="rect">
                      <a:avLst/>
                    </a:prstGeom>
                  </pic:spPr>
                </pic:pic>
              </a:graphicData>
            </a:graphic>
          </wp:inline>
        </w:drawing>
      </w:r>
    </w:p>
    <w:p w14:paraId="296F05DF" w14:textId="535EF749" w:rsidR="00BB1F20" w:rsidRPr="003D6AF6" w:rsidRDefault="009C122B" w:rsidP="00BB1F20">
      <w:pPr>
        <w:outlineLvl w:val="1"/>
        <w:rPr>
          <w:rFonts w:ascii="Times New Roman" w:hAnsi="Times New Roman" w:cs="Times New Roman"/>
          <w:sz w:val="20"/>
          <w:szCs w:val="20"/>
        </w:rPr>
      </w:pPr>
      <w:bookmarkStart w:id="19" w:name="_Toc229600228"/>
      <w:r w:rsidRPr="003D6AF6">
        <w:rPr>
          <w:rFonts w:ascii="Times New Roman" w:hAnsi="Times New Roman" w:cs="Times New Roman"/>
          <w:b/>
          <w:bCs/>
          <w:sz w:val="20"/>
          <w:szCs w:val="20"/>
        </w:rPr>
        <w:t>Figure S</w:t>
      </w:r>
      <w:r w:rsidR="001004FD" w:rsidRPr="003D6AF6">
        <w:rPr>
          <w:rFonts w:ascii="Times New Roman" w:hAnsi="Times New Roman" w:cs="Times New Roman" w:hint="eastAsia"/>
          <w:b/>
          <w:bCs/>
          <w:sz w:val="20"/>
          <w:szCs w:val="20"/>
        </w:rPr>
        <w:t>12</w:t>
      </w:r>
      <w:r w:rsidRPr="003D6AF6">
        <w:rPr>
          <w:rFonts w:ascii="Times New Roman" w:hAnsi="Times New Roman" w:cs="Times New Roman"/>
          <w:b/>
          <w:bCs/>
          <w:sz w:val="20"/>
          <w:szCs w:val="20"/>
        </w:rPr>
        <w:t xml:space="preserve">: </w:t>
      </w:r>
      <w:r w:rsidR="00FE1480" w:rsidRPr="003D6AF6">
        <w:rPr>
          <w:rFonts w:ascii="Times New Roman" w:hAnsi="Times New Roman" w:cs="Times New Roman" w:hint="eastAsia"/>
          <w:sz w:val="20"/>
          <w:szCs w:val="20"/>
        </w:rPr>
        <w:t>Metabolomic associations of predicted subtypes</w:t>
      </w:r>
      <w:bookmarkEnd w:id="19"/>
    </w:p>
    <w:p w14:paraId="54BC2AB7" w14:textId="7C49FCB2" w:rsidR="009C122B" w:rsidRPr="003D6AF6" w:rsidRDefault="00FE1480" w:rsidP="009C122B">
      <w:pPr>
        <w:rPr>
          <w:rFonts w:ascii="Times New Roman" w:hAnsi="Times New Roman" w:cs="Times New Roman"/>
          <w:sz w:val="20"/>
          <w:szCs w:val="20"/>
        </w:rPr>
      </w:pPr>
      <w:r w:rsidRPr="003D6AF6">
        <w:rPr>
          <w:rFonts w:ascii="Times New Roman" w:hAnsi="Times New Roman" w:cs="Times New Roman" w:hint="eastAsia"/>
          <w:b/>
          <w:bCs/>
          <w:sz w:val="20"/>
          <w:szCs w:val="20"/>
        </w:rPr>
        <w:t xml:space="preserve">a, </w:t>
      </w:r>
      <w:r w:rsidRPr="003D6AF6">
        <w:rPr>
          <w:rFonts w:ascii="Times New Roman" w:hAnsi="Times New Roman" w:cs="Times New Roman" w:hint="eastAsia"/>
          <w:sz w:val="20"/>
          <w:szCs w:val="20"/>
        </w:rPr>
        <w:t xml:space="preserve">Manhattan plot of associations between ROSA-predicted subtypes and 249 circulating metabolites quantified by NMR spectroscopy in the </w:t>
      </w:r>
      <w:r w:rsidR="00DF3BF0">
        <w:rPr>
          <w:rFonts w:ascii="Times New Roman" w:hAnsi="Times New Roman" w:cs="Times New Roman" w:hint="eastAsia"/>
          <w:sz w:val="20"/>
          <w:szCs w:val="20"/>
        </w:rPr>
        <w:t>UKB-CHV</w:t>
      </w:r>
      <w:r w:rsidRPr="003D6AF6">
        <w:rPr>
          <w:rFonts w:ascii="Times New Roman" w:hAnsi="Times New Roman" w:cs="Times New Roman" w:hint="eastAsia"/>
          <w:sz w:val="20"/>
          <w:szCs w:val="20"/>
        </w:rPr>
        <w:t xml:space="preserve"> </w:t>
      </w:r>
      <w:r w:rsidR="00095DEE" w:rsidRPr="003D6AF6">
        <w:rPr>
          <w:rFonts w:ascii="Times New Roman" w:hAnsi="Times New Roman" w:cs="Times New Roman" w:hint="eastAsia"/>
          <w:sz w:val="20"/>
          <w:szCs w:val="20"/>
        </w:rPr>
        <w:t>set</w:t>
      </w:r>
      <w:r w:rsidRPr="003D6AF6">
        <w:rPr>
          <w:rFonts w:ascii="Times New Roman" w:hAnsi="Times New Roman" w:cs="Times New Roman" w:hint="eastAsia"/>
          <w:sz w:val="20"/>
          <w:szCs w:val="20"/>
        </w:rPr>
        <w:t xml:space="preserve"> (n = 12,839). </w:t>
      </w:r>
      <w:r w:rsidRPr="003D6AF6">
        <w:rPr>
          <w:rFonts w:ascii="Times New Roman" w:hAnsi="Times New Roman" w:cs="Times New Roman" w:hint="eastAsia"/>
          <w:b/>
          <w:bCs/>
          <w:sz w:val="20"/>
          <w:szCs w:val="20"/>
        </w:rPr>
        <w:t>b,</w:t>
      </w:r>
      <w:r w:rsidRPr="003D6AF6">
        <w:rPr>
          <w:rFonts w:ascii="Times New Roman" w:hAnsi="Times New Roman" w:cs="Times New Roman" w:hint="eastAsia"/>
          <w:sz w:val="20"/>
          <w:szCs w:val="20"/>
        </w:rPr>
        <w:t xml:space="preserve"> Top 10 metabolite associations for DIS versus BC, ranked by absolute standardised effect size. </w:t>
      </w:r>
      <w:r w:rsidRPr="003D6AF6">
        <w:rPr>
          <w:rFonts w:ascii="Times New Roman" w:hAnsi="Times New Roman" w:cs="Times New Roman" w:hint="eastAsia"/>
          <w:b/>
          <w:bCs/>
          <w:sz w:val="20"/>
          <w:szCs w:val="20"/>
        </w:rPr>
        <w:t>c,</w:t>
      </w:r>
      <w:r w:rsidRPr="003D6AF6">
        <w:rPr>
          <w:rFonts w:ascii="Times New Roman" w:hAnsi="Times New Roman" w:cs="Times New Roman" w:hint="eastAsia"/>
          <w:sz w:val="20"/>
          <w:szCs w:val="20"/>
        </w:rPr>
        <w:t xml:space="preserve"> Top 10 metabolite associations for DHG versus BC. Linear regression models were adjusted for age, age-squared, sex, and BMI. Associations passing FDR &lt; 0.05 are shown. Full results are provided in Supplementary Data </w:t>
      </w:r>
      <w:r w:rsidR="00A34542">
        <w:rPr>
          <w:rFonts w:ascii="Times New Roman" w:hAnsi="Times New Roman" w:cs="Times New Roman" w:hint="eastAsia"/>
          <w:sz w:val="20"/>
          <w:szCs w:val="20"/>
        </w:rPr>
        <w:t>11</w:t>
      </w:r>
      <w:r w:rsidRPr="003D6AF6">
        <w:rPr>
          <w:rFonts w:ascii="Times New Roman" w:hAnsi="Times New Roman" w:cs="Times New Roman" w:hint="eastAsia"/>
          <w:sz w:val="20"/>
          <w:szCs w:val="20"/>
        </w:rPr>
        <w:t>. DIS, discordant inflammatory state; DHG, discordant hyperglycaemic; BC, baseline concordant; NMR, nuclear magnetic resonance; FDR, false discovery rate.</w:t>
      </w:r>
    </w:p>
    <w:p w14:paraId="51BF9668" w14:textId="77777777" w:rsidR="009C122B" w:rsidRPr="003D6AF6" w:rsidRDefault="009C122B">
      <w:pPr>
        <w:rPr>
          <w:rFonts w:ascii="Times New Roman" w:eastAsia="宋体" w:hAnsi="Times New Roman" w:cs="Times New Roman"/>
          <w:sz w:val="20"/>
          <w:szCs w:val="20"/>
        </w:rPr>
        <w:sectPr w:rsidR="009C122B" w:rsidRPr="003D6AF6">
          <w:pgSz w:w="11906" w:h="16838"/>
          <w:pgMar w:top="1440" w:right="1800" w:bottom="1440" w:left="1800" w:header="851" w:footer="992" w:gutter="0"/>
          <w:cols w:space="425"/>
          <w:docGrid w:type="lines" w:linePitch="312"/>
        </w:sectPr>
      </w:pPr>
    </w:p>
    <w:p w14:paraId="3DF9EB26" w14:textId="2FBB71C9" w:rsidR="009C122B" w:rsidRPr="003D6AF6" w:rsidRDefault="008249D4" w:rsidP="009C122B">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767168AF" wp14:editId="187DDE07">
            <wp:extent cx="5274310" cy="5687060"/>
            <wp:effectExtent l="0" t="0" r="0" b="0"/>
            <wp:docPr id="747036960"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36960"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5274310" cy="5687060"/>
                    </a:xfrm>
                    <a:prstGeom prst="rect">
                      <a:avLst/>
                    </a:prstGeom>
                  </pic:spPr>
                </pic:pic>
              </a:graphicData>
            </a:graphic>
          </wp:inline>
        </w:drawing>
      </w:r>
    </w:p>
    <w:p w14:paraId="1321F874" w14:textId="24326BDB" w:rsidR="00BB1F20" w:rsidRPr="003D6AF6" w:rsidRDefault="009C122B" w:rsidP="00BB1F20">
      <w:pPr>
        <w:outlineLvl w:val="1"/>
        <w:rPr>
          <w:rFonts w:ascii="Times New Roman" w:hAnsi="Times New Roman" w:cs="Times New Roman"/>
          <w:sz w:val="20"/>
          <w:szCs w:val="20"/>
        </w:rPr>
      </w:pPr>
      <w:bookmarkStart w:id="20" w:name="_Toc229600229"/>
      <w:r w:rsidRPr="003D6AF6">
        <w:rPr>
          <w:rFonts w:ascii="Times New Roman" w:hAnsi="Times New Roman" w:cs="Times New Roman"/>
          <w:b/>
          <w:bCs/>
          <w:sz w:val="20"/>
          <w:szCs w:val="20"/>
        </w:rPr>
        <w:t>Figure S</w:t>
      </w:r>
      <w:r w:rsidR="001004FD" w:rsidRPr="003D6AF6">
        <w:rPr>
          <w:rFonts w:ascii="Times New Roman" w:hAnsi="Times New Roman" w:cs="Times New Roman" w:hint="eastAsia"/>
          <w:b/>
          <w:bCs/>
          <w:sz w:val="20"/>
          <w:szCs w:val="20"/>
        </w:rPr>
        <w:t>13</w:t>
      </w:r>
      <w:r w:rsidRPr="003D6AF6">
        <w:rPr>
          <w:rFonts w:ascii="Times New Roman" w:hAnsi="Times New Roman" w:cs="Times New Roman"/>
          <w:b/>
          <w:bCs/>
          <w:sz w:val="20"/>
          <w:szCs w:val="20"/>
        </w:rPr>
        <w:t xml:space="preserve">: </w:t>
      </w:r>
      <w:r w:rsidR="00FE1480" w:rsidRPr="003D6AF6">
        <w:rPr>
          <w:rFonts w:ascii="Times New Roman" w:hAnsi="Times New Roman" w:cs="Times New Roman" w:hint="eastAsia"/>
          <w:sz w:val="20"/>
          <w:szCs w:val="20"/>
        </w:rPr>
        <w:t>Proteomic associations of predicted subtypes</w:t>
      </w:r>
      <w:bookmarkEnd w:id="20"/>
    </w:p>
    <w:p w14:paraId="37BEE2B4" w14:textId="02E2A4C6" w:rsidR="009C122B" w:rsidRPr="003D6AF6" w:rsidRDefault="00FE1480" w:rsidP="009C122B">
      <w:pPr>
        <w:rPr>
          <w:rFonts w:ascii="Times New Roman" w:hAnsi="Times New Roman" w:cs="Times New Roman"/>
          <w:sz w:val="20"/>
          <w:szCs w:val="20"/>
        </w:rPr>
        <w:sectPr w:rsidR="009C122B" w:rsidRPr="003D6AF6" w:rsidSect="009C122B">
          <w:pgSz w:w="11906" w:h="16838"/>
          <w:pgMar w:top="1440" w:right="1800" w:bottom="1440" w:left="1800" w:header="851" w:footer="992" w:gutter="0"/>
          <w:cols w:space="425"/>
          <w:docGrid w:type="lines" w:linePitch="312"/>
        </w:sectPr>
      </w:pPr>
      <w:r w:rsidRPr="003D6AF6">
        <w:rPr>
          <w:rFonts w:ascii="Times New Roman" w:hAnsi="Times New Roman" w:cs="Times New Roman" w:hint="eastAsia"/>
          <w:b/>
          <w:bCs/>
          <w:sz w:val="20"/>
          <w:szCs w:val="20"/>
        </w:rPr>
        <w:t xml:space="preserve">a, </w:t>
      </w:r>
      <w:r w:rsidRPr="003D6AF6">
        <w:rPr>
          <w:rFonts w:ascii="Times New Roman" w:hAnsi="Times New Roman" w:cs="Times New Roman" w:hint="eastAsia"/>
          <w:sz w:val="20"/>
          <w:szCs w:val="20"/>
        </w:rPr>
        <w:t xml:space="preserve">Manhattan plot of associations between ROSA-predicted subtypes and 2,919 circulating proteins quantified using the Olink Explore 3072 platform in the </w:t>
      </w:r>
      <w:r w:rsidR="00DF3BF0">
        <w:rPr>
          <w:rFonts w:ascii="Times New Roman" w:hAnsi="Times New Roman" w:cs="Times New Roman" w:hint="eastAsia"/>
          <w:sz w:val="20"/>
          <w:szCs w:val="20"/>
        </w:rPr>
        <w:t>UKB-CHV</w:t>
      </w:r>
      <w:r w:rsidRPr="003D6AF6">
        <w:rPr>
          <w:rFonts w:ascii="Times New Roman" w:hAnsi="Times New Roman" w:cs="Times New Roman" w:hint="eastAsia"/>
          <w:sz w:val="20"/>
          <w:szCs w:val="20"/>
        </w:rPr>
        <w:t xml:space="preserve"> </w:t>
      </w:r>
      <w:r w:rsidR="00095DEE" w:rsidRPr="003D6AF6">
        <w:rPr>
          <w:rFonts w:ascii="Times New Roman" w:hAnsi="Times New Roman" w:cs="Times New Roman" w:hint="eastAsia"/>
          <w:sz w:val="20"/>
          <w:szCs w:val="20"/>
        </w:rPr>
        <w:t>set</w:t>
      </w:r>
      <w:r w:rsidRPr="003D6AF6">
        <w:rPr>
          <w:rFonts w:ascii="Times New Roman" w:hAnsi="Times New Roman" w:cs="Times New Roman" w:hint="eastAsia"/>
          <w:sz w:val="20"/>
          <w:szCs w:val="20"/>
        </w:rPr>
        <w:t xml:space="preserve"> (n = 3,512). </w:t>
      </w:r>
      <w:r w:rsidRPr="003D6AF6">
        <w:rPr>
          <w:rFonts w:ascii="Times New Roman" w:hAnsi="Times New Roman" w:cs="Times New Roman" w:hint="eastAsia"/>
          <w:b/>
          <w:bCs/>
          <w:sz w:val="20"/>
          <w:szCs w:val="20"/>
        </w:rPr>
        <w:t>b,</w:t>
      </w:r>
      <w:r w:rsidRPr="003D6AF6">
        <w:rPr>
          <w:rFonts w:ascii="Times New Roman" w:hAnsi="Times New Roman" w:cs="Times New Roman" w:hint="eastAsia"/>
          <w:sz w:val="20"/>
          <w:szCs w:val="20"/>
        </w:rPr>
        <w:t xml:space="preserve"> Top 10 protein associations for DIS versus BC. </w:t>
      </w:r>
      <w:r w:rsidRPr="003D6AF6">
        <w:rPr>
          <w:rFonts w:ascii="Times New Roman" w:hAnsi="Times New Roman" w:cs="Times New Roman" w:hint="eastAsia"/>
          <w:b/>
          <w:bCs/>
          <w:sz w:val="20"/>
          <w:szCs w:val="20"/>
        </w:rPr>
        <w:t>c,</w:t>
      </w:r>
      <w:r w:rsidRPr="003D6AF6">
        <w:rPr>
          <w:rFonts w:ascii="Times New Roman" w:hAnsi="Times New Roman" w:cs="Times New Roman" w:hint="eastAsia"/>
          <w:sz w:val="20"/>
          <w:szCs w:val="20"/>
        </w:rPr>
        <w:t xml:space="preserve"> Top 10 protein associations for DHG versus BC. Linear regression models were adjusted for age, age-squared, sex, and BMI. Associations passing FDR &lt; 0.05 are shown. Full results are provided in Supplementary Data </w:t>
      </w:r>
      <w:r w:rsidR="00A34542">
        <w:rPr>
          <w:rFonts w:ascii="Times New Roman" w:hAnsi="Times New Roman" w:cs="Times New Roman" w:hint="eastAsia"/>
          <w:sz w:val="20"/>
          <w:szCs w:val="20"/>
        </w:rPr>
        <w:t>12</w:t>
      </w:r>
      <w:r w:rsidRPr="003D6AF6">
        <w:rPr>
          <w:rFonts w:ascii="Times New Roman" w:hAnsi="Times New Roman" w:cs="Times New Roman" w:hint="eastAsia"/>
          <w:sz w:val="20"/>
          <w:szCs w:val="20"/>
        </w:rPr>
        <w:t>. DIS, discordant inflammatory state; DHG, discordant hyperglycaemic; BC, baseline concordant; FDR, false discovery rate.</w:t>
      </w:r>
    </w:p>
    <w:p w14:paraId="7F0F7CED" w14:textId="77777777" w:rsidR="001004FD" w:rsidRPr="003D6AF6" w:rsidRDefault="001004FD" w:rsidP="001004FD">
      <w:pPr>
        <w:rPr>
          <w:rFonts w:ascii="Times New Roman" w:hAnsi="Times New Roman" w:cs="Times New Roman"/>
          <w:b/>
          <w:bCs/>
          <w:sz w:val="20"/>
          <w:szCs w:val="20"/>
        </w:rPr>
      </w:pPr>
      <w:r w:rsidRPr="003D6AF6">
        <w:rPr>
          <w:rFonts w:ascii="Times New Roman" w:hAnsi="Times New Roman" w:cs="Times New Roman"/>
          <w:b/>
          <w:bCs/>
          <w:noProof/>
          <w:sz w:val="20"/>
          <w:szCs w:val="20"/>
        </w:rPr>
        <w:lastRenderedPageBreak/>
        <w:drawing>
          <wp:inline distT="0" distB="0" distL="0" distR="0" wp14:anchorId="21071493" wp14:editId="27ACFCEF">
            <wp:extent cx="5274310" cy="2719070"/>
            <wp:effectExtent l="0" t="0" r="2540" b="5080"/>
            <wp:docPr id="448758307"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58307"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274310" cy="2719070"/>
                    </a:xfrm>
                    <a:prstGeom prst="rect">
                      <a:avLst/>
                    </a:prstGeom>
                  </pic:spPr>
                </pic:pic>
              </a:graphicData>
            </a:graphic>
          </wp:inline>
        </w:drawing>
      </w:r>
    </w:p>
    <w:p w14:paraId="103883B7" w14:textId="77777777" w:rsidR="001004FD" w:rsidRPr="003D6AF6" w:rsidRDefault="001004FD" w:rsidP="001004FD">
      <w:pPr>
        <w:outlineLvl w:val="1"/>
        <w:rPr>
          <w:rFonts w:ascii="Times New Roman" w:hAnsi="Times New Roman" w:cs="Times New Roman"/>
          <w:b/>
          <w:bCs/>
          <w:sz w:val="20"/>
          <w:szCs w:val="20"/>
        </w:rPr>
      </w:pPr>
      <w:bookmarkStart w:id="21" w:name="_Toc229600230"/>
      <w:r w:rsidRPr="00CC0011">
        <w:rPr>
          <w:rFonts w:ascii="Times New Roman" w:hAnsi="Times New Roman" w:cs="Times New Roman"/>
          <w:b/>
          <w:bCs/>
          <w:sz w:val="20"/>
          <w:szCs w:val="20"/>
        </w:rPr>
        <w:t>Figure S</w:t>
      </w:r>
      <w:r w:rsidRPr="003D6AF6">
        <w:rPr>
          <w:rFonts w:ascii="Times New Roman" w:hAnsi="Times New Roman" w:cs="Times New Roman" w:hint="eastAsia"/>
          <w:b/>
          <w:bCs/>
          <w:sz w:val="20"/>
          <w:szCs w:val="20"/>
        </w:rPr>
        <w:t>14</w:t>
      </w:r>
      <w:r w:rsidRPr="00CC0011">
        <w:rPr>
          <w:rFonts w:ascii="Times New Roman" w:hAnsi="Times New Roman" w:cs="Times New Roman"/>
          <w:b/>
          <w:bCs/>
          <w:sz w:val="20"/>
          <w:szCs w:val="20"/>
        </w:rPr>
        <w:t xml:space="preserve">: </w:t>
      </w:r>
      <w:r w:rsidRPr="003D6AF6">
        <w:rPr>
          <w:rFonts w:ascii="Times New Roman" w:hAnsi="Times New Roman" w:cs="Times New Roman"/>
          <w:sz w:val="20"/>
          <w:szCs w:val="20"/>
        </w:rPr>
        <w:t>MWAS and PWAS after exclusion of LPA-defining biomarker overlaps and molecular proxies</w:t>
      </w:r>
      <w:bookmarkEnd w:id="21"/>
    </w:p>
    <w:p w14:paraId="6321C172" w14:textId="77777777" w:rsidR="001004FD" w:rsidRPr="003D6AF6" w:rsidRDefault="001004FD" w:rsidP="001004FD">
      <w:pPr>
        <w:rPr>
          <w:rFonts w:ascii="Times New Roman" w:hAnsi="Times New Roman" w:cs="Times New Roman"/>
          <w:sz w:val="20"/>
          <w:szCs w:val="20"/>
        </w:rPr>
        <w:sectPr w:rsidR="001004FD" w:rsidRPr="003D6AF6" w:rsidSect="001004FD">
          <w:pgSz w:w="11906" w:h="16838"/>
          <w:pgMar w:top="1440" w:right="1800" w:bottom="1440" w:left="1800" w:header="851" w:footer="992" w:gutter="0"/>
          <w:cols w:space="425"/>
          <w:docGrid w:type="lines" w:linePitch="312"/>
        </w:sectPr>
      </w:pPr>
      <w:r w:rsidRPr="003D6AF6">
        <w:rPr>
          <w:rFonts w:ascii="Times New Roman" w:hAnsi="Times New Roman" w:cs="Times New Roman"/>
          <w:sz w:val="20"/>
          <w:szCs w:val="20"/>
        </w:rPr>
        <w:t xml:space="preserve">Manhattan plots of metabolome-wide and proteome-wide association analyses after excluding omics variables overlapping with, or closely proxying, the ten biochemical markers used for latent profile analysis. </w:t>
      </w:r>
      <w:r w:rsidRPr="003D6AF6">
        <w:rPr>
          <w:rFonts w:ascii="Times New Roman" w:hAnsi="Times New Roman" w:cs="Times New Roman"/>
          <w:b/>
          <w:bCs/>
          <w:sz w:val="20"/>
          <w:szCs w:val="20"/>
        </w:rPr>
        <w:t>a,</w:t>
      </w:r>
      <w:r w:rsidRPr="003D6AF6">
        <w:rPr>
          <w:rFonts w:ascii="Times New Roman" w:hAnsi="Times New Roman" w:cs="Times New Roman"/>
          <w:sz w:val="20"/>
          <w:szCs w:val="20"/>
        </w:rPr>
        <w:t xml:space="preserve"> MWAS after annotation-based direct-overlap exclusion using a prespecified marker dictionary covering triglycerides, LDL-C, HDL-C, apolipoprotein A, glucose, C-reactive protein, alanine aminotransferase, gamma-glutamyltransferase, creatinine and cystatin C. </w:t>
      </w:r>
      <w:r w:rsidRPr="003D6AF6">
        <w:rPr>
          <w:rFonts w:ascii="Times New Roman" w:hAnsi="Times New Roman" w:cs="Times New Roman"/>
          <w:b/>
          <w:bCs/>
          <w:sz w:val="20"/>
          <w:szCs w:val="20"/>
        </w:rPr>
        <w:t>b,</w:t>
      </w:r>
      <w:r w:rsidRPr="003D6AF6">
        <w:rPr>
          <w:rFonts w:ascii="Times New Roman" w:hAnsi="Times New Roman" w:cs="Times New Roman"/>
          <w:sz w:val="20"/>
          <w:szCs w:val="20"/>
        </w:rPr>
        <w:t xml:space="preserve"> PWAS after the same annotation-based direct-overlap exclusion. </w:t>
      </w:r>
      <w:r w:rsidRPr="003D6AF6">
        <w:rPr>
          <w:rFonts w:ascii="Times New Roman" w:hAnsi="Times New Roman" w:cs="Times New Roman"/>
          <w:b/>
          <w:bCs/>
          <w:sz w:val="20"/>
          <w:szCs w:val="20"/>
        </w:rPr>
        <w:t>c,</w:t>
      </w:r>
      <w:r w:rsidRPr="003D6AF6">
        <w:rPr>
          <w:rFonts w:ascii="Times New Roman" w:hAnsi="Times New Roman" w:cs="Times New Roman"/>
          <w:sz w:val="20"/>
          <w:szCs w:val="20"/>
        </w:rPr>
        <w:t xml:space="preserve"> MWAS after the more conservative exclusion strategy, in which variables with an absolute Spearman correlation ≥0.80 with any LPA-defining biochemical marker were additionally removed. </w:t>
      </w:r>
      <w:r w:rsidRPr="003D6AF6">
        <w:rPr>
          <w:rFonts w:ascii="Times New Roman" w:hAnsi="Times New Roman" w:cs="Times New Roman"/>
          <w:b/>
          <w:bCs/>
          <w:sz w:val="20"/>
          <w:szCs w:val="20"/>
        </w:rPr>
        <w:t>d,</w:t>
      </w:r>
      <w:r w:rsidRPr="003D6AF6">
        <w:rPr>
          <w:rFonts w:ascii="Times New Roman" w:hAnsi="Times New Roman" w:cs="Times New Roman"/>
          <w:sz w:val="20"/>
          <w:szCs w:val="20"/>
        </w:rPr>
        <w:t xml:space="preserve"> PWAS after the corresponding annotation-plus-correlation exclusion. Associations were tested for ROSA-predicted DIS and DHG relative to BC using the same regression framework as the primary MWAS and PWAS. The dashed horizontal line indicates the FDR q &lt; 0.05 threshold. The y-axis was capped for visualisation, and points exceeding the cap are shown as hollow points. BC, baseline concordant; DIS, discordant inflammatory state; DHG, discordant hyperglycaemic; MWAS, metabolome-wide association study; PWAS, proteome-wide association study; LPA, latent profile analysis; LDL-C, low-density lipoprotein cholesterol; HDL-C, high-density lipoprotein cholesterol; FDR, false discovery rate.</w:t>
      </w:r>
    </w:p>
    <w:p w14:paraId="310BDB53" w14:textId="56C8570C" w:rsidR="009C122B" w:rsidRPr="003D6AF6" w:rsidRDefault="008249D4" w:rsidP="009C122B">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25922463" wp14:editId="27C8A0AA">
            <wp:extent cx="5274310" cy="4225925"/>
            <wp:effectExtent l="0" t="0" r="0" b="0"/>
            <wp:docPr id="2048835491"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35491"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274310" cy="4225925"/>
                    </a:xfrm>
                    <a:prstGeom prst="rect">
                      <a:avLst/>
                    </a:prstGeom>
                  </pic:spPr>
                </pic:pic>
              </a:graphicData>
            </a:graphic>
          </wp:inline>
        </w:drawing>
      </w:r>
    </w:p>
    <w:p w14:paraId="44673943" w14:textId="57B0F4DC" w:rsidR="00BB1F20" w:rsidRPr="003D6AF6" w:rsidRDefault="009C122B" w:rsidP="00BB1F20">
      <w:pPr>
        <w:outlineLvl w:val="1"/>
        <w:rPr>
          <w:rFonts w:ascii="Times New Roman" w:hAnsi="Times New Roman" w:cs="Times New Roman"/>
          <w:sz w:val="20"/>
          <w:szCs w:val="20"/>
        </w:rPr>
      </w:pPr>
      <w:bookmarkStart w:id="22" w:name="_Toc229600231"/>
      <w:r w:rsidRPr="003D6AF6">
        <w:rPr>
          <w:rFonts w:ascii="Times New Roman" w:hAnsi="Times New Roman" w:cs="Times New Roman"/>
          <w:b/>
          <w:bCs/>
          <w:sz w:val="20"/>
          <w:szCs w:val="20"/>
        </w:rPr>
        <w:t>Figure S</w:t>
      </w:r>
      <w:r w:rsidR="001004FD" w:rsidRPr="003D6AF6">
        <w:rPr>
          <w:rFonts w:ascii="Times New Roman" w:hAnsi="Times New Roman" w:cs="Times New Roman" w:hint="eastAsia"/>
          <w:b/>
          <w:bCs/>
          <w:sz w:val="20"/>
          <w:szCs w:val="20"/>
        </w:rPr>
        <w:t>15</w:t>
      </w:r>
      <w:r w:rsidRPr="003D6AF6">
        <w:rPr>
          <w:rFonts w:ascii="Times New Roman" w:hAnsi="Times New Roman" w:cs="Times New Roman"/>
          <w:b/>
          <w:bCs/>
          <w:sz w:val="20"/>
          <w:szCs w:val="20"/>
        </w:rPr>
        <w:t xml:space="preserve">: </w:t>
      </w:r>
      <w:r w:rsidR="00FE1480" w:rsidRPr="003D6AF6">
        <w:rPr>
          <w:rFonts w:ascii="Times New Roman" w:hAnsi="Times New Roman" w:cs="Times New Roman" w:hint="eastAsia"/>
          <w:sz w:val="20"/>
          <w:szCs w:val="20"/>
        </w:rPr>
        <w:t>Genome-wide association analysis of predicted subtypes</w:t>
      </w:r>
      <w:bookmarkEnd w:id="22"/>
    </w:p>
    <w:p w14:paraId="2EE9C104" w14:textId="07D1B80A" w:rsidR="009C122B" w:rsidRPr="003D6AF6" w:rsidRDefault="00DD6612" w:rsidP="009C122B">
      <w:pPr>
        <w:rPr>
          <w:rFonts w:ascii="Times New Roman" w:hAnsi="Times New Roman" w:cs="Times New Roman"/>
          <w:sz w:val="20"/>
          <w:szCs w:val="20"/>
        </w:rPr>
        <w:sectPr w:rsidR="009C122B" w:rsidRPr="003D6AF6" w:rsidSect="009C122B">
          <w:pgSz w:w="11906" w:h="16838"/>
          <w:pgMar w:top="1440" w:right="1800" w:bottom="1440" w:left="1800" w:header="851" w:footer="992" w:gutter="0"/>
          <w:cols w:space="425"/>
          <w:docGrid w:type="lines" w:linePitch="312"/>
        </w:sectPr>
      </w:pPr>
      <w:r w:rsidRPr="003D6AF6">
        <w:rPr>
          <w:rFonts w:ascii="Times New Roman" w:hAnsi="Times New Roman" w:cs="Times New Roman"/>
          <w:b/>
          <w:bCs/>
          <w:sz w:val="20"/>
          <w:szCs w:val="20"/>
        </w:rPr>
        <w:t>a,</w:t>
      </w:r>
      <w:r w:rsidRPr="003D6AF6">
        <w:rPr>
          <w:rFonts w:ascii="Times New Roman" w:hAnsi="Times New Roman" w:cs="Times New Roman"/>
          <w:sz w:val="20"/>
          <w:szCs w:val="20"/>
        </w:rPr>
        <w:t xml:space="preserve"> Manhattan plot from the genome-wide association study of DIS versus BC. Dashed red and dotted blue horizontal lines indicate the genome-wide significance threshold (P = 5 × 10⁻⁸) and the suggestive significance threshold (P = 1 × 10⁻⁵), respectively. Ge</w:t>
      </w:r>
      <w:r w:rsidRPr="003D6AF6">
        <w:rPr>
          <w:rFonts w:ascii="Times New Roman" w:hAnsi="Times New Roman" w:cs="Times New Roman" w:hint="eastAsia"/>
          <w:sz w:val="20"/>
          <w:szCs w:val="20"/>
        </w:rPr>
        <w:t xml:space="preserve">nome-wide significant signals were observed for DIS, with the lead association mapping to the HERC2/OCA2 region. </w:t>
      </w:r>
      <w:r w:rsidRPr="003D6AF6">
        <w:rPr>
          <w:rFonts w:ascii="Times New Roman" w:hAnsi="Times New Roman" w:cs="Times New Roman" w:hint="eastAsia"/>
          <w:b/>
          <w:bCs/>
          <w:sz w:val="20"/>
          <w:szCs w:val="20"/>
        </w:rPr>
        <w:t>b,</w:t>
      </w:r>
      <w:r w:rsidRPr="003D6AF6">
        <w:rPr>
          <w:rFonts w:ascii="Times New Roman" w:hAnsi="Times New Roman" w:cs="Times New Roman" w:hint="eastAsia"/>
          <w:sz w:val="20"/>
          <w:szCs w:val="20"/>
        </w:rPr>
        <w:t xml:space="preserve"> Manhattan plot from the genome-wide association study of DHG versus BC. No genome-wide significant association was identified for DHG. Lead loci were defined by distance-based clumping. DIS, discordant inflammatory state; DHG, discordant hyperglycaemic; BC, baseline concordant; SNP, single-nucleotide polymorphism</w:t>
      </w:r>
      <w:r w:rsidR="009C122B" w:rsidRPr="003D6AF6">
        <w:rPr>
          <w:rFonts w:ascii="Times New Roman" w:hAnsi="Times New Roman" w:cs="Times New Roman"/>
          <w:sz w:val="20"/>
          <w:szCs w:val="20"/>
        </w:rPr>
        <w:t>.</w:t>
      </w:r>
    </w:p>
    <w:p w14:paraId="589E8354" w14:textId="26C12C38" w:rsidR="009C122B" w:rsidRPr="003D6AF6" w:rsidRDefault="008249D4" w:rsidP="009C122B">
      <w:pPr>
        <w:rPr>
          <w:rFonts w:ascii="Times New Roman" w:hAnsi="Times New Roman" w:cs="Times New Roman"/>
          <w:sz w:val="20"/>
          <w:szCs w:val="20"/>
        </w:rPr>
      </w:pPr>
      <w:r w:rsidRPr="003D6AF6">
        <w:rPr>
          <w:rFonts w:ascii="Times New Roman" w:hAnsi="Times New Roman" w:cs="Times New Roman"/>
          <w:noProof/>
          <w:sz w:val="20"/>
          <w:szCs w:val="20"/>
        </w:rPr>
        <w:lastRenderedPageBreak/>
        <w:drawing>
          <wp:inline distT="0" distB="0" distL="0" distR="0" wp14:anchorId="2D87C9D4" wp14:editId="6FB8FCA5">
            <wp:extent cx="5274310" cy="4211320"/>
            <wp:effectExtent l="0" t="0" r="0" b="0"/>
            <wp:docPr id="179754547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45475"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5274310" cy="4211320"/>
                    </a:xfrm>
                    <a:prstGeom prst="rect">
                      <a:avLst/>
                    </a:prstGeom>
                  </pic:spPr>
                </pic:pic>
              </a:graphicData>
            </a:graphic>
          </wp:inline>
        </w:drawing>
      </w:r>
    </w:p>
    <w:p w14:paraId="1EB09B8F" w14:textId="56049C2D" w:rsidR="00BB1F20" w:rsidRPr="003D6AF6" w:rsidRDefault="009C122B" w:rsidP="00BB1F20">
      <w:pPr>
        <w:outlineLvl w:val="1"/>
        <w:rPr>
          <w:rFonts w:ascii="Times New Roman" w:hAnsi="Times New Roman" w:cs="Times New Roman"/>
          <w:sz w:val="20"/>
          <w:szCs w:val="20"/>
        </w:rPr>
      </w:pPr>
      <w:bookmarkStart w:id="23" w:name="_Toc229600232"/>
      <w:r w:rsidRPr="003D6AF6">
        <w:rPr>
          <w:rFonts w:ascii="Times New Roman" w:hAnsi="Times New Roman" w:cs="Times New Roman"/>
          <w:b/>
          <w:bCs/>
          <w:sz w:val="20"/>
          <w:szCs w:val="20"/>
        </w:rPr>
        <w:t>Figure S</w:t>
      </w:r>
      <w:r w:rsidR="009F0305" w:rsidRPr="003D6AF6">
        <w:rPr>
          <w:rFonts w:ascii="Times New Roman" w:hAnsi="Times New Roman" w:cs="Times New Roman"/>
          <w:b/>
          <w:bCs/>
          <w:sz w:val="20"/>
          <w:szCs w:val="20"/>
        </w:rPr>
        <w:t>1</w:t>
      </w:r>
      <w:r w:rsidR="001004FD" w:rsidRPr="003D6AF6">
        <w:rPr>
          <w:rFonts w:ascii="Times New Roman" w:hAnsi="Times New Roman" w:cs="Times New Roman" w:hint="eastAsia"/>
          <w:b/>
          <w:bCs/>
          <w:sz w:val="20"/>
          <w:szCs w:val="20"/>
        </w:rPr>
        <w:t>6</w:t>
      </w:r>
      <w:r w:rsidRPr="003D6AF6">
        <w:rPr>
          <w:rFonts w:ascii="Times New Roman" w:hAnsi="Times New Roman" w:cs="Times New Roman"/>
          <w:b/>
          <w:bCs/>
          <w:sz w:val="20"/>
          <w:szCs w:val="20"/>
        </w:rPr>
        <w:t xml:space="preserve">: </w:t>
      </w:r>
      <w:r w:rsidR="00DD6612" w:rsidRPr="003D6AF6">
        <w:rPr>
          <w:rFonts w:ascii="Times New Roman" w:hAnsi="Times New Roman" w:cs="Times New Roman" w:hint="eastAsia"/>
          <w:sz w:val="20"/>
          <w:szCs w:val="20"/>
        </w:rPr>
        <w:t>Gene-level association analysis of predicted obesity subtypes</w:t>
      </w:r>
      <w:bookmarkEnd w:id="23"/>
    </w:p>
    <w:p w14:paraId="2BB0745F" w14:textId="77777777" w:rsidR="00CC0011" w:rsidRPr="003D6AF6" w:rsidRDefault="00DD6612">
      <w:pPr>
        <w:rPr>
          <w:rFonts w:ascii="Times New Roman" w:hAnsi="Times New Roman" w:cs="Times New Roman"/>
          <w:sz w:val="20"/>
          <w:szCs w:val="20"/>
        </w:rPr>
        <w:sectPr w:rsidR="00CC0011" w:rsidRPr="003D6AF6">
          <w:pgSz w:w="11906" w:h="16838"/>
          <w:pgMar w:top="1440" w:right="1800" w:bottom="1440" w:left="1800" w:header="851" w:footer="992" w:gutter="0"/>
          <w:cols w:space="425"/>
          <w:docGrid w:type="lines" w:linePitch="312"/>
        </w:sectPr>
      </w:pPr>
      <w:r w:rsidRPr="003D6AF6">
        <w:rPr>
          <w:rFonts w:ascii="Times New Roman" w:hAnsi="Times New Roman" w:cs="Times New Roman"/>
          <w:b/>
          <w:bCs/>
          <w:sz w:val="20"/>
          <w:szCs w:val="20"/>
        </w:rPr>
        <w:t>a,</w:t>
      </w:r>
      <w:r w:rsidRPr="003D6AF6">
        <w:rPr>
          <w:rFonts w:ascii="Times New Roman" w:hAnsi="Times New Roman" w:cs="Times New Roman"/>
          <w:sz w:val="20"/>
          <w:szCs w:val="20"/>
        </w:rPr>
        <w:t xml:space="preserve"> Manhattan plot from the MAGMA gene-level association analysis of DIS versus BC. The dashed red horizontal line indicates the Bonferroni-corrected significance threshold (P = 2.7 × 10⁻⁶). Bonferroni-significant genes were observed for DIS, including sign</w:t>
      </w:r>
      <w:r w:rsidRPr="003D6AF6">
        <w:rPr>
          <w:rFonts w:ascii="Times New Roman" w:hAnsi="Times New Roman" w:cs="Times New Roman" w:hint="eastAsia"/>
          <w:sz w:val="20"/>
          <w:szCs w:val="20"/>
        </w:rPr>
        <w:t xml:space="preserve">als in the HERC2/OCA2 region. </w:t>
      </w:r>
      <w:r w:rsidRPr="003D6AF6">
        <w:rPr>
          <w:rFonts w:ascii="Times New Roman" w:hAnsi="Times New Roman" w:cs="Times New Roman" w:hint="eastAsia"/>
          <w:b/>
          <w:bCs/>
          <w:sz w:val="20"/>
          <w:szCs w:val="20"/>
        </w:rPr>
        <w:t>b,</w:t>
      </w:r>
      <w:r w:rsidRPr="003D6AF6">
        <w:rPr>
          <w:rFonts w:ascii="Times New Roman" w:hAnsi="Times New Roman" w:cs="Times New Roman" w:hint="eastAsia"/>
          <w:sz w:val="20"/>
          <w:szCs w:val="20"/>
        </w:rPr>
        <w:t xml:space="preserve"> Manhattan plot from the MAGMA gene-level association analysis of DHG versus BC. No Bonferroni-significant gene was identified for DHG. DIS, discordant inflammatory state; DHG, discordant hyperglycaemic; BC, baseline concordant; MAGMA, Multi-marker Analysis of </w:t>
      </w:r>
      <w:proofErr w:type="spellStart"/>
      <w:r w:rsidRPr="003D6AF6">
        <w:rPr>
          <w:rFonts w:ascii="Times New Roman" w:hAnsi="Times New Roman" w:cs="Times New Roman" w:hint="eastAsia"/>
          <w:sz w:val="20"/>
          <w:szCs w:val="20"/>
        </w:rPr>
        <w:t>GenoMic</w:t>
      </w:r>
      <w:proofErr w:type="spellEnd"/>
      <w:r w:rsidRPr="003D6AF6">
        <w:rPr>
          <w:rFonts w:ascii="Times New Roman" w:hAnsi="Times New Roman" w:cs="Times New Roman" w:hint="eastAsia"/>
          <w:sz w:val="20"/>
          <w:szCs w:val="20"/>
        </w:rPr>
        <w:t xml:space="preserve"> Annotation.</w:t>
      </w:r>
    </w:p>
    <w:p w14:paraId="6F2F2D43" w14:textId="188656AD" w:rsidR="00F063B0" w:rsidRPr="003D6AF6" w:rsidRDefault="00530C43" w:rsidP="006B2554">
      <w:pPr>
        <w:spacing w:line="480" w:lineRule="auto"/>
        <w:outlineLvl w:val="0"/>
        <w:rPr>
          <w:rFonts w:ascii="Times New Roman" w:hAnsi="Times New Roman" w:cs="Times New Roman"/>
          <w:b/>
          <w:bCs/>
          <w:sz w:val="20"/>
          <w:szCs w:val="20"/>
        </w:rPr>
      </w:pPr>
      <w:bookmarkStart w:id="24" w:name="_Toc229600233"/>
      <w:r w:rsidRPr="003D6AF6">
        <w:rPr>
          <w:rFonts w:ascii="Times New Roman" w:hAnsi="Times New Roman" w:cs="Times New Roman" w:hint="eastAsia"/>
          <w:b/>
          <w:bCs/>
          <w:sz w:val="20"/>
          <w:szCs w:val="20"/>
        </w:rPr>
        <w:lastRenderedPageBreak/>
        <w:t>Supplementary Data</w:t>
      </w:r>
      <w:bookmarkEnd w:id="24"/>
    </w:p>
    <w:p w14:paraId="3DC149F4" w14:textId="4C70B0E0" w:rsidR="006B2554" w:rsidRPr="003D6AF6" w:rsidRDefault="0067407D" w:rsidP="006B2554">
      <w:pPr>
        <w:outlineLvl w:val="1"/>
        <w:rPr>
          <w:rFonts w:ascii="Times New Roman" w:hAnsi="Times New Roman" w:cs="Times New Roman"/>
          <w:sz w:val="20"/>
          <w:szCs w:val="20"/>
        </w:rPr>
      </w:pPr>
      <w:bookmarkStart w:id="25" w:name="_Toc229600234"/>
      <w:r w:rsidRPr="003D6AF6">
        <w:rPr>
          <w:rFonts w:ascii="Times New Roman" w:hAnsi="Times New Roman" w:cs="Times New Roman"/>
          <w:b/>
          <w:bCs/>
          <w:sz w:val="20"/>
          <w:szCs w:val="20"/>
        </w:rPr>
        <w:t>Supplementary Data</w:t>
      </w:r>
      <w:r w:rsidR="006B2554" w:rsidRPr="003D6AF6">
        <w:rPr>
          <w:rFonts w:ascii="Times New Roman" w:hAnsi="Times New Roman" w:cs="Times New Roman" w:hint="eastAsia"/>
          <w:b/>
          <w:bCs/>
          <w:sz w:val="20"/>
          <w:szCs w:val="20"/>
        </w:rPr>
        <w:t xml:space="preserve"> 1: </w:t>
      </w:r>
      <w:r w:rsidR="0079767F" w:rsidRPr="003D6AF6">
        <w:rPr>
          <w:rFonts w:ascii="Times New Roman" w:hAnsi="Times New Roman" w:cs="Times New Roman" w:hint="eastAsia"/>
          <w:sz w:val="20"/>
          <w:szCs w:val="20"/>
        </w:rPr>
        <w:t>Overall classification performance across models and datasets</w:t>
      </w:r>
      <w:bookmarkEnd w:id="25"/>
    </w:p>
    <w:p w14:paraId="0388838C" w14:textId="2A10FA54" w:rsidR="006B2554" w:rsidRPr="003D6AF6" w:rsidRDefault="006B2554" w:rsidP="00E86F43">
      <w:pPr>
        <w:rPr>
          <w:rFonts w:ascii="Times New Roman" w:hAnsi="Times New Roman" w:cs="Times New Roman"/>
          <w:sz w:val="20"/>
          <w:szCs w:val="20"/>
        </w:rPr>
      </w:pPr>
      <w:r w:rsidRPr="003D6AF6">
        <w:rPr>
          <w:rFonts w:ascii="Times New Roman" w:hAnsi="Times New Roman" w:cs="Times New Roman" w:hint="eastAsia"/>
          <w:sz w:val="20"/>
          <w:szCs w:val="20"/>
        </w:rPr>
        <w:t xml:space="preserve">Overall model performance for ROSA and comparator retinal-image-based models across the </w:t>
      </w:r>
      <w:r w:rsidR="002C6FF3" w:rsidRPr="003D6AF6">
        <w:rPr>
          <w:rFonts w:ascii="Times New Roman" w:hAnsi="Times New Roman" w:cs="Times New Roman" w:hint="eastAsia"/>
          <w:sz w:val="20"/>
          <w:szCs w:val="20"/>
        </w:rPr>
        <w:t>UKB-DT, UKB-DV, UKB-CHV, and BHMC-EV sets</w:t>
      </w:r>
      <w:r w:rsidRPr="003D6AF6">
        <w:rPr>
          <w:rFonts w:ascii="Times New Roman" w:hAnsi="Times New Roman" w:cs="Times New Roman" w:hint="eastAsia"/>
          <w:sz w:val="20"/>
          <w:szCs w:val="20"/>
        </w:rPr>
        <w:t>. Separate worksheets report macro-averaged and micro-averaged results. Metrics include area under the receiver operating characteristic curve, area under the precision</w:t>
      </w:r>
      <w:r w:rsidRPr="003D6AF6">
        <w:rPr>
          <w:rFonts w:ascii="Times New Roman" w:hAnsi="Times New Roman" w:cs="Times New Roman" w:hint="eastAsia"/>
          <w:sz w:val="20"/>
          <w:szCs w:val="20"/>
        </w:rPr>
        <w:t>–</w:t>
      </w:r>
      <w:r w:rsidRPr="003D6AF6">
        <w:rPr>
          <w:rFonts w:ascii="Times New Roman" w:hAnsi="Times New Roman" w:cs="Times New Roman" w:hint="eastAsia"/>
          <w:sz w:val="20"/>
          <w:szCs w:val="20"/>
        </w:rPr>
        <w:t>recall curve, Brier score, sensitivity, specificity, positive predictive value, negative predictive value, and overall accuracy. Values are presented as point estimates with 95% confidence intervals.</w:t>
      </w:r>
      <w:r w:rsidR="002C6FF3" w:rsidRPr="003D6AF6">
        <w:rPr>
          <w:rFonts w:ascii="Times New Roman" w:hAnsi="Times New Roman" w:cs="Times New Roman"/>
          <w:sz w:val="20"/>
          <w:szCs w:val="20"/>
        </w:rPr>
        <w:t xml:space="preserve"> </w:t>
      </w:r>
      <w:r w:rsidR="002C6FF3" w:rsidRPr="003D6AF6">
        <w:rPr>
          <w:rFonts w:ascii="Times New Roman" w:hAnsi="Times New Roman" w:cs="Times New Roman" w:hint="eastAsia"/>
          <w:sz w:val="20"/>
          <w:szCs w:val="20"/>
        </w:rPr>
        <w:t>UKB-DT, UK Biobank development train; UKB-DV, UK Biobank development validation; UKB-CHV, UK Biobank centre-held-out validation; BHMC-EV, Beijing Health Management Cohort external validation.</w:t>
      </w:r>
    </w:p>
    <w:p w14:paraId="63EE9C29" w14:textId="77777777" w:rsidR="00E86F43" w:rsidRPr="003D6AF6" w:rsidRDefault="00E86F43" w:rsidP="00E86F43">
      <w:pPr>
        <w:rPr>
          <w:rFonts w:ascii="Times New Roman" w:hAnsi="Times New Roman" w:cs="Times New Roman"/>
          <w:sz w:val="20"/>
          <w:szCs w:val="20"/>
        </w:rPr>
      </w:pPr>
    </w:p>
    <w:p w14:paraId="09E1C957" w14:textId="1A3E6CD3" w:rsidR="006B2554" w:rsidRPr="003D6AF6" w:rsidRDefault="0067407D" w:rsidP="006B2554">
      <w:pPr>
        <w:outlineLvl w:val="1"/>
        <w:rPr>
          <w:rFonts w:ascii="Times New Roman" w:hAnsi="Times New Roman" w:cs="Times New Roman"/>
          <w:b/>
          <w:bCs/>
          <w:sz w:val="20"/>
          <w:szCs w:val="20"/>
        </w:rPr>
      </w:pPr>
      <w:bookmarkStart w:id="26" w:name="_Toc229600235"/>
      <w:r w:rsidRPr="003D6AF6">
        <w:rPr>
          <w:rFonts w:ascii="Times New Roman" w:hAnsi="Times New Roman" w:cs="Times New Roman"/>
          <w:b/>
          <w:bCs/>
          <w:sz w:val="20"/>
          <w:szCs w:val="20"/>
        </w:rPr>
        <w:t>Supplementary Data</w:t>
      </w:r>
      <w:r w:rsidR="006B2554" w:rsidRPr="003D6AF6">
        <w:rPr>
          <w:rFonts w:ascii="Times New Roman" w:hAnsi="Times New Roman" w:cs="Times New Roman" w:hint="eastAsia"/>
          <w:b/>
          <w:bCs/>
          <w:sz w:val="20"/>
          <w:szCs w:val="20"/>
        </w:rPr>
        <w:t xml:space="preserve"> 2: </w:t>
      </w:r>
      <w:r w:rsidR="0079767F" w:rsidRPr="003D6AF6">
        <w:rPr>
          <w:rFonts w:ascii="Times New Roman" w:hAnsi="Times New Roman" w:cs="Times New Roman" w:hint="eastAsia"/>
          <w:sz w:val="20"/>
          <w:szCs w:val="20"/>
        </w:rPr>
        <w:t>Per-class classification performance across models and datasets</w:t>
      </w:r>
      <w:bookmarkEnd w:id="26"/>
    </w:p>
    <w:p w14:paraId="5D655485" w14:textId="4ED31AC2" w:rsidR="006B2554" w:rsidRPr="003D6AF6" w:rsidRDefault="0079767F" w:rsidP="006B2554">
      <w:pPr>
        <w:rPr>
          <w:rFonts w:ascii="Times New Roman" w:hAnsi="Times New Roman" w:cs="Times New Roman"/>
          <w:sz w:val="20"/>
          <w:szCs w:val="20"/>
        </w:rPr>
      </w:pPr>
      <w:r w:rsidRPr="003D6AF6">
        <w:rPr>
          <w:rFonts w:ascii="Times New Roman" w:hAnsi="Times New Roman" w:cs="Times New Roman"/>
          <w:sz w:val="20"/>
          <w:szCs w:val="20"/>
        </w:rPr>
        <w:t>Per-class one-versus-rest classification performance for baseline concordant, discordant inflammatory state, and discordant hyperglycaemic subtypes across ROSA and comparator retinal-image-based models in the</w:t>
      </w:r>
      <w:r w:rsidR="002C6FF3" w:rsidRPr="003D6AF6">
        <w:rPr>
          <w:rFonts w:ascii="Times New Roman" w:hAnsi="Times New Roman" w:cs="Times New Roman" w:hint="eastAsia"/>
          <w:sz w:val="20"/>
          <w:szCs w:val="20"/>
        </w:rPr>
        <w:t xml:space="preserve"> UKB-DT, UKB-DV, UKB-CHV, and BHMC-EV sets</w:t>
      </w:r>
      <w:r w:rsidRPr="003D6AF6">
        <w:rPr>
          <w:rFonts w:ascii="Times New Roman" w:hAnsi="Times New Roman" w:cs="Times New Roman"/>
          <w:sz w:val="20"/>
          <w:szCs w:val="20"/>
        </w:rPr>
        <w:t>. The worksheet reports accuracy, sensitivity, specificity, positive predictive value, and negative predictive value for each class, with values presented as point estimates and 95% confidence intervals</w:t>
      </w:r>
      <w:r w:rsidR="006B2554" w:rsidRPr="003D6AF6">
        <w:rPr>
          <w:rFonts w:ascii="Times New Roman" w:hAnsi="Times New Roman" w:cs="Times New Roman" w:hint="eastAsia"/>
          <w:sz w:val="20"/>
          <w:szCs w:val="20"/>
        </w:rPr>
        <w:t>.</w:t>
      </w:r>
      <w:r w:rsidR="002C6FF3" w:rsidRPr="003D6AF6">
        <w:rPr>
          <w:rFonts w:ascii="Times New Roman" w:hAnsi="Times New Roman" w:cs="Times New Roman" w:hint="eastAsia"/>
          <w:sz w:val="20"/>
          <w:szCs w:val="20"/>
        </w:rPr>
        <w:t xml:space="preserve"> UKB-DT, UK Biobank development train; UKB-DV, UK Biobank development validation; UKB-CHV, UK Biobank centre-held-out validation; BHMC-EV, Beijing Health Management Cohort external validation</w:t>
      </w:r>
    </w:p>
    <w:p w14:paraId="5FFAE830" w14:textId="77777777" w:rsidR="006B2554" w:rsidRPr="003D6AF6" w:rsidRDefault="006B2554" w:rsidP="006B2554">
      <w:pPr>
        <w:rPr>
          <w:rFonts w:ascii="Times New Roman" w:hAnsi="Times New Roman" w:cs="Times New Roman"/>
          <w:sz w:val="20"/>
          <w:szCs w:val="20"/>
        </w:rPr>
      </w:pPr>
    </w:p>
    <w:p w14:paraId="15F7D0F4" w14:textId="26FE85D2" w:rsidR="001004FD" w:rsidRPr="0026447A" w:rsidRDefault="001004FD" w:rsidP="001004FD">
      <w:pPr>
        <w:outlineLvl w:val="1"/>
        <w:rPr>
          <w:rFonts w:ascii="Times New Roman" w:hAnsi="Times New Roman" w:cs="Times New Roman"/>
          <w:b/>
          <w:bCs/>
          <w:sz w:val="20"/>
          <w:szCs w:val="20"/>
        </w:rPr>
      </w:pPr>
      <w:bookmarkStart w:id="27" w:name="_Toc229600236"/>
      <w:r w:rsidRPr="0026447A">
        <w:rPr>
          <w:rFonts w:ascii="Times New Roman" w:hAnsi="Times New Roman" w:cs="Times New Roman"/>
          <w:b/>
          <w:bCs/>
          <w:sz w:val="20"/>
          <w:szCs w:val="20"/>
        </w:rPr>
        <w:t xml:space="preserve">Supplementary Data </w:t>
      </w:r>
      <w:r w:rsidRPr="003D6AF6">
        <w:rPr>
          <w:rFonts w:ascii="Times New Roman" w:hAnsi="Times New Roman" w:cs="Times New Roman" w:hint="eastAsia"/>
          <w:b/>
          <w:bCs/>
          <w:sz w:val="20"/>
          <w:szCs w:val="20"/>
        </w:rPr>
        <w:t>3</w:t>
      </w:r>
      <w:r w:rsidRPr="003D6AF6">
        <w:rPr>
          <w:rFonts w:ascii="Times New Roman" w:hAnsi="Times New Roman" w:cs="Times New Roman"/>
          <w:b/>
          <w:bCs/>
          <w:sz w:val="20"/>
          <w:szCs w:val="20"/>
        </w:rPr>
        <w:t>:</w:t>
      </w:r>
      <w:r w:rsidRPr="003D6AF6">
        <w:rPr>
          <w:rFonts w:ascii="Times New Roman" w:hAnsi="Times New Roman" w:cs="Times New Roman"/>
          <w:sz w:val="20"/>
          <w:szCs w:val="20"/>
        </w:rPr>
        <w:t xml:space="preserve"> </w:t>
      </w:r>
      <w:r w:rsidRPr="003D6AF6">
        <w:rPr>
          <w:rFonts w:ascii="Times New Roman" w:hAnsi="Times New Roman" w:cs="Times New Roman" w:hint="eastAsia"/>
          <w:sz w:val="20"/>
          <w:szCs w:val="20"/>
        </w:rPr>
        <w:t>Sensitivity analysis of distillation temperature and soft-label weighting parameters</w:t>
      </w:r>
      <w:bookmarkEnd w:id="27"/>
    </w:p>
    <w:p w14:paraId="5F17D64A" w14:textId="77777777" w:rsidR="001004FD" w:rsidRPr="003D6AF6" w:rsidRDefault="001004FD" w:rsidP="001004FD">
      <w:pPr>
        <w:rPr>
          <w:rFonts w:ascii="Times New Roman" w:hAnsi="Times New Roman" w:cs="Times New Roman"/>
          <w:sz w:val="20"/>
          <w:szCs w:val="20"/>
        </w:rPr>
      </w:pPr>
      <w:r w:rsidRPr="003D6AF6">
        <w:rPr>
          <w:rFonts w:ascii="Times New Roman" w:hAnsi="Times New Roman" w:cs="Times New Roman"/>
          <w:sz w:val="20"/>
          <w:szCs w:val="20"/>
        </w:rPr>
        <w:t>Overall classification performance of ROSA across combinations of the soft-label weighting coefficient α and distillation temperature τ. The sensitivity grid evaluated α values of 0.3 and 0.7 and τ values of 1, 2, 5 and 10 using the same data partitions, model architecture and evaluation metrics as the primary analysis. Performance is reported for UKB-DV, UKB-CHV and BHMC-EV. Metrics include macro-averaged AUROC, AUPRC, Brier score, sensitivity, specificity, positive predictive value, negative predictive value and accuracy. UKB-DV, UK Biobank development validation; UKB-CHV, UK Biobank centre-held-out validation; BHMC-EV, Beijing Health Management Cohort external validation; ROSA, Retinal-based Obesity Subtyping Algorithm; AUROC, area under the receiver operating characteristic curve; AUPRC, area under the precision–recall curve; PPV, positive predictive value; NPV, negative predictive value.</w:t>
      </w:r>
    </w:p>
    <w:p w14:paraId="19C9C9C4" w14:textId="77777777" w:rsidR="001004FD" w:rsidRPr="003D6AF6" w:rsidRDefault="001004FD" w:rsidP="001004FD">
      <w:pPr>
        <w:rPr>
          <w:rFonts w:ascii="Times New Roman" w:hAnsi="Times New Roman" w:cs="Times New Roman"/>
          <w:sz w:val="20"/>
          <w:szCs w:val="20"/>
        </w:rPr>
      </w:pPr>
    </w:p>
    <w:p w14:paraId="7DB4A616" w14:textId="44848D6D" w:rsidR="001004FD" w:rsidRPr="003D6AF6" w:rsidRDefault="001004FD" w:rsidP="001004FD">
      <w:pPr>
        <w:outlineLvl w:val="1"/>
        <w:rPr>
          <w:rFonts w:ascii="Times New Roman" w:hAnsi="Times New Roman" w:cs="Times New Roman"/>
          <w:sz w:val="20"/>
          <w:szCs w:val="20"/>
        </w:rPr>
      </w:pPr>
      <w:bookmarkStart w:id="28" w:name="_Toc229600237"/>
      <w:r w:rsidRPr="003D6AF6">
        <w:rPr>
          <w:rFonts w:ascii="Times New Roman" w:hAnsi="Times New Roman" w:cs="Times New Roman" w:hint="eastAsia"/>
          <w:b/>
          <w:bCs/>
          <w:sz w:val="20"/>
          <w:szCs w:val="20"/>
        </w:rPr>
        <w:t xml:space="preserve">Supplementary Data 4: </w:t>
      </w:r>
      <w:r w:rsidRPr="003D6AF6">
        <w:rPr>
          <w:rFonts w:ascii="Times New Roman" w:hAnsi="Times New Roman" w:cs="Times New Roman" w:hint="eastAsia"/>
          <w:sz w:val="20"/>
          <w:szCs w:val="20"/>
        </w:rPr>
        <w:t>Ancestry-stratified classification performance of ROSA and comparator models in UKB-CHV</w:t>
      </w:r>
      <w:bookmarkEnd w:id="28"/>
    </w:p>
    <w:p w14:paraId="699E6C7B" w14:textId="3150CD44" w:rsidR="001004FD" w:rsidRPr="003D6AF6" w:rsidRDefault="001004FD" w:rsidP="001004FD">
      <w:pPr>
        <w:rPr>
          <w:rFonts w:ascii="Times New Roman" w:hAnsi="Times New Roman" w:cs="Times New Roman"/>
          <w:sz w:val="20"/>
          <w:szCs w:val="20"/>
        </w:rPr>
      </w:pPr>
      <w:r w:rsidRPr="003D6AF6">
        <w:rPr>
          <w:rFonts w:ascii="Times New Roman" w:hAnsi="Times New Roman" w:cs="Times New Roman" w:hint="eastAsia"/>
          <w:sz w:val="20"/>
          <w:szCs w:val="20"/>
        </w:rPr>
        <w:t>Classification performance of ROSA and comparator retinal-image-based models stratified by ancestry-defined subgroups in the UKB-CHV set. The workbook reports performance separately for White and non-white participants using the same trained models and prediction rules as in the primary analysis. Models included ROSA, ResNet, VGG-16 and randomly initialised ViT-Large. Metrics include macro-averaged and micro-averaged AUROC, AUPRC, Brier score, sensitivity, specificity, positive predictive value, negative predictive value and accuracy. Estimates in the non-white subgroup should be interpreted cautiously because of the smaller sample size and class imbalance. UKB-CHV, UK Biobank centre-held-out validation; ROSA, Retinal-based Obesity Subtyping Algorithm; AUROC, area under the receiver operating characteristic curve; AUPRC, area under the precision</w:t>
      </w:r>
      <w:r w:rsidRPr="003D6AF6">
        <w:rPr>
          <w:rFonts w:ascii="Times New Roman" w:hAnsi="Times New Roman" w:cs="Times New Roman" w:hint="eastAsia"/>
          <w:sz w:val="20"/>
          <w:szCs w:val="20"/>
        </w:rPr>
        <w:t>–</w:t>
      </w:r>
      <w:r w:rsidRPr="003D6AF6">
        <w:rPr>
          <w:rFonts w:ascii="Times New Roman" w:hAnsi="Times New Roman" w:cs="Times New Roman" w:hint="eastAsia"/>
          <w:sz w:val="20"/>
          <w:szCs w:val="20"/>
        </w:rPr>
        <w:t xml:space="preserve">recall curve; PPV, positive predictive </w:t>
      </w:r>
      <w:r w:rsidRPr="003D6AF6">
        <w:rPr>
          <w:rFonts w:ascii="Times New Roman" w:hAnsi="Times New Roman" w:cs="Times New Roman" w:hint="eastAsia"/>
          <w:sz w:val="20"/>
          <w:szCs w:val="20"/>
        </w:rPr>
        <w:lastRenderedPageBreak/>
        <w:t>value; NPV, negative predictive value</w:t>
      </w:r>
      <w:r w:rsidRPr="003D6AF6">
        <w:rPr>
          <w:rFonts w:ascii="Times New Roman" w:hAnsi="Times New Roman" w:cs="Times New Roman"/>
          <w:sz w:val="20"/>
          <w:szCs w:val="20"/>
        </w:rPr>
        <w:t>.</w:t>
      </w:r>
    </w:p>
    <w:p w14:paraId="6D265133" w14:textId="77777777" w:rsidR="001004FD" w:rsidRPr="003D6AF6" w:rsidRDefault="001004FD" w:rsidP="001004FD">
      <w:pPr>
        <w:rPr>
          <w:rFonts w:ascii="Times New Roman" w:hAnsi="Times New Roman" w:cs="Times New Roman"/>
          <w:sz w:val="20"/>
          <w:szCs w:val="20"/>
        </w:rPr>
      </w:pPr>
    </w:p>
    <w:p w14:paraId="51413B7A" w14:textId="7D3D1816" w:rsidR="001004FD" w:rsidRPr="0026447A" w:rsidRDefault="001004FD" w:rsidP="001004FD">
      <w:pPr>
        <w:outlineLvl w:val="1"/>
        <w:rPr>
          <w:rFonts w:ascii="Times New Roman" w:hAnsi="Times New Roman" w:cs="Times New Roman"/>
          <w:b/>
          <w:bCs/>
          <w:sz w:val="20"/>
          <w:szCs w:val="20"/>
        </w:rPr>
      </w:pPr>
      <w:bookmarkStart w:id="29" w:name="_Toc229600238"/>
      <w:r w:rsidRPr="0026447A">
        <w:rPr>
          <w:rFonts w:ascii="Times New Roman" w:hAnsi="Times New Roman" w:cs="Times New Roman"/>
          <w:b/>
          <w:bCs/>
          <w:sz w:val="20"/>
          <w:szCs w:val="20"/>
        </w:rPr>
        <w:t xml:space="preserve">Supplementary Data </w:t>
      </w:r>
      <w:r w:rsidRPr="003D6AF6">
        <w:rPr>
          <w:rFonts w:ascii="Times New Roman" w:hAnsi="Times New Roman" w:cs="Times New Roman" w:hint="eastAsia"/>
          <w:b/>
          <w:bCs/>
          <w:sz w:val="20"/>
          <w:szCs w:val="20"/>
        </w:rPr>
        <w:t>5</w:t>
      </w:r>
      <w:r w:rsidRPr="003D6AF6">
        <w:rPr>
          <w:rFonts w:ascii="Times New Roman" w:hAnsi="Times New Roman" w:cs="Times New Roman"/>
          <w:b/>
          <w:bCs/>
          <w:sz w:val="20"/>
          <w:szCs w:val="20"/>
        </w:rPr>
        <w:t>:</w:t>
      </w:r>
      <w:r w:rsidRPr="003D6AF6">
        <w:rPr>
          <w:rFonts w:ascii="Times New Roman" w:hAnsi="Times New Roman" w:cs="Times New Roman"/>
          <w:sz w:val="20"/>
          <w:szCs w:val="20"/>
        </w:rPr>
        <w:t xml:space="preserve"> Stratified performance of ROSA across demographic, BMI and assessment-centre subgroups</w:t>
      </w:r>
      <w:bookmarkEnd w:id="29"/>
    </w:p>
    <w:p w14:paraId="4E93A9E3" w14:textId="77777777" w:rsidR="001004FD" w:rsidRPr="003D6AF6" w:rsidRDefault="001004FD" w:rsidP="001004FD">
      <w:pPr>
        <w:rPr>
          <w:rFonts w:ascii="Times New Roman" w:hAnsi="Times New Roman" w:cs="Times New Roman"/>
          <w:sz w:val="20"/>
          <w:szCs w:val="20"/>
        </w:rPr>
      </w:pPr>
      <w:r w:rsidRPr="003D6AF6">
        <w:rPr>
          <w:rFonts w:ascii="Times New Roman" w:hAnsi="Times New Roman" w:cs="Times New Roman"/>
          <w:sz w:val="20"/>
          <w:szCs w:val="20"/>
        </w:rPr>
        <w:t>Classification performance of ROSA stratified by age group, sex, ancestry/ethnicity group, BMI category and assessment centre. Metrics are reported for UKB-CHV and BHMC-EV where applicable using the same trained ROSA model and prediction rule as in the primary analysis. Reported metrics include macro-averaged and micro-averaged AUROC, AUPRC, Brier score, sensitivity, specificity, positive predictive value, negative predictive value and accuracy, together with per-class performance for BC, DIS and DHG. Smaller strata, including the non-white UKB-CHV subgroup and underweight BMI subgroup, should be interpreted cautiously because of limited sample size and class imbalance. UKB-CHV, UK Biobank centre-held-out validation; BHMC-EV, Beijing Health Management Cohort external validation; BC, baseline concordant; DIS, discordant inflammatory state; DHG, discordant hyperglycaemic; AUROC, area under the receiver operating characteristic curve; AUPRC, area under the precision–recall curve; PPV, positive predictive value; NPV, negative predictive value.</w:t>
      </w:r>
    </w:p>
    <w:p w14:paraId="14D01EE0" w14:textId="77777777" w:rsidR="001004FD" w:rsidRPr="003D6AF6" w:rsidRDefault="001004FD" w:rsidP="001004FD">
      <w:pPr>
        <w:rPr>
          <w:rFonts w:ascii="Times New Roman" w:hAnsi="Times New Roman" w:cs="Times New Roman"/>
          <w:sz w:val="20"/>
          <w:szCs w:val="20"/>
        </w:rPr>
      </w:pPr>
    </w:p>
    <w:p w14:paraId="78F16089" w14:textId="77777777" w:rsidR="001004FD" w:rsidRPr="0026447A" w:rsidRDefault="001004FD" w:rsidP="001004FD">
      <w:pPr>
        <w:outlineLvl w:val="1"/>
        <w:rPr>
          <w:rFonts w:ascii="Times New Roman" w:hAnsi="Times New Roman" w:cs="Times New Roman"/>
          <w:b/>
          <w:bCs/>
          <w:sz w:val="20"/>
          <w:szCs w:val="20"/>
        </w:rPr>
      </w:pPr>
      <w:bookmarkStart w:id="30" w:name="_Toc229600239"/>
      <w:r w:rsidRPr="0026447A">
        <w:rPr>
          <w:rFonts w:ascii="Times New Roman" w:hAnsi="Times New Roman" w:cs="Times New Roman"/>
          <w:b/>
          <w:bCs/>
          <w:sz w:val="20"/>
          <w:szCs w:val="20"/>
        </w:rPr>
        <w:t xml:space="preserve">Supplementary Data </w:t>
      </w:r>
      <w:r w:rsidRPr="003D6AF6">
        <w:rPr>
          <w:rFonts w:ascii="Times New Roman" w:hAnsi="Times New Roman" w:cs="Times New Roman" w:hint="eastAsia"/>
          <w:b/>
          <w:bCs/>
          <w:sz w:val="20"/>
          <w:szCs w:val="20"/>
        </w:rPr>
        <w:t>6</w:t>
      </w:r>
      <w:r w:rsidRPr="003D6AF6">
        <w:rPr>
          <w:rFonts w:ascii="Times New Roman" w:hAnsi="Times New Roman" w:cs="Times New Roman"/>
          <w:b/>
          <w:bCs/>
          <w:sz w:val="20"/>
          <w:szCs w:val="20"/>
        </w:rPr>
        <w:t>:</w:t>
      </w:r>
      <w:r w:rsidRPr="003D6AF6">
        <w:rPr>
          <w:rFonts w:ascii="Times New Roman" w:hAnsi="Times New Roman" w:cs="Times New Roman"/>
          <w:sz w:val="20"/>
          <w:szCs w:val="20"/>
        </w:rPr>
        <w:t xml:space="preserve"> Performance of a demographics- and centre-only baseline model for LPA subtype prediction</w:t>
      </w:r>
      <w:bookmarkEnd w:id="30"/>
    </w:p>
    <w:p w14:paraId="5F116858" w14:textId="77777777" w:rsidR="001004FD" w:rsidRPr="003D6AF6" w:rsidRDefault="001004FD" w:rsidP="001004FD">
      <w:pPr>
        <w:rPr>
          <w:rFonts w:ascii="Times New Roman" w:hAnsi="Times New Roman" w:cs="Times New Roman"/>
          <w:sz w:val="20"/>
          <w:szCs w:val="20"/>
        </w:rPr>
      </w:pPr>
      <w:r w:rsidRPr="003D6AF6">
        <w:rPr>
          <w:rFonts w:ascii="Times New Roman" w:hAnsi="Times New Roman" w:cs="Times New Roman"/>
          <w:sz w:val="20"/>
          <w:szCs w:val="20"/>
        </w:rPr>
        <w:t>Performance of a non-image baseline model trained to predict LPA-derived subtype labels using demographic variables and assessment-centre information. The model was evaluated across UKB-DT, UKB-DV, UKB-CHV and BHMC-EV using the same subtype labels as the primary ROSA analysis. Reported metrics include macro-averaged and micro-averaged AUROC, AUPRC, Brier score, sensitivity, specificity, positive predictive value, negative predictive value and accuracy, together with per-class performance for BC, DIS and DHG. This analysis was used to assess whether simple demographic or centre-level information could explain the LPA subtype labels. UKB-DT, UK Biobank development train; UKB-DV, UK Biobank development validation; UKB-CHV, UK Biobank centre-held-out validation; BHMC-EV, Beijing Health Management Cohort external validation; LPA, latent profile analysis; BC, baseline concordant; DIS, discordant inflammatory state; DHG, discordant hyperglycaemic; AUROC, area under the receiver operating characteristic curve; AUPRC, area under the precision–recall curve; PPV, positive predictive value; NPV, negative predictive value.</w:t>
      </w:r>
    </w:p>
    <w:p w14:paraId="39DCEC7C" w14:textId="77777777" w:rsidR="001004FD" w:rsidRPr="003D6AF6" w:rsidRDefault="001004FD" w:rsidP="001004FD">
      <w:pPr>
        <w:rPr>
          <w:rFonts w:ascii="Times New Roman" w:hAnsi="Times New Roman" w:cs="Times New Roman"/>
          <w:sz w:val="20"/>
          <w:szCs w:val="20"/>
        </w:rPr>
      </w:pPr>
    </w:p>
    <w:p w14:paraId="145D2038" w14:textId="77777777" w:rsidR="001004FD" w:rsidRPr="003D6AF6" w:rsidRDefault="001004FD" w:rsidP="001004FD">
      <w:pPr>
        <w:outlineLvl w:val="1"/>
        <w:rPr>
          <w:rFonts w:ascii="Times New Roman" w:hAnsi="Times New Roman" w:cs="Times New Roman"/>
          <w:sz w:val="20"/>
          <w:szCs w:val="20"/>
        </w:rPr>
      </w:pPr>
      <w:bookmarkStart w:id="31" w:name="_Toc229600240"/>
      <w:r w:rsidRPr="003D6AF6">
        <w:rPr>
          <w:rFonts w:ascii="Times New Roman" w:hAnsi="Times New Roman" w:cs="Times New Roman" w:hint="eastAsia"/>
          <w:b/>
          <w:bCs/>
          <w:sz w:val="20"/>
          <w:szCs w:val="20"/>
        </w:rPr>
        <w:t xml:space="preserve">Supplementary Data 7: </w:t>
      </w:r>
      <w:r w:rsidRPr="003D6AF6">
        <w:rPr>
          <w:rFonts w:ascii="Times New Roman" w:hAnsi="Times New Roman" w:cs="Times New Roman" w:hint="eastAsia"/>
          <w:sz w:val="20"/>
          <w:szCs w:val="20"/>
        </w:rPr>
        <w:t>Quantitative performance of direct retina-to-biomarker and retina-to-residual prediction</w:t>
      </w:r>
      <w:bookmarkEnd w:id="31"/>
    </w:p>
    <w:p w14:paraId="53A9D0EB" w14:textId="77777777" w:rsidR="001004FD" w:rsidRPr="003D6AF6" w:rsidRDefault="001004FD" w:rsidP="001004FD">
      <w:pPr>
        <w:rPr>
          <w:rFonts w:ascii="Times New Roman" w:hAnsi="Times New Roman" w:cs="Times New Roman"/>
          <w:sz w:val="20"/>
          <w:szCs w:val="20"/>
        </w:rPr>
      </w:pPr>
      <w:r w:rsidRPr="003D6AF6">
        <w:rPr>
          <w:rFonts w:ascii="Times New Roman" w:hAnsi="Times New Roman" w:cs="Times New Roman" w:hint="eastAsia"/>
          <w:sz w:val="20"/>
          <w:szCs w:val="20"/>
        </w:rPr>
        <w:t>Performance of the direct retinal-image regression baseline for predicting the ten biochemical markers and their corresponding biochemical residuals across the UKB-DT, UKB-DV, UKB-CHV and BHMC-EV datasets. For each target and dataset split, the number of participants, coefficient of determination (R</w:t>
      </w:r>
      <w:r w:rsidRPr="003D6AF6">
        <w:rPr>
          <w:rFonts w:ascii="Times New Roman" w:hAnsi="Times New Roman" w:cs="Times New Roman" w:hint="eastAsia"/>
          <w:sz w:val="20"/>
          <w:szCs w:val="20"/>
          <w:vertAlign w:val="superscript"/>
        </w:rPr>
        <w:t>2</w:t>
      </w:r>
      <w:r w:rsidRPr="003D6AF6">
        <w:rPr>
          <w:rFonts w:ascii="Times New Roman" w:hAnsi="Times New Roman" w:cs="Times New Roman" w:hint="eastAsia"/>
          <w:sz w:val="20"/>
          <w:szCs w:val="20"/>
        </w:rPr>
        <w:t xml:space="preserve">), root mean squared error (RMSE), mean absolute error (MAE) and Pearson correlation between predicted and observed values are reported. The biomarker targets included triglycerides, LDL-C, HDL-C, </w:t>
      </w:r>
      <w:proofErr w:type="spellStart"/>
      <w:r w:rsidRPr="003D6AF6">
        <w:rPr>
          <w:rFonts w:ascii="Times New Roman" w:hAnsi="Times New Roman" w:cs="Times New Roman" w:hint="eastAsia"/>
          <w:sz w:val="20"/>
          <w:szCs w:val="20"/>
        </w:rPr>
        <w:t>ApoA</w:t>
      </w:r>
      <w:proofErr w:type="spellEnd"/>
      <w:r w:rsidRPr="003D6AF6">
        <w:rPr>
          <w:rFonts w:ascii="Times New Roman" w:hAnsi="Times New Roman" w:cs="Times New Roman" w:hint="eastAsia"/>
          <w:sz w:val="20"/>
          <w:szCs w:val="20"/>
        </w:rPr>
        <w:t>, glucose, CRP, ALT, GGT, creatinine and cystatin C. Residual targets refer to the corresponding standardised biochemical residuals used for latent profile analysis after covariate adjustment, as described in the Methods. Negative R</w:t>
      </w:r>
      <w:r w:rsidRPr="003D6AF6">
        <w:rPr>
          <w:rFonts w:ascii="Times New Roman" w:hAnsi="Times New Roman" w:cs="Times New Roman" w:hint="eastAsia"/>
          <w:sz w:val="20"/>
          <w:szCs w:val="20"/>
        </w:rPr>
        <w:t>²</w:t>
      </w:r>
      <w:r w:rsidRPr="003D6AF6">
        <w:rPr>
          <w:rFonts w:ascii="Times New Roman" w:hAnsi="Times New Roman" w:cs="Times New Roman" w:hint="eastAsia"/>
          <w:sz w:val="20"/>
          <w:szCs w:val="20"/>
        </w:rPr>
        <w:t xml:space="preserve"> values indicate that retinal-image-based prediction performed worse than a split-specific mean-value prediction. UKB-DT, UK Biobank development train; UKB-DV, UK Biobank development validation; UKB-CHV, UK Biobank centre-held-out validation; BHMC-EV, Beijing Health Management Cohort external validation; LDL-C, low-density lipoprotein cholesterol; </w:t>
      </w:r>
      <w:r w:rsidRPr="003D6AF6">
        <w:rPr>
          <w:rFonts w:ascii="Times New Roman" w:hAnsi="Times New Roman" w:cs="Times New Roman" w:hint="eastAsia"/>
          <w:sz w:val="20"/>
          <w:szCs w:val="20"/>
        </w:rPr>
        <w:lastRenderedPageBreak/>
        <w:t xml:space="preserve">HDL-C, high-density lipoprotein cholesterol; </w:t>
      </w:r>
      <w:proofErr w:type="spellStart"/>
      <w:r w:rsidRPr="003D6AF6">
        <w:rPr>
          <w:rFonts w:ascii="Times New Roman" w:hAnsi="Times New Roman" w:cs="Times New Roman" w:hint="eastAsia"/>
          <w:sz w:val="20"/>
          <w:szCs w:val="20"/>
        </w:rPr>
        <w:t>ApoA</w:t>
      </w:r>
      <w:proofErr w:type="spellEnd"/>
      <w:r w:rsidRPr="003D6AF6">
        <w:rPr>
          <w:rFonts w:ascii="Times New Roman" w:hAnsi="Times New Roman" w:cs="Times New Roman" w:hint="eastAsia"/>
          <w:sz w:val="20"/>
          <w:szCs w:val="20"/>
        </w:rPr>
        <w:t>, apolipoprotein A; CRP, C-reactive protein; ALT, alanine aminotransferase; GGT, gamma-glutamyl transferase.</w:t>
      </w:r>
    </w:p>
    <w:p w14:paraId="6B6915D4" w14:textId="77777777" w:rsidR="001004FD" w:rsidRPr="003D6AF6" w:rsidRDefault="001004FD" w:rsidP="001004FD">
      <w:pPr>
        <w:rPr>
          <w:rFonts w:ascii="Times New Roman" w:hAnsi="Times New Roman" w:cs="Times New Roman"/>
          <w:sz w:val="20"/>
          <w:szCs w:val="20"/>
        </w:rPr>
      </w:pPr>
    </w:p>
    <w:p w14:paraId="5F8AA699" w14:textId="77777777" w:rsidR="001004FD" w:rsidRPr="003D6AF6" w:rsidRDefault="001004FD" w:rsidP="001004FD">
      <w:pPr>
        <w:outlineLvl w:val="1"/>
        <w:rPr>
          <w:rFonts w:ascii="Times New Roman" w:hAnsi="Times New Roman" w:cs="Times New Roman"/>
          <w:sz w:val="20"/>
          <w:szCs w:val="20"/>
        </w:rPr>
      </w:pPr>
      <w:bookmarkStart w:id="32" w:name="_Toc229600241"/>
      <w:r w:rsidRPr="003D6AF6">
        <w:rPr>
          <w:rFonts w:ascii="Times New Roman" w:hAnsi="Times New Roman" w:cs="Times New Roman" w:hint="eastAsia"/>
          <w:b/>
          <w:bCs/>
          <w:sz w:val="20"/>
          <w:szCs w:val="20"/>
        </w:rPr>
        <w:t xml:space="preserve">Supplementary Data 8: </w:t>
      </w:r>
      <w:r w:rsidRPr="003D6AF6">
        <w:rPr>
          <w:rFonts w:ascii="Times New Roman" w:hAnsi="Times New Roman" w:cs="Times New Roman" w:hint="eastAsia"/>
          <w:sz w:val="20"/>
          <w:szCs w:val="20"/>
        </w:rPr>
        <w:t>Classification performance of retinal-image models for biomarker-only latent profile labels</w:t>
      </w:r>
      <w:bookmarkEnd w:id="32"/>
    </w:p>
    <w:p w14:paraId="65261E43" w14:textId="77777777" w:rsidR="001004FD" w:rsidRPr="003D6AF6" w:rsidRDefault="001004FD" w:rsidP="001004FD">
      <w:pPr>
        <w:rPr>
          <w:rFonts w:ascii="Times New Roman" w:hAnsi="Times New Roman" w:cs="Times New Roman"/>
          <w:sz w:val="20"/>
          <w:szCs w:val="20"/>
        </w:rPr>
      </w:pPr>
      <w:r w:rsidRPr="003D6AF6">
        <w:rPr>
          <w:rFonts w:ascii="Times New Roman" w:hAnsi="Times New Roman" w:cs="Times New Roman"/>
          <w:sz w:val="20"/>
          <w:szCs w:val="20"/>
        </w:rPr>
        <w:t>Performance of the RETFound + LoRA retinal-image classifier trained to predict subtype labels derived from biomarker-only latent profile analysis.</w:t>
      </w:r>
      <w:r w:rsidRPr="003D6AF6">
        <w:t xml:space="preserve"> </w:t>
      </w:r>
      <w:r w:rsidRPr="003D6AF6">
        <w:rPr>
          <w:rFonts w:ascii="Times New Roman" w:hAnsi="Times New Roman" w:cs="Times New Roman"/>
          <w:sz w:val="20"/>
          <w:szCs w:val="20"/>
        </w:rPr>
        <w:t>Model performance is reported across the UKB-DT, UKB-DV, UKB-CHV and BHMC-EV datasets for candidate latent profile solutions</w:t>
      </w:r>
      <w:r w:rsidRPr="003D6AF6">
        <w:rPr>
          <w:rFonts w:ascii="Times New Roman" w:hAnsi="Times New Roman" w:cs="Times New Roman" w:hint="eastAsia"/>
          <w:sz w:val="20"/>
          <w:szCs w:val="20"/>
        </w:rPr>
        <w:t xml:space="preserve">. Metrics include overall and class-specific discrimination and classification performance, including AUROC, AUPRC, sensitivity, specificity, positive predictive value, negative predictive value and accuracy, with 95% confidence. </w:t>
      </w:r>
      <w:r w:rsidRPr="003D6AF6">
        <w:rPr>
          <w:rFonts w:ascii="Times New Roman" w:hAnsi="Times New Roman" w:cs="Times New Roman"/>
          <w:sz w:val="20"/>
          <w:szCs w:val="20"/>
        </w:rPr>
        <w:t>UKB-DT, UK Biobank development train; UKB-DV, UK Biobank development validation; UKB-CHV, UK Biobank centre-held-out validation; BHMC-EV, Beijing Health Management Cohort external validation; LoRA, low-rank adaptation; LPA, latent profile analysis; AUROC, area under the receiver operating characteristic curve; AUPRC, area under the precision–recall curve; PPV, positive predictive value; NPV, negative predictive value.</w:t>
      </w:r>
    </w:p>
    <w:p w14:paraId="110566CA" w14:textId="77777777" w:rsidR="001004FD" w:rsidRPr="003D6AF6" w:rsidRDefault="001004FD" w:rsidP="001004FD">
      <w:pPr>
        <w:rPr>
          <w:rFonts w:ascii="Times New Roman" w:hAnsi="Times New Roman" w:cs="Times New Roman"/>
          <w:sz w:val="20"/>
          <w:szCs w:val="20"/>
        </w:rPr>
      </w:pPr>
    </w:p>
    <w:p w14:paraId="17450E47" w14:textId="77777777" w:rsidR="001004FD" w:rsidRPr="0026447A" w:rsidRDefault="001004FD" w:rsidP="001004FD">
      <w:pPr>
        <w:outlineLvl w:val="1"/>
        <w:rPr>
          <w:rFonts w:ascii="Times New Roman" w:hAnsi="Times New Roman" w:cs="Times New Roman"/>
          <w:b/>
          <w:bCs/>
          <w:sz w:val="20"/>
          <w:szCs w:val="20"/>
        </w:rPr>
      </w:pPr>
      <w:bookmarkStart w:id="33" w:name="_Toc229600242"/>
      <w:r w:rsidRPr="0026447A">
        <w:rPr>
          <w:rFonts w:ascii="Times New Roman" w:hAnsi="Times New Roman" w:cs="Times New Roman"/>
          <w:b/>
          <w:bCs/>
          <w:sz w:val="20"/>
          <w:szCs w:val="20"/>
        </w:rPr>
        <w:t>Supplementary Data 9</w:t>
      </w:r>
      <w:r w:rsidRPr="003D6AF6">
        <w:rPr>
          <w:rFonts w:ascii="Times New Roman" w:hAnsi="Times New Roman" w:cs="Times New Roman" w:hint="eastAsia"/>
          <w:b/>
          <w:bCs/>
          <w:sz w:val="20"/>
          <w:szCs w:val="20"/>
        </w:rPr>
        <w:t>:</w:t>
      </w:r>
      <w:r w:rsidRPr="0026447A">
        <w:rPr>
          <w:rFonts w:ascii="Times New Roman" w:hAnsi="Times New Roman" w:cs="Times New Roman"/>
          <w:b/>
          <w:bCs/>
          <w:sz w:val="20"/>
          <w:szCs w:val="20"/>
        </w:rPr>
        <w:t xml:space="preserve"> </w:t>
      </w:r>
      <w:r w:rsidRPr="0026447A">
        <w:rPr>
          <w:rFonts w:ascii="Times New Roman" w:hAnsi="Times New Roman" w:cs="Times New Roman"/>
          <w:sz w:val="20"/>
          <w:szCs w:val="20"/>
        </w:rPr>
        <w:t>Clinical risk patterns of three- and six-profile latent profile solutions</w:t>
      </w:r>
      <w:bookmarkEnd w:id="33"/>
    </w:p>
    <w:p w14:paraId="6B7060DF" w14:textId="46279DCA" w:rsidR="001004FD" w:rsidRPr="003D6AF6" w:rsidRDefault="001004FD" w:rsidP="001004FD">
      <w:pPr>
        <w:rPr>
          <w:rFonts w:ascii="Times New Roman" w:hAnsi="Times New Roman" w:cs="Times New Roman"/>
          <w:sz w:val="20"/>
          <w:szCs w:val="20"/>
        </w:rPr>
      </w:pPr>
      <w:r w:rsidRPr="003D6AF6">
        <w:rPr>
          <w:rFonts w:ascii="Times New Roman" w:hAnsi="Times New Roman" w:cs="Times New Roman"/>
          <w:sz w:val="20"/>
          <w:szCs w:val="20"/>
        </w:rPr>
        <w:t>Hazard ratios were estimated for incident CMD, IHD, stroke and T2DM using the same Cox regression framework as the primary outcome analysis. For each G = 6 class, similarity to the G = 3 DIS and DHG risk patterns was quantified using the vector of log hazard ratios across the four outcomes. Cosine similarity, mean absolute log-HR difference and same-direction fraction were used to assess whether G = 6 classes recapitulated the major non-BC risk patterns identified in the three-profile solution. G6 class 1 was used as the reference class and is not shown in the hazard-ratio rows. CMD, cardiometabolic disease; IHD, ischaemic heart disease; T2DM, type 2 diabetes mellitus; DIS, discordant inflammatory state; DHG, discordant hyperglycaemic.</w:t>
      </w:r>
    </w:p>
    <w:p w14:paraId="558AAF67" w14:textId="77777777" w:rsidR="001004FD" w:rsidRPr="003D6AF6" w:rsidRDefault="001004FD" w:rsidP="001004FD">
      <w:pPr>
        <w:rPr>
          <w:rFonts w:ascii="Times New Roman" w:hAnsi="Times New Roman" w:cs="Times New Roman"/>
          <w:sz w:val="20"/>
          <w:szCs w:val="20"/>
        </w:rPr>
      </w:pPr>
    </w:p>
    <w:p w14:paraId="325E79DD" w14:textId="473F332D" w:rsidR="006B2554" w:rsidRPr="003D6AF6" w:rsidRDefault="0067407D" w:rsidP="006B2554">
      <w:pPr>
        <w:outlineLvl w:val="1"/>
        <w:rPr>
          <w:rFonts w:ascii="Times New Roman" w:hAnsi="Times New Roman" w:cs="Times New Roman"/>
          <w:b/>
          <w:bCs/>
          <w:sz w:val="20"/>
          <w:szCs w:val="20"/>
        </w:rPr>
      </w:pPr>
      <w:bookmarkStart w:id="34" w:name="_Toc229600243"/>
      <w:r w:rsidRPr="003D6AF6">
        <w:rPr>
          <w:rFonts w:ascii="Times New Roman" w:hAnsi="Times New Roman" w:cs="Times New Roman"/>
          <w:b/>
          <w:bCs/>
          <w:sz w:val="20"/>
          <w:szCs w:val="20"/>
        </w:rPr>
        <w:t>Supplementary Data</w:t>
      </w:r>
      <w:r w:rsidR="006B2554" w:rsidRPr="003D6AF6">
        <w:rPr>
          <w:rFonts w:ascii="Times New Roman" w:hAnsi="Times New Roman" w:cs="Times New Roman" w:hint="eastAsia"/>
          <w:b/>
          <w:bCs/>
          <w:sz w:val="20"/>
          <w:szCs w:val="20"/>
        </w:rPr>
        <w:t xml:space="preserve"> </w:t>
      </w:r>
      <w:r w:rsidR="001004FD" w:rsidRPr="003D6AF6">
        <w:rPr>
          <w:rFonts w:ascii="Times New Roman" w:hAnsi="Times New Roman" w:cs="Times New Roman" w:hint="eastAsia"/>
          <w:b/>
          <w:bCs/>
          <w:sz w:val="20"/>
          <w:szCs w:val="20"/>
        </w:rPr>
        <w:t>10</w:t>
      </w:r>
      <w:r w:rsidR="006B2554" w:rsidRPr="003D6AF6">
        <w:rPr>
          <w:rFonts w:ascii="Times New Roman" w:hAnsi="Times New Roman" w:cs="Times New Roman" w:hint="eastAsia"/>
          <w:b/>
          <w:bCs/>
          <w:sz w:val="20"/>
          <w:szCs w:val="20"/>
        </w:rPr>
        <w:t xml:space="preserve">: </w:t>
      </w:r>
      <w:r w:rsidR="0079767F" w:rsidRPr="003D6AF6">
        <w:rPr>
          <w:rFonts w:ascii="Times New Roman" w:hAnsi="Times New Roman" w:cs="Times New Roman" w:hint="eastAsia"/>
          <w:sz w:val="20"/>
          <w:szCs w:val="20"/>
        </w:rPr>
        <w:t>Full phenome-wide association results for predicted obesity subtypes</w:t>
      </w:r>
      <w:bookmarkEnd w:id="34"/>
    </w:p>
    <w:p w14:paraId="5E4C438A" w14:textId="3EE6EFFB" w:rsidR="006B2554" w:rsidRPr="003D6AF6" w:rsidRDefault="0079767F" w:rsidP="006B2554">
      <w:pPr>
        <w:rPr>
          <w:rFonts w:ascii="Times New Roman" w:hAnsi="Times New Roman" w:cs="Times New Roman"/>
          <w:sz w:val="20"/>
          <w:szCs w:val="20"/>
        </w:rPr>
      </w:pPr>
      <w:r w:rsidRPr="003D6AF6">
        <w:rPr>
          <w:rFonts w:ascii="Times New Roman" w:hAnsi="Times New Roman" w:cs="Times New Roman"/>
          <w:sz w:val="20"/>
          <w:szCs w:val="20"/>
        </w:rPr>
        <w:t>Full phenome-wide association study results for ROSA-predicted discordant inflammatory state and discordant hyperglycaemic subtypes, analysed relative to the baseline concordant subtype. The workbook includes all tested phenotype-level results, the strongest subtype association for each phenotype, and ranked top associations used for display. Reported fields include phenotype code and description, disease category, case counts, effect estimates, standard errors, nominal and false-discovery-rate-adjusted P values, false discovery rate significance flags, −log10(P), and odds ratios</w:t>
      </w:r>
      <w:r w:rsidR="006B2554" w:rsidRPr="003D6AF6">
        <w:rPr>
          <w:rFonts w:ascii="Times New Roman" w:hAnsi="Times New Roman" w:cs="Times New Roman" w:hint="eastAsia"/>
          <w:sz w:val="20"/>
          <w:szCs w:val="20"/>
        </w:rPr>
        <w:t>.</w:t>
      </w:r>
    </w:p>
    <w:p w14:paraId="47180B22" w14:textId="77777777" w:rsidR="006B2554" w:rsidRPr="003D6AF6" w:rsidRDefault="006B2554" w:rsidP="006B2554">
      <w:pPr>
        <w:rPr>
          <w:rFonts w:ascii="Times New Roman" w:hAnsi="Times New Roman" w:cs="Times New Roman"/>
          <w:sz w:val="20"/>
          <w:szCs w:val="20"/>
        </w:rPr>
      </w:pPr>
    </w:p>
    <w:p w14:paraId="08ADB098" w14:textId="17940605" w:rsidR="006B2554" w:rsidRPr="003D6AF6" w:rsidRDefault="0067407D" w:rsidP="006B2554">
      <w:pPr>
        <w:outlineLvl w:val="1"/>
        <w:rPr>
          <w:rFonts w:ascii="Times New Roman" w:hAnsi="Times New Roman" w:cs="Times New Roman"/>
          <w:b/>
          <w:bCs/>
          <w:sz w:val="20"/>
          <w:szCs w:val="20"/>
        </w:rPr>
      </w:pPr>
      <w:bookmarkStart w:id="35" w:name="_Toc229600244"/>
      <w:r w:rsidRPr="003D6AF6">
        <w:rPr>
          <w:rFonts w:ascii="Times New Roman" w:hAnsi="Times New Roman" w:cs="Times New Roman"/>
          <w:b/>
          <w:bCs/>
          <w:sz w:val="20"/>
          <w:szCs w:val="20"/>
        </w:rPr>
        <w:t>Supplementary Data</w:t>
      </w:r>
      <w:r w:rsidR="006B2554" w:rsidRPr="003D6AF6">
        <w:rPr>
          <w:rFonts w:ascii="Times New Roman" w:hAnsi="Times New Roman" w:cs="Times New Roman" w:hint="eastAsia"/>
          <w:b/>
          <w:bCs/>
          <w:sz w:val="20"/>
          <w:szCs w:val="20"/>
        </w:rPr>
        <w:t xml:space="preserve"> </w:t>
      </w:r>
      <w:r w:rsidR="001004FD" w:rsidRPr="003D6AF6">
        <w:rPr>
          <w:rFonts w:ascii="Times New Roman" w:hAnsi="Times New Roman" w:cs="Times New Roman" w:hint="eastAsia"/>
          <w:b/>
          <w:bCs/>
          <w:sz w:val="20"/>
          <w:szCs w:val="20"/>
        </w:rPr>
        <w:t>11</w:t>
      </w:r>
      <w:r w:rsidR="006B2554" w:rsidRPr="003D6AF6">
        <w:rPr>
          <w:rFonts w:ascii="Times New Roman" w:hAnsi="Times New Roman" w:cs="Times New Roman" w:hint="eastAsia"/>
          <w:b/>
          <w:bCs/>
          <w:sz w:val="20"/>
          <w:szCs w:val="20"/>
        </w:rPr>
        <w:t xml:space="preserve">: </w:t>
      </w:r>
      <w:r w:rsidR="0079767F" w:rsidRPr="003D6AF6">
        <w:rPr>
          <w:rFonts w:ascii="Times New Roman" w:hAnsi="Times New Roman" w:cs="Times New Roman"/>
          <w:sz w:val="20"/>
          <w:szCs w:val="20"/>
        </w:rPr>
        <w:t>Full metabolome-wide association results for predicted obesity subtypes</w:t>
      </w:r>
      <w:bookmarkEnd w:id="35"/>
    </w:p>
    <w:p w14:paraId="15FD5A9D" w14:textId="7269CAC0" w:rsidR="006B2554" w:rsidRPr="003D6AF6" w:rsidRDefault="0079767F" w:rsidP="006B2554">
      <w:pPr>
        <w:rPr>
          <w:rFonts w:ascii="Times New Roman" w:hAnsi="Times New Roman" w:cs="Times New Roman"/>
          <w:sz w:val="20"/>
          <w:szCs w:val="20"/>
        </w:rPr>
      </w:pPr>
      <w:r w:rsidRPr="003D6AF6">
        <w:rPr>
          <w:rFonts w:ascii="Times New Roman" w:hAnsi="Times New Roman" w:cs="Times New Roman"/>
          <w:sz w:val="20"/>
          <w:szCs w:val="20"/>
        </w:rPr>
        <w:t>Full metabolome-wide association study results for ROSA-predicted discordant inflammatory state and discordant hyperglycaemic subtypes. The workbook includes all metabolite-level results, the strongest subtype association for each metabolite, and ranked top associations used for display. Reported fields include metabolite identifier, description, metabolite category, subtype comparison, total sample size, subtype-specific sample size, effect estimates, standard errors, nominal and false-discovery-rate-adjusted P values, false discovery rate significance flags, and −log10(P)</w:t>
      </w:r>
      <w:r w:rsidR="006B2554" w:rsidRPr="003D6AF6">
        <w:rPr>
          <w:rFonts w:ascii="Times New Roman" w:hAnsi="Times New Roman" w:cs="Times New Roman" w:hint="eastAsia"/>
          <w:sz w:val="20"/>
          <w:szCs w:val="20"/>
        </w:rPr>
        <w:t>.</w:t>
      </w:r>
    </w:p>
    <w:p w14:paraId="18FF7783" w14:textId="77777777" w:rsidR="006B2554" w:rsidRPr="003D6AF6" w:rsidRDefault="006B2554" w:rsidP="006B2554">
      <w:pPr>
        <w:rPr>
          <w:rFonts w:ascii="Times New Roman" w:hAnsi="Times New Roman" w:cs="Times New Roman"/>
          <w:sz w:val="20"/>
          <w:szCs w:val="20"/>
        </w:rPr>
      </w:pPr>
    </w:p>
    <w:p w14:paraId="4F8DA8A8" w14:textId="69E9B73D" w:rsidR="00530C43" w:rsidRPr="003D6AF6" w:rsidRDefault="0067407D" w:rsidP="006B2554">
      <w:pPr>
        <w:outlineLvl w:val="1"/>
        <w:rPr>
          <w:rFonts w:ascii="Times New Roman" w:hAnsi="Times New Roman" w:cs="Times New Roman"/>
          <w:sz w:val="20"/>
          <w:szCs w:val="20"/>
        </w:rPr>
      </w:pPr>
      <w:bookmarkStart w:id="36" w:name="_Toc229600245"/>
      <w:r w:rsidRPr="003D6AF6">
        <w:rPr>
          <w:rFonts w:ascii="Times New Roman" w:hAnsi="Times New Roman" w:cs="Times New Roman"/>
          <w:b/>
          <w:bCs/>
          <w:sz w:val="20"/>
          <w:szCs w:val="20"/>
        </w:rPr>
        <w:t>Supplementary Data</w:t>
      </w:r>
      <w:r w:rsidR="006B2554" w:rsidRPr="003D6AF6">
        <w:rPr>
          <w:rFonts w:ascii="Times New Roman" w:hAnsi="Times New Roman" w:cs="Times New Roman" w:hint="eastAsia"/>
          <w:b/>
          <w:bCs/>
          <w:sz w:val="20"/>
          <w:szCs w:val="20"/>
        </w:rPr>
        <w:t xml:space="preserve"> </w:t>
      </w:r>
      <w:r w:rsidR="001004FD" w:rsidRPr="003D6AF6">
        <w:rPr>
          <w:rFonts w:ascii="Times New Roman" w:hAnsi="Times New Roman" w:cs="Times New Roman" w:hint="eastAsia"/>
          <w:b/>
          <w:bCs/>
          <w:sz w:val="20"/>
          <w:szCs w:val="20"/>
        </w:rPr>
        <w:t>12</w:t>
      </w:r>
      <w:r w:rsidR="006B2554" w:rsidRPr="003D6AF6">
        <w:rPr>
          <w:rFonts w:ascii="Times New Roman" w:hAnsi="Times New Roman" w:cs="Times New Roman" w:hint="eastAsia"/>
          <w:b/>
          <w:bCs/>
          <w:sz w:val="20"/>
          <w:szCs w:val="20"/>
        </w:rPr>
        <w:t xml:space="preserve">: </w:t>
      </w:r>
      <w:r w:rsidR="0079767F" w:rsidRPr="003D6AF6">
        <w:rPr>
          <w:rFonts w:ascii="Times New Roman" w:hAnsi="Times New Roman" w:cs="Times New Roman"/>
          <w:sz w:val="20"/>
          <w:szCs w:val="20"/>
        </w:rPr>
        <w:t>Full proteome-wide association results for predicted obesity subtypes</w:t>
      </w:r>
      <w:bookmarkEnd w:id="36"/>
    </w:p>
    <w:p w14:paraId="6B1C95FB" w14:textId="454F7648" w:rsidR="006B2554" w:rsidRDefault="0079767F" w:rsidP="006B2554">
      <w:pPr>
        <w:rPr>
          <w:rFonts w:ascii="Times New Roman" w:hAnsi="Times New Roman" w:cs="Times New Roman"/>
          <w:sz w:val="20"/>
          <w:szCs w:val="20"/>
        </w:rPr>
      </w:pPr>
      <w:r w:rsidRPr="003D6AF6">
        <w:rPr>
          <w:rFonts w:ascii="Times New Roman" w:hAnsi="Times New Roman" w:cs="Times New Roman"/>
          <w:sz w:val="20"/>
          <w:szCs w:val="20"/>
        </w:rPr>
        <w:t xml:space="preserve">Full proteome-wide association study results for ROSA-predicted discordant inflammatory state and </w:t>
      </w:r>
      <w:r w:rsidRPr="003D6AF6">
        <w:rPr>
          <w:rFonts w:ascii="Times New Roman" w:hAnsi="Times New Roman" w:cs="Times New Roman"/>
          <w:sz w:val="20"/>
          <w:szCs w:val="20"/>
        </w:rPr>
        <w:lastRenderedPageBreak/>
        <w:t>discordant hyperglycaemic subtypes. The workbook includes all protein-level results, the strongest subtype association for each protein, and ranked top associations used for display. Reported fields include protein identifier, protein abbreviation, protein label, subtype comparison, total sample size, subtype-specific sample size, effect estimates, standard errors, nominal and false-discovery-rate-adjusted P values, false discovery rate significance flags, −log10(P), and direction of association</w:t>
      </w:r>
      <w:r w:rsidR="006B2554" w:rsidRPr="003D6AF6">
        <w:rPr>
          <w:rFonts w:ascii="Times New Roman" w:hAnsi="Times New Roman" w:cs="Times New Roman" w:hint="eastAsia"/>
          <w:sz w:val="20"/>
          <w:szCs w:val="20"/>
        </w:rPr>
        <w:t>.</w:t>
      </w:r>
    </w:p>
    <w:p w14:paraId="51BEF80A" w14:textId="77777777" w:rsidR="000F5600" w:rsidRDefault="000F5600" w:rsidP="00A53239">
      <w:pPr>
        <w:rPr>
          <w:rFonts w:ascii="Times New Roman" w:hAnsi="Times New Roman" w:cs="Times New Roman"/>
          <w:sz w:val="20"/>
          <w:szCs w:val="20"/>
        </w:rPr>
      </w:pPr>
    </w:p>
    <w:sectPr w:rsidR="000F56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51C7C" w14:textId="77777777" w:rsidR="00416993" w:rsidRPr="003A36ED" w:rsidRDefault="00416993" w:rsidP="00DE58ED">
      <w:pPr>
        <w:rPr>
          <w:rFonts w:hint="eastAsia"/>
        </w:rPr>
      </w:pPr>
      <w:r w:rsidRPr="003A36ED">
        <w:separator/>
      </w:r>
    </w:p>
  </w:endnote>
  <w:endnote w:type="continuationSeparator" w:id="0">
    <w:p w14:paraId="05BEAB01" w14:textId="77777777" w:rsidR="00416993" w:rsidRPr="003A36ED" w:rsidRDefault="00416993" w:rsidP="00DE58ED">
      <w:pPr>
        <w:rPr>
          <w:rFonts w:hint="eastAsia"/>
        </w:rPr>
      </w:pPr>
      <w:r w:rsidRPr="003A36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6D5D2" w14:textId="77777777" w:rsidR="00416993" w:rsidRPr="003A36ED" w:rsidRDefault="00416993" w:rsidP="00DE58ED">
      <w:pPr>
        <w:rPr>
          <w:rFonts w:hint="eastAsia"/>
        </w:rPr>
      </w:pPr>
      <w:r w:rsidRPr="003A36ED">
        <w:separator/>
      </w:r>
    </w:p>
  </w:footnote>
  <w:footnote w:type="continuationSeparator" w:id="0">
    <w:p w14:paraId="5D59A78A" w14:textId="77777777" w:rsidR="00416993" w:rsidRPr="003A36ED" w:rsidRDefault="00416993" w:rsidP="00DE58ED">
      <w:pPr>
        <w:rPr>
          <w:rFonts w:hint="eastAsia"/>
        </w:rPr>
      </w:pPr>
      <w:r w:rsidRPr="003A36ED">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4C"/>
    <w:rsid w:val="9FC2321F"/>
    <w:rsid w:val="AFC0115E"/>
    <w:rsid w:val="0005236A"/>
    <w:rsid w:val="000824D8"/>
    <w:rsid w:val="00095DEE"/>
    <w:rsid w:val="000A2E8B"/>
    <w:rsid w:val="000B462C"/>
    <w:rsid w:val="000B48D6"/>
    <w:rsid w:val="000F5600"/>
    <w:rsid w:val="001004FD"/>
    <w:rsid w:val="00114404"/>
    <w:rsid w:val="00186ECF"/>
    <w:rsid w:val="001965E0"/>
    <w:rsid w:val="001C3FC4"/>
    <w:rsid w:val="001D3D55"/>
    <w:rsid w:val="001D5239"/>
    <w:rsid w:val="00225DD6"/>
    <w:rsid w:val="00230EB1"/>
    <w:rsid w:val="0024145A"/>
    <w:rsid w:val="0026447A"/>
    <w:rsid w:val="00290B83"/>
    <w:rsid w:val="002A23BD"/>
    <w:rsid w:val="002A34E9"/>
    <w:rsid w:val="002B5F36"/>
    <w:rsid w:val="002C4AC4"/>
    <w:rsid w:val="002C6FF3"/>
    <w:rsid w:val="00300BAB"/>
    <w:rsid w:val="00367228"/>
    <w:rsid w:val="003951D4"/>
    <w:rsid w:val="003A36ED"/>
    <w:rsid w:val="003D1DC7"/>
    <w:rsid w:val="003D6AF6"/>
    <w:rsid w:val="00411500"/>
    <w:rsid w:val="004121DE"/>
    <w:rsid w:val="00416993"/>
    <w:rsid w:val="00450581"/>
    <w:rsid w:val="00474921"/>
    <w:rsid w:val="004E0B4F"/>
    <w:rsid w:val="005176D6"/>
    <w:rsid w:val="00530B4F"/>
    <w:rsid w:val="00530C43"/>
    <w:rsid w:val="005377BF"/>
    <w:rsid w:val="00544DBA"/>
    <w:rsid w:val="005D4EBA"/>
    <w:rsid w:val="005E0338"/>
    <w:rsid w:val="005F3B31"/>
    <w:rsid w:val="006120B1"/>
    <w:rsid w:val="00612800"/>
    <w:rsid w:val="006129B6"/>
    <w:rsid w:val="006169A6"/>
    <w:rsid w:val="0062674A"/>
    <w:rsid w:val="0066539A"/>
    <w:rsid w:val="0067407D"/>
    <w:rsid w:val="006928BD"/>
    <w:rsid w:val="006B2554"/>
    <w:rsid w:val="006E098D"/>
    <w:rsid w:val="006E67EE"/>
    <w:rsid w:val="006E6EDE"/>
    <w:rsid w:val="007302CF"/>
    <w:rsid w:val="00771855"/>
    <w:rsid w:val="00774854"/>
    <w:rsid w:val="00781CBA"/>
    <w:rsid w:val="00794D9C"/>
    <w:rsid w:val="0079767F"/>
    <w:rsid w:val="007C2E58"/>
    <w:rsid w:val="007C728A"/>
    <w:rsid w:val="008041A0"/>
    <w:rsid w:val="00813A3C"/>
    <w:rsid w:val="008249D4"/>
    <w:rsid w:val="00843131"/>
    <w:rsid w:val="008D5041"/>
    <w:rsid w:val="009C122B"/>
    <w:rsid w:val="009C49E8"/>
    <w:rsid w:val="009E07F1"/>
    <w:rsid w:val="009F0305"/>
    <w:rsid w:val="00A34542"/>
    <w:rsid w:val="00A42214"/>
    <w:rsid w:val="00A4651E"/>
    <w:rsid w:val="00A53239"/>
    <w:rsid w:val="00A72AEB"/>
    <w:rsid w:val="00A76AE7"/>
    <w:rsid w:val="00AA5BD8"/>
    <w:rsid w:val="00AB4393"/>
    <w:rsid w:val="00B02BD2"/>
    <w:rsid w:val="00B03552"/>
    <w:rsid w:val="00B342D6"/>
    <w:rsid w:val="00B431B5"/>
    <w:rsid w:val="00B82C15"/>
    <w:rsid w:val="00BA5D3A"/>
    <w:rsid w:val="00BB1F20"/>
    <w:rsid w:val="00BC1B10"/>
    <w:rsid w:val="00BE08EE"/>
    <w:rsid w:val="00BE2A8D"/>
    <w:rsid w:val="00BE5FD9"/>
    <w:rsid w:val="00BF37DA"/>
    <w:rsid w:val="00C11184"/>
    <w:rsid w:val="00C21754"/>
    <w:rsid w:val="00C40FF8"/>
    <w:rsid w:val="00C55F59"/>
    <w:rsid w:val="00C5774C"/>
    <w:rsid w:val="00C74C4B"/>
    <w:rsid w:val="00C96F1C"/>
    <w:rsid w:val="00CC0011"/>
    <w:rsid w:val="00CD21D4"/>
    <w:rsid w:val="00CD222A"/>
    <w:rsid w:val="00CD5C1F"/>
    <w:rsid w:val="00D177DC"/>
    <w:rsid w:val="00D24815"/>
    <w:rsid w:val="00D45D08"/>
    <w:rsid w:val="00D46B14"/>
    <w:rsid w:val="00DC54EE"/>
    <w:rsid w:val="00DD6612"/>
    <w:rsid w:val="00DE417A"/>
    <w:rsid w:val="00DE58ED"/>
    <w:rsid w:val="00DF3BF0"/>
    <w:rsid w:val="00E41CAA"/>
    <w:rsid w:val="00E47FFB"/>
    <w:rsid w:val="00E86F43"/>
    <w:rsid w:val="00E90472"/>
    <w:rsid w:val="00ED3F3A"/>
    <w:rsid w:val="00EE2682"/>
    <w:rsid w:val="00F05C43"/>
    <w:rsid w:val="00F063B0"/>
    <w:rsid w:val="00F26994"/>
    <w:rsid w:val="00F8091F"/>
    <w:rsid w:val="00F94BF0"/>
    <w:rsid w:val="00FA1BE1"/>
    <w:rsid w:val="00FD28A3"/>
    <w:rsid w:val="00F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656DD"/>
  <w15:chartTrackingRefBased/>
  <w15:docId w15:val="{44CDC636-E993-4130-BB03-BA07B2A66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600"/>
    <w:pPr>
      <w:widowControl w:val="0"/>
      <w:jc w:val="both"/>
    </w:pPr>
    <w:rPr>
      <w:lang w:val="en-GB"/>
    </w:rPr>
  </w:style>
  <w:style w:type="paragraph" w:styleId="1">
    <w:name w:val="heading 1"/>
    <w:basedOn w:val="a"/>
    <w:next w:val="a"/>
    <w:link w:val="10"/>
    <w:uiPriority w:val="9"/>
    <w:qFormat/>
    <w:rsid w:val="00C5774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5774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5774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5774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5774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5774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5774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5774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5774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章节标题"/>
    <w:basedOn w:val="a"/>
    <w:next w:val="a"/>
    <w:link w:val="a4"/>
    <w:qFormat/>
    <w:rsid w:val="008D5041"/>
    <w:pPr>
      <w:widowControl/>
      <w:jc w:val="left"/>
      <w:outlineLvl w:val="0"/>
    </w:pPr>
    <w:rPr>
      <w:rFonts w:ascii="宋体" w:hAnsi="宋体" w:cs="宋体"/>
      <w:b/>
      <w:color w:val="000000" w:themeColor="text1"/>
      <w:sz w:val="24"/>
      <w:szCs w:val="24"/>
    </w:rPr>
  </w:style>
  <w:style w:type="character" w:customStyle="1" w:styleId="a4">
    <w:name w:val="章节标题 字符"/>
    <w:basedOn w:val="a0"/>
    <w:link w:val="a3"/>
    <w:rsid w:val="008D5041"/>
    <w:rPr>
      <w:rFonts w:ascii="宋体" w:hAnsi="宋体" w:cs="宋体"/>
      <w:b/>
      <w:color w:val="000000" w:themeColor="text1"/>
      <w:sz w:val="24"/>
      <w:szCs w:val="24"/>
    </w:rPr>
  </w:style>
  <w:style w:type="character" w:customStyle="1" w:styleId="10">
    <w:name w:val="标题 1 字符"/>
    <w:basedOn w:val="a0"/>
    <w:link w:val="1"/>
    <w:uiPriority w:val="9"/>
    <w:rsid w:val="00C5774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5774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5774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5774C"/>
    <w:rPr>
      <w:rFonts w:cstheme="majorBidi"/>
      <w:color w:val="0F4761" w:themeColor="accent1" w:themeShade="BF"/>
      <w:sz w:val="28"/>
      <w:szCs w:val="28"/>
    </w:rPr>
  </w:style>
  <w:style w:type="character" w:customStyle="1" w:styleId="50">
    <w:name w:val="标题 5 字符"/>
    <w:basedOn w:val="a0"/>
    <w:link w:val="5"/>
    <w:uiPriority w:val="9"/>
    <w:semiHidden/>
    <w:rsid w:val="00C5774C"/>
    <w:rPr>
      <w:rFonts w:cstheme="majorBidi"/>
      <w:color w:val="0F4761" w:themeColor="accent1" w:themeShade="BF"/>
      <w:sz w:val="24"/>
      <w:szCs w:val="24"/>
    </w:rPr>
  </w:style>
  <w:style w:type="character" w:customStyle="1" w:styleId="60">
    <w:name w:val="标题 6 字符"/>
    <w:basedOn w:val="a0"/>
    <w:link w:val="6"/>
    <w:uiPriority w:val="9"/>
    <w:semiHidden/>
    <w:rsid w:val="00C5774C"/>
    <w:rPr>
      <w:rFonts w:cstheme="majorBidi"/>
      <w:b/>
      <w:bCs/>
      <w:color w:val="0F4761" w:themeColor="accent1" w:themeShade="BF"/>
    </w:rPr>
  </w:style>
  <w:style w:type="character" w:customStyle="1" w:styleId="70">
    <w:name w:val="标题 7 字符"/>
    <w:basedOn w:val="a0"/>
    <w:link w:val="7"/>
    <w:uiPriority w:val="9"/>
    <w:semiHidden/>
    <w:rsid w:val="00C5774C"/>
    <w:rPr>
      <w:rFonts w:cstheme="majorBidi"/>
      <w:b/>
      <w:bCs/>
      <w:color w:val="595959" w:themeColor="text1" w:themeTint="A6"/>
    </w:rPr>
  </w:style>
  <w:style w:type="character" w:customStyle="1" w:styleId="80">
    <w:name w:val="标题 8 字符"/>
    <w:basedOn w:val="a0"/>
    <w:link w:val="8"/>
    <w:uiPriority w:val="9"/>
    <w:semiHidden/>
    <w:rsid w:val="00C5774C"/>
    <w:rPr>
      <w:rFonts w:cstheme="majorBidi"/>
      <w:color w:val="595959" w:themeColor="text1" w:themeTint="A6"/>
    </w:rPr>
  </w:style>
  <w:style w:type="character" w:customStyle="1" w:styleId="90">
    <w:name w:val="标题 9 字符"/>
    <w:basedOn w:val="a0"/>
    <w:link w:val="9"/>
    <w:uiPriority w:val="9"/>
    <w:semiHidden/>
    <w:rsid w:val="00C5774C"/>
    <w:rPr>
      <w:rFonts w:eastAsiaTheme="majorEastAsia" w:cstheme="majorBidi"/>
      <w:color w:val="595959" w:themeColor="text1" w:themeTint="A6"/>
    </w:rPr>
  </w:style>
  <w:style w:type="paragraph" w:styleId="a5">
    <w:name w:val="Title"/>
    <w:basedOn w:val="a"/>
    <w:next w:val="a"/>
    <w:link w:val="a6"/>
    <w:uiPriority w:val="10"/>
    <w:qFormat/>
    <w:rsid w:val="00C5774C"/>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rsid w:val="00C5774C"/>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C5774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C5774C"/>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C5774C"/>
    <w:pPr>
      <w:spacing w:before="160" w:after="160"/>
      <w:jc w:val="center"/>
    </w:pPr>
    <w:rPr>
      <w:i/>
      <w:iCs/>
      <w:color w:val="404040" w:themeColor="text1" w:themeTint="BF"/>
    </w:rPr>
  </w:style>
  <w:style w:type="character" w:customStyle="1" w:styleId="aa">
    <w:name w:val="引用 字符"/>
    <w:basedOn w:val="a0"/>
    <w:link w:val="a9"/>
    <w:uiPriority w:val="29"/>
    <w:rsid w:val="00C5774C"/>
    <w:rPr>
      <w:i/>
      <w:iCs/>
      <w:color w:val="404040" w:themeColor="text1" w:themeTint="BF"/>
    </w:rPr>
  </w:style>
  <w:style w:type="paragraph" w:styleId="ab">
    <w:name w:val="List Paragraph"/>
    <w:basedOn w:val="a"/>
    <w:uiPriority w:val="34"/>
    <w:qFormat/>
    <w:rsid w:val="00C5774C"/>
    <w:pPr>
      <w:ind w:left="720"/>
      <w:contextualSpacing/>
    </w:pPr>
  </w:style>
  <w:style w:type="character" w:styleId="ac">
    <w:name w:val="Intense Emphasis"/>
    <w:basedOn w:val="a0"/>
    <w:uiPriority w:val="21"/>
    <w:qFormat/>
    <w:rsid w:val="00C5774C"/>
    <w:rPr>
      <w:i/>
      <w:iCs/>
      <w:color w:val="0F4761" w:themeColor="accent1" w:themeShade="BF"/>
    </w:rPr>
  </w:style>
  <w:style w:type="paragraph" w:styleId="ad">
    <w:name w:val="Intense Quote"/>
    <w:basedOn w:val="a"/>
    <w:next w:val="a"/>
    <w:link w:val="ae"/>
    <w:uiPriority w:val="30"/>
    <w:qFormat/>
    <w:rsid w:val="00C577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C5774C"/>
    <w:rPr>
      <w:i/>
      <w:iCs/>
      <w:color w:val="0F4761" w:themeColor="accent1" w:themeShade="BF"/>
    </w:rPr>
  </w:style>
  <w:style w:type="character" w:styleId="af">
    <w:name w:val="Intense Reference"/>
    <w:basedOn w:val="a0"/>
    <w:uiPriority w:val="32"/>
    <w:qFormat/>
    <w:rsid w:val="00C5774C"/>
    <w:rPr>
      <w:b/>
      <w:bCs/>
      <w:smallCaps/>
      <w:color w:val="0F4761" w:themeColor="accent1" w:themeShade="BF"/>
      <w:spacing w:val="5"/>
    </w:rPr>
  </w:style>
  <w:style w:type="paragraph" w:styleId="af0">
    <w:name w:val="Bibliography"/>
    <w:basedOn w:val="a"/>
    <w:next w:val="a"/>
    <w:uiPriority w:val="37"/>
    <w:unhideWhenUsed/>
    <w:rsid w:val="00186ECF"/>
    <w:pPr>
      <w:tabs>
        <w:tab w:val="left" w:pos="264"/>
      </w:tabs>
      <w:spacing w:line="480" w:lineRule="auto"/>
      <w:ind w:left="264" w:hanging="264"/>
    </w:pPr>
  </w:style>
  <w:style w:type="paragraph" w:styleId="af1">
    <w:name w:val="header"/>
    <w:basedOn w:val="a"/>
    <w:link w:val="af2"/>
    <w:uiPriority w:val="99"/>
    <w:unhideWhenUsed/>
    <w:rsid w:val="00DE58ED"/>
    <w:pPr>
      <w:tabs>
        <w:tab w:val="center" w:pos="4153"/>
        <w:tab w:val="right" w:pos="8306"/>
      </w:tabs>
      <w:snapToGrid w:val="0"/>
      <w:jc w:val="center"/>
    </w:pPr>
    <w:rPr>
      <w:sz w:val="18"/>
      <w:szCs w:val="18"/>
    </w:rPr>
  </w:style>
  <w:style w:type="character" w:customStyle="1" w:styleId="af2">
    <w:name w:val="页眉 字符"/>
    <w:basedOn w:val="a0"/>
    <w:link w:val="af1"/>
    <w:uiPriority w:val="99"/>
    <w:rsid w:val="00DE58ED"/>
    <w:rPr>
      <w:sz w:val="18"/>
      <w:szCs w:val="18"/>
    </w:rPr>
  </w:style>
  <w:style w:type="paragraph" w:styleId="af3">
    <w:name w:val="footer"/>
    <w:basedOn w:val="a"/>
    <w:link w:val="af4"/>
    <w:uiPriority w:val="99"/>
    <w:unhideWhenUsed/>
    <w:rsid w:val="00DE58ED"/>
    <w:pPr>
      <w:tabs>
        <w:tab w:val="center" w:pos="4153"/>
        <w:tab w:val="right" w:pos="8306"/>
      </w:tabs>
      <w:snapToGrid w:val="0"/>
      <w:jc w:val="left"/>
    </w:pPr>
    <w:rPr>
      <w:sz w:val="18"/>
      <w:szCs w:val="18"/>
    </w:rPr>
  </w:style>
  <w:style w:type="character" w:customStyle="1" w:styleId="af4">
    <w:name w:val="页脚 字符"/>
    <w:basedOn w:val="a0"/>
    <w:link w:val="af3"/>
    <w:uiPriority w:val="99"/>
    <w:rsid w:val="00DE58ED"/>
    <w:rPr>
      <w:sz w:val="18"/>
      <w:szCs w:val="18"/>
    </w:rPr>
  </w:style>
  <w:style w:type="table" w:customStyle="1" w:styleId="11">
    <w:name w:val="样式1"/>
    <w:basedOn w:val="a1"/>
    <w:uiPriority w:val="99"/>
    <w:rsid w:val="001D5239"/>
    <w:pPr>
      <w:jc w:val="center"/>
    </w:pPr>
    <w:rPr>
      <w:rFonts w:ascii="Times New Roman" w:eastAsia="Times New Roman" w:hAnsi="Times New Roman" w:cs="Times New Roman"/>
      <w:sz w:val="18"/>
      <w:szCs w:val="18"/>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style>
  <w:style w:type="paragraph" w:styleId="TOC">
    <w:name w:val="TOC Heading"/>
    <w:basedOn w:val="1"/>
    <w:next w:val="a"/>
    <w:uiPriority w:val="39"/>
    <w:unhideWhenUsed/>
    <w:qFormat/>
    <w:rsid w:val="00450581"/>
    <w:pPr>
      <w:widowControl/>
      <w:spacing w:before="240" w:after="0" w:line="259" w:lineRule="auto"/>
      <w:jc w:val="left"/>
      <w:outlineLvl w:val="9"/>
    </w:pPr>
    <w:rPr>
      <w:kern w:val="0"/>
      <w:sz w:val="32"/>
      <w:szCs w:val="32"/>
    </w:rPr>
  </w:style>
  <w:style w:type="paragraph" w:styleId="TOC1">
    <w:name w:val="toc 1"/>
    <w:basedOn w:val="a"/>
    <w:next w:val="a"/>
    <w:autoRedefine/>
    <w:uiPriority w:val="39"/>
    <w:unhideWhenUsed/>
    <w:rsid w:val="00450581"/>
  </w:style>
  <w:style w:type="character" w:styleId="af5">
    <w:name w:val="Hyperlink"/>
    <w:basedOn w:val="a0"/>
    <w:uiPriority w:val="99"/>
    <w:unhideWhenUsed/>
    <w:rsid w:val="00450581"/>
    <w:rPr>
      <w:color w:val="467886" w:themeColor="hyperlink"/>
      <w:u w:val="single"/>
    </w:rPr>
  </w:style>
  <w:style w:type="paragraph" w:styleId="TOC2">
    <w:name w:val="toc 2"/>
    <w:basedOn w:val="a"/>
    <w:next w:val="a"/>
    <w:autoRedefine/>
    <w:uiPriority w:val="39"/>
    <w:unhideWhenUsed/>
    <w:rsid w:val="00450581"/>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5" Type="http://schemas.openxmlformats.org/officeDocument/2006/relationships/image" Target="media/image19.svg"/><Relationship Id="rId33" Type="http://schemas.openxmlformats.org/officeDocument/2006/relationships/image" Target="media/image27.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sv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svg"/><Relationship Id="rId23" Type="http://schemas.openxmlformats.org/officeDocument/2006/relationships/image" Target="media/image17.sv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svg"/><Relationship Id="rId31" Type="http://schemas.openxmlformats.org/officeDocument/2006/relationships/image" Target="media/image25.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svg"/><Relationship Id="rId30" Type="http://schemas.openxmlformats.org/officeDocument/2006/relationships/image" Target="media/image24.png"/><Relationship Id="rId35" Type="http://schemas.openxmlformats.org/officeDocument/2006/relationships/image" Target="media/image29.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77FAD-CCE7-4363-8ACA-C71337AA1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6632</Words>
  <Characters>37807</Characters>
  <Application>Microsoft Office Word</Application>
  <DocSecurity>0</DocSecurity>
  <Lines>315</Lines>
  <Paragraphs>88</Paragraphs>
  <ScaleCrop>false</ScaleCrop>
  <Company/>
  <LinksUpToDate>false</LinksUpToDate>
  <CharactersWithSpaces>44351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Runhuang Yang</dc:creator>
  <cp:keywords/>
  <dc:description/>
  <cp:lastModifiedBy>Runhuang Yang</cp:lastModifiedBy>
  <cp:revision>3</cp:revision>
  <dcterms:created xsi:type="dcterms:W3CDTF">2026-07-09T04:38:00Z</dcterms:created>
  <dcterms:modified xsi:type="dcterms:W3CDTF">2026-07-09T13:57:00Z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id="QodwBJD8"/&gt;&lt;style id="http://www.zotero.org/styles/nature" hasBibliography="1" bibliographyStyleHasBeenSet="1"/&gt;&lt;prefs&gt;&lt;pref name="fieldType" value="Field"/&gt;&lt;/prefs&gt;&lt;/data&gt;</vt:lpwstr>
  </property>
</Properties>
</file>