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8B373" w14:textId="77777777" w:rsidR="008F7113" w:rsidRPr="00275824" w:rsidRDefault="008F7113" w:rsidP="008F7113">
      <w:pPr>
        <w:pStyle w:val="Heading2"/>
      </w:pPr>
      <w:r w:rsidRPr="00275824">
        <w:t>Supplementary Table 1: Indicators for conceptual model of sustainability of the Olympic Games</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1"/>
        <w:gridCol w:w="1339"/>
        <w:gridCol w:w="1419"/>
        <w:gridCol w:w="1134"/>
        <w:gridCol w:w="2977"/>
        <w:gridCol w:w="1701"/>
        <w:gridCol w:w="4179"/>
      </w:tblGrid>
      <w:tr w:rsidR="008F7113" w:rsidRPr="00275824" w14:paraId="7DBB2AD4" w14:textId="77777777" w:rsidTr="003742E4">
        <w:tc>
          <w:tcPr>
            <w:tcW w:w="1211" w:type="dxa"/>
            <w:tcBorders>
              <w:top w:val="double" w:sz="4" w:space="0" w:color="auto"/>
              <w:bottom w:val="single" w:sz="4" w:space="0" w:color="auto"/>
            </w:tcBorders>
          </w:tcPr>
          <w:p w14:paraId="09B929CF"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Indicator</w:t>
            </w:r>
          </w:p>
        </w:tc>
        <w:tc>
          <w:tcPr>
            <w:tcW w:w="1339" w:type="dxa"/>
            <w:tcBorders>
              <w:top w:val="double" w:sz="4" w:space="0" w:color="auto"/>
              <w:bottom w:val="single" w:sz="4" w:space="0" w:color="auto"/>
            </w:tcBorders>
          </w:tcPr>
          <w:p w14:paraId="1F859450"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Proxy variable</w:t>
            </w:r>
          </w:p>
        </w:tc>
        <w:tc>
          <w:tcPr>
            <w:tcW w:w="1419" w:type="dxa"/>
            <w:tcBorders>
              <w:top w:val="double" w:sz="4" w:space="0" w:color="auto"/>
              <w:bottom w:val="single" w:sz="4" w:space="0" w:color="auto"/>
            </w:tcBorders>
          </w:tcPr>
          <w:p w14:paraId="629777AF"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Definition</w:t>
            </w:r>
          </w:p>
        </w:tc>
        <w:tc>
          <w:tcPr>
            <w:tcW w:w="1134" w:type="dxa"/>
            <w:tcBorders>
              <w:top w:val="double" w:sz="4" w:space="0" w:color="auto"/>
              <w:bottom w:val="single" w:sz="4" w:space="0" w:color="auto"/>
            </w:tcBorders>
          </w:tcPr>
          <w:p w14:paraId="67D75E5F"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Plausibility of attribution</w:t>
            </w:r>
          </w:p>
        </w:tc>
        <w:tc>
          <w:tcPr>
            <w:tcW w:w="2977" w:type="dxa"/>
            <w:tcBorders>
              <w:top w:val="double" w:sz="4" w:space="0" w:color="auto"/>
              <w:bottom w:val="single" w:sz="4" w:space="0" w:color="auto"/>
            </w:tcBorders>
          </w:tcPr>
          <w:p w14:paraId="4C4C4EA2"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Justification</w:t>
            </w:r>
          </w:p>
        </w:tc>
        <w:tc>
          <w:tcPr>
            <w:tcW w:w="1701" w:type="dxa"/>
            <w:tcBorders>
              <w:top w:val="double" w:sz="4" w:space="0" w:color="auto"/>
              <w:bottom w:val="single" w:sz="4" w:space="0" w:color="auto"/>
            </w:tcBorders>
          </w:tcPr>
          <w:p w14:paraId="26717AD0"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 xml:space="preserve">Relation to sustainability </w:t>
            </w:r>
          </w:p>
        </w:tc>
        <w:tc>
          <w:tcPr>
            <w:tcW w:w="4179" w:type="dxa"/>
            <w:tcBorders>
              <w:top w:val="double" w:sz="4" w:space="0" w:color="auto"/>
              <w:bottom w:val="single" w:sz="4" w:space="0" w:color="auto"/>
            </w:tcBorders>
          </w:tcPr>
          <w:p w14:paraId="6A814EDC"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Scoring</w:t>
            </w:r>
          </w:p>
        </w:tc>
      </w:tr>
      <w:tr w:rsidR="008F7113" w:rsidRPr="00275824" w14:paraId="72DA1297" w14:textId="77777777" w:rsidTr="003742E4">
        <w:tc>
          <w:tcPr>
            <w:tcW w:w="9781" w:type="dxa"/>
            <w:gridSpan w:val="6"/>
            <w:tcBorders>
              <w:top w:val="single" w:sz="4" w:space="0" w:color="auto"/>
              <w:bottom w:val="nil"/>
            </w:tcBorders>
          </w:tcPr>
          <w:p w14:paraId="10671036" w14:textId="77777777" w:rsidR="008F7113" w:rsidRPr="00275824" w:rsidRDefault="008F7113" w:rsidP="003742E4">
            <w:pPr>
              <w:spacing w:after="240"/>
              <w:rPr>
                <w:rFonts w:ascii="Baskerville" w:hAnsi="Baskerville"/>
                <w:sz w:val="20"/>
                <w:szCs w:val="20"/>
              </w:rPr>
            </w:pPr>
            <w:r w:rsidRPr="00275824">
              <w:rPr>
                <w:rFonts w:ascii="Baskerville" w:hAnsi="Baskerville"/>
                <w:b/>
                <w:sz w:val="20"/>
                <w:szCs w:val="20"/>
              </w:rPr>
              <w:t>Ecological Dimension</w:t>
            </w:r>
          </w:p>
        </w:tc>
        <w:tc>
          <w:tcPr>
            <w:tcW w:w="4179" w:type="dxa"/>
            <w:tcBorders>
              <w:top w:val="single" w:sz="4" w:space="0" w:color="auto"/>
              <w:bottom w:val="nil"/>
            </w:tcBorders>
          </w:tcPr>
          <w:p w14:paraId="5CE5B192" w14:textId="77777777" w:rsidR="008F7113" w:rsidRPr="00275824" w:rsidRDefault="008F7113" w:rsidP="003742E4">
            <w:pPr>
              <w:spacing w:after="240"/>
              <w:rPr>
                <w:rFonts w:ascii="Baskerville" w:hAnsi="Baskerville"/>
                <w:b/>
                <w:sz w:val="20"/>
                <w:szCs w:val="20"/>
              </w:rPr>
            </w:pPr>
          </w:p>
        </w:tc>
      </w:tr>
      <w:tr w:rsidR="008F7113" w:rsidRPr="00275824" w14:paraId="3301AE2C" w14:textId="77777777" w:rsidTr="003742E4">
        <w:tc>
          <w:tcPr>
            <w:tcW w:w="1211" w:type="dxa"/>
            <w:tcBorders>
              <w:top w:val="nil"/>
            </w:tcBorders>
          </w:tcPr>
          <w:p w14:paraId="330821EB"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New construction</w:t>
            </w:r>
          </w:p>
        </w:tc>
        <w:tc>
          <w:tcPr>
            <w:tcW w:w="1339" w:type="dxa"/>
            <w:tcBorders>
              <w:top w:val="nil"/>
            </w:tcBorders>
          </w:tcPr>
          <w:p w14:paraId="5A09FFF9"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 xml:space="preserve">Share of new-build venues </w:t>
            </w:r>
          </w:p>
        </w:tc>
        <w:tc>
          <w:tcPr>
            <w:tcW w:w="1419" w:type="dxa"/>
            <w:tcBorders>
              <w:top w:val="nil"/>
            </w:tcBorders>
          </w:tcPr>
          <w:p w14:paraId="4CADD7DC"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Share of new-build sports venues among total</w:t>
            </w:r>
          </w:p>
        </w:tc>
        <w:tc>
          <w:tcPr>
            <w:tcW w:w="1134" w:type="dxa"/>
            <w:tcBorders>
              <w:top w:val="nil"/>
            </w:tcBorders>
          </w:tcPr>
          <w:p w14:paraId="443EFC0C"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High</w:t>
            </w:r>
          </w:p>
        </w:tc>
        <w:tc>
          <w:tcPr>
            <w:tcW w:w="2977" w:type="dxa"/>
            <w:tcBorders>
              <w:top w:val="nil"/>
            </w:tcBorders>
          </w:tcPr>
          <w:p w14:paraId="3F582C21"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New venues make up a major part of the new construction resulting directly from the event, adding to the ecological and material footprint. The total required area for all facilities of the Summer Games is estimated at a significant 671 hectares</w:t>
            </w:r>
            <w:r w:rsidRPr="00275824">
              <w:rPr>
                <w:rFonts w:ascii="Baskerville" w:hAnsi="Baskerville"/>
                <w:sz w:val="20"/>
                <w:szCs w:val="20"/>
              </w:rPr>
              <w:fldChar w:fldCharType="begin"/>
            </w:r>
            <w:r>
              <w:rPr>
                <w:rFonts w:ascii="Baskerville" w:hAnsi="Baskerville"/>
                <w:sz w:val="20"/>
                <w:szCs w:val="20"/>
              </w:rPr>
              <w:instrText xml:space="preserve"> ADDIN ZOTERO_ITEM CSL_CITATION {"citationID":"zb1p1jqr","properties":{"formattedCitation":"\\super 67\\nosupersub{}","plainCitation":"67","noteIndex":0},"citationItems":[{"id":16807,"uris":["http://zotero.org/users/1410191/items/74DV9Z6C"],"uri":["http://zotero.org/users/1410191/items/74DV9Z6C"],"itemData":{"id":16807,"type":"chapter","container-title":"The London Olympics and urban development: the mega-event city","event-place":"Farnham","publisher":"Ashgate","publisher-place":"Farnham","title":"The Olympic Games and urban development impacts","author":[{"family":"Long","given":"Judith Grant"}],"editor":[{"family":"Poynter","given":"Gavin"},{"family":"Viehoff","given":"Valerie"},{"family":"Li","given":"Yang"}],"issued":{"date-parts":[["2015"]]}},"locator":"110"}],"schema":"https://github.com/citation-style-language/schema/raw/master/csl-citation.json"} </w:instrText>
            </w:r>
            <w:r w:rsidRPr="00275824">
              <w:rPr>
                <w:rFonts w:ascii="Baskerville" w:hAnsi="Baskerville"/>
                <w:sz w:val="20"/>
                <w:szCs w:val="20"/>
              </w:rPr>
              <w:fldChar w:fldCharType="separate"/>
            </w:r>
            <w:r w:rsidRPr="00395BA5">
              <w:rPr>
                <w:rFonts w:ascii="Baskerville" w:hAnsi="Baskerville"/>
                <w:sz w:val="20"/>
                <w:vertAlign w:val="superscript"/>
                <w:lang w:val="en-GB"/>
              </w:rPr>
              <w:t>67</w:t>
            </w:r>
            <w:r w:rsidRPr="00275824">
              <w:rPr>
                <w:rFonts w:ascii="Baskerville" w:hAnsi="Baskerville"/>
                <w:sz w:val="20"/>
                <w:szCs w:val="20"/>
              </w:rPr>
              <w:fldChar w:fldCharType="end"/>
            </w:r>
            <w:r w:rsidRPr="00275824">
              <w:rPr>
                <w:rFonts w:ascii="Baskerville" w:hAnsi="Baskerville"/>
                <w:sz w:val="20"/>
                <w:szCs w:val="20"/>
              </w:rPr>
              <w:t>.</w:t>
            </w:r>
          </w:p>
        </w:tc>
        <w:tc>
          <w:tcPr>
            <w:tcW w:w="1701" w:type="dxa"/>
            <w:vMerge w:val="restart"/>
            <w:tcBorders>
              <w:top w:val="nil"/>
            </w:tcBorders>
            <w:vAlign w:val="center"/>
          </w:tcPr>
          <w:p w14:paraId="34A1CAAD"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Resource use: ecological and material footprint</w:t>
            </w:r>
            <w:r w:rsidRPr="00275824">
              <w:rPr>
                <w:rFonts w:ascii="Baskerville" w:hAnsi="Baskerville"/>
                <w:sz w:val="20"/>
                <w:szCs w:val="20"/>
              </w:rPr>
              <w:fldChar w:fldCharType="begin"/>
            </w:r>
            <w:r>
              <w:rPr>
                <w:rFonts w:ascii="Baskerville" w:hAnsi="Baskerville"/>
                <w:sz w:val="20"/>
                <w:szCs w:val="20"/>
              </w:rPr>
              <w:instrText xml:space="preserve"> ADDIN ZOTERO_ITEM CSL_CITATION {"citationID":"IAYnZNnf","properties":{"formattedCitation":"\\super 49,50\\nosupersub{}","plainCitation":"49,50","noteIndex":0},"citationItems":[{"id":36442,"uris":["http://zotero.org/users/1410191/items/DYWZVV7M"],"uri":["http://zotero.org/users/1410191/items/DYWZVV7M"],"itemData":{"id":36442,"type":"article-journal","abstract":"Human demand on ecosystem services continues to increase, and evidence suggests that this demand is outpacing the regenerative and absorptive capacity of the biosphere. As a result, the productivity of natural capital may increasingly become a limiting factor for the human endeavor. Metrics tracking human demand on, and availability of, regenerative and waste absorptive capacity within the biosphere are therefore needed. Ecological Footprint analysis is such a metric; it measures human appropriation (Ecological Footprint) and the biosphere's supply (biocapacity) of ecosystem products and services in terms of the amount of bioproductive land and sea area (ecological assets) needed to supply these products and services. This paper documents the latest method for estimating the Ecological Footprint and biocapacity of nations, using the National Footprint Accounts (NFA) applied to more than 200 countries and for the world overall. Results are also compared with those obtained from previous editions of the NFA. According to the 2011 Edition of the National Footprint Accounts, humanity demanded the resources and services of 1.5 planets in 2008; this human demand was 0.7 planets in 1961. Situations in which total demand for ecological goods and services exceed the available supply for a given location, are called ‘overshoot’. ‘Global overshoot’ indicates that stocks of ecological capital are depleting and/or that waste is accumulating. As the methodology keeps being improved, each new edition of the NFA supports the findings of a global overshoot.","container-title":"Ecological Indicators","DOI":"10.1016/j.ecolind.2012.08.005","ISSN":"1470-160X","journalAbbreviation":"Ecological Indicators","language":"en","page":"518-533","source":"ScienceDirect","title":"Accounting for demand and supply of the biosphere's regenerative capacity: The National Footprint Accounts’ underlying methodology and framework","title-short":"Accounting for demand and supply of the biosphere's regenerative capacity","volume":"24","author":[{"family":"Borucke","given":"Michael"},{"family":"Moore","given":"David"},{"family":"Cranston","given":"Gemma"},{"family":"Gracey","given":"Kyle"},{"family":"Iha","given":"Katsunori"},{"family":"Larson","given":"Joy"},{"family":"Lazarus","given":"Elias"},{"family":"Morales","given":"Juan Carlos"},{"family":"Wackernagel","given":"Mathis"},{"family":"Galli","given":"Alessandro"}],"issued":{"date-parts":[["2013",1,1]]}}},{"id":36444,"uris":["http://zotero.org/users/1410191/items/GEV3R5I3"],"uri":["http://zotero.org/users/1410191/items/GEV3R5I3"],"itemData":{"id":36444,"type":"article-journal","abstract":"Metrics on resource productivity currently used by governments suggest that some developed countries have increased the use of natural resources at a slower rate than economic growth (relative decoupling) or have even managed to use fewer resources over time (absolute decoupling). Using the material footprint (MF), a consumption-based indicator of resource use, we find the contrary: Achievements in decoupling in advanced economies are smaller than reported or even nonexistent. We present a time series analysis of the MF of 186 countries and identify material flows associated with global production and consumption networks in unprecedented specificity. By calculating raw material equivalents of international trade, we demonstrate that countries’ use of nondomestic resources is, on average, about threefold larger than the physical quantity of traded goods. As wealth grows, countries tend to reduce their domestic portion of materials extraction through international trade, whereas the overall mass of material consumption generally increases. With every 10% increase in gross domestic product, the average national MF increases by 6%. Our findings call into question the sole use of current resource productivity indicators in policy making and suggest the necessity of an additional focus on consumption-based accounting for natural resource use.","container-title":"Proceedings of the National Academy of Sciences","DOI":"10.1073/pnas.1220362110","ISSN":"0027-8424, 1091-6490","issue":"20","journalAbbreviation":"PNAS","language":"en","note":"publisher: National Academy of Sciences\nsection: Physical Sciences\nPMID: 24003158","page":"6271-6276","source":"www.pnas.org","title":"The material footprint of nations","volume":"112","author":[{"family":"Wiedmann","given":"Thomas O."},{"family":"Schandl","given":"Heinz"},{"family":"Lenzen","given":"Manfred"},{"family":"Moran","given":"Daniel"},{"family":"Suh","given":"Sangwon"},{"family":"West","given":"James"},{"family":"Kanemoto","given":"Keiichiro"}],"issued":{"date-parts":[["2015",5,19]]}}}],"schema":"https://github.com/citation-style-language/schema/raw/master/csl-citation.json"} </w:instrText>
            </w:r>
            <w:r w:rsidRPr="00275824">
              <w:rPr>
                <w:rFonts w:ascii="Baskerville" w:hAnsi="Baskerville"/>
                <w:sz w:val="20"/>
                <w:szCs w:val="20"/>
              </w:rPr>
              <w:fldChar w:fldCharType="separate"/>
            </w:r>
            <w:r w:rsidRPr="00395BA5">
              <w:rPr>
                <w:rFonts w:ascii="Baskerville" w:hAnsi="Baskerville"/>
                <w:sz w:val="20"/>
                <w:vertAlign w:val="superscript"/>
                <w:lang w:val="en-GB"/>
              </w:rPr>
              <w:t>49,50</w:t>
            </w:r>
            <w:r w:rsidRPr="00275824">
              <w:rPr>
                <w:rFonts w:ascii="Baskerville" w:hAnsi="Baskerville"/>
                <w:sz w:val="20"/>
                <w:szCs w:val="20"/>
              </w:rPr>
              <w:fldChar w:fldCharType="end"/>
            </w:r>
          </w:p>
        </w:tc>
        <w:tc>
          <w:tcPr>
            <w:tcW w:w="4179" w:type="dxa"/>
            <w:tcBorders>
              <w:top w:val="nil"/>
            </w:tcBorders>
          </w:tcPr>
          <w:p w14:paraId="3DE91CC6"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100 if ≤ 10%; 80 if ≤ 20%; 60 if ≤ 30%; 40 if ≤ 40%, 20 if ≤ 50%, 0 if &gt; 50%</w:t>
            </w:r>
          </w:p>
        </w:tc>
      </w:tr>
      <w:tr w:rsidR="008F7113" w:rsidRPr="00275824" w14:paraId="072BB307" w14:textId="77777777" w:rsidTr="003742E4">
        <w:tc>
          <w:tcPr>
            <w:tcW w:w="1211" w:type="dxa"/>
            <w:tcBorders>
              <w:bottom w:val="nil"/>
            </w:tcBorders>
          </w:tcPr>
          <w:p w14:paraId="6283AA72"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Visitor footprint</w:t>
            </w:r>
          </w:p>
        </w:tc>
        <w:tc>
          <w:tcPr>
            <w:tcW w:w="1339" w:type="dxa"/>
            <w:tcBorders>
              <w:bottom w:val="nil"/>
            </w:tcBorders>
          </w:tcPr>
          <w:p w14:paraId="702EB6CC"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 xml:space="preserve">Number of tickets </w:t>
            </w:r>
          </w:p>
        </w:tc>
        <w:tc>
          <w:tcPr>
            <w:tcW w:w="1419" w:type="dxa"/>
            <w:tcBorders>
              <w:bottom w:val="nil"/>
            </w:tcBorders>
          </w:tcPr>
          <w:p w14:paraId="4B2792B7"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Number of tickets sold</w:t>
            </w:r>
          </w:p>
        </w:tc>
        <w:tc>
          <w:tcPr>
            <w:tcW w:w="1134" w:type="dxa"/>
            <w:tcBorders>
              <w:bottom w:val="nil"/>
            </w:tcBorders>
          </w:tcPr>
          <w:p w14:paraId="483451D1"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High</w:t>
            </w:r>
          </w:p>
        </w:tc>
        <w:tc>
          <w:tcPr>
            <w:tcW w:w="2977" w:type="dxa"/>
            <w:tcBorders>
              <w:bottom w:val="nil"/>
            </w:tcBorders>
          </w:tcPr>
          <w:p w14:paraId="1A33A8E1"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 xml:space="preserve">The number of visitors is a major driver of the ecological and material footprint of the Olympic Games. Ceteris paribus, a higher number of visitors increases both the size of the facilities required (stadia, hotels, transport) and the number of trips, often via plane. </w:t>
            </w:r>
          </w:p>
        </w:tc>
        <w:tc>
          <w:tcPr>
            <w:tcW w:w="1701" w:type="dxa"/>
            <w:vMerge/>
          </w:tcPr>
          <w:p w14:paraId="4AE26D12" w14:textId="77777777" w:rsidR="008F7113" w:rsidRPr="00275824" w:rsidRDefault="008F7113" w:rsidP="003742E4">
            <w:pPr>
              <w:spacing w:after="240"/>
              <w:rPr>
                <w:rFonts w:ascii="Baskerville" w:hAnsi="Baskerville"/>
                <w:sz w:val="20"/>
                <w:szCs w:val="20"/>
              </w:rPr>
            </w:pPr>
          </w:p>
        </w:tc>
        <w:tc>
          <w:tcPr>
            <w:tcW w:w="4179" w:type="dxa"/>
            <w:tcBorders>
              <w:bottom w:val="nil"/>
            </w:tcBorders>
          </w:tcPr>
          <w:p w14:paraId="6B7F2141"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Summer: 100 if ≤ 3m; 80 if ≤ 4m; 60 if ≤ 5m; 40 if ≤ 6m; 20 if ≤ 7m; 0 if &gt; 7m</w:t>
            </w:r>
            <w:r w:rsidRPr="00275824">
              <w:rPr>
                <w:rFonts w:ascii="Baskerville" w:hAnsi="Baskerville"/>
                <w:sz w:val="20"/>
                <w:szCs w:val="20"/>
              </w:rPr>
              <w:br/>
              <w:t>Winter: 100 if ≤ 1m; 80 if ≤ 1.2; 60 if ≤ 1.4; 40 if ≤ 1.6m; 20 if ≤ 1.8m; 0 if &gt; 1.8m</w:t>
            </w:r>
          </w:p>
        </w:tc>
      </w:tr>
      <w:tr w:rsidR="008F7113" w:rsidRPr="00275824" w14:paraId="653C3516" w14:textId="77777777" w:rsidTr="003742E4">
        <w:trPr>
          <w:trHeight w:val="2944"/>
        </w:trPr>
        <w:tc>
          <w:tcPr>
            <w:tcW w:w="1211" w:type="dxa"/>
            <w:tcBorders>
              <w:top w:val="nil"/>
              <w:bottom w:val="single" w:sz="4" w:space="0" w:color="auto"/>
            </w:tcBorders>
          </w:tcPr>
          <w:p w14:paraId="327FC320"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Event size</w:t>
            </w:r>
          </w:p>
        </w:tc>
        <w:tc>
          <w:tcPr>
            <w:tcW w:w="1339" w:type="dxa"/>
            <w:tcBorders>
              <w:top w:val="nil"/>
              <w:bottom w:val="single" w:sz="4" w:space="0" w:color="auto"/>
            </w:tcBorders>
          </w:tcPr>
          <w:p w14:paraId="6A6D6336"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 xml:space="preserve">Number of accreditations </w:t>
            </w:r>
          </w:p>
        </w:tc>
        <w:tc>
          <w:tcPr>
            <w:tcW w:w="1419" w:type="dxa"/>
            <w:tcBorders>
              <w:top w:val="nil"/>
              <w:bottom w:val="single" w:sz="4" w:space="0" w:color="auto"/>
            </w:tcBorders>
          </w:tcPr>
          <w:p w14:paraId="0183FE7D"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Number of persons accredited in an official function</w:t>
            </w:r>
            <w:r w:rsidRPr="00275824">
              <w:rPr>
                <w:rFonts w:ascii="Baskerville" w:hAnsi="Baskerville"/>
                <w:color w:val="000000"/>
                <w:sz w:val="20"/>
                <w:szCs w:val="20"/>
                <w:shd w:val="clear" w:color="auto" w:fill="FFFFFF"/>
              </w:rPr>
              <w:t xml:space="preserve"> </w:t>
            </w:r>
          </w:p>
        </w:tc>
        <w:tc>
          <w:tcPr>
            <w:tcW w:w="1134" w:type="dxa"/>
            <w:tcBorders>
              <w:top w:val="nil"/>
              <w:bottom w:val="single" w:sz="4" w:space="0" w:color="auto"/>
            </w:tcBorders>
          </w:tcPr>
          <w:p w14:paraId="3FC6BC27"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High</w:t>
            </w:r>
          </w:p>
        </w:tc>
        <w:tc>
          <w:tcPr>
            <w:tcW w:w="2977" w:type="dxa"/>
            <w:tcBorders>
              <w:top w:val="nil"/>
              <w:bottom w:val="single" w:sz="4" w:space="0" w:color="auto"/>
            </w:tcBorders>
          </w:tcPr>
          <w:p w14:paraId="462D0D98"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The number of accreditations is a major driver of the ecological and material footprint of the Olympic Games. Accredited persons need to be transported in planes, trains and busses, seated in stadia, housed in hotels. Ceteris paribus, a higher number of accredited persons results in a larger size for event facilities and services</w:t>
            </w:r>
            <w:r w:rsidRPr="00275824">
              <w:rPr>
                <w:rFonts w:ascii="Baskerville" w:hAnsi="Baskerville"/>
                <w:sz w:val="20"/>
                <w:szCs w:val="20"/>
              </w:rPr>
              <w:fldChar w:fldCharType="begin"/>
            </w:r>
            <w:r>
              <w:rPr>
                <w:rFonts w:ascii="Baskerville" w:hAnsi="Baskerville"/>
                <w:sz w:val="20"/>
                <w:szCs w:val="20"/>
              </w:rPr>
              <w:instrText xml:space="preserve"> ADDIN ZOTERO_ITEM CSL_CITATION {"citationID":"IIQN5uJC","properties":{"formattedCitation":"\\super 68\\nosupersub{}","plainCitation":"68","noteIndex":0},"citationItems":[{"id":6917,"uris":["http://zotero.org/users/1410191/items/WE2VDZPI"],"uri":["http://zotero.org/users/1410191/items/WE2VDZPI"],"itemData":{"id":6917,"type":"article-journal","abstract":"The last two decades have seen dramatic increases in the size and scope of the Summer Olympic Games. In many ways, London 2012 reached even higher summits than the Beijing Games in 2008. This growth is a major challenge for the Olympics and its future organizers, as it is making the Games increasingly difficult to stage and has greatly reduced the number of cities capable of hosting them. This study shows how various participation and organization indicators have expanded over six Olympiads, from Barcelona 1992 to London 2012, and examines the reasons for this growth. It suggests ways of reducing the size of the Summer Olympic Games in order to make them more manageable and to encourage candidatures from smaller cities and countries.","container-title":"Sport in Society","DOI":"10.1080/17430437.2013.834621","ISSN":"1743-0437","issue":"5","page":"581-592","source":"Taylor and Francis+NEJM","title":"Managing the size of the Olympic Games","volume":"17","author":[{"family":"Chappelet","given":"Jean-Loup"}],"issued":{"date-parts":[["2014"]]}}}],"schema":"https://github.com/citation-style-language/schema/raw/master/csl-citation.json"} </w:instrText>
            </w:r>
            <w:r w:rsidRPr="00275824">
              <w:rPr>
                <w:rFonts w:ascii="Baskerville" w:hAnsi="Baskerville"/>
                <w:sz w:val="20"/>
                <w:szCs w:val="20"/>
              </w:rPr>
              <w:fldChar w:fldCharType="separate"/>
            </w:r>
            <w:r w:rsidRPr="00395BA5">
              <w:rPr>
                <w:rFonts w:ascii="Baskerville" w:hAnsi="Baskerville"/>
                <w:sz w:val="20"/>
                <w:vertAlign w:val="superscript"/>
                <w:lang w:val="en-GB"/>
              </w:rPr>
              <w:t>68</w:t>
            </w:r>
            <w:r w:rsidRPr="00275824">
              <w:rPr>
                <w:rFonts w:ascii="Baskerville" w:hAnsi="Baskerville"/>
                <w:sz w:val="20"/>
                <w:szCs w:val="20"/>
              </w:rPr>
              <w:fldChar w:fldCharType="end"/>
            </w:r>
            <w:r w:rsidRPr="00275824">
              <w:rPr>
                <w:rFonts w:ascii="Baskerville" w:hAnsi="Baskerville"/>
                <w:sz w:val="20"/>
                <w:szCs w:val="20"/>
              </w:rPr>
              <w:t>.</w:t>
            </w:r>
          </w:p>
        </w:tc>
        <w:tc>
          <w:tcPr>
            <w:tcW w:w="1701" w:type="dxa"/>
            <w:vMerge/>
            <w:tcBorders>
              <w:bottom w:val="single" w:sz="4" w:space="0" w:color="auto"/>
            </w:tcBorders>
          </w:tcPr>
          <w:p w14:paraId="496F54F6" w14:textId="77777777" w:rsidR="008F7113" w:rsidRPr="00275824" w:rsidRDefault="008F7113" w:rsidP="003742E4">
            <w:pPr>
              <w:spacing w:after="240"/>
              <w:rPr>
                <w:rFonts w:ascii="Baskerville" w:hAnsi="Baskerville"/>
                <w:sz w:val="20"/>
                <w:szCs w:val="20"/>
              </w:rPr>
            </w:pPr>
          </w:p>
        </w:tc>
        <w:tc>
          <w:tcPr>
            <w:tcW w:w="4179" w:type="dxa"/>
            <w:tcBorders>
              <w:top w:val="nil"/>
              <w:bottom w:val="single" w:sz="4" w:space="0" w:color="auto"/>
            </w:tcBorders>
          </w:tcPr>
          <w:p w14:paraId="4F1B4BEA"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Summer: 100 if ≤ 150</w:t>
            </w:r>
            <w:proofErr w:type="gramStart"/>
            <w:r w:rsidRPr="00275824">
              <w:rPr>
                <w:rFonts w:ascii="Baskerville" w:hAnsi="Baskerville"/>
                <w:sz w:val="20"/>
                <w:szCs w:val="20"/>
              </w:rPr>
              <w:t>k;,</w:t>
            </w:r>
            <w:proofErr w:type="gramEnd"/>
            <w:r w:rsidRPr="00275824">
              <w:rPr>
                <w:rFonts w:ascii="Baskerville" w:hAnsi="Baskerville"/>
                <w:sz w:val="20"/>
                <w:szCs w:val="20"/>
              </w:rPr>
              <w:t xml:space="preserve"> 80 if ≤ 200k; 60 if ≤ 250k; 40 if ≤ 300k; 20 if ≤ 350k; 0 if &gt; 350k</w:t>
            </w:r>
            <w:r w:rsidRPr="00275824">
              <w:rPr>
                <w:rFonts w:ascii="Baskerville" w:hAnsi="Baskerville"/>
                <w:sz w:val="20"/>
                <w:szCs w:val="20"/>
              </w:rPr>
              <w:br/>
              <w:t>Winter: 100 if ≤ 40k; 80 if ≤ 60k; 60 if ≤ 80k; 40 if ≤ 100k; 20 if ≤ 120k; 0 if &gt; 120k</w:t>
            </w:r>
          </w:p>
        </w:tc>
      </w:tr>
      <w:tr w:rsidR="008F7113" w:rsidRPr="00275824" w14:paraId="699D9340" w14:textId="77777777" w:rsidTr="003742E4">
        <w:tc>
          <w:tcPr>
            <w:tcW w:w="9781" w:type="dxa"/>
            <w:gridSpan w:val="6"/>
            <w:tcBorders>
              <w:top w:val="single" w:sz="4" w:space="0" w:color="auto"/>
              <w:bottom w:val="nil"/>
            </w:tcBorders>
          </w:tcPr>
          <w:p w14:paraId="51CD681B" w14:textId="77777777" w:rsidR="008F7113" w:rsidRPr="00275824" w:rsidRDefault="008F7113" w:rsidP="003742E4">
            <w:pPr>
              <w:spacing w:after="240"/>
              <w:rPr>
                <w:rFonts w:ascii="Baskerville" w:hAnsi="Baskerville"/>
                <w:sz w:val="20"/>
                <w:szCs w:val="20"/>
              </w:rPr>
            </w:pPr>
            <w:r w:rsidRPr="00275824">
              <w:rPr>
                <w:rFonts w:ascii="Baskerville" w:hAnsi="Baskerville"/>
                <w:b/>
                <w:sz w:val="20"/>
                <w:szCs w:val="20"/>
              </w:rPr>
              <w:lastRenderedPageBreak/>
              <w:t>Social Dimension</w:t>
            </w:r>
          </w:p>
        </w:tc>
        <w:tc>
          <w:tcPr>
            <w:tcW w:w="4179" w:type="dxa"/>
            <w:tcBorders>
              <w:top w:val="single" w:sz="4" w:space="0" w:color="auto"/>
              <w:bottom w:val="nil"/>
            </w:tcBorders>
          </w:tcPr>
          <w:p w14:paraId="501FA8DA" w14:textId="77777777" w:rsidR="008F7113" w:rsidRPr="00275824" w:rsidRDefault="008F7113" w:rsidP="003742E4">
            <w:pPr>
              <w:spacing w:after="240"/>
              <w:rPr>
                <w:rFonts w:ascii="Baskerville" w:hAnsi="Baskerville"/>
                <w:b/>
                <w:sz w:val="20"/>
                <w:szCs w:val="20"/>
              </w:rPr>
            </w:pPr>
          </w:p>
        </w:tc>
      </w:tr>
      <w:tr w:rsidR="008F7113" w:rsidRPr="00275824" w14:paraId="4E5F904E" w14:textId="77777777" w:rsidTr="003742E4">
        <w:tc>
          <w:tcPr>
            <w:tcW w:w="1211" w:type="dxa"/>
            <w:tcBorders>
              <w:top w:val="nil"/>
            </w:tcBorders>
          </w:tcPr>
          <w:p w14:paraId="5D26F935"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Public approval</w:t>
            </w:r>
          </w:p>
        </w:tc>
        <w:tc>
          <w:tcPr>
            <w:tcW w:w="1339" w:type="dxa"/>
            <w:tcBorders>
              <w:top w:val="nil"/>
            </w:tcBorders>
          </w:tcPr>
          <w:p w14:paraId="3B3342DE"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Degree of support for hosting the event</w:t>
            </w:r>
          </w:p>
        </w:tc>
        <w:tc>
          <w:tcPr>
            <w:tcW w:w="1419" w:type="dxa"/>
            <w:tcBorders>
              <w:top w:val="nil"/>
            </w:tcBorders>
          </w:tcPr>
          <w:p w14:paraId="3899059B"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Share of respondents in dedicated polls that supports hosting the event</w:t>
            </w:r>
          </w:p>
        </w:tc>
        <w:tc>
          <w:tcPr>
            <w:tcW w:w="1134" w:type="dxa"/>
            <w:tcBorders>
              <w:top w:val="nil"/>
            </w:tcBorders>
          </w:tcPr>
          <w:p w14:paraId="6178E5AC"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High</w:t>
            </w:r>
          </w:p>
        </w:tc>
        <w:tc>
          <w:tcPr>
            <w:tcW w:w="2977" w:type="dxa"/>
            <w:tcBorders>
              <w:top w:val="nil"/>
            </w:tcBorders>
          </w:tcPr>
          <w:p w14:paraId="760FD391"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Mega-events are often highly contested and can divide societies in host cities and nations</w:t>
            </w:r>
            <w:r w:rsidRPr="00275824">
              <w:rPr>
                <w:rFonts w:ascii="Baskerville" w:hAnsi="Baskerville"/>
                <w:sz w:val="20"/>
                <w:szCs w:val="20"/>
              </w:rPr>
              <w:fldChar w:fldCharType="begin"/>
            </w:r>
            <w:r>
              <w:rPr>
                <w:rFonts w:ascii="Baskerville" w:hAnsi="Baskerville"/>
                <w:sz w:val="20"/>
                <w:szCs w:val="20"/>
              </w:rPr>
              <w:instrText xml:space="preserve"> ADDIN ZOTERO_ITEM CSL_CITATION {"citationID":"Lc5X18dU","properties":{"formattedCitation":"\\super 69,70\\nosupersub{}","plainCitation":"69,70","noteIndex":0},"citationItems":[{"id":36363,"uris":["http://zotero.org/users/1410191/items/XL8YQRCH"],"uri":["http://zotero.org/users/1410191/items/XL8YQRCH"],"itemData":{"id":36363,"type":"article-journal","abstract":"This article examines the diverse forms of public opposition, protest, criticism, and complaint in the United Kingdom on the staging of the 2012 Olympic and Par...","archive_location":"Sage CA: Los Angeles, CA","container-title":"Journal of Sport and Social Issues","DOI":"10.1177/0193723514530565","issue":"2","language":"en","note":"publisher: SAGE PublicationsSage CA: Los Angeles, CA","page":"99-119","source":"journals.sagepub.com","title":"Sport Mega-Events and Public Opposition: A Sociological Study of the London 2012 Olympics","title-short":"Sport Mega-Events and Public Opposition","volume":"39","author":[{"family":"Giulianotti","given":"Richard"},{"family":"Armstrong","given":"Gary"},{"family":"Hales","given":"Gavin"},{"family":"Hobbs","given":"Dick"}],"issued":{"date-parts":[["2014",4,14]]}}},{"id":36367,"uris":["http://zotero.org/users/1410191/items/XG8C2ZQ9"],"uri":["http://zotero.org/users/1410191/items/XG8C2ZQ9"],"itemData":{"id":36367,"type":"book","abstract":"While societies shape the way their cities look and are represented, urban images, in turn, nurture and structure social relations in multiple ways. Nowhere is this dialectical relationship between social processes and urban representations more visible than in the hosting of global spectacles such as the FIFA World Cup and the Olympic Games, which both embody some of society’s deepest dreams and desires.The focus of this book is the image of cities. It is not only interested in the mechanisms of urban image construction but also in the politics of such a phenomenon, especially its social impacts in terms of representation and right to the city. The book investigates the complex power relationships that underscore the production of the urban landscape and the construction and diffusion of urban images, especially in the context of urban mega-events. It uses the notion of urban image construction as a lens through which to examine the mega-event spectacle, with chapters exploring the physical, social and political dimensions of the imagineering process as well as emerging resistance to controversial initiatives. Through an analysis of event-related urban construction efforts in Rio de Janeiro and Beijing, this book examines the effects of mega-events upon the construction of an exclusive vision of urbanity. It demonstrates how mega-events are increasingly utilized by local political and economic elites to reconfigure power relations, strengthen their hold upon the urban territory and exclude vulnerable population groups. The book thus offers a critical analysis of the practice of urban image construction, and will be of interest to those working in geography, urban studies, tourism, sport studies, development studies and politics.","event-place":"London","language":"Englisch","number-of-pages":"172","publisher":"Routledge","publisher-place":"London","source":"Amazon","title":"Mega-events and Urban Image Construction: Beijing and Rio de Janeiro","title-short":"Mega-events and Urban Image Construction","author":[{"family":"Broudehoux","given":"Anne-Marie"}],"issued":{"date-parts":[["2017",2,17]]}}}],"schema":"https://github.com/citation-style-language/schema/raw/master/csl-citation.json"} </w:instrText>
            </w:r>
            <w:r w:rsidRPr="00275824">
              <w:rPr>
                <w:rFonts w:ascii="Baskerville" w:hAnsi="Baskerville"/>
                <w:sz w:val="20"/>
                <w:szCs w:val="20"/>
              </w:rPr>
              <w:fldChar w:fldCharType="separate"/>
            </w:r>
            <w:r w:rsidRPr="00395BA5">
              <w:rPr>
                <w:rFonts w:ascii="Baskerville" w:hAnsi="Baskerville"/>
                <w:sz w:val="20"/>
                <w:vertAlign w:val="superscript"/>
                <w:lang w:val="en-GB"/>
              </w:rPr>
              <w:t>69,70</w:t>
            </w:r>
            <w:r w:rsidRPr="00275824">
              <w:rPr>
                <w:rFonts w:ascii="Baskerville" w:hAnsi="Baskerville"/>
                <w:sz w:val="20"/>
                <w:szCs w:val="20"/>
              </w:rPr>
              <w:fldChar w:fldCharType="end"/>
            </w:r>
            <w:r w:rsidRPr="00275824">
              <w:rPr>
                <w:rFonts w:ascii="Baskerville" w:hAnsi="Baskerville"/>
                <w:sz w:val="20"/>
                <w:szCs w:val="20"/>
              </w:rPr>
              <w:t xml:space="preserve">. Public approval of the event reduces the divisive effects and is one indicator to what degree the event contributes to people’s needs and expectations. </w:t>
            </w:r>
          </w:p>
        </w:tc>
        <w:tc>
          <w:tcPr>
            <w:tcW w:w="1701" w:type="dxa"/>
            <w:tcBorders>
              <w:top w:val="nil"/>
            </w:tcBorders>
          </w:tcPr>
          <w:p w14:paraId="58346AF1"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Guaranteeing public approval and cohesion by pursuing public policies with public approval</w:t>
            </w:r>
            <w:r w:rsidRPr="00275824">
              <w:rPr>
                <w:rFonts w:ascii="Baskerville" w:hAnsi="Baskerville"/>
                <w:sz w:val="20"/>
                <w:szCs w:val="20"/>
              </w:rPr>
              <w:fldChar w:fldCharType="begin"/>
            </w:r>
            <w:r>
              <w:rPr>
                <w:rFonts w:ascii="Baskerville" w:hAnsi="Baskerville"/>
                <w:sz w:val="20"/>
                <w:szCs w:val="20"/>
              </w:rPr>
              <w:instrText xml:space="preserve"> ADDIN ZOTERO_ITEM CSL_CITATION {"citationID":"bHm90jnI","properties":{"formattedCitation":"\\super 71\\nosupersub{}","plainCitation":"71","noteIndex":0},"citationItems":[{"id":35543,"uris":["http://zotero.org/users/1410191/items/ZN8KCC67"],"uri":["http://zotero.org/users/1410191/items/ZN8KCC67"],"itemData":{"id":35543,"type":"article-journal","abstract":"Sustainable development is a widely used term, which has been increasingly influential on UK planning, housing and urban policy in recent years. Debates about sustainability no longer consider sustainability solely as an environmental concern, but also incorporate economic and social dimensions. However, while a social dimension to sustainability is widely accepted, exactly what this means has not been very clearly defined or agreed. This paper aims to address this disparity through a detailed exploration and definition of the concept of social sustainability within the urban context. The relationship between urban form and social sustainability is explored and two main dimensions of social sustainability are identified and discussed in detail: equitable access and the sustainability of the community itself. Copyright © 2009 John Wiley &amp; Sons, Ltd and ERP Environment.","container-title":"Sustainable Development","DOI":"10.1002/sd.417","ISSN":"1099-1719","issue":"5","language":"en","page":"289-300","source":"Wiley Online Library","title":"The social dimension of sustainable development: Defining urban social sustainability","title-short":"The social dimension of sustainable development","volume":"19","author":[{"family":"Dempsey","given":"Nicola"},{"family":"Bramley","given":"Glen"},{"family":"Power","given":"Sinéad"},{"family":"Brown","given":"Caroline"}],"issued":{"date-parts":[["2011"]]}}}],"schema":"https://github.com/citation-style-language/schema/raw/master/csl-citation.json"} </w:instrText>
            </w:r>
            <w:r w:rsidRPr="00275824">
              <w:rPr>
                <w:rFonts w:ascii="Baskerville" w:hAnsi="Baskerville"/>
                <w:sz w:val="20"/>
                <w:szCs w:val="20"/>
              </w:rPr>
              <w:fldChar w:fldCharType="separate"/>
            </w:r>
            <w:r w:rsidRPr="00395BA5">
              <w:rPr>
                <w:rFonts w:ascii="Baskerville" w:hAnsi="Baskerville"/>
                <w:sz w:val="20"/>
                <w:vertAlign w:val="superscript"/>
                <w:lang w:val="en-GB"/>
              </w:rPr>
              <w:t>71</w:t>
            </w:r>
            <w:r w:rsidRPr="00275824">
              <w:rPr>
                <w:rFonts w:ascii="Baskerville" w:hAnsi="Baskerville"/>
                <w:sz w:val="20"/>
                <w:szCs w:val="20"/>
              </w:rPr>
              <w:fldChar w:fldCharType="end"/>
            </w:r>
            <w:r w:rsidRPr="00275824">
              <w:rPr>
                <w:rFonts w:ascii="Baskerville" w:hAnsi="Baskerville"/>
                <w:sz w:val="20"/>
                <w:szCs w:val="20"/>
              </w:rPr>
              <w:t xml:space="preserve"> </w:t>
            </w:r>
          </w:p>
        </w:tc>
        <w:tc>
          <w:tcPr>
            <w:tcW w:w="4179" w:type="dxa"/>
            <w:tcBorders>
              <w:top w:val="nil"/>
            </w:tcBorders>
          </w:tcPr>
          <w:p w14:paraId="6DF796C2"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100 if ≥ 90%; 80 if ≥ 80%; 60 if ≥ 70%; 40 if ≥ 60%; 20 if ≥ 50%; 0 if &lt; 50%</w:t>
            </w:r>
          </w:p>
        </w:tc>
      </w:tr>
      <w:tr w:rsidR="008F7113" w:rsidRPr="00275824" w14:paraId="55046EC9" w14:textId="77777777" w:rsidTr="003742E4">
        <w:tc>
          <w:tcPr>
            <w:tcW w:w="1211" w:type="dxa"/>
            <w:tcBorders>
              <w:bottom w:val="nil"/>
            </w:tcBorders>
          </w:tcPr>
          <w:p w14:paraId="432FD5AE"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Social safety</w:t>
            </w:r>
          </w:p>
        </w:tc>
        <w:tc>
          <w:tcPr>
            <w:tcW w:w="1339" w:type="dxa"/>
            <w:tcBorders>
              <w:bottom w:val="nil"/>
            </w:tcBorders>
          </w:tcPr>
          <w:p w14:paraId="1D2549C8"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Displacement of population</w:t>
            </w:r>
          </w:p>
        </w:tc>
        <w:tc>
          <w:tcPr>
            <w:tcW w:w="1419" w:type="dxa"/>
            <w:tcBorders>
              <w:bottom w:val="nil"/>
            </w:tcBorders>
          </w:tcPr>
          <w:p w14:paraId="3A8C41C4"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Number of people directly displaced by the preparation for the event</w:t>
            </w:r>
          </w:p>
        </w:tc>
        <w:tc>
          <w:tcPr>
            <w:tcW w:w="1134" w:type="dxa"/>
            <w:tcBorders>
              <w:bottom w:val="nil"/>
            </w:tcBorders>
          </w:tcPr>
          <w:p w14:paraId="31C3DA50"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Medium to High</w:t>
            </w:r>
          </w:p>
        </w:tc>
        <w:tc>
          <w:tcPr>
            <w:tcW w:w="2977" w:type="dxa"/>
            <w:tcBorders>
              <w:bottom w:val="nil"/>
            </w:tcBorders>
          </w:tcPr>
          <w:p w14:paraId="419B0E4C"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Due to the space requirements of the Olympic Games and their often central location in cities, displacement of the population is common</w:t>
            </w:r>
            <w:r w:rsidRPr="00275824">
              <w:rPr>
                <w:rFonts w:ascii="Baskerville" w:hAnsi="Baskerville"/>
                <w:sz w:val="20"/>
                <w:szCs w:val="20"/>
              </w:rPr>
              <w:fldChar w:fldCharType="begin"/>
            </w:r>
            <w:r>
              <w:rPr>
                <w:rFonts w:ascii="Baskerville" w:hAnsi="Baskerville"/>
                <w:sz w:val="20"/>
                <w:szCs w:val="20"/>
              </w:rPr>
              <w:instrText xml:space="preserve"> ADDIN ZOTERO_ITEM CSL_CITATION {"citationID":"7TsP9mAg","properties":{"formattedCitation":"\\super 72,73\\nosupersub{}","plainCitation":"72,73","noteIndex":0},"citationItems":[{"id":13930,"uris":["http://zotero.org/users/1410191/items/RX84ZXA2"],"uri":["http://zotero.org/users/1410191/items/RX84ZXA2"],"itemData":{"id":13930,"type":"article-journal","abstract":"Mass evictions have been increasingly linked to large international events, often called mega-events, around the world. This article looks back at the residential redevelopment in Seoul that surged just prior to the 1988 Olympic Games there to better understand how large events bring about change in cities. When existing documentation of the new housing construction boom and a corresponding large-scale dislocation of urban poor residents via aggressive evictions in the mid-1980s are correlated with data from primary and secondary historical sources, there is incontrovertible evidence of a causal link between event hosting and forced evictions. However, the data goes on to reveal that large-scale clearance, evictions and demolitions occurred in Seoul over an extended period before the Olympics as well as long afterwards, which suggests that the Olympics was in fact part of a broader process and practice of urban transformation in Seoul. Without discounting the effect of event hosting in this case, this raises the question of what motivates both event hosting and residential redevelopment, and whether the event offers an opportunity to refine and further institutionalize certain practices. The article proposes taking a longer historical view of the practice of clearance, evictions and demolitions in order to foresee the dynamics of event hosting in a specific city and to inform event-related planning.","container-title":"International Journal of Urban and Regional Research","DOI":"10.1111/j.1468-2427.2010.00970.x","ISSN":"0309-1317","issue":"3","journalAbbreviation":"Int. J. Urban Reg. Res.","language":"English","note":"WOS:000289474200005","page":"582-599","source":"ISI Web of Knowledge","title":"International Events and Mass Evictions: A Longer View","title-short":"International Events and Mass Evictions","volume":"35","author":[{"family":"Davis","given":"Lisa Kim"}],"issued":{"date-parts":[["2011",5]]}}},{"id":5246,"uris":["http://zotero.org/users/1410191/items/35T2GKMW"],"uri":["http://zotero.org/users/1410191/items/35T2GKMW"],"itemData":{"id":5246,"type":"article-journal","container-title":"Journal of Asian Public Policy","note":"2","page":"122-141","title":"Life in the shadow of mega-events: Beijing Summer Olympiad and its impact on housing","title-short":"Life in the shadow of mega-events: Beijing Summer Olympiad and its impact on housing","volume":"2","author":[{"family":"Shin","given":"Hyun Bang"}],"issued":{"date-parts":[["2009"]]}}}],"schema":"https://github.com/citation-style-language/schema/raw/master/csl-citation.json"} </w:instrText>
            </w:r>
            <w:r w:rsidRPr="00275824">
              <w:rPr>
                <w:rFonts w:ascii="Baskerville" w:hAnsi="Baskerville"/>
                <w:sz w:val="20"/>
                <w:szCs w:val="20"/>
              </w:rPr>
              <w:fldChar w:fldCharType="separate"/>
            </w:r>
            <w:r w:rsidRPr="00395BA5">
              <w:rPr>
                <w:rFonts w:ascii="Baskerville" w:hAnsi="Baskerville"/>
                <w:sz w:val="20"/>
                <w:vertAlign w:val="superscript"/>
                <w:lang w:val="en-GB"/>
              </w:rPr>
              <w:t>72,73</w:t>
            </w:r>
            <w:r w:rsidRPr="00275824">
              <w:rPr>
                <w:rFonts w:ascii="Baskerville" w:hAnsi="Baskerville"/>
                <w:sz w:val="20"/>
                <w:szCs w:val="20"/>
              </w:rPr>
              <w:fldChar w:fldCharType="end"/>
            </w:r>
            <w:r w:rsidRPr="00275824">
              <w:rPr>
                <w:rFonts w:ascii="Baskerville" w:hAnsi="Baskerville"/>
                <w:sz w:val="20"/>
                <w:szCs w:val="20"/>
              </w:rPr>
              <w:t xml:space="preserve">. Uprooting people from their place of residence is a major disruption in their lives and puts an exceptional burden on a few, often poor, people to host an event for many, negatively impacting social equity. </w:t>
            </w:r>
          </w:p>
        </w:tc>
        <w:tc>
          <w:tcPr>
            <w:tcW w:w="1701" w:type="dxa"/>
            <w:tcBorders>
              <w:bottom w:val="nil"/>
            </w:tcBorders>
          </w:tcPr>
          <w:p w14:paraId="74804E47"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Social safety and right to safe shelter as basic elements of social sustainability</w:t>
            </w:r>
            <w:r w:rsidRPr="00275824">
              <w:rPr>
                <w:rFonts w:ascii="Baskerville" w:hAnsi="Baskerville"/>
                <w:sz w:val="20"/>
                <w:szCs w:val="20"/>
              </w:rPr>
              <w:fldChar w:fldCharType="begin"/>
            </w:r>
            <w:r>
              <w:rPr>
                <w:rFonts w:ascii="Baskerville" w:hAnsi="Baskerville"/>
                <w:sz w:val="20"/>
                <w:szCs w:val="20"/>
              </w:rPr>
              <w:instrText xml:space="preserve"> ADDIN ZOTERO_ITEM CSL_CITATION {"citationID":"fHP6lILY","properties":{"formattedCitation":"\\super 71\\nosupersub{}","plainCitation":"71","noteIndex":0},"citationItems":[{"id":35543,"uris":["http://zotero.org/users/1410191/items/ZN8KCC67"],"uri":["http://zotero.org/users/1410191/items/ZN8KCC67"],"itemData":{"id":35543,"type":"article-journal","abstract":"Sustainable development is a widely used term, which has been increasingly influential on UK planning, housing and urban policy in recent years. Debates about sustainability no longer consider sustainability solely as an environmental concern, but also incorporate economic and social dimensions. However, while a social dimension to sustainability is widely accepted, exactly what this means has not been very clearly defined or agreed. This paper aims to address this disparity through a detailed exploration and definition of the concept of social sustainability within the urban context. The relationship between urban form and social sustainability is explored and two main dimensions of social sustainability are identified and discussed in detail: equitable access and the sustainability of the community itself. Copyright © 2009 John Wiley &amp; Sons, Ltd and ERP Environment.","container-title":"Sustainable Development","DOI":"10.1002/sd.417","ISSN":"1099-1719","issue":"5","language":"en","page":"289-300","source":"Wiley Online Library","title":"The social dimension of sustainable development: Defining urban social sustainability","title-short":"The social dimension of sustainable development","volume":"19","author":[{"family":"Dempsey","given":"Nicola"},{"family":"Bramley","given":"Glen"},{"family":"Power","given":"Sinéad"},{"family":"Brown","given":"Caroline"}],"issued":{"date-parts":[["2011"]]}}}],"schema":"https://github.com/citation-style-language/schema/raw/master/csl-citation.json"} </w:instrText>
            </w:r>
            <w:r w:rsidRPr="00275824">
              <w:rPr>
                <w:rFonts w:ascii="Baskerville" w:hAnsi="Baskerville"/>
                <w:sz w:val="20"/>
                <w:szCs w:val="20"/>
              </w:rPr>
              <w:fldChar w:fldCharType="separate"/>
            </w:r>
            <w:r w:rsidRPr="00395BA5">
              <w:rPr>
                <w:rFonts w:ascii="Baskerville" w:hAnsi="Baskerville"/>
                <w:sz w:val="20"/>
                <w:vertAlign w:val="superscript"/>
                <w:lang w:val="en-GB"/>
              </w:rPr>
              <w:t>71</w:t>
            </w:r>
            <w:r w:rsidRPr="00275824">
              <w:rPr>
                <w:rFonts w:ascii="Baskerville" w:hAnsi="Baskerville"/>
                <w:sz w:val="20"/>
                <w:szCs w:val="20"/>
              </w:rPr>
              <w:fldChar w:fldCharType="end"/>
            </w:r>
          </w:p>
        </w:tc>
        <w:tc>
          <w:tcPr>
            <w:tcW w:w="4179" w:type="dxa"/>
            <w:tcBorders>
              <w:bottom w:val="nil"/>
            </w:tcBorders>
          </w:tcPr>
          <w:p w14:paraId="7947DD5F"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100 if no displacement or relocation; 80 if temporary displacement (often homeless people during the Games); 60 if permanent displacement of less than 100; 40 if permanent displacement of more than 100 but less than 500 people; 20 if permanent displacement of more than 500 but less than 1000 people; 0 if permanent displacement of more than 1,000 people</w:t>
            </w:r>
          </w:p>
        </w:tc>
      </w:tr>
      <w:tr w:rsidR="008F7113" w:rsidRPr="00275824" w14:paraId="0EFA1AAD" w14:textId="77777777" w:rsidTr="003742E4">
        <w:tc>
          <w:tcPr>
            <w:tcW w:w="1211" w:type="dxa"/>
            <w:tcBorders>
              <w:top w:val="nil"/>
              <w:bottom w:val="single" w:sz="4" w:space="0" w:color="auto"/>
            </w:tcBorders>
          </w:tcPr>
          <w:p w14:paraId="261AF6CE"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Rule of law</w:t>
            </w:r>
          </w:p>
        </w:tc>
        <w:tc>
          <w:tcPr>
            <w:tcW w:w="1339" w:type="dxa"/>
            <w:tcBorders>
              <w:top w:val="nil"/>
              <w:bottom w:val="single" w:sz="4" w:space="0" w:color="auto"/>
            </w:tcBorders>
          </w:tcPr>
          <w:p w14:paraId="737AF1E2"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 xml:space="preserve">Modification of legislation due to the event </w:t>
            </w:r>
          </w:p>
        </w:tc>
        <w:tc>
          <w:tcPr>
            <w:tcW w:w="1419" w:type="dxa"/>
            <w:tcBorders>
              <w:top w:val="nil"/>
              <w:bottom w:val="single" w:sz="4" w:space="0" w:color="auto"/>
            </w:tcBorders>
          </w:tcPr>
          <w:p w14:paraId="4E9E5C05"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Extent and severity of changes in the legislation due to the event</w:t>
            </w:r>
          </w:p>
        </w:tc>
        <w:tc>
          <w:tcPr>
            <w:tcW w:w="1134" w:type="dxa"/>
            <w:tcBorders>
              <w:top w:val="nil"/>
              <w:bottom w:val="single" w:sz="4" w:space="0" w:color="auto"/>
            </w:tcBorders>
          </w:tcPr>
          <w:p w14:paraId="2C3CFB77"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High</w:t>
            </w:r>
          </w:p>
        </w:tc>
        <w:tc>
          <w:tcPr>
            <w:tcW w:w="2977" w:type="dxa"/>
            <w:tcBorders>
              <w:top w:val="nil"/>
              <w:bottom w:val="single" w:sz="4" w:space="0" w:color="auto"/>
            </w:tcBorders>
          </w:tcPr>
          <w:p w14:paraId="3A87E14B"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Mega-events can be used for introducing new legislation with both positive and negative effects. In most cases, this facilitates expropriation, extraordinary police power, tax exemptions, restrictions on associations, exceptional zones that limit free speech or free assembly, and others. These constitute exceptions to the rule of law that can infringe or curtail people’s rights, such as freedom of expression and freedom of movement</w:t>
            </w:r>
            <w:r w:rsidRPr="00275824">
              <w:rPr>
                <w:rFonts w:ascii="Baskerville" w:hAnsi="Baskerville"/>
                <w:sz w:val="20"/>
                <w:szCs w:val="20"/>
              </w:rPr>
              <w:fldChar w:fldCharType="begin"/>
            </w:r>
            <w:r>
              <w:rPr>
                <w:rFonts w:ascii="Baskerville" w:hAnsi="Baskerville"/>
                <w:sz w:val="20"/>
                <w:szCs w:val="20"/>
              </w:rPr>
              <w:instrText xml:space="preserve"> ADDIN ZOTERO_ITEM CSL_CITATION {"citationID":"4dDRwdlg","properties":{"formattedCitation":"\\super 74\\uc0\\u8211{}76\\nosupersub{}","plainCitation":"74–76","noteIndex":0},"citationItems":[{"id":36370,"uris":["http://zotero.org/users/1410191/items/4RTWWVQB"],"uri":["http://zotero.org/users/1410191/items/4RTWWVQB"],"itemData":{"id":36370,"type":"article-journal","abstract":"When compulsory purchase for urban regeneration is combined with a sporting mega-event, we have an archetypal example of what Giorgio Agamben called the “state of exception”. Through a study of compulsory purchase orders (CPOs) on the site of the Athletes' Village for Glasgow's 2014 Commonwealth Games, we expose CPOs as a classed tool mobilised to violently displace working class neighbourhoods. In doing so, we show how a fictionalised mantra of “necessity” combines neoliberal growth logics with their obscene underside—a stigmatisation logic that demonises poor urban neighbourhoods. CPOs can be used progressively, for example to abrogate the power of slum landlords for social democratic ends, yet with the increasing urbanisation of capital they more often target marginalised neighbourhoods in the pursuit of land and property valorisation. The growing use of CPOs as an exceptional measure in urbanisation, we argue, requires urgent attention in urban political struggles and policy practice.","container-title":"Antipode","DOI":"10.1111/anti.12114","ISSN":"1467-8330","issue":"2","language":"en","note":"_eprint: https://onlinelibrary.wiley.com/doi/pdf/10.1111/anti.12114","page":"380-400","source":"Wiley Online Library","title":"By Any Means Necessary: Urban Regeneration and the “State of Exception” in Glasgow's Commonwealth Games 2014","title-short":"By Any Means Necessary","volume":"47","author":[{"family":"Gray","given":"Neil"},{"family":"Porter","given":"Libby"}],"issued":{"date-parts":[["2015"]]}}},{"id":34037,"uris":["http://zotero.org/groups/974043/items/PN2DRS94"],"uri":["http://zotero.org/groups/974043/items/PN2DRS94"],"itemData":{"id":34037,"type":"article-journal","container-title":"International Journal of Urban and Regional Research","DOI":"10.1111/1468-2427.12338","ISSN":"03091317","issue":"3","language":"en","page":"621-639","source":"Crossref","title":"'Post-Third-World City' or Neoliberal ‘City of Exception'? Rio de Janeiro in the Olympic Era","title-short":"‘Post-Third-World City' or Neoliberal ‘City of Exception'?","volume":"40","author":[{"family":"Richmond","given":"Matthew Aaron"},{"family":"Garmany","given":"Jeff"}],"issued":{"date-parts":[["2016",5]]}}},{"id":36374,"uris":["http://zotero.org/users/1410191/items/752VG6IY"],"uri":["http://zotero.org/users/1410191/items/752VG6IY"],"itemData":{"id":36374,"type":"article-journal","abstract":"Since 2016 Baku, Azerbaijan has become the newest addition to the Formula 1 Championship. Organized in the downtown Baku, the F1 European Grand Prix has brought transformations in physical and regulatory terms by imposing temporary rules and restrictions to host this motorsport event. The result was a disruption to the local population's daily practices in the areas directly impacted by the race, as access to such areas were only made available to F1-related visitors and staff, and beyond for weeks leading up to the event. Through on-site observations and in-depth interviews in Baku, this paper explores the role mega-events, such as the F1 race, play in transforming cities and examines it's temporary and longer-term legacies. Theoretically, these processes are analyzed through Giorgio Agamben's concept of the state of exception, which theorizes the abandonment of the rule of law and introduction of an exceptional legal regime in the name of public good. The paper argues that mega-events produce spaces of exception in its host cities by declaring temporary regulations that are tailored towards the needs of the events rights holders and their commercial partners, along with national elites, normalizing the exceptional procedures and compromising the daily activities of locals in the spaces appropriated for the event.","container-title":"Cities","DOI":"10.1016/j.cities.2017.11.018","ISSN":"0264-2751","journalAbbreviation":"Cities","language":"en","page":"169-178","source":"ScienceDirect","title":"Baku formula 1 city circuit: exploring the temporary spaces of exception","title-short":"Baku formula 1 city circuit","volume":"74","author":[{"family":"Gogishvili","given":"David"}],"issued":{"date-parts":[["2018",4,1]]}}}],"schema":"https://github.com/citation-style-language/schema/raw/master/csl-citation.json"} </w:instrText>
            </w:r>
            <w:r w:rsidRPr="00275824">
              <w:rPr>
                <w:rFonts w:ascii="Baskerville" w:hAnsi="Baskerville"/>
                <w:sz w:val="20"/>
                <w:szCs w:val="20"/>
              </w:rPr>
              <w:fldChar w:fldCharType="separate"/>
            </w:r>
            <w:r w:rsidRPr="00395BA5">
              <w:rPr>
                <w:rFonts w:ascii="Baskerville" w:hAnsi="Baskerville"/>
                <w:sz w:val="20"/>
                <w:vertAlign w:val="superscript"/>
                <w:lang w:val="en-GB"/>
              </w:rPr>
              <w:t>74–76</w:t>
            </w:r>
            <w:r w:rsidRPr="00275824">
              <w:rPr>
                <w:rFonts w:ascii="Baskerville" w:hAnsi="Baskerville"/>
                <w:sz w:val="20"/>
                <w:szCs w:val="20"/>
              </w:rPr>
              <w:fldChar w:fldCharType="end"/>
            </w:r>
            <w:r w:rsidRPr="00275824">
              <w:rPr>
                <w:rFonts w:ascii="Baskerville" w:hAnsi="Baskerville"/>
                <w:sz w:val="20"/>
                <w:szCs w:val="20"/>
              </w:rPr>
              <w:t xml:space="preserve">. </w:t>
            </w:r>
          </w:p>
        </w:tc>
        <w:tc>
          <w:tcPr>
            <w:tcW w:w="1701" w:type="dxa"/>
            <w:tcBorders>
              <w:top w:val="nil"/>
              <w:bottom w:val="single" w:sz="4" w:space="0" w:color="auto"/>
            </w:tcBorders>
          </w:tcPr>
          <w:p w14:paraId="09DAC4A7"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Rule of law as basic component of social justice and strong institutions (SDG 16)</w:t>
            </w:r>
          </w:p>
        </w:tc>
        <w:tc>
          <w:tcPr>
            <w:tcW w:w="4179" w:type="dxa"/>
            <w:tcBorders>
              <w:top w:val="nil"/>
              <w:bottom w:val="single" w:sz="4" w:space="0" w:color="auto"/>
            </w:tcBorders>
          </w:tcPr>
          <w:p w14:paraId="28B6FC4F"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 xml:space="preserve">100 if positive change, no change or inconsequential changes that do not benefit event owner; 80 if minor, event-related changes that do not infringe human rights but benefit event owner (e.g. tax exemptions, immigration facilitation); 60 if one minor, event-related change that also infringes human rights (e.g. limiting free speech in a circumscribed way); 40 if several minor, event-related changes that also infringe human rights; 20 if one major change in at least one legal code that infringes significantly human rights (e.g. facilitation of expropriation); 0 if several major changes in multiple legal codes that infringe significantly human rights </w:t>
            </w:r>
          </w:p>
        </w:tc>
      </w:tr>
      <w:tr w:rsidR="008F7113" w:rsidRPr="00275824" w14:paraId="2B5C9EA6" w14:textId="77777777" w:rsidTr="003742E4">
        <w:tc>
          <w:tcPr>
            <w:tcW w:w="9781" w:type="dxa"/>
            <w:gridSpan w:val="6"/>
            <w:tcBorders>
              <w:top w:val="single" w:sz="4" w:space="0" w:color="auto"/>
              <w:bottom w:val="nil"/>
            </w:tcBorders>
          </w:tcPr>
          <w:p w14:paraId="2BDE0643" w14:textId="77777777" w:rsidR="008F7113" w:rsidRPr="00275824" w:rsidRDefault="008F7113" w:rsidP="003742E4">
            <w:pPr>
              <w:spacing w:after="240"/>
              <w:rPr>
                <w:rFonts w:ascii="Baskerville" w:hAnsi="Baskerville"/>
                <w:b/>
                <w:sz w:val="20"/>
                <w:szCs w:val="20"/>
              </w:rPr>
            </w:pPr>
            <w:r w:rsidRPr="00275824">
              <w:rPr>
                <w:rFonts w:ascii="Baskerville" w:hAnsi="Baskerville"/>
                <w:b/>
                <w:sz w:val="20"/>
                <w:szCs w:val="20"/>
              </w:rPr>
              <w:lastRenderedPageBreak/>
              <w:t>Economic Dimension</w:t>
            </w:r>
          </w:p>
        </w:tc>
        <w:tc>
          <w:tcPr>
            <w:tcW w:w="4179" w:type="dxa"/>
            <w:tcBorders>
              <w:top w:val="single" w:sz="4" w:space="0" w:color="auto"/>
              <w:bottom w:val="nil"/>
            </w:tcBorders>
          </w:tcPr>
          <w:p w14:paraId="7FA300A4" w14:textId="77777777" w:rsidR="008F7113" w:rsidRPr="00275824" w:rsidRDefault="008F7113" w:rsidP="003742E4">
            <w:pPr>
              <w:spacing w:after="240"/>
              <w:rPr>
                <w:rFonts w:ascii="Baskerville" w:hAnsi="Baskerville"/>
                <w:b/>
                <w:sz w:val="20"/>
                <w:szCs w:val="20"/>
              </w:rPr>
            </w:pPr>
          </w:p>
        </w:tc>
      </w:tr>
      <w:tr w:rsidR="008F7113" w:rsidRPr="00275824" w14:paraId="351A9DF7" w14:textId="77777777" w:rsidTr="003742E4">
        <w:tc>
          <w:tcPr>
            <w:tcW w:w="1211" w:type="dxa"/>
            <w:tcBorders>
              <w:top w:val="nil"/>
            </w:tcBorders>
          </w:tcPr>
          <w:p w14:paraId="1B3EFE94"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Budget balance</w:t>
            </w:r>
          </w:p>
        </w:tc>
        <w:tc>
          <w:tcPr>
            <w:tcW w:w="1339" w:type="dxa"/>
            <w:tcBorders>
              <w:top w:val="nil"/>
            </w:tcBorders>
          </w:tcPr>
          <w:p w14:paraId="5AB9370D"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Cost overrun of event</w:t>
            </w:r>
          </w:p>
        </w:tc>
        <w:tc>
          <w:tcPr>
            <w:tcW w:w="1419" w:type="dxa"/>
            <w:tcBorders>
              <w:top w:val="nil"/>
            </w:tcBorders>
          </w:tcPr>
          <w:p w14:paraId="0E81CBE9"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Cost overrun of sports-related costs</w:t>
            </w:r>
          </w:p>
        </w:tc>
        <w:tc>
          <w:tcPr>
            <w:tcW w:w="1134" w:type="dxa"/>
            <w:tcBorders>
              <w:top w:val="nil"/>
            </w:tcBorders>
          </w:tcPr>
          <w:p w14:paraId="2478697C"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High</w:t>
            </w:r>
          </w:p>
        </w:tc>
        <w:tc>
          <w:tcPr>
            <w:tcW w:w="2977" w:type="dxa"/>
            <w:tcBorders>
              <w:top w:val="nil"/>
            </w:tcBorders>
          </w:tcPr>
          <w:p w14:paraId="3A738A98"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Cost overruns are a recurrent phenomenon in the Olympic Games and reduce the funding available for other projects</w:t>
            </w:r>
            <w:r w:rsidRPr="00275824">
              <w:rPr>
                <w:rFonts w:ascii="Baskerville" w:hAnsi="Baskerville"/>
                <w:sz w:val="20"/>
                <w:szCs w:val="20"/>
              </w:rPr>
              <w:fldChar w:fldCharType="begin"/>
            </w:r>
            <w:r w:rsidRPr="00275824">
              <w:rPr>
                <w:rFonts w:ascii="Baskerville" w:hAnsi="Baskerville"/>
                <w:sz w:val="20"/>
                <w:szCs w:val="20"/>
              </w:rPr>
              <w:instrText xml:space="preserve"> ADDIN ZOTERO_ITEM CSL_CITATION {"citationID":"3PQBxBZT","properties":{"formattedCitation":"\\super 4\\nosupersub{}","plainCitation":"4","noteIndex":0},"citationItems":[{"id":38833,"uris":["http://zotero.org/users/1410191/items/ANIUX2VI"],"uri":["http://zotero.org/users/1410191/items/ANIUX2VI"],"itemData":{"id":38833,"type":"article-journal","abstract":"The Olympic Games are the largest, highest-profile, and most expensive megaevent hosted by cities and nations. Average sports-related costs of hosting are $12.0 billion. Non-sports-related costs are typically several times that. Every Olympics since 1960 has run over budget, at an average of 172 percent in real terms, the highest overrun on record for any type of megaproject. The paper tests theoretical statistical distributions against empirical data for the costs of the Games, in order to explain the cost risks faced by host cities and nations. It is documented, for the first time, that cost and cost overrun for the Games follow a power-law distribution. Olympic costs are subject to infinite mean and variance, with dire consequences for predictability and planning. We name this phenomenon \"regression to the tail\": it is only a matter of time until a new extreme event occurs, with an overrun larger than the largest so far, and thus more disruptive and less plannable. The generative mechanism for the Olympic power law is identified as strong convexity prompted by six causal drivers: irreversibility, fixed deadlines, the Blank Check Syndrome, tight coupling, long planning horizons, and an Eternal Beginner Syndrome. The power law explains why the Games are so difficult to plan and manage successfully, and why cities and nations should think twice before hosting. Based on the power law, two heuristics are identified for better decision making on hosting. Finally, the paper develops measures for good practice in planning and managing the Games, including how to mitigate the extreme risks of the Olympic power law.","container-title":"Environment and Planning A: Economy and Space","DOI":"10.1177/0308518X20958724","ISSN":"0308-518X","journalAbbreviation":"Environ Plan A","language":"en","note":"publisher: SAGE Publications Ltd","page":"0308518X20958724","source":"SAGE Journals","title":"Regression to the tail: Why the Olympics blow up","title-short":"Regression to the tail","author":[{"family":"Flyvbjerg","given":"Bent"},{"family":"Budzier","given":"Alexander"},{"family":"Lunn","given":"Daniel"}],"issued":{"date-parts":[["2020",9,15]]}}}],"schema":"https://github.com/citation-style-language/schema/raw/master/csl-citation.json"} </w:instrText>
            </w:r>
            <w:r w:rsidRPr="00275824">
              <w:rPr>
                <w:rFonts w:ascii="Baskerville" w:hAnsi="Baskerville"/>
                <w:sz w:val="20"/>
                <w:szCs w:val="20"/>
              </w:rPr>
              <w:fldChar w:fldCharType="separate"/>
            </w:r>
            <w:r w:rsidRPr="00275824">
              <w:rPr>
                <w:rFonts w:ascii="Baskerville" w:hAnsi="Baskerville"/>
                <w:sz w:val="20"/>
                <w:vertAlign w:val="superscript"/>
                <w:lang w:val="en-GB"/>
              </w:rPr>
              <w:t>4</w:t>
            </w:r>
            <w:r w:rsidRPr="00275824">
              <w:rPr>
                <w:rFonts w:ascii="Baskerville" w:hAnsi="Baskerville"/>
                <w:sz w:val="20"/>
                <w:szCs w:val="20"/>
              </w:rPr>
              <w:fldChar w:fldCharType="end"/>
            </w:r>
            <w:r w:rsidRPr="00275824">
              <w:rPr>
                <w:rFonts w:ascii="Baskerville" w:hAnsi="Baskerville"/>
                <w:sz w:val="20"/>
                <w:szCs w:val="20"/>
              </w:rPr>
              <w:t>. They unexpectedly alter the anticipated cost-benefit ratio, leading to misallocation of funding.</w:t>
            </w:r>
          </w:p>
        </w:tc>
        <w:tc>
          <w:tcPr>
            <w:tcW w:w="1701" w:type="dxa"/>
            <w:tcBorders>
              <w:top w:val="nil"/>
            </w:tcBorders>
          </w:tcPr>
          <w:p w14:paraId="7D98CD2B"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Efficient allocation as key principle of a sustainable economy</w:t>
            </w:r>
            <w:r w:rsidRPr="00275824">
              <w:rPr>
                <w:rFonts w:ascii="Baskerville" w:hAnsi="Baskerville"/>
                <w:sz w:val="20"/>
                <w:szCs w:val="20"/>
              </w:rPr>
              <w:fldChar w:fldCharType="begin"/>
            </w:r>
            <w:r>
              <w:rPr>
                <w:rFonts w:ascii="Baskerville" w:hAnsi="Baskerville"/>
                <w:sz w:val="20"/>
                <w:szCs w:val="20"/>
              </w:rPr>
              <w:instrText xml:space="preserve"> ADDIN ZOTERO_ITEM CSL_CITATION {"citationID":"oRm9OQhT","properties":{"formattedCitation":"\\super 77\\nosupersub{}","plainCitation":"77","noteIndex":0},"citationItems":[{"id":35537,"uris":["http://zotero.org/users/1410191/items/JZJHLRBS"],"uri":["http://zotero.org/users/1410191/items/JZJHLRBS"],"itemData":{"id":35537,"type":"article-journal","abstract":"The practical policy of issuing tradeable permits for depletion and pollution requires for its implementation the clear separation of the three basic economic goals of efficient allocation, equitable distribution, and sustainable scale. Economic theory needs to catch up with policy in recognizing that scale issues cannot be reduced to either allocation or distribution.","container-title":"Ecological Economics","DOI":"10.1016/0921-8009(92)90024-M","ISSN":"0921-8009","issue":"3","journalAbbreviation":"Ecological Economics","language":"en","page":"185-193","source":"ScienceDirect","title":"Allocation, distribution, and scale: towards an economics that is efficient, just, and sustainable","title-short":"Allocation, distribution, and scale","volume":"6","author":[{"family":"Daly","given":"Herman E."}],"issued":{"date-parts":[["1992",12,1]]}}}],"schema":"https://github.com/citation-style-language/schema/raw/master/csl-citation.json"} </w:instrText>
            </w:r>
            <w:r w:rsidRPr="00275824">
              <w:rPr>
                <w:rFonts w:ascii="Baskerville" w:hAnsi="Baskerville"/>
                <w:sz w:val="20"/>
                <w:szCs w:val="20"/>
              </w:rPr>
              <w:fldChar w:fldCharType="separate"/>
            </w:r>
            <w:r w:rsidRPr="00395BA5">
              <w:rPr>
                <w:rFonts w:ascii="Baskerville" w:hAnsi="Baskerville"/>
                <w:sz w:val="20"/>
                <w:vertAlign w:val="superscript"/>
                <w:lang w:val="en-GB"/>
              </w:rPr>
              <w:t>77</w:t>
            </w:r>
            <w:r w:rsidRPr="00275824">
              <w:rPr>
                <w:rFonts w:ascii="Baskerville" w:hAnsi="Baskerville"/>
                <w:sz w:val="20"/>
                <w:szCs w:val="20"/>
              </w:rPr>
              <w:fldChar w:fldCharType="end"/>
            </w:r>
          </w:p>
        </w:tc>
        <w:tc>
          <w:tcPr>
            <w:tcW w:w="4179" w:type="dxa"/>
            <w:tcBorders>
              <w:top w:val="nil"/>
            </w:tcBorders>
          </w:tcPr>
          <w:p w14:paraId="6A03F6A9"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100 if ≤ 10%; 80 if ≤ 20%; 60 if ≤ 40%; 40 if ≤ 60%, 20 if ≤ 80%, 0 if &gt; 80%</w:t>
            </w:r>
          </w:p>
        </w:tc>
      </w:tr>
      <w:tr w:rsidR="008F7113" w:rsidRPr="00275824" w14:paraId="2FCB5E9E" w14:textId="77777777" w:rsidTr="003742E4">
        <w:tc>
          <w:tcPr>
            <w:tcW w:w="1211" w:type="dxa"/>
          </w:tcPr>
          <w:p w14:paraId="592AEE23"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Financial exposure</w:t>
            </w:r>
          </w:p>
        </w:tc>
        <w:tc>
          <w:tcPr>
            <w:tcW w:w="1339" w:type="dxa"/>
          </w:tcPr>
          <w:p w14:paraId="5EFE93A6"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Public share of funding</w:t>
            </w:r>
          </w:p>
        </w:tc>
        <w:tc>
          <w:tcPr>
            <w:tcW w:w="1419" w:type="dxa"/>
          </w:tcPr>
          <w:p w14:paraId="67732676"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Share of funding of sports-related costs coming from various levels of government</w:t>
            </w:r>
          </w:p>
        </w:tc>
        <w:tc>
          <w:tcPr>
            <w:tcW w:w="1134" w:type="dxa"/>
          </w:tcPr>
          <w:p w14:paraId="479770EE"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High</w:t>
            </w:r>
          </w:p>
        </w:tc>
        <w:tc>
          <w:tcPr>
            <w:tcW w:w="2977" w:type="dxa"/>
          </w:tcPr>
          <w:p w14:paraId="17D4422A"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A high public share of funding indicates, ceteris paribus, high potential opportunity costs, as money spent on the Olympics cannot be spent on other activities with potentially higher sustainability. It further imposes long-time financial burdens on host cities and nations, which negatively impact cities’ and countries’ future capacity to invest</w:t>
            </w:r>
            <w:r w:rsidRPr="00275824">
              <w:rPr>
                <w:rFonts w:ascii="Baskerville" w:hAnsi="Baskerville"/>
                <w:sz w:val="20"/>
                <w:szCs w:val="20"/>
              </w:rPr>
              <w:fldChar w:fldCharType="begin"/>
            </w:r>
            <w:r>
              <w:rPr>
                <w:rFonts w:ascii="Baskerville" w:hAnsi="Baskerville"/>
                <w:sz w:val="20"/>
                <w:szCs w:val="20"/>
              </w:rPr>
              <w:instrText xml:space="preserve"> ADDIN ZOTERO_ITEM CSL_CITATION {"citationID":"RHQCbSMT","properties":{"formattedCitation":"\\super 5,39,78\\nosupersub{}","plainCitation":"5,39,78","noteIndex":0},"citationItems":[{"id":16518,"uris":["http://zotero.org/users/1410191/items/3XJJ52PW"],"uri":["http://zotero.org/users/1410191/items/3XJJ52PW"],"itemData":{"id":16518,"type":"article-journal","abstract":"Problem, research strategy, and findings: Mega-events such as the Olympic Games and the Football World Cup have become complex and transformative undertakings over the last 30 years, with costs often exceeding USD $10 billion. These events are currently planned and governed in ways that produce adverse effects for cities, regions, and residents. This study identifies a mega-event syndrome, a group of symptoms that occur together and afflict mega-event planning, including overpromising benefits, underestimating costs, rewriting urban planning priorities to fit the event, using public resources for private interest, and suspending the regular rule of law. I describe each of these symptoms, providing empirical examples from different countries and mega-events, examining the underlying causes. The research is based on material from field visits to mega-event sites in 11 countries as well as 51 interviews with planners, managers, politicians, and consultants involved in mega-event planning.Takeaway for practice: To curb the mega-event syndrome, I propose both radical and incremental policy suggestions. The most crucial radical change that an event host could make is to not tie mega-events to large-scale urban development, avoiding higher risks that create cost overruns, substandard construction quality, and oversized infrastructure not suitable for post-event demands. Further, event hosts should bargain with event-governing bodies for better conditions, earmark and cap public sector contributions, and seek independent advice on the costs and benefits of mega-events. Event-governing bodies, for their part, should reduce the size and requirements of the events.","container-title":"Journal of the American Planning Association","DOI":"10.1080/01944363.2015.1038292","ISSN":"0194-4363","issue":"1","page":"6-17","source":"Taylor and Francis+NEJM","title":"The mega-event syndrome: why so much goes wrong in mega-event planning and what to do about it","title-short":"The Mega-Event Syndrome","volume":"81","author":[{"family":"Müller","given":"Martin"}],"issued":{"date-parts":[["2015",5,11]]}}},{"id":35119,"uris":["http://zotero.org/users/1410191/items/KPPX57V3"],"uri":["http://zotero.org/users/1410191/items/KPPX57V3"],"itemData":{"id":35119,"type":"article-journal","abstract":"This paper describes the preparation works related to Athens 2004 Olympics, analyses the controversial issue of the Games' financing using new evidence, presents the benefits and losses for the Greek society by undertaking an international project which proved to be far bigger than it could afford, and scrutinises the post-Olympic use of the remaining Olympic facilities under the new circumstances of the financial crisis. The Olympics with their special cultural symbolism and identification for Greece provided an effective vehicle to boost a wide range of infrastructure modernisation long needed for the city of Athens. Intangible assets deriving from the endeavour to set up such a project in and by a small and not so wealthy country are discussed, stressing on the importance of a ‘can-do spirit’, a benefit for the consequent period of austerity and uncertainty.","container-title":"Contemporary Social Science","DOI":"10.1080/21582041.2013.838297","ISSN":"2158-2041","issue":"2","page":"173-195","source":"Taylor and Francis+NEJM","title":"The legacies of the Athens 2004 Olympic Games: a bitter–sweet burden","title-short":"The legacies of the Athens 2004 Olympic Games","volume":"9","author":[{"family":"Panagiotopoulou","given":"Roy"}],"issued":{"date-parts":[["2014",4,3]]}}},{"id":17963,"uris":["http://zotero.org/users/1410191/items/Z252BIF9"],"uri":["http://zotero.org/users/1410191/items/Z252BIF9"],"itemData":{"id":17963,"type":"article-journal","abstract":"The rhetoric employed when cities bid for the right to host mega-events like the Olympic Games suggests that benefits will include improved infrastructure, investment in city infrastructure, and regeneration of neglected urban areas. However, the legacy of mega-events has historically been mixed; while some cities have been recognized for their development efforts, many others have been vilified for their subsequent actions, or lack thereof. The term legacy itself is, however, problematic; it presents a one-sided view of positive effects, without adequate consideration of downside risk in bidding. This research draws on interviews from people involved in six different mega-events and illustrates the challenges of addressing legacy with a variety of examples, including a detailed look at the London 2012 Olympic Games’ legacy negotiations regarding the use of the Olympic Stadium to gain insight into how legacy opportunities are developed. Drawing on the concept of uncomfortable knowledge, the dispute over the legacy use of the Olympic Stadium is used to examine the mixed perspectives of the different parties involved in decisions over mega-event legacies. We conclude by suggesting that unacknowledged interests, which remain constructively ambiguous during the bidding phase, create the opportunity for uncomfortable knowledge to arise in the planning process. The use of uncomfortable knowledge as a theoretical lens provides a useful construct to focus on the boundaries and limitations of knowledge in planning mega-events.","container-title":"Planning Perspectives","DOI":"10.1080/02665433.2015.1043933","ISSN":"0266-5433","issue":"2","page":"157-179","source":"Taylor and Francis+NEJM","title":"Planning mega-event legacies: uncomfortable knowledge for host cities","title-short":"Planning mega-event legacies","volume":"31","author":[{"family":"Stewart","given":"Allison"},{"family":"Rayner","given":"Steve"}],"issued":{"date-parts":[["2016",4,2]]}}}],"schema":"https://github.com/citation-style-language/schema/raw/master/csl-citation.json"} </w:instrText>
            </w:r>
            <w:r w:rsidRPr="00275824">
              <w:rPr>
                <w:rFonts w:ascii="Baskerville" w:hAnsi="Baskerville"/>
                <w:sz w:val="20"/>
                <w:szCs w:val="20"/>
              </w:rPr>
              <w:fldChar w:fldCharType="separate"/>
            </w:r>
            <w:r w:rsidRPr="00395BA5">
              <w:rPr>
                <w:rFonts w:ascii="Baskerville" w:hAnsi="Baskerville"/>
                <w:sz w:val="20"/>
                <w:vertAlign w:val="superscript"/>
                <w:lang w:val="en-GB"/>
              </w:rPr>
              <w:t>5,39,78</w:t>
            </w:r>
            <w:r w:rsidRPr="00275824">
              <w:rPr>
                <w:rFonts w:ascii="Baskerville" w:hAnsi="Baskerville"/>
                <w:sz w:val="20"/>
                <w:szCs w:val="20"/>
              </w:rPr>
              <w:fldChar w:fldCharType="end"/>
            </w:r>
            <w:r w:rsidRPr="00275824">
              <w:rPr>
                <w:rFonts w:ascii="Baskerville" w:hAnsi="Baskerville"/>
                <w:sz w:val="20"/>
                <w:szCs w:val="20"/>
              </w:rPr>
              <w:t>.</w:t>
            </w:r>
          </w:p>
        </w:tc>
        <w:tc>
          <w:tcPr>
            <w:tcW w:w="1701" w:type="dxa"/>
          </w:tcPr>
          <w:p w14:paraId="44FB07B8"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Long-term capacity of governments to meet financial responsibilities makes up a key element of fiscal sustainability</w:t>
            </w:r>
            <w:r w:rsidRPr="00275824">
              <w:rPr>
                <w:rFonts w:ascii="Baskerville" w:hAnsi="Baskerville"/>
                <w:sz w:val="20"/>
                <w:szCs w:val="20"/>
              </w:rPr>
              <w:fldChar w:fldCharType="begin"/>
            </w:r>
            <w:r>
              <w:rPr>
                <w:rFonts w:ascii="Baskerville" w:hAnsi="Baskerville"/>
                <w:sz w:val="20"/>
                <w:szCs w:val="20"/>
              </w:rPr>
              <w:instrText xml:space="preserve"> ADDIN ZOTERO_ITEM CSL_CITATION {"citationID":"1WXhHBJV","properties":{"formattedCitation":"\\super 79\\nosupersub{}","plainCitation":"79","noteIndex":0},"citationItems":[{"id":35547,"uris":["http://zotero.org/users/1410191/items/39ALACFY"],"uri":["http://zotero.org/users/1410191/items/39ALACFY"],"itemData":{"id":35547,"type":"article-journal","abstract":"At the state and local level, fiscal sustainability is the long-run capability of a government to consistently meet its financial responsibilities. It reflects the adequacy of available revenues to ensure the continued provision of the service and capital levels that the public demands. After examining separate revenue and expenditure trends for state and local governments, this article identifies three specific sets of pressures that affect subnational fiscal sustainability—cyclical, structural, and intergovernmental. It then presents three specific examples of these pressures: Medicaid, pensions and retiree health benefits, and infrastructure. The author asserts that without changes in the fiscal system—in both revenues and expenditures—state and local fiscal sustainability will disappear. It concludes with some potential solutions but argues that the most difficult reform is to ensure that the public understands that there is no such thing as a free lunch.","container-title":"Public Administration Review","DOI":"10.1111/j.1540-6210.2008.00983.x","ISSN":"1540-6210","issue":"s1","language":"en","page":"S115-S131","source":"Wiley Online Library","title":"State and Local Fiscal Sustainability: The Challenges","title-short":"State and Local Fiscal Sustainability","volume":"68","author":[{"family":"Chapman","given":"Jeffrey I."}],"issued":{"date-parts":[["2008"]]}}}],"schema":"https://github.com/citation-style-language/schema/raw/master/csl-citation.json"} </w:instrText>
            </w:r>
            <w:r w:rsidRPr="00275824">
              <w:rPr>
                <w:rFonts w:ascii="Baskerville" w:hAnsi="Baskerville"/>
                <w:sz w:val="20"/>
                <w:szCs w:val="20"/>
              </w:rPr>
              <w:fldChar w:fldCharType="separate"/>
            </w:r>
            <w:r w:rsidRPr="00395BA5">
              <w:rPr>
                <w:rFonts w:ascii="Baskerville" w:hAnsi="Baskerville"/>
                <w:sz w:val="20"/>
                <w:vertAlign w:val="superscript"/>
                <w:lang w:val="en-GB"/>
              </w:rPr>
              <w:t>79</w:t>
            </w:r>
            <w:r w:rsidRPr="00275824">
              <w:rPr>
                <w:rFonts w:ascii="Baskerville" w:hAnsi="Baskerville"/>
                <w:sz w:val="20"/>
                <w:szCs w:val="20"/>
              </w:rPr>
              <w:fldChar w:fldCharType="end"/>
            </w:r>
          </w:p>
        </w:tc>
        <w:tc>
          <w:tcPr>
            <w:tcW w:w="4179" w:type="dxa"/>
          </w:tcPr>
          <w:p w14:paraId="6D63FC1A" w14:textId="77777777" w:rsidR="008F7113" w:rsidRPr="00275824" w:rsidRDefault="008F7113" w:rsidP="003742E4">
            <w:pPr>
              <w:spacing w:after="240"/>
              <w:rPr>
                <w:rFonts w:ascii="Baskerville" w:hAnsi="Baskerville"/>
                <w:sz w:val="20"/>
                <w:szCs w:val="20"/>
                <w:lang w:val="en-CH"/>
              </w:rPr>
            </w:pPr>
            <w:r w:rsidRPr="00275824">
              <w:rPr>
                <w:rFonts w:ascii="Baskerville" w:hAnsi="Baskerville"/>
                <w:sz w:val="20"/>
                <w:szCs w:val="20"/>
                <w:lang w:val="en-CH"/>
              </w:rPr>
              <w:t>100 if ≤ 15%; 80 if ≤ 30%; 60 if ≤ 45%; 40 if ≤ 60%, 20 if ≤ 75%, 0 if &gt; 75%</w:t>
            </w:r>
          </w:p>
        </w:tc>
      </w:tr>
      <w:tr w:rsidR="008F7113" w:rsidRPr="00275824" w14:paraId="607AFA19" w14:textId="77777777" w:rsidTr="003742E4">
        <w:tc>
          <w:tcPr>
            <w:tcW w:w="1211" w:type="dxa"/>
          </w:tcPr>
          <w:p w14:paraId="27F99FE7"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Long-term viability</w:t>
            </w:r>
          </w:p>
        </w:tc>
        <w:tc>
          <w:tcPr>
            <w:tcW w:w="1339" w:type="dxa"/>
          </w:tcPr>
          <w:p w14:paraId="2E7825DA"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After-use of venues</w:t>
            </w:r>
          </w:p>
        </w:tc>
        <w:tc>
          <w:tcPr>
            <w:tcW w:w="1419" w:type="dxa"/>
          </w:tcPr>
          <w:p w14:paraId="5250FA3B"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 xml:space="preserve">Extent of long-term usage of a basket of six venues (see </w:t>
            </w:r>
            <w:proofErr w:type="spellStart"/>
            <w:r w:rsidRPr="00275824">
              <w:rPr>
                <w:rFonts w:ascii="Baskerville" w:hAnsi="Baskerville"/>
                <w:sz w:val="20"/>
                <w:szCs w:val="20"/>
              </w:rPr>
              <w:t>Preuß</w:t>
            </w:r>
            <w:proofErr w:type="spellEnd"/>
            <w:r w:rsidRPr="00275824">
              <w:rPr>
                <w:rFonts w:ascii="Baskerville" w:hAnsi="Baskerville"/>
                <w:sz w:val="20"/>
                <w:szCs w:val="20"/>
              </w:rPr>
              <w:t xml:space="preserve"> et al.</w:t>
            </w:r>
            <w:r w:rsidRPr="00275824">
              <w:rPr>
                <w:rFonts w:ascii="Baskerville" w:hAnsi="Baskerville"/>
                <w:sz w:val="20"/>
                <w:szCs w:val="20"/>
              </w:rPr>
              <w:fldChar w:fldCharType="begin"/>
            </w:r>
            <w:r>
              <w:rPr>
                <w:rFonts w:ascii="Baskerville" w:hAnsi="Baskerville"/>
                <w:sz w:val="20"/>
                <w:szCs w:val="20"/>
              </w:rPr>
              <w:instrText xml:space="preserve"> ADDIN ZOTERO_ITEM CSL_CITATION {"citationID":"b3CP69ew","properties":{"formattedCitation":"\\super 80\\nosupersub{}","plainCitation":"80","noteIndex":0},"citationItems":[{"id":35145,"uris":["http://zotero.org/users/1410191/items/QR2FWND4"],"uri":["http://zotero.org/users/1410191/items/QR2FWND4"],"itemData":{"id":35145,"type":"book","event-place":"Wiesbaden","ISBN":"978-3-658-24995-3","language":"en","note":"DOI: 10.1007/978-3-658-24996-0","publisher":"Springer","publisher-place":"Wiesbaden","source":"Crossref","title":"Cost and Revenue Overruns of the Olympic Games 2000–2018","URL":"http://link.springer.com/10.1007/978-3-658-24996-0","author":[{"family":"Preuß","given":"Holger"},{"family":"Andreff","given":"Wladimir"},{"family":"Weitzmann","given":"Maike"}],"accessed":{"date-parts":[["2020",1,9]]},"issued":{"date-parts":[["2019"]]}}}],"schema":"https://github.com/citation-style-language/schema/raw/master/csl-citation.json"} </w:instrText>
            </w:r>
            <w:r w:rsidRPr="00275824">
              <w:rPr>
                <w:rFonts w:ascii="Baskerville" w:hAnsi="Baskerville"/>
                <w:sz w:val="20"/>
                <w:szCs w:val="20"/>
              </w:rPr>
              <w:fldChar w:fldCharType="separate"/>
            </w:r>
            <w:r w:rsidRPr="00395BA5">
              <w:rPr>
                <w:rFonts w:ascii="Baskerville" w:hAnsi="Baskerville"/>
                <w:sz w:val="20"/>
                <w:vertAlign w:val="superscript"/>
                <w:lang w:val="en-GB"/>
              </w:rPr>
              <w:t>80</w:t>
            </w:r>
            <w:r w:rsidRPr="00275824">
              <w:rPr>
                <w:rFonts w:ascii="Baskerville" w:hAnsi="Baskerville"/>
                <w:sz w:val="20"/>
                <w:szCs w:val="20"/>
              </w:rPr>
              <w:fldChar w:fldCharType="end"/>
            </w:r>
            <w:r w:rsidRPr="00275824">
              <w:rPr>
                <w:rFonts w:ascii="Baskerville" w:hAnsi="Baskerville"/>
                <w:sz w:val="20"/>
                <w:szCs w:val="20"/>
              </w:rPr>
              <w:t>, p. 32)</w:t>
            </w:r>
          </w:p>
        </w:tc>
        <w:tc>
          <w:tcPr>
            <w:tcW w:w="1134" w:type="dxa"/>
          </w:tcPr>
          <w:p w14:paraId="079C81B4"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Medium to High</w:t>
            </w:r>
          </w:p>
        </w:tc>
        <w:tc>
          <w:tcPr>
            <w:tcW w:w="2977" w:type="dxa"/>
          </w:tcPr>
          <w:p w14:paraId="1A2888D2"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Mega-events can result in white elephants, i.e. oversized and underused infrastructure, after the event</w:t>
            </w:r>
            <w:r w:rsidRPr="00275824">
              <w:rPr>
                <w:rFonts w:ascii="Baskerville" w:hAnsi="Baskerville"/>
                <w:sz w:val="20"/>
                <w:szCs w:val="20"/>
              </w:rPr>
              <w:fldChar w:fldCharType="begin"/>
            </w:r>
            <w:r>
              <w:rPr>
                <w:rFonts w:ascii="Baskerville" w:hAnsi="Baskerville"/>
                <w:sz w:val="20"/>
                <w:szCs w:val="20"/>
              </w:rPr>
              <w:instrText xml:space="preserve"> ADDIN ZOTERO_ITEM CSL_CITATION {"citationID":"DHzh7cBc","properties":{"formattedCitation":"\\super 81,82\\nosupersub{}","plainCitation":"81,82","noteIndex":0},"citationItems":[{"id":36382,"uris":["http://zotero.org/users/1410191/items/SRJI7AKM"],"uri":["http://zotero.org/users/1410191/items/SRJI7AKM"],"itemData":{"id":36382,"type":"article-journal","abstract":"For hosting cities, the summer Olympic Games (OG) has become an extremely expensive and complex urban project, partly used for urban regeneration. We can also observe that the Olympic stadium's problematic of reconversion is recurring as this infrastructure, the most significant of the Olympic park, needs colossal financing for its construction and its management. However, despite a few planning measures, we notice that after the OG a considerably low percentage of these stadiums are actually utilized. Through an in-depth study and historiography of the planning and reconversion phases of the 1976 Montreal Olympics' heritage, this article aims to demonstrate how such a facility, central to the hosting of the OG, has become a model of post-Olympic failure. Within a few years, although it was initially planned in a modest way and as a means to regenerate the entire neighbourhood, this facility had become a ‘white elephant’, costing triple what was originally planned, while we still wonder to this day what we should or could do with this mega-infrastructure.","container-title":"The International Journal of the History of Sport","DOI":"10.1080/09523367.2010.508257","ISSN":"0952-3367","issue":"16-18","note":"publisher: Routledge\n_eprint: https://doi.org/10.1080/09523367.2010.508257","page":"2731-2747","source":"Taylor and Francis+NEJM","title":"Planning and Reconversion of Olympic Heritages: The Montreal Olympic Stadium","title-short":"Planning and Reconversion of Olympic Heritages","volume":"27","author":[{"family":"Roult","given":"Romain"},{"family":"Lefebvre","given":"Sylvain"}],"issued":{"date-parts":[["2010",11,1]]}}},{"id":36378,"uris":["http://zotero.org/users/1410191/items/RNBNWMFT"],"uri":["http://zotero.org/users/1410191/items/RNBNWMFT"],"itemData":{"id":36378,"type":"article-journal","abstract":"While the literature on the economic impacts of major sports events has grown considerably over the years, the question of utilisation of venues built for these events after the party is over has received little attention. This article fills some of the gaps in the literature. By means of a Stadium Utilisation Index, it measures the post-event utilisation of venues that were constructed of significantly refurbished to host major sports events in the period from 1996 to 2010. It reveals some of the challenges facing the utilisation of the venues once ‘the circus has left town’. The regressions identify that private owned stadiums have a higher rate of utilisation than publicly built venues. The stadiums with the highest capacity tend to have higher utilisation. Last, but not least in terms of importance, stadiums in nations with a high degree of corruption had the lowest utilisation.","container-title":"Leisure Studies","DOI":"10.1080/02614367.2014.994550","ISSN":"0261-4367","issue":"5","note":"publisher: Routledge\n_eprint: https://doi.org/10.1080/02614367.2014.994550","page":"564-582","source":"Taylor and Francis+NEJM","title":"Hosting major sports events: the challenge of taming white elephants","title-short":"Hosting major sports events","volume":"35","author":[{"family":"Alm","given":"Jens"},{"family":"Solberg","given":"Harry Arne"},{"family":"Storm","given":"Rasmus K."},{"family":"Jakobsen","given":"Tor Georg"}],"issued":{"date-parts":[["2016",9,2]]}}}],"schema":"https://github.com/citation-style-language/schema/raw/master/csl-citation.json"} </w:instrText>
            </w:r>
            <w:r w:rsidRPr="00275824">
              <w:rPr>
                <w:rFonts w:ascii="Baskerville" w:hAnsi="Baskerville"/>
                <w:sz w:val="20"/>
                <w:szCs w:val="20"/>
              </w:rPr>
              <w:fldChar w:fldCharType="separate"/>
            </w:r>
            <w:r w:rsidRPr="00395BA5">
              <w:rPr>
                <w:rFonts w:ascii="Baskerville" w:hAnsi="Baskerville"/>
                <w:sz w:val="20"/>
                <w:vertAlign w:val="superscript"/>
                <w:lang w:val="en-GB"/>
              </w:rPr>
              <w:t>81,82</w:t>
            </w:r>
            <w:r w:rsidRPr="00275824">
              <w:rPr>
                <w:rFonts w:ascii="Baskerville" w:hAnsi="Baskerville"/>
                <w:sz w:val="20"/>
                <w:szCs w:val="20"/>
              </w:rPr>
              <w:fldChar w:fldCharType="end"/>
            </w:r>
            <w:r w:rsidRPr="00275824">
              <w:rPr>
                <w:rFonts w:ascii="Baskerville" w:hAnsi="Baskerville"/>
                <w:sz w:val="20"/>
                <w:szCs w:val="20"/>
              </w:rPr>
              <w:t>. A high degree of after-use of venues follows essential principles of sustainability as the long-term use of infrastructure.</w:t>
            </w:r>
          </w:p>
        </w:tc>
        <w:tc>
          <w:tcPr>
            <w:tcW w:w="1701" w:type="dxa"/>
          </w:tcPr>
          <w:p w14:paraId="20159D22"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Extending the lifecycle of products, resource decoupling as important sustainability transformations</w:t>
            </w:r>
            <w:r w:rsidRPr="00275824">
              <w:rPr>
                <w:rFonts w:ascii="Baskerville" w:hAnsi="Baskerville"/>
                <w:sz w:val="20"/>
                <w:szCs w:val="20"/>
              </w:rPr>
              <w:fldChar w:fldCharType="begin"/>
            </w:r>
            <w:r w:rsidRPr="00275824">
              <w:rPr>
                <w:rFonts w:ascii="Baskerville" w:hAnsi="Baskerville"/>
                <w:sz w:val="20"/>
                <w:szCs w:val="20"/>
              </w:rPr>
              <w:instrText xml:space="preserve"> ADDIN ZOTERO_ITEM CSL_CITATION {"citationID":"gKMZFR8p","properties":{"formattedCitation":"\\super 6\\nosupersub{}","plainCitation":"6","noteIndex":0},"citationItems":[{"id":35453,"uris":["http://zotero.org/users/1410191/items/YNUSPQYJ"],"uri":["http://zotero.org/users/1410191/items/YNUSPQYJ"],"itemData":{"id":35453,"type":"article-journal","abstract":"The Sustainable Development Goals require profound national and societal changes. This Perspective introduces six Transformations as building blocks for achieving the SDGs and an agenda for science to provide the requisite knowledge.","container-title":"Nature Sustainability","DOI":"10.1038/s41893-019-0352-9","ISSN":"2398-9629","issue":"9","journalAbbreviation":"Nat Sustain","language":"en","page":"805-814","source":"www.nature.com","title":"Six Transformations to achieve the Sustainable Development Goals","volume":"2","author":[{"family":"Sachs","given":"Jeffrey D."},{"family":"Schmidt-Traub","given":"Guido"},{"family":"Mazzucato","given":"Mariana"},{"family":"Messner","given":"Dirk"},{"family":"Nakicenovic","given":"Nebojsa"},{"family":"Rockström","given":"Johan"}],"issued":{"date-parts":[["2019",9]]}}}],"schema":"https://github.com/citation-style-language/schema/raw/master/csl-citation.json"} </w:instrText>
            </w:r>
            <w:r w:rsidRPr="00275824">
              <w:rPr>
                <w:rFonts w:ascii="Baskerville" w:hAnsi="Baskerville"/>
                <w:sz w:val="20"/>
                <w:szCs w:val="20"/>
              </w:rPr>
              <w:fldChar w:fldCharType="separate"/>
            </w:r>
            <w:r w:rsidRPr="00275824">
              <w:rPr>
                <w:rFonts w:ascii="Baskerville" w:hAnsi="Baskerville"/>
                <w:sz w:val="20"/>
                <w:vertAlign w:val="superscript"/>
                <w:lang w:val="en-GB"/>
              </w:rPr>
              <w:t>6</w:t>
            </w:r>
            <w:r w:rsidRPr="00275824">
              <w:rPr>
                <w:rFonts w:ascii="Baskerville" w:hAnsi="Baskerville"/>
                <w:sz w:val="20"/>
                <w:szCs w:val="20"/>
              </w:rPr>
              <w:fldChar w:fldCharType="end"/>
            </w:r>
          </w:p>
        </w:tc>
        <w:tc>
          <w:tcPr>
            <w:tcW w:w="4179" w:type="dxa"/>
          </w:tcPr>
          <w:p w14:paraId="7839E7B5" w14:textId="77777777" w:rsidR="008F7113" w:rsidRPr="00275824" w:rsidRDefault="008F7113" w:rsidP="003742E4">
            <w:pPr>
              <w:spacing w:after="240"/>
              <w:rPr>
                <w:rFonts w:ascii="Baskerville" w:hAnsi="Baskerville"/>
                <w:sz w:val="20"/>
                <w:szCs w:val="20"/>
              </w:rPr>
            </w:pPr>
            <w:r w:rsidRPr="00275824">
              <w:rPr>
                <w:rFonts w:ascii="Baskerville" w:hAnsi="Baskerville"/>
                <w:sz w:val="20"/>
                <w:szCs w:val="20"/>
              </w:rPr>
              <w:t>100 if all venues used with high degree of capacity utilization; 80 if 5 out of 6 venues used with high degree of capacity utilization; 60 if at least 4 out of 6 venues used with high degree of capacity utilization; 40 if at least 3 out of 6 venues used with high degree of capacity utilization; 20 if  at least 2 out 6 venues used with high degree of capacity utilization; 0 if 1 or 0 out of 6 venues used with high degree of capacity utilization. All temporary venues dismantled after the event are counted as long-term viable. Retrofitting and remodeling are permitted. The score is based on after-use as of end of 2019.</w:t>
            </w:r>
          </w:p>
        </w:tc>
      </w:tr>
    </w:tbl>
    <w:p w14:paraId="2FF7CE9E" w14:textId="77777777" w:rsidR="008323FF" w:rsidRPr="008F7113" w:rsidRDefault="008323FF">
      <w:pPr>
        <w:rPr>
          <w:lang w:val="en-GB"/>
        </w:rPr>
      </w:pPr>
    </w:p>
    <w:sectPr w:rsidR="008323FF" w:rsidRPr="008F7113" w:rsidSect="008F7113">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skerville">
    <w:altName w:val="Baskerville"/>
    <w:panose1 w:val="02020502070401020303"/>
    <w:charset w:val="00"/>
    <w:family w:val="roman"/>
    <w:pitch w:val="variable"/>
    <w:sig w:usb0="80000067" w:usb1="02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113"/>
    <w:rsid w:val="00323822"/>
    <w:rsid w:val="008323FF"/>
    <w:rsid w:val="008F7113"/>
    <w:rsid w:val="00B72717"/>
    <w:rsid w:val="00B95799"/>
    <w:rsid w:val="00FF798D"/>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3222BDCC"/>
  <w15:chartTrackingRefBased/>
  <w15:docId w15:val="{617FA143-2BAA-554B-B9A2-3C9D59BF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113"/>
    <w:rPr>
      <w:rFonts w:ascii="Times New Roman" w:eastAsia="Times New Roman" w:hAnsi="Times New Roman" w:cs="Times New Roman"/>
      <w:lang w:val="en-US"/>
    </w:rPr>
  </w:style>
  <w:style w:type="paragraph" w:styleId="Heading2">
    <w:name w:val="heading 2"/>
    <w:basedOn w:val="Normal"/>
    <w:next w:val="Normal"/>
    <w:link w:val="Heading2Char"/>
    <w:uiPriority w:val="9"/>
    <w:unhideWhenUsed/>
    <w:qFormat/>
    <w:rsid w:val="008F71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7113"/>
    <w:rPr>
      <w:rFonts w:asciiTheme="majorHAnsi" w:eastAsiaTheme="majorEastAsia" w:hAnsiTheme="majorHAnsi" w:cstheme="majorBidi"/>
      <w:color w:val="2F5496" w:themeColor="accent1" w:themeShade="BF"/>
      <w:sz w:val="26"/>
      <w:szCs w:val="26"/>
      <w:lang w:val="en-US"/>
    </w:rPr>
  </w:style>
  <w:style w:type="table" w:styleId="TableGrid">
    <w:name w:val="Table Grid"/>
    <w:basedOn w:val="TableNormal"/>
    <w:uiPriority w:val="39"/>
    <w:rsid w:val="008F711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6778</Words>
  <Characters>40471</Characters>
  <Application>Microsoft Office Word</Application>
  <DocSecurity>0</DocSecurity>
  <Lines>749</Lines>
  <Paragraphs>142</Paragraphs>
  <ScaleCrop>false</ScaleCrop>
  <Company/>
  <LinksUpToDate>false</LinksUpToDate>
  <CharactersWithSpaces>47107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2021-02-01T14:35:00Z</dcterms:created>
  <dcterms:modified xsi:type="dcterms:W3CDTF">2021-02-01T14:37:00Z</dcterms:modified>
</cp:coreProperties>
</file>