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F748C" w14:textId="19C624EA" w:rsidR="002038A2" w:rsidRDefault="00E632A4">
      <w:pPr>
        <w:rPr>
          <w:rFonts w:ascii="Arial" w:hAnsi="Arial" w:cs="Arial"/>
          <w:b/>
        </w:rPr>
      </w:pPr>
      <w:r w:rsidRPr="00E632A4">
        <w:rPr>
          <w:rFonts w:ascii="Arial" w:hAnsi="Arial" w:cs="Arial"/>
          <w:b/>
        </w:rPr>
        <w:t>Description of Additional Supplementary Items</w:t>
      </w:r>
    </w:p>
    <w:p w14:paraId="6182E392" w14:textId="75614B93" w:rsidR="00E632A4" w:rsidRDefault="00E632A4">
      <w:pPr>
        <w:rPr>
          <w:rFonts w:ascii="Arial" w:hAnsi="Arial" w:cs="Arial"/>
          <w:b/>
        </w:rPr>
      </w:pPr>
    </w:p>
    <w:p w14:paraId="32196DC3" w14:textId="6796A661" w:rsidR="00E632A4" w:rsidRDefault="00E632A4" w:rsidP="00E632A4">
      <w:pPr>
        <w:pStyle w:val="BodyText"/>
        <w:spacing w:line="247" w:lineRule="auto"/>
        <w:ind w:left="385" w:right="671" w:hanging="385"/>
        <w:jc w:val="both"/>
      </w:pPr>
      <w:r>
        <w:rPr>
          <w:w w:val="105"/>
        </w:rPr>
        <w:t xml:space="preserve">      Supplementary Movie 1: Time-lapse images of single-cell selection, isolation and positioning of putatively edited T cells into individual </w:t>
      </w:r>
      <w:proofErr w:type="spellStart"/>
      <w:r>
        <w:rPr>
          <w:w w:val="105"/>
        </w:rPr>
        <w:t>NanoPen</w:t>
      </w:r>
      <w:proofErr w:type="spellEnd"/>
      <w:r>
        <w:rPr>
          <w:w w:val="105"/>
        </w:rPr>
        <w:t xml:space="preserve"> chambers using </w:t>
      </w:r>
      <w:proofErr w:type="spellStart"/>
      <w:r>
        <w:rPr>
          <w:w w:val="105"/>
        </w:rPr>
        <w:t>OptoSelect</w:t>
      </w:r>
      <w:proofErr w:type="spellEnd"/>
      <w:r>
        <w:rPr>
          <w:w w:val="105"/>
        </w:rPr>
        <w:t xml:space="preserve"> visible light technology. Images are acquired every 3 seconds in the </w:t>
      </w:r>
      <w:proofErr w:type="spellStart"/>
      <w:r>
        <w:rPr>
          <w:w w:val="105"/>
        </w:rPr>
        <w:t>Brightfield</w:t>
      </w:r>
      <w:proofErr w:type="spellEnd"/>
      <w:r>
        <w:rPr>
          <w:w w:val="105"/>
        </w:rPr>
        <w:t xml:space="preserve"> channel.</w:t>
      </w:r>
    </w:p>
    <w:p w14:paraId="1494A636" w14:textId="77777777" w:rsidR="00E632A4" w:rsidRDefault="00E632A4" w:rsidP="008D1BAA">
      <w:pPr>
        <w:pStyle w:val="BodyText"/>
        <w:spacing w:before="3" w:line="249" w:lineRule="auto"/>
        <w:ind w:left="385" w:right="673"/>
        <w:jc w:val="both"/>
      </w:pPr>
      <w:r>
        <w:rPr>
          <w:w w:val="105"/>
        </w:rPr>
        <w:t xml:space="preserve">Supplementary Movie 2: Time-lapse images of single-cell selection, isolation and positioning of control T cells into individual </w:t>
      </w:r>
      <w:proofErr w:type="spellStart"/>
      <w:r>
        <w:rPr>
          <w:w w:val="105"/>
        </w:rPr>
        <w:t>NanoPen</w:t>
      </w:r>
      <w:proofErr w:type="spellEnd"/>
      <w:r>
        <w:rPr>
          <w:w w:val="105"/>
        </w:rPr>
        <w:t xml:space="preserve"> chambers using </w:t>
      </w:r>
      <w:proofErr w:type="spellStart"/>
      <w:r>
        <w:rPr>
          <w:w w:val="105"/>
        </w:rPr>
        <w:t>OptoSelect</w:t>
      </w:r>
      <w:proofErr w:type="spellEnd"/>
      <w:r>
        <w:rPr>
          <w:w w:val="105"/>
        </w:rPr>
        <w:t xml:space="preserve"> visible light technology. Images are acquired every 3 seconds in the </w:t>
      </w:r>
      <w:proofErr w:type="spellStart"/>
      <w:r>
        <w:rPr>
          <w:w w:val="105"/>
        </w:rPr>
        <w:t>Brightfield</w:t>
      </w:r>
      <w:proofErr w:type="spellEnd"/>
      <w:r>
        <w:rPr>
          <w:w w:val="105"/>
        </w:rPr>
        <w:t xml:space="preserve"> channel.</w:t>
      </w:r>
    </w:p>
    <w:p w14:paraId="25B92D53" w14:textId="77777777" w:rsidR="00E632A4" w:rsidRDefault="00E632A4" w:rsidP="008D1BAA">
      <w:pPr>
        <w:pStyle w:val="BodyText"/>
        <w:spacing w:before="5" w:line="252" w:lineRule="auto"/>
        <w:ind w:left="385" w:right="673"/>
        <w:jc w:val="both"/>
      </w:pPr>
      <w:r>
        <w:rPr>
          <w:w w:val="105"/>
        </w:rPr>
        <w:t>Su</w:t>
      </w:r>
      <w:bookmarkStart w:id="0" w:name="_GoBack"/>
      <w:bookmarkEnd w:id="0"/>
      <w:r>
        <w:rPr>
          <w:w w:val="105"/>
        </w:rPr>
        <w:t xml:space="preserve">pplementary Movie 3: Time-lapse of the culturing step of the split export process. Initially, the first half of a colony is unpenned using OEP (white bars), pushed into the channel, and exported into a well of a 96-well plate. The remaining cells are pushed back into the same </w:t>
      </w:r>
      <w:proofErr w:type="spellStart"/>
      <w:r>
        <w:rPr>
          <w:w w:val="105"/>
        </w:rPr>
        <w:t>NanoPen</w:t>
      </w:r>
      <w:proofErr w:type="spellEnd"/>
      <w:r>
        <w:rPr>
          <w:w w:val="105"/>
        </w:rPr>
        <w:t xml:space="preserve"> to maintain clonality.</w:t>
      </w:r>
    </w:p>
    <w:p w14:paraId="4C0C9C79" w14:textId="77777777" w:rsidR="00E632A4" w:rsidRDefault="00E632A4" w:rsidP="008D1BAA">
      <w:pPr>
        <w:pStyle w:val="BodyText"/>
        <w:spacing w:line="249" w:lineRule="auto"/>
        <w:ind w:left="385" w:right="672"/>
        <w:jc w:val="both"/>
        <w:rPr>
          <w:w w:val="105"/>
        </w:rPr>
      </w:pPr>
      <w:r>
        <w:rPr>
          <w:w w:val="105"/>
        </w:rPr>
        <w:t>Supplementary Movie 4: Time-lapse of the sequencing step of the split export process. The second half of the same colony is exported into a second 96-well plate for next generation sequencing and on-target validation.</w:t>
      </w:r>
    </w:p>
    <w:p w14:paraId="38A8EB9F" w14:textId="77777777" w:rsidR="008D1BAA" w:rsidRDefault="008D1BAA" w:rsidP="008D1BAA">
      <w:pPr>
        <w:pStyle w:val="BodyText"/>
        <w:spacing w:line="249" w:lineRule="auto"/>
        <w:ind w:left="385" w:right="672"/>
        <w:jc w:val="both"/>
        <w:rPr>
          <w:w w:val="105"/>
        </w:rPr>
      </w:pPr>
    </w:p>
    <w:p w14:paraId="4363F6F2" w14:textId="32C14002" w:rsidR="008D1BAA" w:rsidRDefault="008D1BAA" w:rsidP="008D1BAA">
      <w:pPr>
        <w:pStyle w:val="BodyText"/>
        <w:spacing w:line="249" w:lineRule="auto"/>
        <w:ind w:left="385" w:right="672"/>
        <w:jc w:val="both"/>
      </w:pPr>
      <w:r>
        <w:rPr>
          <w:w w:val="105"/>
        </w:rPr>
        <w:t>Supplementary Data 1: The table describes the sequences of gRNA, and primers used in this study.</w:t>
      </w:r>
    </w:p>
    <w:p w14:paraId="5E21CEAE" w14:textId="51014460" w:rsidR="008D1BAA" w:rsidRPr="00E632A4" w:rsidRDefault="008D1B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8D1BAA" w:rsidRPr="00E63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A4"/>
    <w:rsid w:val="002038A2"/>
    <w:rsid w:val="003B0128"/>
    <w:rsid w:val="004277C5"/>
    <w:rsid w:val="008D1BAA"/>
    <w:rsid w:val="00E632A4"/>
    <w:rsid w:val="00E6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66E11"/>
  <w15:chartTrackingRefBased/>
  <w15:docId w15:val="{D4E7482A-2207-4DE1-82A2-F91922F7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32A4"/>
    <w:pPr>
      <w:widowControl w:val="0"/>
      <w:autoSpaceDE w:val="0"/>
      <w:autoSpaceDN w:val="0"/>
      <w:spacing w:after="0" w:line="240" w:lineRule="auto"/>
      <w:ind w:left="725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632A4"/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Mocciaro</dc:creator>
  <cp:keywords/>
  <dc:description/>
  <cp:lastModifiedBy>Microsoft Office User</cp:lastModifiedBy>
  <cp:revision>2</cp:revision>
  <dcterms:created xsi:type="dcterms:W3CDTF">2018-02-27T19:33:00Z</dcterms:created>
  <dcterms:modified xsi:type="dcterms:W3CDTF">2018-03-13T14:27:00Z</dcterms:modified>
</cp:coreProperties>
</file>