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Description of Supplementary Data 1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File Name</w:t>
      </w:r>
      <w:r w:rsidDel="00000000" w:rsidR="00000000" w:rsidRPr="00000000">
        <w:rPr>
          <w:rFonts w:ascii="Arial" w:cs="Arial" w:eastAsia="Arial" w:hAnsi="Arial"/>
          <w:rtl w:val="0"/>
        </w:rPr>
        <w:t xml:space="preserve">: Supplementary Data 1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Description</w:t>
      </w:r>
      <w:r w:rsidDel="00000000" w:rsidR="00000000" w:rsidRPr="00000000">
        <w:rPr>
          <w:rFonts w:ascii="Arial" w:cs="Arial" w:eastAsia="Arial" w:hAnsi="Arial"/>
          <w:rtl w:val="0"/>
        </w:rPr>
        <w:t xml:space="preserve">: The source data underlying the graphs and charts presented in Figures 2 and 5 are shown.</w:t>
      </w:r>
    </w:p>
    <w:sectPr>
      <w:pgSz w:h="16840" w:w="11900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