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8500F" w14:textId="35D05B3E" w:rsidR="0051668D" w:rsidRPr="00CA11D1" w:rsidRDefault="0051668D" w:rsidP="00D36B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>Description of additional supplementary items for</w:t>
      </w:r>
    </w:p>
    <w:p w14:paraId="15493923" w14:textId="5F515D33" w:rsidR="0051668D" w:rsidRPr="00CA11D1" w:rsidRDefault="0051668D" w:rsidP="00D36BFA">
      <w:pPr>
        <w:spacing w:after="12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CA11D1">
        <w:rPr>
          <w:rFonts w:ascii="Arial" w:hAnsi="Arial" w:cs="Arial"/>
          <w:bCs/>
          <w:sz w:val="22"/>
          <w:szCs w:val="22"/>
        </w:rPr>
        <w:t>Genetic variation drives seasonal onset of hibernation in the 13-lined ground squirrel</w:t>
      </w:r>
    </w:p>
    <w:p w14:paraId="2A4F5402" w14:textId="77777777" w:rsidR="00D36BFA" w:rsidRPr="00CA11D1" w:rsidRDefault="00D36BFA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DEA2558" w14:textId="409F9F76" w:rsidR="00305499" w:rsidRPr="00CA11D1" w:rsidRDefault="00305499" w:rsidP="00D36BF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 xml:space="preserve">Supplementary Data 1. </w:t>
      </w:r>
      <w:r w:rsidRPr="00CA11D1">
        <w:rPr>
          <w:rFonts w:ascii="Arial" w:hAnsi="Arial" w:cs="Arial"/>
          <w:bCs/>
          <w:sz w:val="22"/>
          <w:szCs w:val="22"/>
        </w:rPr>
        <w:t xml:space="preserve">Details of the SpeTri2.0 draft assembly input and orientation of scaffolds into the final </w:t>
      </w:r>
      <w:proofErr w:type="spellStart"/>
      <w:r w:rsidRPr="00CA11D1">
        <w:rPr>
          <w:rFonts w:ascii="Arial" w:hAnsi="Arial" w:cs="Arial"/>
          <w:bCs/>
          <w:sz w:val="22"/>
          <w:szCs w:val="22"/>
        </w:rPr>
        <w:t>HiRise</w:t>
      </w:r>
      <w:proofErr w:type="spellEnd"/>
      <w:r w:rsidRPr="00CA11D1">
        <w:rPr>
          <w:rFonts w:ascii="Arial" w:hAnsi="Arial" w:cs="Arial"/>
          <w:bCs/>
          <w:sz w:val="22"/>
          <w:szCs w:val="22"/>
        </w:rPr>
        <w:t xml:space="preserve"> assembly</w:t>
      </w:r>
    </w:p>
    <w:p w14:paraId="46B5567F" w14:textId="77777777" w:rsidR="00D36BFA" w:rsidRPr="00CA11D1" w:rsidRDefault="00D36BFA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D0DA2F5" w14:textId="77777777" w:rsidR="0051668D" w:rsidRPr="00CA11D1" w:rsidRDefault="00305499" w:rsidP="00D36BF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 xml:space="preserve">Supplementary Data 2. </w:t>
      </w:r>
      <w:r w:rsidRPr="00CA11D1">
        <w:rPr>
          <w:rFonts w:ascii="Arial" w:hAnsi="Arial" w:cs="Arial"/>
          <w:bCs/>
          <w:sz w:val="22"/>
          <w:szCs w:val="22"/>
        </w:rPr>
        <w:t>Summary of mapping results</w:t>
      </w:r>
    </w:p>
    <w:p w14:paraId="00F74A75" w14:textId="631FCA9D" w:rsidR="00305499" w:rsidRPr="00CA11D1" w:rsidRDefault="00305499" w:rsidP="00D36BF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A11D1">
        <w:rPr>
          <w:rFonts w:ascii="Arial" w:hAnsi="Arial" w:cs="Arial"/>
          <w:bCs/>
          <w:sz w:val="22"/>
          <w:szCs w:val="22"/>
        </w:rPr>
        <w:t xml:space="preserve">For each </w:t>
      </w:r>
      <w:proofErr w:type="spellStart"/>
      <w:r w:rsidRPr="00CA11D1">
        <w:rPr>
          <w:rFonts w:ascii="Arial" w:hAnsi="Arial" w:cs="Arial"/>
          <w:bCs/>
          <w:sz w:val="22"/>
          <w:szCs w:val="22"/>
        </w:rPr>
        <w:t>ddRAD</w:t>
      </w:r>
      <w:proofErr w:type="spellEnd"/>
      <w:r w:rsidR="00AB2688">
        <w:rPr>
          <w:rFonts w:ascii="Arial" w:hAnsi="Arial" w:cs="Arial"/>
          <w:bCs/>
          <w:sz w:val="22"/>
          <w:szCs w:val="22"/>
        </w:rPr>
        <w:t>-</w:t>
      </w:r>
      <w:r w:rsidRPr="00CA11D1">
        <w:rPr>
          <w:rFonts w:ascii="Arial" w:hAnsi="Arial" w:cs="Arial"/>
          <w:bCs/>
          <w:sz w:val="22"/>
          <w:szCs w:val="22"/>
        </w:rPr>
        <w:t xml:space="preserve">seq library, </w:t>
      </w:r>
      <w:r w:rsidR="00455F6A" w:rsidRPr="00CA11D1">
        <w:rPr>
          <w:rFonts w:ascii="Arial" w:hAnsi="Arial" w:cs="Arial"/>
          <w:bCs/>
          <w:sz w:val="22"/>
          <w:szCs w:val="22"/>
        </w:rPr>
        <w:t xml:space="preserve">details are supplied for </w:t>
      </w:r>
      <w:r w:rsidRPr="00CA11D1">
        <w:rPr>
          <w:rFonts w:ascii="Arial" w:hAnsi="Arial" w:cs="Arial"/>
          <w:bCs/>
          <w:sz w:val="22"/>
          <w:szCs w:val="22"/>
        </w:rPr>
        <w:t>the total number of sequencing reads, percent of reads mapped to the genome, percent of reads containing a single (</w:t>
      </w:r>
      <w:proofErr w:type="spellStart"/>
      <w:r w:rsidRPr="00CA11D1">
        <w:rPr>
          <w:rFonts w:ascii="Arial" w:hAnsi="Arial" w:cs="Arial"/>
          <w:bCs/>
          <w:sz w:val="22"/>
          <w:szCs w:val="22"/>
        </w:rPr>
        <w:t>BglII</w:t>
      </w:r>
      <w:proofErr w:type="spellEnd"/>
      <w:r w:rsidRPr="00CA11D1">
        <w:rPr>
          <w:rFonts w:ascii="Arial" w:hAnsi="Arial" w:cs="Arial"/>
          <w:bCs/>
          <w:sz w:val="22"/>
          <w:szCs w:val="22"/>
        </w:rPr>
        <w:t xml:space="preserve"> Mapped) or both </w:t>
      </w:r>
      <w:r w:rsidR="00455F6A" w:rsidRPr="00CA11D1">
        <w:rPr>
          <w:rFonts w:ascii="Arial" w:hAnsi="Arial" w:cs="Arial"/>
          <w:bCs/>
          <w:sz w:val="22"/>
          <w:szCs w:val="22"/>
        </w:rPr>
        <w:t xml:space="preserve">(Target Mapped) </w:t>
      </w:r>
      <w:r w:rsidRPr="00CA11D1">
        <w:rPr>
          <w:rFonts w:ascii="Arial" w:hAnsi="Arial" w:cs="Arial"/>
          <w:bCs/>
          <w:sz w:val="22"/>
          <w:szCs w:val="22"/>
        </w:rPr>
        <w:t xml:space="preserve">restriction sites and </w:t>
      </w:r>
      <w:r w:rsidR="00455F6A" w:rsidRPr="00CA11D1">
        <w:rPr>
          <w:rFonts w:ascii="Arial" w:hAnsi="Arial" w:cs="Arial"/>
          <w:bCs/>
          <w:sz w:val="22"/>
          <w:szCs w:val="22"/>
        </w:rPr>
        <w:t xml:space="preserve">the </w:t>
      </w:r>
      <w:r w:rsidRPr="00CA11D1">
        <w:rPr>
          <w:rFonts w:ascii="Arial" w:hAnsi="Arial" w:cs="Arial"/>
          <w:bCs/>
          <w:sz w:val="22"/>
          <w:szCs w:val="22"/>
        </w:rPr>
        <w:t>mean coverage for mapped reads containing both restriction sites</w:t>
      </w:r>
      <w:r w:rsidR="00D36BFA" w:rsidRPr="00CA11D1">
        <w:rPr>
          <w:rFonts w:ascii="Arial" w:hAnsi="Arial" w:cs="Arial"/>
          <w:bCs/>
          <w:sz w:val="22"/>
          <w:szCs w:val="22"/>
        </w:rPr>
        <w:t>.</w:t>
      </w:r>
      <w:r w:rsidRPr="00CA11D1">
        <w:rPr>
          <w:rFonts w:ascii="Arial" w:hAnsi="Arial" w:cs="Arial"/>
          <w:bCs/>
          <w:sz w:val="22"/>
          <w:szCs w:val="22"/>
        </w:rPr>
        <w:t xml:space="preserve"> </w:t>
      </w:r>
    </w:p>
    <w:p w14:paraId="3FB82F3E" w14:textId="77777777" w:rsidR="00D36BFA" w:rsidRPr="00CA11D1" w:rsidRDefault="00D36BFA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4965F772" w14:textId="2DF08BE9" w:rsidR="0051668D" w:rsidRPr="00CA11D1" w:rsidRDefault="00305499" w:rsidP="00D36BF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 xml:space="preserve">Supplementary Data 3. </w:t>
      </w:r>
      <w:r w:rsidR="0051668D" w:rsidRPr="00CA11D1">
        <w:rPr>
          <w:rFonts w:ascii="Arial" w:hAnsi="Arial" w:cs="Arial"/>
          <w:bCs/>
          <w:sz w:val="22"/>
          <w:szCs w:val="22"/>
        </w:rPr>
        <w:t>Sample phenotypes</w:t>
      </w:r>
    </w:p>
    <w:p w14:paraId="28438059" w14:textId="77777777" w:rsidR="00D36BFA" w:rsidRPr="00CA11D1" w:rsidRDefault="008C7876" w:rsidP="00D36BF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A11D1">
        <w:rPr>
          <w:rFonts w:ascii="Arial" w:hAnsi="Arial" w:cs="Arial"/>
          <w:bCs/>
          <w:sz w:val="22"/>
          <w:szCs w:val="22"/>
        </w:rPr>
        <w:t>Biological, environmental and phenotypic records</w:t>
      </w:r>
      <w:r w:rsidR="00305499" w:rsidRPr="00CA11D1">
        <w:rPr>
          <w:rFonts w:ascii="Arial" w:hAnsi="Arial" w:cs="Arial"/>
          <w:bCs/>
          <w:sz w:val="22"/>
          <w:szCs w:val="22"/>
        </w:rPr>
        <w:t xml:space="preserve"> about the samples used in the heritability estimates and GWAS of hibernation onset</w:t>
      </w:r>
      <w:r w:rsidRPr="00CA11D1">
        <w:rPr>
          <w:rFonts w:ascii="Arial" w:hAnsi="Arial" w:cs="Arial"/>
          <w:bCs/>
          <w:sz w:val="22"/>
          <w:szCs w:val="22"/>
        </w:rPr>
        <w:t>, including year of monitoring (year), sex, age, date of datalogger surgery, date of placement into the hibernaculum, body mass at time of torpor onset, and date of first recorded torpor</w:t>
      </w:r>
      <w:r w:rsidR="00305499" w:rsidRPr="00CA11D1">
        <w:rPr>
          <w:rFonts w:ascii="Arial" w:hAnsi="Arial" w:cs="Arial"/>
          <w:bCs/>
          <w:sz w:val="22"/>
          <w:szCs w:val="22"/>
        </w:rPr>
        <w:t>.</w:t>
      </w:r>
    </w:p>
    <w:p w14:paraId="2D87AC4A" w14:textId="28A049FF" w:rsidR="00305499" w:rsidRPr="00CA11D1" w:rsidRDefault="00305499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A11D1">
        <w:rPr>
          <w:rFonts w:ascii="Arial" w:hAnsi="Arial" w:cs="Arial"/>
          <w:bCs/>
          <w:sz w:val="22"/>
          <w:szCs w:val="22"/>
        </w:rPr>
        <w:t xml:space="preserve"> </w:t>
      </w:r>
    </w:p>
    <w:p w14:paraId="48E96BBF" w14:textId="25257C75" w:rsidR="00305499" w:rsidRPr="00CA11D1" w:rsidRDefault="00305499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 xml:space="preserve">Supplementary Data 4. </w:t>
      </w:r>
      <w:r w:rsidRPr="00CA11D1">
        <w:rPr>
          <w:rFonts w:ascii="Arial" w:hAnsi="Arial" w:cs="Arial"/>
          <w:bCs/>
          <w:sz w:val="22"/>
          <w:szCs w:val="22"/>
        </w:rPr>
        <w:t xml:space="preserve">Heart </w:t>
      </w:r>
      <w:r w:rsidRPr="00CA11D1">
        <w:rPr>
          <w:rFonts w:ascii="Arial" w:hAnsi="Arial" w:cs="Arial"/>
          <w:bCs/>
          <w:i/>
          <w:sz w:val="22"/>
          <w:szCs w:val="22"/>
        </w:rPr>
        <w:t>trans-</w:t>
      </w:r>
      <w:proofErr w:type="spellStart"/>
      <w:r w:rsidRPr="00CA11D1">
        <w:rPr>
          <w:rFonts w:ascii="Arial" w:hAnsi="Arial" w:cs="Arial"/>
          <w:bCs/>
          <w:sz w:val="22"/>
          <w:szCs w:val="22"/>
        </w:rPr>
        <w:t>eQTL</w:t>
      </w:r>
      <w:proofErr w:type="spellEnd"/>
      <w:r w:rsidRPr="00CA11D1">
        <w:rPr>
          <w:rFonts w:ascii="Arial" w:hAnsi="Arial" w:cs="Arial"/>
          <w:bCs/>
          <w:sz w:val="22"/>
          <w:szCs w:val="22"/>
        </w:rPr>
        <w:t xml:space="preserve"> results</w:t>
      </w:r>
    </w:p>
    <w:p w14:paraId="3DD76890" w14:textId="77777777" w:rsidR="00305499" w:rsidRPr="00CA11D1" w:rsidRDefault="00305499" w:rsidP="00D36BFA">
      <w:pPr>
        <w:spacing w:line="360" w:lineRule="auto"/>
        <w:rPr>
          <w:rFonts w:ascii="Arial" w:hAnsi="Arial" w:cs="Arial"/>
          <w:sz w:val="22"/>
          <w:szCs w:val="22"/>
        </w:rPr>
      </w:pPr>
      <w:r w:rsidRPr="00CA11D1">
        <w:rPr>
          <w:rFonts w:ascii="Arial" w:hAnsi="Arial" w:cs="Arial"/>
          <w:sz w:val="22"/>
          <w:szCs w:val="22"/>
        </w:rPr>
        <w:t xml:space="preserve">Table lists results for all </w:t>
      </w:r>
      <w:r w:rsidRPr="00CA11D1">
        <w:rPr>
          <w:rFonts w:ascii="Arial" w:hAnsi="Arial" w:cs="Arial"/>
          <w:i/>
          <w:sz w:val="22"/>
          <w:szCs w:val="22"/>
        </w:rPr>
        <w:t>trans-</w:t>
      </w:r>
      <w:proofErr w:type="spellStart"/>
      <w:r w:rsidRPr="00CA11D1">
        <w:rPr>
          <w:rFonts w:ascii="Arial" w:hAnsi="Arial" w:cs="Arial"/>
          <w:sz w:val="22"/>
          <w:szCs w:val="22"/>
        </w:rPr>
        <w:t>eqtl</w:t>
      </w:r>
      <w:proofErr w:type="spellEnd"/>
      <w:r w:rsidRPr="00CA11D1">
        <w:rPr>
          <w:rFonts w:ascii="Arial" w:hAnsi="Arial" w:cs="Arial"/>
          <w:sz w:val="22"/>
          <w:szCs w:val="22"/>
        </w:rPr>
        <w:t xml:space="preserve"> associations with p≤1X10</w:t>
      </w:r>
      <w:r w:rsidRPr="00CA11D1">
        <w:rPr>
          <w:rFonts w:ascii="Arial" w:hAnsi="Arial" w:cs="Arial"/>
          <w:sz w:val="22"/>
          <w:szCs w:val="22"/>
          <w:vertAlign w:val="superscript"/>
        </w:rPr>
        <w:t>−4</w:t>
      </w:r>
      <w:r w:rsidRPr="00CA11D1">
        <w:rPr>
          <w:rFonts w:ascii="Arial" w:hAnsi="Arial" w:cs="Arial"/>
          <w:sz w:val="22"/>
          <w:szCs w:val="22"/>
        </w:rPr>
        <w:t xml:space="preserve"> </w:t>
      </w:r>
    </w:p>
    <w:p w14:paraId="0BD31E8D" w14:textId="77777777" w:rsidR="00305499" w:rsidRPr="00CA11D1" w:rsidRDefault="00305499" w:rsidP="00D36BFA">
      <w:pPr>
        <w:spacing w:line="360" w:lineRule="auto"/>
        <w:rPr>
          <w:rFonts w:ascii="Arial" w:hAnsi="Arial" w:cs="Arial"/>
          <w:sz w:val="22"/>
          <w:szCs w:val="22"/>
        </w:rPr>
      </w:pPr>
      <w:r w:rsidRPr="00CA11D1">
        <w:rPr>
          <w:rFonts w:ascii="Arial" w:hAnsi="Arial" w:cs="Arial"/>
          <w:sz w:val="22"/>
          <w:szCs w:val="22"/>
        </w:rPr>
        <w:t xml:space="preserve">See Table 3 for SNP # </w:t>
      </w:r>
    </w:p>
    <w:p w14:paraId="3D47D094" w14:textId="573637F5" w:rsidR="00305499" w:rsidRPr="00CA11D1" w:rsidRDefault="00305499" w:rsidP="00D36BFA">
      <w:pPr>
        <w:spacing w:line="360" w:lineRule="auto"/>
        <w:rPr>
          <w:rFonts w:ascii="Arial" w:hAnsi="Arial" w:cs="Arial"/>
          <w:sz w:val="22"/>
          <w:szCs w:val="22"/>
        </w:rPr>
      </w:pPr>
      <w:r w:rsidRPr="00CA11D1">
        <w:rPr>
          <w:rFonts w:ascii="Arial" w:hAnsi="Arial" w:cs="Arial"/>
          <w:sz w:val="22"/>
          <w:szCs w:val="22"/>
        </w:rPr>
        <w:t>Tag ID is from the original Edge-tag datasets</w:t>
      </w:r>
      <w:r w:rsidR="00572DBF" w:rsidRPr="00CA11D1">
        <w:rPr>
          <w:rFonts w:ascii="Arial" w:hAnsi="Arial" w:cs="Arial"/>
          <w:sz w:val="22"/>
          <w:szCs w:val="22"/>
          <w:vertAlign w:val="superscript"/>
        </w:rPr>
        <w:t>1-2</w:t>
      </w:r>
    </w:p>
    <w:p w14:paraId="7ADA127D" w14:textId="2967C9FF" w:rsidR="00305499" w:rsidRPr="00CA11D1" w:rsidRDefault="00305499" w:rsidP="00D36BFA">
      <w:pPr>
        <w:spacing w:line="36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CA11D1">
        <w:rPr>
          <w:rFonts w:ascii="Arial" w:eastAsia="Times New Roman" w:hAnsi="Arial" w:cs="Arial"/>
          <w:color w:val="000000"/>
          <w:sz w:val="22"/>
          <w:szCs w:val="22"/>
        </w:rPr>
        <w:t>β is effect size estimated from quantile-normalized values</w:t>
      </w:r>
    </w:p>
    <w:p w14:paraId="0DBD0CCA" w14:textId="77777777" w:rsidR="00D36BFA" w:rsidRPr="00CA11D1" w:rsidRDefault="00D36BFA" w:rsidP="00D36BFA">
      <w:pPr>
        <w:spacing w:line="360" w:lineRule="auto"/>
        <w:rPr>
          <w:rFonts w:ascii="Arial" w:hAnsi="Arial" w:cs="Arial"/>
          <w:sz w:val="22"/>
          <w:szCs w:val="22"/>
        </w:rPr>
      </w:pPr>
    </w:p>
    <w:p w14:paraId="1B04344E" w14:textId="6472560F" w:rsidR="00305499" w:rsidRPr="00CA11D1" w:rsidRDefault="00305499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 xml:space="preserve">Supplementary Data 5. </w:t>
      </w:r>
      <w:r w:rsidRPr="00CA11D1">
        <w:rPr>
          <w:rFonts w:ascii="Arial" w:hAnsi="Arial" w:cs="Arial"/>
          <w:bCs/>
          <w:sz w:val="22"/>
          <w:szCs w:val="22"/>
        </w:rPr>
        <w:t>Sk</w:t>
      </w:r>
      <w:r w:rsidR="0051668D" w:rsidRPr="00CA11D1">
        <w:rPr>
          <w:rFonts w:ascii="Arial" w:hAnsi="Arial" w:cs="Arial"/>
          <w:bCs/>
          <w:sz w:val="22"/>
          <w:szCs w:val="22"/>
        </w:rPr>
        <w:t>eletal muscle</w:t>
      </w:r>
      <w:r w:rsidRPr="00CA11D1">
        <w:rPr>
          <w:rFonts w:ascii="Arial" w:hAnsi="Arial" w:cs="Arial"/>
          <w:bCs/>
          <w:sz w:val="22"/>
          <w:szCs w:val="22"/>
        </w:rPr>
        <w:t xml:space="preserve"> </w:t>
      </w:r>
      <w:r w:rsidRPr="00CA11D1">
        <w:rPr>
          <w:rFonts w:ascii="Arial" w:hAnsi="Arial" w:cs="Arial"/>
          <w:bCs/>
          <w:i/>
          <w:sz w:val="22"/>
          <w:szCs w:val="22"/>
        </w:rPr>
        <w:t>trans-</w:t>
      </w:r>
      <w:proofErr w:type="spellStart"/>
      <w:r w:rsidRPr="00CA11D1">
        <w:rPr>
          <w:rFonts w:ascii="Arial" w:hAnsi="Arial" w:cs="Arial"/>
          <w:bCs/>
          <w:sz w:val="22"/>
          <w:szCs w:val="22"/>
        </w:rPr>
        <w:t>eQTL</w:t>
      </w:r>
      <w:proofErr w:type="spellEnd"/>
      <w:r w:rsidRPr="00CA11D1">
        <w:rPr>
          <w:rFonts w:ascii="Arial" w:hAnsi="Arial" w:cs="Arial"/>
          <w:bCs/>
          <w:sz w:val="22"/>
          <w:szCs w:val="22"/>
        </w:rPr>
        <w:t xml:space="preserve"> results</w:t>
      </w:r>
    </w:p>
    <w:p w14:paraId="332D9167" w14:textId="02DE5FE0" w:rsidR="00305499" w:rsidRPr="00CA11D1" w:rsidRDefault="00305499" w:rsidP="00D36BFA">
      <w:pPr>
        <w:spacing w:line="360" w:lineRule="auto"/>
        <w:rPr>
          <w:rFonts w:ascii="Arial" w:hAnsi="Arial" w:cs="Arial"/>
          <w:sz w:val="22"/>
          <w:szCs w:val="22"/>
        </w:rPr>
      </w:pPr>
      <w:r w:rsidRPr="00CA11D1">
        <w:rPr>
          <w:rFonts w:ascii="Arial" w:hAnsi="Arial" w:cs="Arial"/>
          <w:sz w:val="22"/>
          <w:szCs w:val="22"/>
        </w:rPr>
        <w:t>Labeling is the same as in Supplementary Data 4</w:t>
      </w:r>
    </w:p>
    <w:p w14:paraId="2810D929" w14:textId="77777777" w:rsidR="00D36BFA" w:rsidRPr="00CA11D1" w:rsidRDefault="00D36BFA" w:rsidP="00D36BFA">
      <w:pPr>
        <w:spacing w:line="360" w:lineRule="auto"/>
        <w:rPr>
          <w:rFonts w:ascii="Arial" w:hAnsi="Arial" w:cs="Arial"/>
          <w:sz w:val="22"/>
          <w:szCs w:val="22"/>
        </w:rPr>
      </w:pPr>
    </w:p>
    <w:p w14:paraId="762FE0D3" w14:textId="518A6B1F" w:rsidR="00305499" w:rsidRPr="00CA11D1" w:rsidRDefault="00305499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 xml:space="preserve">Supplementary Data 6. </w:t>
      </w:r>
      <w:r w:rsidRPr="00CA11D1">
        <w:rPr>
          <w:rFonts w:ascii="Arial" w:hAnsi="Arial" w:cs="Arial"/>
          <w:bCs/>
          <w:sz w:val="22"/>
          <w:szCs w:val="22"/>
        </w:rPr>
        <w:t xml:space="preserve">Liver </w:t>
      </w:r>
      <w:r w:rsidRPr="00CA11D1">
        <w:rPr>
          <w:rFonts w:ascii="Arial" w:hAnsi="Arial" w:cs="Arial"/>
          <w:bCs/>
          <w:i/>
          <w:sz w:val="22"/>
          <w:szCs w:val="22"/>
        </w:rPr>
        <w:t>trans-</w:t>
      </w:r>
      <w:proofErr w:type="spellStart"/>
      <w:r w:rsidRPr="00CA11D1">
        <w:rPr>
          <w:rFonts w:ascii="Arial" w:hAnsi="Arial" w:cs="Arial"/>
          <w:bCs/>
          <w:sz w:val="22"/>
          <w:szCs w:val="22"/>
        </w:rPr>
        <w:t>eQTL</w:t>
      </w:r>
      <w:proofErr w:type="spellEnd"/>
      <w:r w:rsidRPr="00CA11D1">
        <w:rPr>
          <w:rFonts w:ascii="Arial" w:hAnsi="Arial" w:cs="Arial"/>
          <w:bCs/>
          <w:sz w:val="22"/>
          <w:szCs w:val="22"/>
        </w:rPr>
        <w:t xml:space="preserve"> results</w:t>
      </w:r>
    </w:p>
    <w:p w14:paraId="5CDF53F7" w14:textId="4056A59F" w:rsidR="00305499" w:rsidRPr="00CA11D1" w:rsidRDefault="00305499" w:rsidP="00D36BFA">
      <w:pPr>
        <w:spacing w:line="360" w:lineRule="auto"/>
        <w:rPr>
          <w:rFonts w:ascii="Arial" w:hAnsi="Arial" w:cs="Arial"/>
          <w:sz w:val="22"/>
          <w:szCs w:val="22"/>
        </w:rPr>
      </w:pPr>
      <w:r w:rsidRPr="00CA11D1">
        <w:rPr>
          <w:rFonts w:ascii="Arial" w:hAnsi="Arial" w:cs="Arial"/>
          <w:sz w:val="22"/>
          <w:szCs w:val="22"/>
        </w:rPr>
        <w:t>Labeling is the same as in Supplementary Data 4</w:t>
      </w:r>
    </w:p>
    <w:p w14:paraId="571C96E2" w14:textId="77777777" w:rsidR="00D36BFA" w:rsidRPr="00CA11D1" w:rsidRDefault="00D36BFA" w:rsidP="00D36BFA">
      <w:pPr>
        <w:spacing w:line="360" w:lineRule="auto"/>
        <w:rPr>
          <w:rFonts w:ascii="Arial" w:hAnsi="Arial" w:cs="Arial"/>
          <w:sz w:val="22"/>
          <w:szCs w:val="22"/>
        </w:rPr>
      </w:pPr>
    </w:p>
    <w:p w14:paraId="7EA500E5" w14:textId="26B4E1C6" w:rsidR="00305499" w:rsidRPr="00CA11D1" w:rsidRDefault="00305499" w:rsidP="00D36BF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A11D1">
        <w:rPr>
          <w:rFonts w:ascii="Arial" w:hAnsi="Arial" w:cs="Arial"/>
          <w:b/>
          <w:sz w:val="22"/>
          <w:szCs w:val="22"/>
        </w:rPr>
        <w:t xml:space="preserve">Supplementary Data 7. </w:t>
      </w:r>
      <w:r w:rsidRPr="00CA11D1">
        <w:rPr>
          <w:rFonts w:ascii="Arial" w:hAnsi="Arial" w:cs="Arial"/>
          <w:bCs/>
          <w:sz w:val="22"/>
          <w:szCs w:val="22"/>
        </w:rPr>
        <w:t xml:space="preserve">BAT </w:t>
      </w:r>
      <w:r w:rsidRPr="00CA11D1">
        <w:rPr>
          <w:rFonts w:ascii="Arial" w:hAnsi="Arial" w:cs="Arial"/>
          <w:bCs/>
          <w:i/>
          <w:sz w:val="22"/>
          <w:szCs w:val="22"/>
        </w:rPr>
        <w:t>trans-</w:t>
      </w:r>
      <w:proofErr w:type="spellStart"/>
      <w:r w:rsidRPr="00CA11D1">
        <w:rPr>
          <w:rFonts w:ascii="Arial" w:hAnsi="Arial" w:cs="Arial"/>
          <w:bCs/>
          <w:sz w:val="22"/>
          <w:szCs w:val="22"/>
        </w:rPr>
        <w:t>eQTL</w:t>
      </w:r>
      <w:proofErr w:type="spellEnd"/>
      <w:r w:rsidRPr="00CA11D1">
        <w:rPr>
          <w:rFonts w:ascii="Arial" w:hAnsi="Arial" w:cs="Arial"/>
          <w:bCs/>
          <w:sz w:val="22"/>
          <w:szCs w:val="22"/>
        </w:rPr>
        <w:t xml:space="preserve"> results</w:t>
      </w:r>
    </w:p>
    <w:p w14:paraId="3B9D3680" w14:textId="2A8AEE89" w:rsidR="00024FAC" w:rsidRPr="00CA11D1" w:rsidRDefault="00305499" w:rsidP="00D36BFA">
      <w:pPr>
        <w:spacing w:line="360" w:lineRule="auto"/>
        <w:rPr>
          <w:rFonts w:ascii="Arial" w:hAnsi="Arial" w:cs="Arial"/>
          <w:sz w:val="22"/>
          <w:szCs w:val="22"/>
        </w:rPr>
      </w:pPr>
      <w:r w:rsidRPr="00CA11D1">
        <w:rPr>
          <w:rFonts w:ascii="Arial" w:hAnsi="Arial" w:cs="Arial"/>
          <w:sz w:val="22"/>
          <w:szCs w:val="22"/>
        </w:rPr>
        <w:t xml:space="preserve">Labeling is the same as in Supplementary Data </w:t>
      </w:r>
      <w:r w:rsidR="00D36BFA" w:rsidRPr="00CA11D1">
        <w:rPr>
          <w:rFonts w:ascii="Arial" w:hAnsi="Arial" w:cs="Arial"/>
          <w:sz w:val="22"/>
          <w:szCs w:val="22"/>
        </w:rPr>
        <w:t>4</w:t>
      </w:r>
    </w:p>
    <w:p w14:paraId="2EEDC5A1" w14:textId="72C36C61" w:rsidR="00572DBF" w:rsidRPr="00CA11D1" w:rsidRDefault="00572DBF" w:rsidP="00D36BFA">
      <w:pPr>
        <w:spacing w:line="360" w:lineRule="auto"/>
        <w:rPr>
          <w:rFonts w:ascii="Arial" w:hAnsi="Arial" w:cs="Arial"/>
          <w:sz w:val="22"/>
          <w:szCs w:val="22"/>
        </w:rPr>
      </w:pPr>
    </w:p>
    <w:p w14:paraId="568AF5DB" w14:textId="77777777" w:rsidR="00CA11D1" w:rsidRDefault="00CA11D1" w:rsidP="00572DBF">
      <w:pPr>
        <w:rPr>
          <w:rFonts w:ascii="Arial" w:hAnsi="Arial"/>
          <w:b/>
          <w:sz w:val="22"/>
          <w:szCs w:val="22"/>
        </w:rPr>
      </w:pPr>
    </w:p>
    <w:p w14:paraId="7F4D210E" w14:textId="1FB75029" w:rsidR="00572DBF" w:rsidRPr="00CA11D1" w:rsidRDefault="00572DBF" w:rsidP="00572DBF">
      <w:pPr>
        <w:rPr>
          <w:rFonts w:ascii="Arial" w:hAnsi="Arial"/>
          <w:b/>
          <w:sz w:val="22"/>
          <w:szCs w:val="22"/>
        </w:rPr>
      </w:pPr>
      <w:r w:rsidRPr="00CA11D1">
        <w:rPr>
          <w:rFonts w:ascii="Arial" w:hAnsi="Arial"/>
          <w:b/>
          <w:sz w:val="22"/>
          <w:szCs w:val="22"/>
        </w:rPr>
        <w:lastRenderedPageBreak/>
        <w:t>Supplementary References</w:t>
      </w:r>
    </w:p>
    <w:p w14:paraId="4CFA105E" w14:textId="77777777" w:rsidR="00572DBF" w:rsidRPr="00CA11D1" w:rsidRDefault="00572DBF" w:rsidP="00572DBF">
      <w:pPr>
        <w:rPr>
          <w:rFonts w:ascii="Arial" w:hAnsi="Arial"/>
          <w:b/>
          <w:sz w:val="22"/>
          <w:szCs w:val="22"/>
        </w:rPr>
      </w:pPr>
    </w:p>
    <w:p w14:paraId="3052D0C6" w14:textId="77777777" w:rsidR="00572DBF" w:rsidRPr="00CA11D1" w:rsidRDefault="00572DBF" w:rsidP="00572DBF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bookmarkStart w:id="1" w:name="_ENREF_16"/>
      <w:r w:rsidRPr="00CA11D1">
        <w:rPr>
          <w:rFonts w:ascii="Arial" w:hAnsi="Arial" w:cs="Arial"/>
          <w:noProof/>
          <w:sz w:val="22"/>
          <w:szCs w:val="22"/>
        </w:rPr>
        <w:t>1</w:t>
      </w:r>
      <w:r w:rsidRPr="00CA11D1">
        <w:rPr>
          <w:rFonts w:ascii="Arial" w:hAnsi="Arial" w:cs="Arial"/>
          <w:noProof/>
          <w:sz w:val="22"/>
          <w:szCs w:val="22"/>
        </w:rPr>
        <w:tab/>
        <w:t xml:space="preserve">Grabek, K. R., Diniz Behn, C., Barsh, G. S., Hesselberth, J. R. &amp; Martin, S. L. Enhanced stability and polyadenylation of select mRNAs support rapid thermogenesis in the brown fat of a hibernator. </w:t>
      </w:r>
      <w:r w:rsidRPr="00CA11D1">
        <w:rPr>
          <w:rFonts w:ascii="Arial" w:hAnsi="Arial" w:cs="Arial"/>
          <w:i/>
          <w:noProof/>
          <w:sz w:val="22"/>
          <w:szCs w:val="22"/>
        </w:rPr>
        <w:t>eLife</w:t>
      </w:r>
      <w:r w:rsidRPr="00CA11D1">
        <w:rPr>
          <w:rFonts w:ascii="Arial" w:hAnsi="Arial" w:cs="Arial"/>
          <w:noProof/>
          <w:sz w:val="22"/>
          <w:szCs w:val="22"/>
        </w:rPr>
        <w:t xml:space="preserve"> </w:t>
      </w:r>
      <w:r w:rsidRPr="00CA11D1">
        <w:rPr>
          <w:rFonts w:ascii="Arial" w:hAnsi="Arial" w:cs="Arial"/>
          <w:b/>
          <w:noProof/>
          <w:sz w:val="22"/>
          <w:szCs w:val="22"/>
        </w:rPr>
        <w:t>4</w:t>
      </w:r>
      <w:r w:rsidRPr="00CA11D1">
        <w:rPr>
          <w:rFonts w:ascii="Arial" w:hAnsi="Arial" w:cs="Arial"/>
          <w:noProof/>
          <w:sz w:val="22"/>
          <w:szCs w:val="22"/>
        </w:rPr>
        <w:t>, doi:10.7554/eLife.04517 (2015).</w:t>
      </w:r>
      <w:bookmarkEnd w:id="1"/>
    </w:p>
    <w:p w14:paraId="7420019C" w14:textId="77777777" w:rsidR="00572DBF" w:rsidRPr="00CA11D1" w:rsidRDefault="00572DBF" w:rsidP="00572DBF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bookmarkStart w:id="2" w:name="_ENREF_40"/>
      <w:r w:rsidRPr="00CA11D1">
        <w:rPr>
          <w:rFonts w:ascii="Arial" w:hAnsi="Arial" w:cs="Arial"/>
          <w:noProof/>
          <w:sz w:val="22"/>
          <w:szCs w:val="22"/>
        </w:rPr>
        <w:t>2</w:t>
      </w:r>
      <w:r w:rsidRPr="00CA11D1">
        <w:rPr>
          <w:rFonts w:ascii="Arial" w:hAnsi="Arial" w:cs="Arial"/>
          <w:noProof/>
          <w:sz w:val="22"/>
          <w:szCs w:val="22"/>
        </w:rPr>
        <w:tab/>
        <w:t xml:space="preserve">Bogren, L. K., Grabek, K. R., Barsh, G. S. &amp; Martin, S. L. Comparative tissue transcriptomics highlights dynamic differences among tissues but conserved metabolic transcript prioritization in preparation for arousal from torpor. </w:t>
      </w:r>
      <w:r w:rsidRPr="00CA11D1">
        <w:rPr>
          <w:rFonts w:ascii="Arial" w:hAnsi="Arial" w:cs="Arial"/>
          <w:i/>
          <w:noProof/>
          <w:sz w:val="22"/>
          <w:szCs w:val="22"/>
        </w:rPr>
        <w:t>J Comp Physiol B</w:t>
      </w:r>
      <w:r w:rsidRPr="00CA11D1">
        <w:rPr>
          <w:rFonts w:ascii="Arial" w:hAnsi="Arial" w:cs="Arial"/>
          <w:noProof/>
          <w:sz w:val="22"/>
          <w:szCs w:val="22"/>
        </w:rPr>
        <w:t xml:space="preserve"> </w:t>
      </w:r>
      <w:r w:rsidRPr="00CA11D1">
        <w:rPr>
          <w:rFonts w:ascii="Arial" w:hAnsi="Arial" w:cs="Arial"/>
          <w:b/>
          <w:noProof/>
          <w:sz w:val="22"/>
          <w:szCs w:val="22"/>
        </w:rPr>
        <w:t>187</w:t>
      </w:r>
      <w:r w:rsidRPr="00CA11D1">
        <w:rPr>
          <w:rFonts w:ascii="Arial" w:hAnsi="Arial" w:cs="Arial"/>
          <w:noProof/>
          <w:sz w:val="22"/>
          <w:szCs w:val="22"/>
        </w:rPr>
        <w:t>, 735-748, doi:10.1007/s00360-017-1073-x (2017).</w:t>
      </w:r>
      <w:bookmarkEnd w:id="2"/>
    </w:p>
    <w:p w14:paraId="4E21BC99" w14:textId="77777777" w:rsidR="00572DBF" w:rsidRPr="00CA11D1" w:rsidRDefault="00572DBF" w:rsidP="00D36BFA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572DBF" w:rsidRPr="00CA11D1" w:rsidSect="00D36BFA"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99"/>
    <w:rsid w:val="001B773C"/>
    <w:rsid w:val="002A132F"/>
    <w:rsid w:val="002B6751"/>
    <w:rsid w:val="00305499"/>
    <w:rsid w:val="00455F6A"/>
    <w:rsid w:val="0051668D"/>
    <w:rsid w:val="00555942"/>
    <w:rsid w:val="00572DBF"/>
    <w:rsid w:val="006277B0"/>
    <w:rsid w:val="008C7876"/>
    <w:rsid w:val="00AB2688"/>
    <w:rsid w:val="00CA11D1"/>
    <w:rsid w:val="00CA62CE"/>
    <w:rsid w:val="00D3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5A4A62"/>
  <w15:chartTrackingRefBased/>
  <w15:docId w15:val="{1EB9EE7A-1EED-F24D-9253-DBD88BC8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549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49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99"/>
    <w:rPr>
      <w:rFonts w:ascii="Times New Roman" w:eastAsiaTheme="minorEastAsia" w:hAnsi="Times New Roman" w:cs="Times New Roman"/>
      <w:sz w:val="18"/>
      <w:szCs w:val="18"/>
    </w:rPr>
  </w:style>
  <w:style w:type="paragraph" w:customStyle="1" w:styleId="EndNoteBibliography">
    <w:name w:val="EndNote Bibliography"/>
    <w:basedOn w:val="Normal"/>
    <w:rsid w:val="00572DBF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Grabek</dc:creator>
  <cp:keywords/>
  <dc:description/>
  <cp:lastModifiedBy>Katharine Grabek</cp:lastModifiedBy>
  <cp:revision>6</cp:revision>
  <dcterms:created xsi:type="dcterms:W3CDTF">2019-10-31T21:12:00Z</dcterms:created>
  <dcterms:modified xsi:type="dcterms:W3CDTF">2019-11-01T19:03:00Z</dcterms:modified>
</cp:coreProperties>
</file>