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E5" w:rsidRPr="006A5FE4" w:rsidRDefault="00BB32E5" w:rsidP="00BB32E5">
      <w:pPr>
        <w:spacing w:after="0"/>
        <w:rPr>
          <w:rFonts w:ascii="Arial" w:hAnsi="Arial" w:cs="Arial"/>
          <w:b/>
          <w:sz w:val="24"/>
          <w:szCs w:val="24"/>
        </w:rPr>
      </w:pPr>
      <w:r w:rsidRPr="006A5FE4">
        <w:rPr>
          <w:rFonts w:ascii="Arial" w:hAnsi="Arial" w:cs="Arial"/>
          <w:b/>
          <w:sz w:val="24"/>
          <w:szCs w:val="24"/>
        </w:rPr>
        <w:t>Supplementary Information</w:t>
      </w:r>
    </w:p>
    <w:p w:rsidR="00BB32E5" w:rsidRPr="006A5FE4" w:rsidRDefault="00BB32E5" w:rsidP="00BB32E5">
      <w:pPr>
        <w:spacing w:after="0"/>
        <w:rPr>
          <w:rFonts w:ascii="Arial" w:hAnsi="Arial" w:cs="Arial"/>
          <w:b/>
          <w:sz w:val="24"/>
          <w:szCs w:val="24"/>
        </w:rPr>
      </w:pPr>
    </w:p>
    <w:p w:rsidR="00BB32E5" w:rsidRPr="006A5FE4" w:rsidRDefault="00BB32E5" w:rsidP="00BB32E5">
      <w:pPr>
        <w:rPr>
          <w:rFonts w:ascii="Arial" w:hAnsi="Arial" w:cs="Arial"/>
          <w:bCs/>
          <w:iCs/>
          <w:color w:val="000000" w:themeColor="text1"/>
          <w:sz w:val="24"/>
          <w:szCs w:val="24"/>
        </w:rPr>
      </w:pPr>
    </w:p>
    <w:p w:rsidR="00BB32E5" w:rsidRPr="006A5FE4" w:rsidRDefault="00BB32E5" w:rsidP="00BB32E5">
      <w:r w:rsidRPr="006A5FE4">
        <w:rPr>
          <w:noProof/>
        </w:rPr>
        <w:drawing>
          <wp:inline distT="0" distB="0" distL="0" distR="0" wp14:anchorId="0E1F0334" wp14:editId="56CA9D3C">
            <wp:extent cx="5943600" cy="3305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fu MA Cal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2E5" w:rsidRPr="006A5FE4" w:rsidRDefault="006A5FE4" w:rsidP="00BB32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BB32E5" w:rsidRPr="006A5FE4">
        <w:rPr>
          <w:rFonts w:ascii="Arial" w:hAnsi="Arial" w:cs="Arial"/>
          <w:b/>
          <w:sz w:val="24"/>
          <w:szCs w:val="24"/>
        </w:rPr>
        <w:t xml:space="preserve">Figure 1. Reconstruction of </w:t>
      </w:r>
      <w:r w:rsidR="00BB32E5" w:rsidRPr="006A5FE4">
        <w:rPr>
          <w:rFonts w:ascii="Arial" w:hAnsi="Arial" w:cs="Arial"/>
          <w:b/>
          <w:i/>
          <w:sz w:val="24"/>
          <w:szCs w:val="24"/>
        </w:rPr>
        <w:t>Confuciusornis</w:t>
      </w:r>
      <w:r w:rsidR="00BB32E5" w:rsidRPr="006A5FE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B32E5" w:rsidRPr="006A5FE4">
        <w:rPr>
          <w:rFonts w:ascii="Arial" w:hAnsi="Arial" w:cs="Arial"/>
          <w:b/>
          <w:i/>
          <w:sz w:val="24"/>
          <w:szCs w:val="24"/>
        </w:rPr>
        <w:t>sanctus</w:t>
      </w:r>
      <w:proofErr w:type="gramEnd"/>
      <w:r w:rsidR="00BB32E5" w:rsidRPr="006A5FE4">
        <w:rPr>
          <w:rFonts w:ascii="Arial" w:hAnsi="Arial" w:cs="Arial"/>
          <w:b/>
          <w:sz w:val="24"/>
          <w:szCs w:val="24"/>
        </w:rPr>
        <w:t xml:space="preserve"> STM 13-162.</w:t>
      </w:r>
      <w:r w:rsidR="00BB32E5" w:rsidRPr="006A5FE4">
        <w:rPr>
          <w:rFonts w:ascii="Arial" w:hAnsi="Arial" w:cs="Arial"/>
          <w:sz w:val="24"/>
          <w:szCs w:val="24"/>
        </w:rPr>
        <w:t xml:space="preserve"> The maxilla as reconstructed in Figure 1C, with rhamphotheca removed. Mechanical inlever (red) and outlever (green) are labeled </w:t>
      </w:r>
      <w:r w:rsidR="009A2691" w:rsidRPr="006A5FE4">
        <w:rPr>
          <w:rFonts w:ascii="Arial" w:hAnsi="Arial" w:cs="Arial"/>
          <w:sz w:val="24"/>
          <w:szCs w:val="24"/>
        </w:rPr>
        <w:t>after</w:t>
      </w:r>
      <w:r w:rsidR="009A2691">
        <w:rPr>
          <w:rFonts w:ascii="Arial" w:hAnsi="Arial" w:cs="Arial"/>
          <w:noProof/>
          <w:sz w:val="24"/>
          <w:szCs w:val="24"/>
          <w:vertAlign w:val="superscript"/>
        </w:rPr>
        <w:t>1</w:t>
      </w:r>
      <w:r w:rsidR="00BB32E5" w:rsidRPr="006A5FE4">
        <w:rPr>
          <w:rFonts w:ascii="Arial" w:hAnsi="Arial" w:cs="Arial"/>
          <w:sz w:val="24"/>
          <w:szCs w:val="24"/>
        </w:rPr>
        <w:t>, with lengths labeled.</w:t>
      </w:r>
    </w:p>
    <w:p w:rsidR="00BB32E5" w:rsidRPr="006A5FE4" w:rsidRDefault="00BB32E5" w:rsidP="00BB32E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B32E5" w:rsidRPr="006A5FE4" w:rsidRDefault="00BB32E5" w:rsidP="00BB32E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B32E5" w:rsidRPr="006A5FE4" w:rsidTr="00340A0C">
        <w:trPr>
          <w:trHeight w:val="300"/>
        </w:trPr>
        <w:tc>
          <w:tcPr>
            <w:tcW w:w="3116" w:type="dxa"/>
            <w:tcBorders>
              <w:bottom w:val="single" w:sz="4" w:space="0" w:color="auto"/>
            </w:tcBorders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A5FE4">
              <w:rPr>
                <w:rFonts w:ascii="Arial" w:eastAsia="Times New Roman" w:hAnsi="Arial" w:cs="Arial"/>
                <w:b/>
                <w:color w:val="000000"/>
              </w:rPr>
              <w:t>Rhamphotheca Thickness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6A5FE4">
              <w:rPr>
                <w:rFonts w:ascii="Arial" w:eastAsia="Times New Roman" w:hAnsi="Arial" w:cs="Arial"/>
                <w:b/>
                <w:color w:val="000000"/>
              </w:rPr>
              <w:t>Max VM Stress (MPa)</w:t>
            </w:r>
          </w:p>
        </w:tc>
        <w:tc>
          <w:tcPr>
            <w:tcW w:w="3117" w:type="dxa"/>
            <w:tcBorders>
              <w:bottom w:val="single" w:sz="4" w:space="0" w:color="auto"/>
            </w:tcBorders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proofErr w:type="spellStart"/>
            <w:r w:rsidRPr="006A5FE4">
              <w:rPr>
                <w:rFonts w:ascii="Arial" w:eastAsia="Times New Roman" w:hAnsi="Arial" w:cs="Arial"/>
                <w:b/>
                <w:color w:val="000000"/>
              </w:rPr>
              <w:t>Avg</w:t>
            </w:r>
            <w:proofErr w:type="spellEnd"/>
            <w:r w:rsidRPr="006A5FE4">
              <w:rPr>
                <w:rFonts w:ascii="Arial" w:eastAsia="Times New Roman" w:hAnsi="Arial" w:cs="Arial"/>
                <w:b/>
                <w:color w:val="000000"/>
              </w:rPr>
              <w:t xml:space="preserve"> VM Stress (MPa)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tcBorders>
              <w:top w:val="single" w:sz="4" w:space="0" w:color="auto"/>
            </w:tcBorders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0%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5.609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2.19662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25%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5.827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2.24624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50%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5.695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2.25848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75%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5.839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2.25643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100%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5.891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2.28961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125%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5.507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2.1151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150%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5.864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2.24471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175%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6.081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2.32951</w:t>
            </w:r>
          </w:p>
        </w:tc>
      </w:tr>
      <w:tr w:rsidR="00BB32E5" w:rsidRPr="006A5FE4" w:rsidTr="00340A0C">
        <w:trPr>
          <w:trHeight w:val="300"/>
        </w:trPr>
        <w:tc>
          <w:tcPr>
            <w:tcW w:w="3116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200%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6.102</w:t>
            </w:r>
          </w:p>
        </w:tc>
        <w:tc>
          <w:tcPr>
            <w:tcW w:w="3117" w:type="dxa"/>
            <w:noWrap/>
            <w:hideMark/>
          </w:tcPr>
          <w:p w:rsidR="00BB32E5" w:rsidRPr="006A5FE4" w:rsidRDefault="00BB32E5" w:rsidP="00340A0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6A5FE4">
              <w:rPr>
                <w:rFonts w:ascii="Arial" w:eastAsia="Times New Roman" w:hAnsi="Arial" w:cs="Arial"/>
                <w:color w:val="000000"/>
              </w:rPr>
              <w:t>2.30009</w:t>
            </w:r>
          </w:p>
        </w:tc>
      </w:tr>
    </w:tbl>
    <w:p w:rsidR="00BB32E5" w:rsidRPr="006A5FE4" w:rsidRDefault="006A5FE4" w:rsidP="00BB32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BB32E5" w:rsidRPr="006A5FE4">
        <w:rPr>
          <w:rFonts w:ascii="Arial" w:hAnsi="Arial" w:cs="Arial"/>
          <w:b/>
          <w:sz w:val="24"/>
          <w:szCs w:val="24"/>
        </w:rPr>
        <w:t xml:space="preserve">Table 1. Sample Sensitivity Analysis of Rhamphotheca Thickness Effect on FEA. </w:t>
      </w:r>
      <w:r w:rsidR="00BB32E5" w:rsidRPr="006A5FE4">
        <w:rPr>
          <w:rFonts w:ascii="Arial" w:hAnsi="Arial" w:cs="Arial"/>
          <w:sz w:val="24"/>
          <w:szCs w:val="24"/>
        </w:rPr>
        <w:t xml:space="preserve">Example based on the model of </w:t>
      </w:r>
      <w:r w:rsidR="00BB32E5" w:rsidRPr="006A5FE4">
        <w:rPr>
          <w:rFonts w:ascii="Arial" w:hAnsi="Arial" w:cs="Arial"/>
          <w:i/>
          <w:sz w:val="24"/>
          <w:szCs w:val="24"/>
        </w:rPr>
        <w:t xml:space="preserve">Lonchura </w:t>
      </w:r>
      <w:proofErr w:type="gramStart"/>
      <w:r w:rsidR="00BB32E5" w:rsidRPr="006A5FE4">
        <w:rPr>
          <w:rFonts w:ascii="Arial" w:hAnsi="Arial" w:cs="Arial"/>
          <w:i/>
          <w:sz w:val="24"/>
          <w:szCs w:val="24"/>
        </w:rPr>
        <w:t>malacca</w:t>
      </w:r>
      <w:proofErr w:type="gramEnd"/>
      <w:r w:rsidR="00BB32E5" w:rsidRPr="006A5FE4">
        <w:rPr>
          <w:rFonts w:ascii="Arial" w:hAnsi="Arial" w:cs="Arial"/>
          <w:sz w:val="24"/>
          <w:szCs w:val="24"/>
        </w:rPr>
        <w:t xml:space="preserve"> (Fig. 2E) in which sensitivity was relatively high in order to present a conservative estimate. VM stress was worked with disregarding the upper 2% of values as singularities </w:t>
      </w:r>
      <w:r w:rsidR="009A2691" w:rsidRPr="006A5FE4">
        <w:rPr>
          <w:rFonts w:ascii="Arial" w:hAnsi="Arial" w:cs="Arial"/>
          <w:sz w:val="24"/>
          <w:szCs w:val="24"/>
        </w:rPr>
        <w:t>after</w:t>
      </w:r>
      <w:r w:rsidR="009A2691">
        <w:rPr>
          <w:rFonts w:ascii="Arial" w:hAnsi="Arial" w:cs="Arial"/>
          <w:noProof/>
          <w:sz w:val="24"/>
          <w:szCs w:val="24"/>
          <w:vertAlign w:val="superscript"/>
        </w:rPr>
        <w:t>2</w:t>
      </w:r>
      <w:r w:rsidR="00BB32E5" w:rsidRPr="006A5FE4">
        <w:rPr>
          <w:rFonts w:ascii="Arial" w:hAnsi="Arial" w:cs="Arial"/>
          <w:sz w:val="24"/>
          <w:szCs w:val="24"/>
        </w:rPr>
        <w:t xml:space="preserve">. Rhamphotheca thickness is given relative to that used in Figure 2. Thickness was </w:t>
      </w:r>
      <w:r w:rsidR="00BB32E5" w:rsidRPr="006A5FE4">
        <w:rPr>
          <w:rFonts w:ascii="Arial" w:hAnsi="Arial" w:cs="Arial"/>
          <w:sz w:val="24"/>
          <w:szCs w:val="24"/>
        </w:rPr>
        <w:lastRenderedPageBreak/>
        <w:t>modulated by increasing or decreasing the amount of underlying bone, so as to not affect the overall lever length of the jaw. While there is a weak trend of increase (R</w:t>
      </w:r>
      <w:r w:rsidR="00BB32E5" w:rsidRPr="006A5FE4">
        <w:rPr>
          <w:rFonts w:ascii="Arial" w:hAnsi="Arial" w:cs="Arial"/>
          <w:sz w:val="24"/>
          <w:szCs w:val="24"/>
          <w:vertAlign w:val="superscript"/>
        </w:rPr>
        <w:t>2</w:t>
      </w:r>
      <w:r w:rsidR="00BB32E5" w:rsidRPr="006A5FE4">
        <w:rPr>
          <w:rFonts w:ascii="Arial" w:hAnsi="Arial" w:cs="Arial"/>
          <w:sz w:val="24"/>
          <w:szCs w:val="24"/>
        </w:rPr>
        <w:t xml:space="preserve"> = 0.4) in the maximum VM stress experienced with increased thickness, likely due to compressing the tip of the mandible to smaller elements, the overall average VM stress resembles pure noise (R</w:t>
      </w:r>
      <w:r w:rsidR="00BB32E5" w:rsidRPr="006A5FE4">
        <w:rPr>
          <w:rFonts w:ascii="Arial" w:hAnsi="Arial" w:cs="Arial"/>
          <w:sz w:val="24"/>
          <w:szCs w:val="24"/>
          <w:vertAlign w:val="superscript"/>
        </w:rPr>
        <w:t>2</w:t>
      </w:r>
      <w:r w:rsidR="00BB32E5" w:rsidRPr="006A5FE4">
        <w:rPr>
          <w:rFonts w:ascii="Arial" w:hAnsi="Arial" w:cs="Arial"/>
          <w:sz w:val="24"/>
          <w:szCs w:val="24"/>
        </w:rPr>
        <w:t xml:space="preserve"> = 0.1). The range of VM stress within a taxa (0.6 MPa) is also much less than the range between taxa (8.9 MPa).</w:t>
      </w:r>
    </w:p>
    <w:p w:rsidR="00BB32E5" w:rsidRPr="006A5FE4" w:rsidRDefault="00BB32E5" w:rsidP="00BB32E5">
      <w:pPr>
        <w:spacing w:after="0"/>
        <w:rPr>
          <w:rFonts w:ascii="Arial" w:eastAsiaTheme="majorEastAsia" w:hAnsi="Arial" w:cs="Arial"/>
          <w:b/>
          <w:sz w:val="24"/>
          <w:szCs w:val="24"/>
        </w:rPr>
      </w:pPr>
    </w:p>
    <w:p w:rsidR="00BB32E5" w:rsidRPr="006A5FE4" w:rsidRDefault="00BB32E5" w:rsidP="00BB32E5">
      <w:pPr>
        <w:spacing w:after="0"/>
        <w:rPr>
          <w:rFonts w:ascii="Arial" w:eastAsiaTheme="majorEastAsia" w:hAnsi="Arial" w:cs="Arial"/>
          <w:b/>
          <w:sz w:val="24"/>
          <w:szCs w:val="24"/>
        </w:rPr>
      </w:pPr>
      <w:r w:rsidRPr="006A5FE4">
        <w:rPr>
          <w:rFonts w:ascii="Arial" w:eastAsiaTheme="majorEastAsia" w:hAnsi="Arial" w:cs="Arial"/>
          <w:b/>
          <w:sz w:val="24"/>
          <w:szCs w:val="24"/>
        </w:rPr>
        <w:t>Supplementary References</w:t>
      </w:r>
    </w:p>
    <w:p w:rsidR="00BB32E5" w:rsidRPr="006A5FE4" w:rsidRDefault="00BB32E5" w:rsidP="00BB32E5">
      <w:pPr>
        <w:pStyle w:val="EndNoteBibliography"/>
        <w:spacing w:after="0"/>
      </w:pPr>
    </w:p>
    <w:p w:rsidR="00BB32E5" w:rsidRPr="006A5FE4" w:rsidRDefault="009A2691" w:rsidP="00BB32E5">
      <w:pPr>
        <w:pStyle w:val="EndNoteBibliography"/>
        <w:spacing w:after="0"/>
        <w:ind w:left="720" w:hanging="720"/>
      </w:pPr>
      <w:r>
        <w:t>1</w:t>
      </w:r>
      <w:r w:rsidR="00BB32E5" w:rsidRPr="006A5FE4">
        <w:t>.</w:t>
      </w:r>
      <w:r w:rsidR="00BB32E5" w:rsidRPr="006A5FE4">
        <w:tab/>
        <w:t xml:space="preserve">Navalón G, Bright JA, Marugán-Lobón J, Rayfield EJ. The evolutionary relationship among beak shape, mechanical advantage, and feeding ecology in modern birds. </w:t>
      </w:r>
      <w:r w:rsidR="00BB32E5" w:rsidRPr="006A5FE4">
        <w:rPr>
          <w:i/>
        </w:rPr>
        <w:t>Evolution</w:t>
      </w:r>
      <w:r w:rsidR="00BB32E5" w:rsidRPr="006A5FE4">
        <w:t xml:space="preserve"> </w:t>
      </w:r>
      <w:r w:rsidR="00BB32E5" w:rsidRPr="006A5FE4">
        <w:rPr>
          <w:b/>
        </w:rPr>
        <w:t>73</w:t>
      </w:r>
      <w:r w:rsidR="00BB32E5" w:rsidRPr="006A5FE4">
        <w:t>, 422-435 (2018).</w:t>
      </w:r>
    </w:p>
    <w:p w:rsidR="00BB32E5" w:rsidRPr="006A5FE4" w:rsidRDefault="00BB32E5" w:rsidP="00BB32E5">
      <w:pPr>
        <w:pStyle w:val="EndNoteBibliography"/>
        <w:spacing w:after="0"/>
      </w:pPr>
    </w:p>
    <w:p w:rsidR="00BB32E5" w:rsidRDefault="009A2691" w:rsidP="00BB32E5">
      <w:pPr>
        <w:pStyle w:val="EndNoteBibliography"/>
        <w:spacing w:after="0"/>
        <w:ind w:left="720" w:hanging="720"/>
      </w:pPr>
      <w:r>
        <w:t>2</w:t>
      </w:r>
      <w:r w:rsidR="00BB32E5" w:rsidRPr="006A5FE4">
        <w:t>.</w:t>
      </w:r>
      <w:r w:rsidR="00BB32E5" w:rsidRPr="006A5FE4">
        <w:tab/>
        <w:t xml:space="preserve">Marcé-Nogué J, De Esteban-Trivigno S, Püschel TA, Fortuny J. The intervals method: a new approach to analyse finite element outputs using multivariate statistics. </w:t>
      </w:r>
      <w:r w:rsidR="00BB32E5" w:rsidRPr="006A5FE4">
        <w:rPr>
          <w:i/>
        </w:rPr>
        <w:t>PeerJ</w:t>
      </w:r>
      <w:r w:rsidR="00BB32E5" w:rsidRPr="006A5FE4">
        <w:t xml:space="preserve"> </w:t>
      </w:r>
      <w:r w:rsidR="00BB32E5" w:rsidRPr="006A5FE4">
        <w:rPr>
          <w:b/>
        </w:rPr>
        <w:t>5</w:t>
      </w:r>
      <w:r w:rsidR="00BB32E5" w:rsidRPr="006A5FE4">
        <w:t>, e3793 (2017).</w:t>
      </w:r>
    </w:p>
    <w:p w:rsidR="008B5842" w:rsidRDefault="001460C4"/>
    <w:sectPr w:rsidR="008B5842" w:rsidSect="00BB3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E5"/>
    <w:rsid w:val="001460C4"/>
    <w:rsid w:val="001926F8"/>
    <w:rsid w:val="004E0BC4"/>
    <w:rsid w:val="006A5FE4"/>
    <w:rsid w:val="007F2DBE"/>
    <w:rsid w:val="00930072"/>
    <w:rsid w:val="009A2691"/>
    <w:rsid w:val="009D5A95"/>
    <w:rsid w:val="009E3056"/>
    <w:rsid w:val="00BB32E5"/>
    <w:rsid w:val="00C062EE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50CC98-401C-4D77-BC92-30A122F4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E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negieAnnalsHeading1">
    <w:name w:val="Carnegie Annals Heading 1"/>
    <w:basedOn w:val="Normal"/>
    <w:next w:val="Normal"/>
    <w:link w:val="CarnegieAnnalsHeading1Char"/>
    <w:qFormat/>
    <w:rsid w:val="009E3056"/>
    <w:pPr>
      <w:spacing w:after="0" w:line="480" w:lineRule="auto"/>
      <w:jc w:val="center"/>
    </w:pPr>
    <w:rPr>
      <w:rFonts w:ascii="Arial" w:eastAsiaTheme="minorHAnsi" w:hAnsi="Arial" w:cs="Arial"/>
      <w:sz w:val="24"/>
      <w:szCs w:val="24"/>
    </w:rPr>
  </w:style>
  <w:style w:type="character" w:customStyle="1" w:styleId="CarnegieAnnalsHeading1Char">
    <w:name w:val="Carnegie Annals Heading 1 Char"/>
    <w:basedOn w:val="DefaultParagraphFont"/>
    <w:link w:val="CarnegieAnnalsHeading1"/>
    <w:rsid w:val="009E3056"/>
    <w:rPr>
      <w:rFonts w:ascii="Arial" w:hAnsi="Arial" w:cs="Arial"/>
      <w:sz w:val="24"/>
      <w:szCs w:val="24"/>
    </w:rPr>
  </w:style>
  <w:style w:type="paragraph" w:customStyle="1" w:styleId="SmallCaps">
    <w:name w:val="SmallCaps"/>
    <w:qFormat/>
    <w:rsid w:val="00C062EE"/>
    <w:pPr>
      <w:spacing w:line="480" w:lineRule="auto"/>
      <w:ind w:left="720" w:hanging="720"/>
    </w:pPr>
    <w:rPr>
      <w:rFonts w:ascii="Arial" w:hAnsi="Arial" w:cs="Arial"/>
      <w:smallCaps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B32E5"/>
    <w:pPr>
      <w:spacing w:line="24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B32E5"/>
    <w:rPr>
      <w:rFonts w:ascii="Arial" w:eastAsiaTheme="minorEastAsia" w:hAnsi="Arial" w:cs="Arial"/>
      <w:noProof/>
      <w:sz w:val="24"/>
    </w:rPr>
  </w:style>
  <w:style w:type="table" w:styleId="TableGrid">
    <w:name w:val="Table Grid"/>
    <w:basedOn w:val="TableNormal"/>
    <w:uiPriority w:val="39"/>
    <w:rsid w:val="00BB32E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B3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Miller</dc:creator>
  <cp:keywords/>
  <dc:description/>
  <cp:lastModifiedBy>C. Miller</cp:lastModifiedBy>
  <cp:revision>3</cp:revision>
  <dcterms:created xsi:type="dcterms:W3CDTF">2020-08-11T15:38:00Z</dcterms:created>
  <dcterms:modified xsi:type="dcterms:W3CDTF">2020-09-07T15:18:00Z</dcterms:modified>
</cp:coreProperties>
</file>