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F3E" w:rsidRDefault="00D1442D">
      <w:pPr>
        <w:rPr>
          <w:b/>
        </w:rPr>
      </w:pPr>
      <w:r w:rsidRPr="00D1442D">
        <w:rPr>
          <w:b/>
        </w:rPr>
        <w:t>Description of Additional Supplementary Files</w:t>
      </w:r>
    </w:p>
    <w:p w:rsidR="00D1442D" w:rsidRDefault="00D1442D">
      <w:r>
        <w:t>File name: Supplementary Data 1</w:t>
      </w:r>
    </w:p>
    <w:p w:rsidR="00D1442D" w:rsidRPr="00D1442D" w:rsidRDefault="00D1442D">
      <w:r>
        <w:t xml:space="preserve">Description: Raw data from </w:t>
      </w:r>
      <w:r>
        <w:rPr>
          <w:rFonts w:ascii="Calibri" w:eastAsia="Times New Roman" w:hAnsi="Calibri" w:cs="Calibri"/>
          <w:color w:val="000000"/>
        </w:rPr>
        <w:t>e</w:t>
      </w:r>
      <w:r w:rsidRPr="00D1442D">
        <w:rPr>
          <w:rFonts w:ascii="Calibri" w:eastAsia="Times New Roman" w:hAnsi="Calibri" w:cs="Calibri"/>
          <w:color w:val="000000"/>
        </w:rPr>
        <w:t>xponential multiplication rate assays conducted over 6 days (isolates being sampled from maintenance culture from day 25</w:t>
      </w:r>
      <w:r>
        <w:rPr>
          <w:rFonts w:ascii="Calibri" w:eastAsia="Times New Roman" w:hAnsi="Calibri" w:cs="Calibri"/>
          <w:color w:val="000000"/>
        </w:rPr>
        <w:t>, 77, and 153</w:t>
      </w:r>
      <w:r w:rsidRPr="00D1442D">
        <w:rPr>
          <w:rFonts w:ascii="Calibri" w:eastAsia="Times New Roman" w:hAnsi="Calibri" w:cs="Calibri"/>
          <w:color w:val="000000"/>
        </w:rPr>
        <w:t>)</w:t>
      </w:r>
      <w:r>
        <w:rPr>
          <w:rFonts w:ascii="Calibri" w:eastAsia="Times New Roman" w:hAnsi="Calibri" w:cs="Calibri"/>
          <w:color w:val="000000"/>
        </w:rPr>
        <w:t>.</w:t>
      </w:r>
      <w:r w:rsidRPr="00D1442D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>P</w:t>
      </w:r>
      <w:r w:rsidRPr="00D1442D">
        <w:rPr>
          <w:rFonts w:ascii="Calibri" w:eastAsia="Times New Roman" w:hAnsi="Calibri" w:cs="Calibri"/>
          <w:color w:val="000000"/>
        </w:rPr>
        <w:t xml:space="preserve">arasite genome copy numbers </w:t>
      </w:r>
      <w:r>
        <w:rPr>
          <w:rFonts w:ascii="Calibri" w:eastAsia="Times New Roman" w:hAnsi="Calibri" w:cs="Calibri"/>
          <w:color w:val="000000"/>
        </w:rPr>
        <w:t xml:space="preserve">were </w:t>
      </w:r>
      <w:r w:rsidRPr="00D1442D">
        <w:rPr>
          <w:rFonts w:ascii="Calibri" w:eastAsia="Times New Roman" w:hAnsi="Calibri" w:cs="Calibri"/>
          <w:color w:val="000000"/>
        </w:rPr>
        <w:t>derived by qPCR of the target single-copy gene locus PF3D7_1031000.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D1442D">
        <w:rPr>
          <w:rFonts w:ascii="Calibri" w:eastAsia="Times New Roman" w:hAnsi="Calibri" w:cs="Calibri"/>
          <w:color w:val="000000"/>
        </w:rPr>
        <w:t>Multiplication rate was estimated by logistic regression using all experimental replicate data following technical quality control. The triplicate experimental replicates are shown underneath each isolate identifier.</w:t>
      </w:r>
      <w:bookmarkStart w:id="0" w:name="_GoBack"/>
      <w:bookmarkEnd w:id="0"/>
    </w:p>
    <w:sectPr w:rsidR="00D1442D" w:rsidRPr="00D14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2D"/>
    <w:rsid w:val="00830F3E"/>
    <w:rsid w:val="00D1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478</Characters>
  <Application>Microsoft Office Word</Application>
  <DocSecurity>0</DocSecurity>
  <Lines>3</Lines>
  <Paragraphs>1</Paragraphs>
  <ScaleCrop>false</ScaleCrop>
  <Company>Springer-SBM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Caitlin Karniski</dc:creator>
  <cp:lastModifiedBy>Caitlin Karniski</cp:lastModifiedBy>
  <cp:revision>1</cp:revision>
  <dcterms:created xsi:type="dcterms:W3CDTF">2020-10-01T20:37:00Z</dcterms:created>
  <dcterms:modified xsi:type="dcterms:W3CDTF">2020-10-01T20:43:00Z</dcterms:modified>
</cp:coreProperties>
</file>