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E97B8" w14:textId="2F96CD32" w:rsidR="00C747E1" w:rsidRPr="00BB4C61" w:rsidRDefault="00833BFB" w:rsidP="00B41E8A">
      <w:pPr>
        <w:spacing w:line="360" w:lineRule="auto"/>
        <w:rPr>
          <w:rFonts w:ascii="Palatino Linotype" w:hAnsi="Palatino Linotype"/>
          <w:b/>
          <w:sz w:val="32"/>
          <w:szCs w:val="32"/>
          <w:lang w:val="en-US"/>
        </w:rPr>
      </w:pPr>
      <w:r w:rsidRPr="00BB4C61">
        <w:rPr>
          <w:rFonts w:ascii="Palatino Linotype" w:hAnsi="Palatino Linotype"/>
          <w:b/>
          <w:sz w:val="32"/>
          <w:szCs w:val="32"/>
          <w:lang w:val="en-US"/>
        </w:rPr>
        <w:t xml:space="preserve">Supplementary material </w:t>
      </w:r>
    </w:p>
    <w:p w14:paraId="5205D2A9" w14:textId="474AB488" w:rsidR="00C747E1" w:rsidRPr="00B41E8A" w:rsidRDefault="001B6D7F" w:rsidP="00B41E8A">
      <w:pPr>
        <w:spacing w:line="360" w:lineRule="auto"/>
        <w:rPr>
          <w:rFonts w:ascii="Palatino Linotype" w:hAnsi="Palatino Linotype"/>
          <w:b/>
          <w:sz w:val="28"/>
          <w:szCs w:val="28"/>
          <w:lang w:val="en-US"/>
        </w:rPr>
      </w:pPr>
      <w:r>
        <w:rPr>
          <w:rFonts w:ascii="Palatino Linotype" w:hAnsi="Palatino Linotype" w:cs="Helvetica"/>
          <w:b/>
          <w:noProof/>
          <w:color w:val="000000"/>
          <w:sz w:val="26"/>
          <w:szCs w:val="26"/>
          <w:lang w:eastAsia="it-IT"/>
        </w:rPr>
        <w:drawing>
          <wp:anchor distT="0" distB="0" distL="114300" distR="114300" simplePos="0" relativeHeight="251662336" behindDoc="0" locked="0" layoutInCell="1" allowOverlap="1" wp14:anchorId="541E36B1" wp14:editId="72A9C102">
            <wp:simplePos x="0" y="0"/>
            <wp:positionH relativeFrom="margin">
              <wp:align>center</wp:align>
            </wp:positionH>
            <wp:positionV relativeFrom="paragraph">
              <wp:posOffset>471170</wp:posOffset>
            </wp:positionV>
            <wp:extent cx="5400000" cy="4143600"/>
            <wp:effectExtent l="0" t="0" r="0" b="0"/>
            <wp:wrapTopAndBottom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1_supplementary_materia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1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3FE40B" w14:textId="7EBD5A8E" w:rsidR="001B6D7F" w:rsidRDefault="001B6D7F" w:rsidP="00B41E8A">
      <w:pPr>
        <w:spacing w:line="360" w:lineRule="auto"/>
        <w:jc w:val="both"/>
        <w:rPr>
          <w:rFonts w:ascii="Palatino Linotype" w:hAnsi="Palatino Linotype"/>
          <w:b/>
          <w:sz w:val="26"/>
          <w:szCs w:val="26"/>
          <w:lang w:val="en-US"/>
        </w:rPr>
      </w:pPr>
    </w:p>
    <w:p w14:paraId="630A0BF2" w14:textId="41CF728A" w:rsidR="00784818" w:rsidRPr="001B6D7F" w:rsidRDefault="00373D49" w:rsidP="001B6D7F">
      <w:pPr>
        <w:spacing w:line="360" w:lineRule="auto"/>
        <w:jc w:val="both"/>
        <w:rPr>
          <w:rFonts w:ascii="Palatino Linotype" w:hAnsi="Palatino Linotype"/>
          <w:sz w:val="26"/>
          <w:szCs w:val="26"/>
          <w:lang w:val="en-US"/>
        </w:rPr>
      </w:pPr>
      <w:r w:rsidRPr="001B6D7F">
        <w:rPr>
          <w:rFonts w:ascii="Palatino Linotype" w:hAnsi="Palatino Linotype"/>
          <w:b/>
          <w:sz w:val="26"/>
          <w:szCs w:val="26"/>
          <w:lang w:val="en-US"/>
        </w:rPr>
        <w:t xml:space="preserve">Supplementary </w:t>
      </w:r>
      <w:r w:rsidR="00CB26C3" w:rsidRPr="001B6D7F">
        <w:rPr>
          <w:rFonts w:ascii="Palatino Linotype" w:hAnsi="Palatino Linotype"/>
          <w:b/>
          <w:sz w:val="26"/>
          <w:szCs w:val="26"/>
          <w:lang w:val="en-US"/>
        </w:rPr>
        <w:t xml:space="preserve">Figure 1: </w:t>
      </w:r>
      <w:r w:rsidR="00CB26C3" w:rsidRPr="001B6D7F">
        <w:rPr>
          <w:rFonts w:ascii="Palatino Linotype" w:hAnsi="Palatino Linotype"/>
          <w:b/>
          <w:bCs/>
          <w:sz w:val="26"/>
          <w:szCs w:val="26"/>
          <w:lang w:val="en-US"/>
        </w:rPr>
        <w:t xml:space="preserve">Brain template. </w:t>
      </w:r>
      <w:r w:rsidR="00CB26C3" w:rsidRPr="001B6D7F">
        <w:rPr>
          <w:rFonts w:ascii="Palatino Linotype" w:hAnsi="Palatino Linotype"/>
          <w:sz w:val="26"/>
          <w:szCs w:val="26"/>
          <w:lang w:val="en-US"/>
        </w:rPr>
        <w:t xml:space="preserve">Flat map of fs-LR-average right hemisphere template (163.842 nodes), with cytoarchitectonic regions indicated. The bottom-right inset shows the inflated view of the same brain template. Same conventions </w:t>
      </w:r>
      <w:proofErr w:type="gramStart"/>
      <w:r w:rsidR="00CB26C3" w:rsidRPr="001B6D7F">
        <w:rPr>
          <w:rFonts w:ascii="Palatino Linotype" w:hAnsi="Palatino Linotype"/>
          <w:sz w:val="26"/>
          <w:szCs w:val="26"/>
          <w:lang w:val="en-US"/>
        </w:rPr>
        <w:t>are used</w:t>
      </w:r>
      <w:proofErr w:type="gramEnd"/>
      <w:r w:rsidR="00CB26C3" w:rsidRPr="001B6D7F">
        <w:rPr>
          <w:rFonts w:ascii="Palatino Linotype" w:hAnsi="Palatino Linotype"/>
          <w:sz w:val="26"/>
          <w:szCs w:val="26"/>
          <w:lang w:val="en-US"/>
        </w:rPr>
        <w:t xml:space="preserve"> for the brain insets shown in Figure 2 and 3. </w:t>
      </w:r>
    </w:p>
    <w:p w14:paraId="2D6FAED0" w14:textId="22DB9E1A" w:rsidR="00784818" w:rsidRDefault="00784818" w:rsidP="00784818">
      <w:pPr>
        <w:pStyle w:val="Paragrafoelenco"/>
        <w:spacing w:after="0" w:line="360" w:lineRule="auto"/>
        <w:ind w:left="0" w:firstLine="708"/>
        <w:jc w:val="both"/>
        <w:rPr>
          <w:rFonts w:ascii="Palatino Linotype" w:hAnsi="Palatino Linotype" w:cs="Helvetica"/>
          <w:b/>
          <w:color w:val="000000"/>
          <w:sz w:val="28"/>
          <w:szCs w:val="28"/>
          <w:lang w:val="en-US" w:eastAsia="it-IT"/>
        </w:rPr>
      </w:pPr>
      <w:r>
        <w:rPr>
          <w:rFonts w:ascii="Palatino Linotype" w:hAnsi="Palatino Linotype" w:cs="Helvetica"/>
          <w:b/>
          <w:noProof/>
          <w:color w:val="000000"/>
          <w:sz w:val="28"/>
          <w:szCs w:val="28"/>
          <w:lang w:eastAsia="it-IT"/>
        </w:rPr>
        <w:lastRenderedPageBreak/>
        <w:drawing>
          <wp:anchor distT="0" distB="0" distL="114300" distR="114300" simplePos="0" relativeHeight="251658240" behindDoc="0" locked="0" layoutInCell="1" allowOverlap="1" wp14:anchorId="7EF6E4D9" wp14:editId="040BA79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63600" cy="5763600"/>
            <wp:effectExtent l="0" t="0" r="8890" b="889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2_supplementary_materia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600" cy="57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72C58F" w14:textId="3A9F2265" w:rsidR="003A3984" w:rsidRPr="00784818" w:rsidRDefault="00373D49" w:rsidP="00B41E8A">
      <w:pPr>
        <w:pStyle w:val="Paragrafoelenco"/>
        <w:spacing w:after="0" w:line="360" w:lineRule="auto"/>
        <w:ind w:left="0"/>
        <w:jc w:val="both"/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</w:pPr>
      <w:r w:rsidRPr="00784818">
        <w:rPr>
          <w:rFonts w:ascii="Palatino Linotype" w:hAnsi="Palatino Linotype" w:cs="Helvetica"/>
          <w:b/>
          <w:color w:val="000000"/>
          <w:sz w:val="26"/>
          <w:szCs w:val="26"/>
          <w:lang w:val="en-US" w:eastAsia="it-IT"/>
        </w:rPr>
        <w:t xml:space="preserve">Supplementary </w:t>
      </w:r>
      <w:r w:rsidR="00FE7323" w:rsidRPr="00784818">
        <w:rPr>
          <w:rFonts w:ascii="Palatino Linotype" w:hAnsi="Palatino Linotype" w:cs="Helvetica"/>
          <w:b/>
          <w:color w:val="000000"/>
          <w:sz w:val="26"/>
          <w:szCs w:val="26"/>
          <w:lang w:val="en-US" w:eastAsia="it-IT"/>
        </w:rPr>
        <w:t>Figure 2: Gamma band time-course following neurophysiological tests of SII leads responsive in at least one phase of the experimental paradigm</w:t>
      </w:r>
      <w:r w:rsidR="00FE7323" w:rsidRPr="00784818">
        <w:rPr>
          <w:rFonts w:ascii="Palatino Linotype" w:eastAsia="Times New Roman" w:hAnsi="Palatino Linotype" w:cs="Helvetica"/>
          <w:b/>
          <w:color w:val="000000"/>
          <w:sz w:val="26"/>
          <w:szCs w:val="26"/>
          <w:lang w:val="en-US" w:eastAsia="it-IT"/>
        </w:rPr>
        <w:t>.</w:t>
      </w:r>
      <w:r w:rsidR="00FE7323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 Figure 2 shows the</w:t>
      </w:r>
      <w:r w:rsidR="00CA5AAB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 normalized (z-score)</w:t>
      </w:r>
      <w:r w:rsidR="00FE7323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 gamma band temporal course</w:t>
      </w:r>
      <w:r w:rsidR="00E363E0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 </w:t>
      </w:r>
      <w:r w:rsidR="00E363E0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(±SE) </w:t>
      </w:r>
      <w:r w:rsidR="00FE7323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 of both left (red trace) and right SII (black trace) in response to median nerve (panel </w:t>
      </w:r>
      <w:r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>a</w:t>
      </w:r>
      <w:r w:rsidR="00FE7323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>)</w:t>
      </w:r>
      <w:r w:rsidR="009E1A9F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, to visual (panel </w:t>
      </w:r>
      <w:r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>b</w:t>
      </w:r>
      <w:r w:rsidR="009E1A9F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), to optokinetic (panel </w:t>
      </w:r>
      <w:r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>c</w:t>
      </w:r>
      <w:r w:rsidR="009E1A9F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), to acoustical stimulation (panel </w:t>
      </w:r>
      <w:r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>d</w:t>
      </w:r>
      <w:r w:rsidR="009E0167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 and </w:t>
      </w:r>
      <w:r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>e</w:t>
      </w:r>
      <w:r w:rsidR="009E1A9F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>, respectively to 40 and 85 dB</w:t>
      </w:r>
      <w:r w:rsidR="00E363E0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 SPL</w:t>
      </w:r>
      <w:r w:rsidR="009E1A9F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>)</w:t>
      </w:r>
      <w:r w:rsidR="00FE7323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>. The average has been computed taking into account all leads (2</w:t>
      </w:r>
      <w:r w:rsidR="009E1A9F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>2</w:t>
      </w:r>
      <w:r w:rsidR="00FE7323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 left, </w:t>
      </w:r>
      <w:r w:rsidR="00DA62E9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>19</w:t>
      </w:r>
      <w:r w:rsidR="00FE7323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 right) with a statistically significant response to</w:t>
      </w:r>
      <w:r w:rsidR="009E1A9F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 at least one phase of the experimental paradigm (</w:t>
      </w:r>
      <w:r w:rsidR="009E1A9F" w:rsidRPr="00784818">
        <w:rPr>
          <w:rFonts w:ascii="Palatino Linotype" w:eastAsia="Times New Roman" w:hAnsi="Palatino Linotype" w:cs="Helvetica"/>
          <w:i/>
          <w:color w:val="000000"/>
          <w:sz w:val="26"/>
          <w:szCs w:val="26"/>
          <w:lang w:val="en-US" w:eastAsia="it-IT"/>
        </w:rPr>
        <w:t xml:space="preserve">see </w:t>
      </w:r>
      <w:r w:rsidR="00E220AF" w:rsidRPr="00784818">
        <w:rPr>
          <w:rFonts w:ascii="Palatino Linotype" w:eastAsia="Times New Roman" w:hAnsi="Palatino Linotype" w:cs="Helvetica"/>
          <w:i/>
          <w:color w:val="000000"/>
          <w:sz w:val="26"/>
          <w:szCs w:val="26"/>
          <w:lang w:val="en-US" w:eastAsia="it-IT"/>
        </w:rPr>
        <w:t>M</w:t>
      </w:r>
      <w:r w:rsidR="009E1A9F" w:rsidRPr="00784818">
        <w:rPr>
          <w:rFonts w:ascii="Palatino Linotype" w:eastAsia="Times New Roman" w:hAnsi="Palatino Linotype" w:cs="Helvetica"/>
          <w:i/>
          <w:color w:val="000000"/>
          <w:sz w:val="26"/>
          <w:szCs w:val="26"/>
          <w:lang w:val="en-US" w:eastAsia="it-IT"/>
        </w:rPr>
        <w:t>ethods</w:t>
      </w:r>
      <w:r w:rsidR="009E1A9F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>)</w:t>
      </w:r>
      <w:r w:rsidR="00B41E8A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>.</w:t>
      </w:r>
      <w:r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 For visualization purposes, data are </w:t>
      </w:r>
      <w:proofErr w:type="spellStart"/>
      <w:r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>Savitzky-Golay</w:t>
      </w:r>
      <w:proofErr w:type="spellEnd"/>
      <w:r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 filtered. </w:t>
      </w:r>
    </w:p>
    <w:p w14:paraId="755248E8" w14:textId="4E48DA34" w:rsidR="00373D49" w:rsidRPr="001B6D7F" w:rsidRDefault="001B6D7F" w:rsidP="001B6D7F">
      <w:pPr>
        <w:spacing w:line="360" w:lineRule="auto"/>
        <w:jc w:val="both"/>
        <w:rPr>
          <w:rFonts w:ascii="Palatino Linotype" w:hAnsi="Palatino Linotype" w:cs="Helvetica"/>
          <w:b/>
          <w:color w:val="000000"/>
          <w:sz w:val="26"/>
          <w:szCs w:val="26"/>
          <w:lang w:val="en-US" w:eastAsia="it-IT"/>
        </w:rPr>
      </w:pPr>
      <w:r>
        <w:rPr>
          <w:rFonts w:ascii="Palatino Linotype" w:hAnsi="Palatino Linotype" w:cs="Helvetica"/>
          <w:b/>
          <w:noProof/>
          <w:color w:val="000000"/>
          <w:sz w:val="26"/>
          <w:szCs w:val="26"/>
          <w:lang w:eastAsia="it-IT"/>
        </w:rPr>
        <w:lastRenderedPageBreak/>
        <w:drawing>
          <wp:anchor distT="0" distB="0" distL="114300" distR="114300" simplePos="0" relativeHeight="251659264" behindDoc="0" locked="0" layoutInCell="1" allowOverlap="1" wp14:anchorId="6AD7C8F6" wp14:editId="1BB87F0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44000" cy="5760000"/>
            <wp:effectExtent l="0" t="0" r="0" b="0"/>
            <wp:wrapTopAndBottom/>
            <wp:docPr id="2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3_supplementary_b.jpg"/>
                    <pic:cNvPicPr preferRelativeResize="0"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745"/>
                    <a:stretch/>
                  </pic:blipFill>
                  <pic:spPr bwMode="auto">
                    <a:xfrm>
                      <a:off x="0" y="0"/>
                      <a:ext cx="5544000" cy="57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D49" w:rsidRPr="00784818">
        <w:rPr>
          <w:rFonts w:ascii="Palatino Linotype" w:hAnsi="Palatino Linotype" w:cs="Helvetica"/>
          <w:b/>
          <w:color w:val="000000"/>
          <w:sz w:val="26"/>
          <w:szCs w:val="26"/>
          <w:lang w:val="en-US" w:eastAsia="it-IT"/>
        </w:rPr>
        <w:t xml:space="preserve">Supplementary </w:t>
      </w:r>
      <w:r w:rsidR="00A410A2" w:rsidRPr="00784818">
        <w:rPr>
          <w:rFonts w:ascii="Palatino Linotype" w:hAnsi="Palatino Linotype" w:cs="Helvetica"/>
          <w:b/>
          <w:color w:val="000000"/>
          <w:sz w:val="26"/>
          <w:szCs w:val="26"/>
          <w:lang w:val="en-US" w:eastAsia="it-IT"/>
        </w:rPr>
        <w:t xml:space="preserve">Figure 3: </w:t>
      </w:r>
      <w:r w:rsidR="00A410A2" w:rsidRPr="00784818">
        <w:rPr>
          <w:rFonts w:ascii="Palatino Linotype" w:hAnsi="Palatino Linotype" w:cs="Helvetica"/>
          <w:b/>
          <w:color w:val="000000"/>
          <w:sz w:val="26"/>
          <w:szCs w:val="26"/>
          <w:lang w:val="en-GB" w:eastAsia="it-IT"/>
        </w:rPr>
        <w:t xml:space="preserve">Statistical comparison between </w:t>
      </w:r>
      <w:r w:rsidR="00D66047" w:rsidRPr="00784818">
        <w:rPr>
          <w:rFonts w:ascii="Palatino Linotype" w:hAnsi="Palatino Linotype" w:cs="Helvetica"/>
          <w:b/>
          <w:color w:val="000000"/>
          <w:sz w:val="26"/>
          <w:szCs w:val="26"/>
          <w:lang w:val="en-GB" w:eastAsia="it-IT"/>
        </w:rPr>
        <w:t xml:space="preserve">left </w:t>
      </w:r>
      <w:r w:rsidR="00A410A2" w:rsidRPr="00784818">
        <w:rPr>
          <w:rFonts w:ascii="Palatino Linotype" w:hAnsi="Palatino Linotype" w:cs="Helvetica"/>
          <w:b/>
          <w:color w:val="000000"/>
          <w:sz w:val="26"/>
          <w:szCs w:val="26"/>
          <w:lang w:val="en-GB" w:eastAsia="it-IT"/>
        </w:rPr>
        <w:t xml:space="preserve">and </w:t>
      </w:r>
      <w:r w:rsidR="00D66047" w:rsidRPr="00784818">
        <w:rPr>
          <w:rFonts w:ascii="Palatino Linotype" w:hAnsi="Palatino Linotype" w:cs="Helvetica"/>
          <w:b/>
          <w:color w:val="000000"/>
          <w:sz w:val="26"/>
          <w:szCs w:val="26"/>
          <w:lang w:val="en-GB" w:eastAsia="it-IT"/>
        </w:rPr>
        <w:t xml:space="preserve">right </w:t>
      </w:r>
      <w:r w:rsidR="00A410A2" w:rsidRPr="00784818">
        <w:rPr>
          <w:rFonts w:ascii="Palatino Linotype" w:hAnsi="Palatino Linotype" w:cs="Helvetica"/>
          <w:b/>
          <w:color w:val="000000"/>
          <w:sz w:val="26"/>
          <w:szCs w:val="26"/>
          <w:lang w:val="en-GB" w:eastAsia="it-IT"/>
        </w:rPr>
        <w:t>SII gamma responses to action execution and observation</w:t>
      </w:r>
      <w:r w:rsidR="00A410A2" w:rsidRPr="00784818">
        <w:rPr>
          <w:rFonts w:ascii="Palatino Linotype" w:hAnsi="Palatino Linotype" w:cs="Helvetica"/>
          <w:color w:val="000000"/>
          <w:sz w:val="26"/>
          <w:szCs w:val="26"/>
          <w:lang w:val="en-GB" w:eastAsia="it-IT"/>
        </w:rPr>
        <w:t xml:space="preserve">. </w:t>
      </w:r>
      <w:r w:rsidR="003B234C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The figure depicts for </w:t>
      </w:r>
      <w:r w:rsidR="00D66047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left</w:t>
      </w:r>
      <w:r w:rsidR="00373D49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SII (panel a</w:t>
      </w:r>
      <w:r w:rsidR="00A410A2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) and </w:t>
      </w:r>
      <w:r w:rsidR="00D66047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right </w:t>
      </w:r>
      <w:r w:rsidR="00A410A2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SII (panel </w:t>
      </w:r>
      <w:r w:rsidR="00373D49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b</w:t>
      </w:r>
      <w:r w:rsidR="00A410A2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) the average time-course (±SE) for execution (black trace) and observation condition (red trace). The averaged amplitude </w:t>
      </w:r>
      <w:proofErr w:type="gramStart"/>
      <w:r w:rsidR="00A410A2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is computed</w:t>
      </w:r>
      <w:proofErr w:type="gramEnd"/>
      <w:r w:rsidR="00A410A2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in terms of z-score respect to the baseline for each trial </w:t>
      </w:r>
      <w:r w:rsidR="00A410A2" w:rsidRPr="00784818">
        <w:rPr>
          <w:rFonts w:ascii="Palatino Linotype" w:hAnsi="Palatino Linotype" w:cs="Helvetica"/>
          <w:i/>
          <w:color w:val="000000"/>
          <w:sz w:val="26"/>
          <w:szCs w:val="26"/>
          <w:lang w:val="en-US" w:eastAsia="it-IT"/>
        </w:rPr>
        <w:t>(see Methods</w:t>
      </w:r>
      <w:r w:rsidR="00A410A2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) including all leads responsive in at least one phase (22 left, 19 right). Significance between the two</w:t>
      </w:r>
      <w:r w:rsid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</w:t>
      </w:r>
      <w:r w:rsidR="00A410A2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conditions </w:t>
      </w:r>
      <w:proofErr w:type="gramStart"/>
      <w:r w:rsidR="00A410A2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is corrected with Bonferroni for each phase and </w:t>
      </w:r>
      <w:r w:rsidR="00CA5AAB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reported</w:t>
      </w:r>
      <w:r w:rsidR="00A410A2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below the traces</w:t>
      </w:r>
      <w:proofErr w:type="gramEnd"/>
      <w:r w:rsidR="00A410A2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.</w:t>
      </w:r>
      <w:r w:rsidR="00373D49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</w:t>
      </w:r>
      <w:r w:rsidR="00373D49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For visualization purposes, data are </w:t>
      </w:r>
      <w:proofErr w:type="spellStart"/>
      <w:r w:rsidR="00373D49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>Savitzky-Golay</w:t>
      </w:r>
      <w:proofErr w:type="spellEnd"/>
      <w:r w:rsidR="00373D49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 filtered. </w:t>
      </w:r>
    </w:p>
    <w:p w14:paraId="41857539" w14:textId="4787031E" w:rsidR="00373D49" w:rsidRPr="001B6D7F" w:rsidRDefault="001B6D7F" w:rsidP="001B6D7F">
      <w:pPr>
        <w:pStyle w:val="Paragrafoelenco"/>
        <w:spacing w:after="0" w:line="360" w:lineRule="auto"/>
        <w:ind w:left="0"/>
        <w:jc w:val="both"/>
        <w:rPr>
          <w:rFonts w:ascii="Palatino Linotype" w:hAnsi="Palatino Linotype" w:cs="Helvetica"/>
          <w:b/>
          <w:color w:val="000000"/>
          <w:sz w:val="26"/>
          <w:szCs w:val="26"/>
          <w:lang w:val="en-GB" w:eastAsia="it-IT"/>
        </w:rPr>
      </w:pPr>
      <w:r>
        <w:rPr>
          <w:rFonts w:ascii="Palatino Linotype" w:hAnsi="Palatino Linotype" w:cs="Helvetica"/>
          <w:b/>
          <w:noProof/>
          <w:color w:val="000000"/>
          <w:sz w:val="26"/>
          <w:szCs w:val="26"/>
          <w:lang w:eastAsia="it-IT"/>
        </w:rPr>
        <w:lastRenderedPageBreak/>
        <w:drawing>
          <wp:anchor distT="0" distB="0" distL="114300" distR="114300" simplePos="0" relativeHeight="251660288" behindDoc="0" locked="0" layoutInCell="1" allowOverlap="1" wp14:anchorId="6EFF94A3" wp14:editId="103196C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44000" cy="5760000"/>
            <wp:effectExtent l="0" t="0" r="0" b="0"/>
            <wp:wrapTopAndBottom/>
            <wp:docPr id="3" name="Immagin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4_supplementary_b.jpg"/>
                    <pic:cNvPicPr preferRelativeResize="0"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452"/>
                    <a:stretch/>
                  </pic:blipFill>
                  <pic:spPr bwMode="auto">
                    <a:xfrm>
                      <a:off x="0" y="0"/>
                      <a:ext cx="5544000" cy="57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</w:t>
      </w:r>
      <w:r w:rsidR="00373D49" w:rsidRPr="00784818">
        <w:rPr>
          <w:rFonts w:ascii="Palatino Linotype" w:hAnsi="Palatino Linotype" w:cs="Helvetica"/>
          <w:b/>
          <w:color w:val="000000"/>
          <w:sz w:val="26"/>
          <w:szCs w:val="26"/>
          <w:lang w:val="en-US" w:eastAsia="it-IT"/>
        </w:rPr>
        <w:t xml:space="preserve">Supplementary </w:t>
      </w:r>
      <w:r w:rsidR="00F847CF" w:rsidRPr="00784818">
        <w:rPr>
          <w:rFonts w:ascii="Palatino Linotype" w:hAnsi="Palatino Linotype" w:cs="Helvetica"/>
          <w:b/>
          <w:color w:val="000000"/>
          <w:sz w:val="26"/>
          <w:szCs w:val="26"/>
          <w:lang w:val="en-US" w:eastAsia="it-IT"/>
        </w:rPr>
        <w:t xml:space="preserve">Figure 4: </w:t>
      </w:r>
      <w:r w:rsidR="00F847CF" w:rsidRPr="00784818">
        <w:rPr>
          <w:rFonts w:ascii="Palatino Linotype" w:hAnsi="Palatino Linotype" w:cs="Helvetica"/>
          <w:b/>
          <w:color w:val="000000"/>
          <w:sz w:val="26"/>
          <w:szCs w:val="26"/>
          <w:lang w:val="en-GB" w:eastAsia="it-IT"/>
        </w:rPr>
        <w:t>Statistical comparison between contralateral SI and SII responses to action execution</w:t>
      </w:r>
      <w:r w:rsidR="00F847CF" w:rsidRPr="00784818">
        <w:rPr>
          <w:rFonts w:ascii="Palatino Linotype" w:hAnsi="Palatino Linotype" w:cs="Helvetica"/>
          <w:color w:val="000000"/>
          <w:sz w:val="26"/>
          <w:szCs w:val="26"/>
          <w:lang w:val="en-GB" w:eastAsia="it-IT"/>
        </w:rPr>
        <w:t xml:space="preserve">. </w:t>
      </w:r>
      <w:r w:rsidR="00F847CF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The figure depicts the statistical comparison between contralateral SI (dotted line) and SII. The average amplitude</w:t>
      </w:r>
      <w:r w:rsidR="00BF110B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(panel </w:t>
      </w:r>
      <w:r w:rsidR="00373D49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a</w:t>
      </w:r>
      <w:r w:rsidR="00BF110B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)</w:t>
      </w:r>
      <w:r w:rsidR="00F847CF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is computed in terms of z-score</w:t>
      </w:r>
      <w:r w:rsidR="00D66047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(±SE) </w:t>
      </w:r>
      <w:r w:rsidR="00F847CF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respect to the baseline for each trial (</w:t>
      </w:r>
      <w:r w:rsidR="00F847CF" w:rsidRPr="00784818">
        <w:rPr>
          <w:rFonts w:ascii="Palatino Linotype" w:hAnsi="Palatino Linotype" w:cs="Helvetica"/>
          <w:i/>
          <w:color w:val="000000"/>
          <w:sz w:val="26"/>
          <w:szCs w:val="26"/>
          <w:lang w:val="en-US" w:eastAsia="it-IT"/>
        </w:rPr>
        <w:t>see Methods</w:t>
      </w:r>
      <w:r w:rsidR="00F847CF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) including all leads in at lea</w:t>
      </w:r>
      <w:r w:rsidR="00BF110B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st one phase (22 left</w:t>
      </w:r>
      <w:r w:rsidR="00E933DB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SII</w:t>
      </w:r>
      <w:r w:rsidR="00BF110B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, 1</w:t>
      </w:r>
      <w:r w:rsidR="00E933DB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2</w:t>
      </w:r>
      <w:r w:rsidR="00BF110B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</w:t>
      </w:r>
      <w:r w:rsidR="00E933DB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left SI</w:t>
      </w:r>
      <w:r w:rsidR="00BF110B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). Furthermore, panel </w:t>
      </w:r>
      <w:r w:rsidR="00373D49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b</w:t>
      </w:r>
      <w:r w:rsidR="00BF110B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presents the same data, after normalization per leads</w:t>
      </w:r>
      <w:r w:rsidR="00376157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in the range of amplitude 0-1</w:t>
      </w:r>
      <w:r w:rsidR="00BF110B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. Statistical significance </w:t>
      </w:r>
      <w:r w:rsidR="006732B1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(Bonferroni corrected) </w:t>
      </w:r>
      <w:r w:rsidR="00BF110B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for </w:t>
      </w:r>
      <w:r w:rsidR="006732B1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reach-to-grasp and manipulation</w:t>
      </w:r>
      <w:r w:rsidR="00BF110B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phas</w:t>
      </w:r>
      <w:r w:rsidR="001447BF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e</w:t>
      </w:r>
      <w:r w:rsidR="006732B1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s</w:t>
      </w:r>
      <w:r w:rsidR="001447BF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</w:t>
      </w:r>
      <w:proofErr w:type="gramStart"/>
      <w:r w:rsidR="006732B1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is</w:t>
      </w:r>
      <w:r w:rsidR="001447BF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shown</w:t>
      </w:r>
      <w:proofErr w:type="gramEnd"/>
      <w:r w:rsidR="001447BF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below the traces in</w:t>
      </w:r>
      <w:r w:rsidR="00BF110B" w:rsidRPr="00784818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each panel. </w:t>
      </w:r>
      <w:r w:rsidR="00373D49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For visualization purposes, data are </w:t>
      </w:r>
      <w:proofErr w:type="spellStart"/>
      <w:r w:rsidR="00373D49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>Savitzky-Golay</w:t>
      </w:r>
      <w:proofErr w:type="spellEnd"/>
      <w:r w:rsidR="00373D49" w:rsidRPr="00784818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 filtered. </w:t>
      </w:r>
    </w:p>
    <w:p w14:paraId="43EA9725" w14:textId="3CA92F39" w:rsidR="00F847CF" w:rsidRPr="00B118A3" w:rsidRDefault="00F847CF" w:rsidP="00B118A3">
      <w:pPr>
        <w:pStyle w:val="Paragrafoelenco"/>
        <w:spacing w:after="0" w:line="360" w:lineRule="auto"/>
        <w:ind w:left="0"/>
        <w:jc w:val="both"/>
        <w:rPr>
          <w:rFonts w:ascii="Palatino Linotype" w:hAnsi="Palatino Linotype" w:cs="Helvetica"/>
          <w:color w:val="000000"/>
          <w:sz w:val="28"/>
          <w:szCs w:val="28"/>
          <w:lang w:val="en-US" w:eastAsia="it-IT"/>
        </w:rPr>
      </w:pPr>
    </w:p>
    <w:p w14:paraId="547FCF77" w14:textId="3C4A01D6" w:rsidR="00373D49" w:rsidRPr="001B6D7F" w:rsidRDefault="001B6D7F" w:rsidP="00373D49">
      <w:pPr>
        <w:pStyle w:val="Paragrafoelenco"/>
        <w:spacing w:after="0" w:line="360" w:lineRule="auto"/>
        <w:ind w:left="0"/>
        <w:jc w:val="both"/>
        <w:rPr>
          <w:rFonts w:ascii="Palatino Linotype" w:hAnsi="Palatino Linotype" w:cs="Helvetica"/>
          <w:b/>
          <w:color w:val="000000"/>
          <w:sz w:val="28"/>
          <w:szCs w:val="28"/>
          <w:lang w:val="en-US" w:eastAsia="it-IT"/>
        </w:rPr>
      </w:pPr>
      <w:r>
        <w:rPr>
          <w:rFonts w:ascii="Palatino Linotype" w:hAnsi="Palatino Linotype" w:cs="Helvetica"/>
          <w:b/>
          <w:noProof/>
          <w:color w:val="000000"/>
          <w:sz w:val="28"/>
          <w:szCs w:val="28"/>
          <w:lang w:eastAsia="it-IT"/>
        </w:rPr>
        <w:lastRenderedPageBreak/>
        <w:drawing>
          <wp:anchor distT="0" distB="0" distL="114300" distR="114300" simplePos="0" relativeHeight="251661312" behindDoc="0" locked="0" layoutInCell="1" allowOverlap="1" wp14:anchorId="292D209E" wp14:editId="450B649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44000" cy="5760000"/>
            <wp:effectExtent l="0" t="0" r="0" b="0"/>
            <wp:wrapTopAndBottom/>
            <wp:docPr id="4" name="Immagin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5_slide_supplementary_material_b.jpg"/>
                    <pic:cNvPicPr preferRelativeResize="0"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719"/>
                    <a:stretch/>
                  </pic:blipFill>
                  <pic:spPr bwMode="auto">
                    <a:xfrm>
                      <a:off x="0" y="0"/>
                      <a:ext cx="5544000" cy="57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D49" w:rsidRPr="001B6D7F">
        <w:rPr>
          <w:rFonts w:ascii="Palatino Linotype" w:hAnsi="Palatino Linotype" w:cs="Helvetica"/>
          <w:b/>
          <w:color w:val="000000"/>
          <w:sz w:val="26"/>
          <w:szCs w:val="26"/>
          <w:lang w:val="en-US" w:eastAsia="it-IT"/>
        </w:rPr>
        <w:t xml:space="preserve">Supplementary </w:t>
      </w:r>
      <w:r w:rsidR="009269B6" w:rsidRPr="001B6D7F">
        <w:rPr>
          <w:rFonts w:ascii="Palatino Linotype" w:hAnsi="Palatino Linotype" w:cs="Helvetica"/>
          <w:b/>
          <w:color w:val="000000"/>
          <w:sz w:val="26"/>
          <w:szCs w:val="26"/>
          <w:lang w:val="en-US" w:eastAsia="it-IT"/>
        </w:rPr>
        <w:t xml:space="preserve">Figure 5: </w:t>
      </w:r>
      <w:r w:rsidR="009269B6" w:rsidRPr="001B6D7F">
        <w:rPr>
          <w:rFonts w:ascii="Palatino Linotype" w:hAnsi="Palatino Linotype" w:cs="Helvetica"/>
          <w:b/>
          <w:color w:val="000000"/>
          <w:sz w:val="26"/>
          <w:szCs w:val="26"/>
          <w:lang w:val="en-GB" w:eastAsia="it-IT"/>
        </w:rPr>
        <w:t xml:space="preserve">Statistical comparison between contralateral and ipsilateral SII in execution and observation. </w:t>
      </w:r>
      <w:r w:rsidR="009269B6" w:rsidRPr="001B6D7F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The figure depicts the statistical comparison between contralateral SII and ipsilateral SII (dotted line) during execution (panel A) and observation (panel B). In both cases, the average</w:t>
      </w:r>
      <w:r w:rsidR="00E933DB" w:rsidRPr="001B6D7F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d</w:t>
      </w:r>
      <w:r w:rsidR="009269B6" w:rsidRPr="001B6D7F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</w:t>
      </w:r>
      <w:r w:rsidR="006732B1" w:rsidRPr="001B6D7F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amplitude is</w:t>
      </w:r>
      <w:r w:rsidR="009269B6" w:rsidRPr="001B6D7F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computed in terms of </w:t>
      </w:r>
      <w:proofErr w:type="gramStart"/>
      <w:r w:rsidR="009269B6" w:rsidRPr="001B6D7F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z-score</w:t>
      </w:r>
      <w:proofErr w:type="gramEnd"/>
      <w:r w:rsidR="00B118A3" w:rsidRPr="001B6D7F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(±SE) </w:t>
      </w:r>
      <w:r w:rsidR="009269B6" w:rsidRPr="001B6D7F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respect to the baseline for each trial (</w:t>
      </w:r>
      <w:r w:rsidR="009269B6" w:rsidRPr="001B6D7F">
        <w:rPr>
          <w:rFonts w:ascii="Palatino Linotype" w:hAnsi="Palatino Linotype" w:cs="Helvetica"/>
          <w:i/>
          <w:color w:val="000000"/>
          <w:sz w:val="26"/>
          <w:szCs w:val="26"/>
          <w:lang w:val="en-US" w:eastAsia="it-IT"/>
        </w:rPr>
        <w:t>see Methods</w:t>
      </w:r>
      <w:r w:rsidR="009269B6" w:rsidRPr="001B6D7F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) including all leads in at least one phase (22 left, 19 right). Statistical significance </w:t>
      </w:r>
      <w:proofErr w:type="gramStart"/>
      <w:r w:rsidR="009269B6" w:rsidRPr="001B6D7F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is corrected with Bonferroni for each phase and shown below the traces in each panel</w:t>
      </w:r>
      <w:proofErr w:type="gramEnd"/>
      <w:r w:rsidR="009269B6" w:rsidRPr="001B6D7F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. </w:t>
      </w:r>
      <w:r w:rsidR="00373D49" w:rsidRPr="001B6D7F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For visualization purposes, data are </w:t>
      </w:r>
      <w:proofErr w:type="spellStart"/>
      <w:r w:rsidR="00373D49" w:rsidRPr="001B6D7F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>Savitzky-Golay</w:t>
      </w:r>
      <w:proofErr w:type="spellEnd"/>
      <w:r w:rsidR="00373D49" w:rsidRPr="001B6D7F">
        <w:rPr>
          <w:rFonts w:ascii="Palatino Linotype" w:eastAsia="Times New Roman" w:hAnsi="Palatino Linotype" w:cs="Helvetica"/>
          <w:color w:val="000000"/>
          <w:sz w:val="26"/>
          <w:szCs w:val="26"/>
          <w:lang w:val="en-US" w:eastAsia="it-IT"/>
        </w:rPr>
        <w:t xml:space="preserve"> filtered. </w:t>
      </w:r>
    </w:p>
    <w:p w14:paraId="56342D8C" w14:textId="77C77E3D" w:rsidR="001B6D7F" w:rsidRDefault="001B6D7F" w:rsidP="00B41E8A">
      <w:pPr>
        <w:pStyle w:val="Paragrafoelenco"/>
        <w:spacing w:after="0" w:line="360" w:lineRule="auto"/>
        <w:ind w:left="0"/>
        <w:jc w:val="both"/>
        <w:rPr>
          <w:rFonts w:ascii="Palatino Linotype" w:hAnsi="Palatino Linotype" w:cs="Helvetica"/>
          <w:color w:val="000000"/>
          <w:sz w:val="28"/>
          <w:szCs w:val="28"/>
          <w:lang w:val="en-US" w:eastAsia="it-IT"/>
        </w:rPr>
      </w:pPr>
    </w:p>
    <w:p w14:paraId="3B42E74B" w14:textId="77777777" w:rsidR="001B6D7F" w:rsidRPr="00B41E8A" w:rsidRDefault="001B6D7F" w:rsidP="00B41E8A">
      <w:pPr>
        <w:pStyle w:val="Paragrafoelenco"/>
        <w:spacing w:after="0" w:line="360" w:lineRule="auto"/>
        <w:ind w:left="0"/>
        <w:jc w:val="both"/>
        <w:rPr>
          <w:rFonts w:ascii="Palatino Linotype" w:hAnsi="Palatino Linotype" w:cs="Helvetica"/>
          <w:color w:val="000000"/>
          <w:sz w:val="28"/>
          <w:szCs w:val="28"/>
          <w:lang w:val="en-US"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76"/>
        <w:gridCol w:w="817"/>
        <w:gridCol w:w="820"/>
        <w:gridCol w:w="866"/>
        <w:gridCol w:w="827"/>
        <w:gridCol w:w="953"/>
        <w:gridCol w:w="866"/>
        <w:gridCol w:w="800"/>
        <w:gridCol w:w="819"/>
        <w:gridCol w:w="818"/>
        <w:gridCol w:w="866"/>
      </w:tblGrid>
      <w:tr w:rsidR="00373D49" w14:paraId="0CA36F56" w14:textId="77777777" w:rsidTr="001F545D">
        <w:tc>
          <w:tcPr>
            <w:tcW w:w="1176" w:type="dxa"/>
            <w:vMerge w:val="restart"/>
          </w:tcPr>
          <w:p w14:paraId="362FD28F" w14:textId="77777777" w:rsidR="00373D49" w:rsidRDefault="00373D49" w:rsidP="001F545D">
            <w:pPr>
              <w:jc w:val="center"/>
              <w:rPr>
                <w:rFonts w:ascii="Palatino Linotype" w:hAnsi="Palatino Linotype" w:cs="Arial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</w:p>
          <w:p w14:paraId="63AD7743" w14:textId="77777777" w:rsidR="00373D49" w:rsidRPr="002F4497" w:rsidRDefault="00373D49" w:rsidP="001F545D">
            <w:pPr>
              <w:jc w:val="center"/>
              <w:rPr>
                <w:rFonts w:ascii="Palatino Linotype" w:hAnsi="Palatino Linotype" w:cs="Arial"/>
                <w:b/>
                <w:i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2F4497">
              <w:rPr>
                <w:rFonts w:ascii="Palatino Linotype" w:hAnsi="Palatino Linotype" w:cs="Arial"/>
                <w:b/>
                <w:color w:val="222222"/>
                <w:sz w:val="24"/>
                <w:szCs w:val="24"/>
                <w:shd w:val="clear" w:color="auto" w:fill="FFFFFF"/>
                <w:lang w:val="en-US"/>
              </w:rPr>
              <w:t>Test</w:t>
            </w:r>
          </w:p>
          <w:p w14:paraId="10C531D7" w14:textId="77777777" w:rsidR="00373D49" w:rsidRPr="002F4497" w:rsidRDefault="00373D49" w:rsidP="001F545D">
            <w:pPr>
              <w:jc w:val="center"/>
              <w:rPr>
                <w:rFonts w:ascii="Palatino Linotype" w:hAnsi="Palatino Linotype" w:cs="Arial"/>
                <w:i/>
                <w:color w:val="222222"/>
                <w:sz w:val="16"/>
                <w:szCs w:val="16"/>
                <w:shd w:val="clear" w:color="auto" w:fill="FFFFFF"/>
                <w:lang w:val="en-US"/>
              </w:rPr>
            </w:pPr>
          </w:p>
        </w:tc>
        <w:tc>
          <w:tcPr>
            <w:tcW w:w="2491" w:type="dxa"/>
            <w:gridSpan w:val="3"/>
          </w:tcPr>
          <w:p w14:paraId="7815B92D" w14:textId="77777777" w:rsidR="00373D49" w:rsidRDefault="00373D49" w:rsidP="001F545D">
            <w:pPr>
              <w:jc w:val="center"/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</w:pPr>
          </w:p>
          <w:p w14:paraId="746DFCC3" w14:textId="77777777" w:rsidR="00373D49" w:rsidRDefault="00373D49" w:rsidP="001F545D">
            <w:pPr>
              <w:jc w:val="center"/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</w:pPr>
            <w:r w:rsidRPr="009E49D7"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  <w:t>t range</w:t>
            </w:r>
          </w:p>
          <w:p w14:paraId="3A86CA23" w14:textId="77777777" w:rsidR="00373D49" w:rsidRPr="009E49D7" w:rsidRDefault="00373D49" w:rsidP="001F545D">
            <w:pPr>
              <w:jc w:val="center"/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2649" w:type="dxa"/>
            <w:gridSpan w:val="3"/>
          </w:tcPr>
          <w:p w14:paraId="60057FF2" w14:textId="77777777" w:rsidR="00373D49" w:rsidRDefault="00373D49" w:rsidP="001F545D">
            <w:pPr>
              <w:jc w:val="center"/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</w:pPr>
          </w:p>
          <w:p w14:paraId="4E0A61F2" w14:textId="77777777" w:rsidR="00373D49" w:rsidRDefault="00373D49" w:rsidP="001F545D">
            <w:pPr>
              <w:jc w:val="center"/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</w:pPr>
            <w:r w:rsidRPr="009E49D7"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  <w:t>minimum p-value</w:t>
            </w:r>
          </w:p>
          <w:p w14:paraId="7F5C647D" w14:textId="77777777" w:rsidR="00373D49" w:rsidRPr="009E49D7" w:rsidRDefault="00373D49" w:rsidP="001F545D">
            <w:pPr>
              <w:jc w:val="center"/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</w:pPr>
            <w:r w:rsidRPr="009E49D7"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  <w:t xml:space="preserve"> (</w:t>
            </w:r>
            <w:proofErr w:type="spellStart"/>
            <w:r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  <w:t>Bonferroni</w:t>
            </w:r>
            <w:proofErr w:type="spellEnd"/>
            <w:r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Pr="009E49D7"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  <w:t>corrected)</w:t>
            </w:r>
          </w:p>
        </w:tc>
        <w:tc>
          <w:tcPr>
            <w:tcW w:w="821" w:type="dxa"/>
          </w:tcPr>
          <w:p w14:paraId="16881EFA" w14:textId="77777777" w:rsidR="00373D49" w:rsidRDefault="00373D49" w:rsidP="001F545D">
            <w:pPr>
              <w:jc w:val="center"/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</w:pPr>
          </w:p>
          <w:p w14:paraId="7F191131" w14:textId="77777777" w:rsidR="00373D49" w:rsidRPr="009E49D7" w:rsidRDefault="00373D49" w:rsidP="001F545D">
            <w:pPr>
              <w:jc w:val="center"/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9E49D7"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  <w:t>do</w:t>
            </w:r>
            <w:r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  <w:t>f</w:t>
            </w:r>
            <w:proofErr w:type="spellEnd"/>
          </w:p>
        </w:tc>
        <w:tc>
          <w:tcPr>
            <w:tcW w:w="2491" w:type="dxa"/>
            <w:gridSpan w:val="3"/>
          </w:tcPr>
          <w:p w14:paraId="7FB583BA" w14:textId="77777777" w:rsidR="00373D49" w:rsidRDefault="00373D49" w:rsidP="001F545D">
            <w:pPr>
              <w:jc w:val="center"/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</w:pPr>
          </w:p>
          <w:p w14:paraId="718B6B61" w14:textId="77777777" w:rsidR="00373D49" w:rsidRPr="009E49D7" w:rsidRDefault="00373D49" w:rsidP="001F545D">
            <w:pPr>
              <w:jc w:val="center"/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</w:pPr>
            <w:r w:rsidRPr="009E49D7">
              <w:rPr>
                <w:rFonts w:ascii="Palatino Linotype" w:hAnsi="Palatino Linotype" w:cs="Arial"/>
                <w:b/>
                <w:i/>
                <w:color w:val="222222"/>
                <w:sz w:val="18"/>
                <w:szCs w:val="18"/>
                <w:shd w:val="clear" w:color="auto" w:fill="FFFFFF"/>
                <w:lang w:val="en-US"/>
              </w:rPr>
              <w:t>effect size (Cohen’s d)</w:t>
            </w:r>
          </w:p>
        </w:tc>
      </w:tr>
      <w:tr w:rsidR="00373D49" w14:paraId="051823FA" w14:textId="77777777" w:rsidTr="001F545D">
        <w:tc>
          <w:tcPr>
            <w:tcW w:w="1176" w:type="dxa"/>
            <w:vMerge/>
          </w:tcPr>
          <w:p w14:paraId="74F2FCE6" w14:textId="77777777" w:rsidR="00373D49" w:rsidRPr="002F4497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</w:tc>
        <w:tc>
          <w:tcPr>
            <w:tcW w:w="827" w:type="dxa"/>
          </w:tcPr>
          <w:p w14:paraId="28DCE869" w14:textId="77777777" w:rsidR="00373D49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3DCCCA81" w14:textId="7343E4A0" w:rsidR="00373D49" w:rsidRPr="009E49D7" w:rsidRDefault="001B6D7F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PREP</w:t>
            </w:r>
          </w:p>
        </w:tc>
        <w:tc>
          <w:tcPr>
            <w:tcW w:w="832" w:type="dxa"/>
          </w:tcPr>
          <w:p w14:paraId="74817FD7" w14:textId="77777777" w:rsidR="00373D49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2712582A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9E49D7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RTG</w:t>
            </w:r>
          </w:p>
        </w:tc>
        <w:tc>
          <w:tcPr>
            <w:tcW w:w="832" w:type="dxa"/>
          </w:tcPr>
          <w:p w14:paraId="05CCFCE2" w14:textId="77777777" w:rsidR="00373D49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240E115E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9E49D7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MANIP</w:t>
            </w:r>
          </w:p>
        </w:tc>
        <w:tc>
          <w:tcPr>
            <w:tcW w:w="837" w:type="dxa"/>
          </w:tcPr>
          <w:p w14:paraId="4ABCFD84" w14:textId="77777777" w:rsidR="00373D49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4F569DE6" w14:textId="2A5E6018" w:rsidR="00373D49" w:rsidRPr="009E49D7" w:rsidRDefault="001B6D7F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PREP</w:t>
            </w:r>
          </w:p>
        </w:tc>
        <w:tc>
          <w:tcPr>
            <w:tcW w:w="975" w:type="dxa"/>
          </w:tcPr>
          <w:p w14:paraId="48F45E71" w14:textId="77777777" w:rsidR="00373D49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61D7DF61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9E49D7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RTG</w:t>
            </w:r>
          </w:p>
        </w:tc>
        <w:tc>
          <w:tcPr>
            <w:tcW w:w="837" w:type="dxa"/>
          </w:tcPr>
          <w:p w14:paraId="31A16D46" w14:textId="77777777" w:rsidR="00373D49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18E9D286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9E49D7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MANIP</w:t>
            </w:r>
          </w:p>
        </w:tc>
        <w:tc>
          <w:tcPr>
            <w:tcW w:w="821" w:type="dxa"/>
          </w:tcPr>
          <w:p w14:paraId="5D3E2C14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</w:tc>
        <w:tc>
          <w:tcPr>
            <w:tcW w:w="829" w:type="dxa"/>
          </w:tcPr>
          <w:p w14:paraId="352DED75" w14:textId="77777777" w:rsidR="00373D49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3DFB7473" w14:textId="2296CC4D" w:rsidR="00373D49" w:rsidRPr="009E49D7" w:rsidRDefault="001B6D7F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PREP</w:t>
            </w:r>
          </w:p>
        </w:tc>
        <w:tc>
          <w:tcPr>
            <w:tcW w:w="831" w:type="dxa"/>
          </w:tcPr>
          <w:p w14:paraId="72AF3C89" w14:textId="77777777" w:rsidR="00373D49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47B24F07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9E49D7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RTG</w:t>
            </w:r>
          </w:p>
        </w:tc>
        <w:tc>
          <w:tcPr>
            <w:tcW w:w="831" w:type="dxa"/>
          </w:tcPr>
          <w:p w14:paraId="1E8E91BE" w14:textId="77777777" w:rsidR="00373D49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5E79E377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9E49D7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MANIP</w:t>
            </w:r>
          </w:p>
        </w:tc>
      </w:tr>
      <w:tr w:rsidR="00373D49" w14:paraId="5279C46A" w14:textId="77777777" w:rsidTr="001F545D">
        <w:tc>
          <w:tcPr>
            <w:tcW w:w="1176" w:type="dxa"/>
          </w:tcPr>
          <w:p w14:paraId="0A28D5D6" w14:textId="77777777" w:rsidR="00373D49" w:rsidRPr="002F4497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2F4497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Contralateral SII, execution (against the baseline)</w:t>
            </w:r>
          </w:p>
        </w:tc>
        <w:tc>
          <w:tcPr>
            <w:tcW w:w="827" w:type="dxa"/>
          </w:tcPr>
          <w:p w14:paraId="5BA02611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29E14447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[-2.57, 3.13]</w:t>
            </w:r>
          </w:p>
        </w:tc>
        <w:tc>
          <w:tcPr>
            <w:tcW w:w="832" w:type="dxa"/>
          </w:tcPr>
          <w:p w14:paraId="42051310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57B91A4A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[0.88, 15.62]</w:t>
            </w:r>
          </w:p>
        </w:tc>
        <w:tc>
          <w:tcPr>
            <w:tcW w:w="832" w:type="dxa"/>
          </w:tcPr>
          <w:p w14:paraId="73325BAD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6DF3F108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[5.67, 16.12]</w:t>
            </w:r>
          </w:p>
        </w:tc>
        <w:tc>
          <w:tcPr>
            <w:tcW w:w="837" w:type="dxa"/>
          </w:tcPr>
          <w:p w14:paraId="4272C368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highlight w:val="yellow"/>
                <w:lang w:val="en-US"/>
              </w:rPr>
            </w:pPr>
          </w:p>
          <w:p w14:paraId="47BF3E3A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highlight w:val="yellow"/>
                <w:lang w:val="en-US"/>
              </w:rPr>
            </w:pPr>
            <w:r w:rsidRPr="009579E0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1.02</w:t>
            </w:r>
          </w:p>
        </w:tc>
        <w:tc>
          <w:tcPr>
            <w:tcW w:w="975" w:type="dxa"/>
          </w:tcPr>
          <w:p w14:paraId="0EC321EC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6EF90EF5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&lt;</w:t>
            </w:r>
            <w:r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</w:t>
            </w: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0.001</w:t>
            </w:r>
          </w:p>
        </w:tc>
        <w:tc>
          <w:tcPr>
            <w:tcW w:w="837" w:type="dxa"/>
          </w:tcPr>
          <w:p w14:paraId="63BFBDFE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4DE8B62E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&lt; 0.001</w:t>
            </w:r>
          </w:p>
        </w:tc>
        <w:tc>
          <w:tcPr>
            <w:tcW w:w="821" w:type="dxa"/>
          </w:tcPr>
          <w:p w14:paraId="73A1D4AE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22690C7A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9E49D7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21</w:t>
            </w:r>
          </w:p>
        </w:tc>
        <w:tc>
          <w:tcPr>
            <w:tcW w:w="829" w:type="dxa"/>
          </w:tcPr>
          <w:p w14:paraId="33106223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1691ACF0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[-0.55, 0.67]</w:t>
            </w:r>
          </w:p>
        </w:tc>
        <w:tc>
          <w:tcPr>
            <w:tcW w:w="831" w:type="dxa"/>
          </w:tcPr>
          <w:p w14:paraId="6DA42CF4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4E5D8E91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[0.19, 3.32]</w:t>
            </w:r>
          </w:p>
        </w:tc>
        <w:tc>
          <w:tcPr>
            <w:tcW w:w="831" w:type="dxa"/>
          </w:tcPr>
          <w:p w14:paraId="76332950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23C4DDB2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[1.21, 3.44]</w:t>
            </w:r>
          </w:p>
        </w:tc>
      </w:tr>
      <w:tr w:rsidR="00373D49" w14:paraId="1A952263" w14:textId="77777777" w:rsidTr="001F545D">
        <w:tc>
          <w:tcPr>
            <w:tcW w:w="1176" w:type="dxa"/>
          </w:tcPr>
          <w:p w14:paraId="2470ECAD" w14:textId="77777777" w:rsidR="00373D49" w:rsidRPr="002F4497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2F4497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Ipsilateral SII, execution (against the baseline)</w:t>
            </w:r>
          </w:p>
        </w:tc>
        <w:tc>
          <w:tcPr>
            <w:tcW w:w="827" w:type="dxa"/>
          </w:tcPr>
          <w:p w14:paraId="1B347E58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</w:pPr>
          </w:p>
          <w:p w14:paraId="47DFB31C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  <w:t>[-3.91, 3.32]</w:t>
            </w:r>
          </w:p>
          <w:p w14:paraId="6BE71B67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32" w:type="dxa"/>
          </w:tcPr>
          <w:p w14:paraId="1C131D48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</w:pPr>
          </w:p>
          <w:p w14:paraId="24570523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  <w:t>[-1.27, 11.39]</w:t>
            </w:r>
          </w:p>
        </w:tc>
        <w:tc>
          <w:tcPr>
            <w:tcW w:w="832" w:type="dxa"/>
          </w:tcPr>
          <w:p w14:paraId="396CC91C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</w:pPr>
          </w:p>
          <w:p w14:paraId="1D6C1642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  <w:t>[3.74, 12.35]</w:t>
            </w:r>
          </w:p>
        </w:tc>
        <w:tc>
          <w:tcPr>
            <w:tcW w:w="837" w:type="dxa"/>
          </w:tcPr>
          <w:p w14:paraId="569EA8B5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  <w:p w14:paraId="1FBB1394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9579E0">
              <w:rPr>
                <w:rFonts w:ascii="Palatino Linotype" w:hAnsi="Palatino Linotype"/>
                <w:b/>
                <w:color w:val="000000" w:themeColor="text1"/>
                <w:sz w:val="18"/>
                <w:szCs w:val="18"/>
                <w:lang w:val="en-US"/>
              </w:rPr>
              <w:t>0.20</w:t>
            </w:r>
          </w:p>
        </w:tc>
        <w:tc>
          <w:tcPr>
            <w:tcW w:w="975" w:type="dxa"/>
          </w:tcPr>
          <w:p w14:paraId="66EAD6DA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8"/>
                <w:szCs w:val="18"/>
                <w:lang w:val="en-US"/>
              </w:rPr>
            </w:pPr>
          </w:p>
          <w:p w14:paraId="5A414AFA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8"/>
                <w:szCs w:val="18"/>
                <w:lang w:val="en-US"/>
              </w:rPr>
            </w:pPr>
            <w:r w:rsidRPr="006E7CC3">
              <w:rPr>
                <w:rFonts w:ascii="Palatino Linotype" w:hAnsi="Palatino Linotype"/>
                <w:b/>
                <w:color w:val="000000" w:themeColor="text1"/>
                <w:sz w:val="18"/>
                <w:szCs w:val="18"/>
                <w:lang w:val="en-US"/>
              </w:rPr>
              <w:t>&lt;</w:t>
            </w:r>
            <w:r>
              <w:rPr>
                <w:rFonts w:ascii="Palatino Linotype" w:hAnsi="Palatino Linotype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6E7CC3">
              <w:rPr>
                <w:rFonts w:ascii="Palatino Linotype" w:hAnsi="Palatino Linotype"/>
                <w:b/>
                <w:color w:val="000000" w:themeColor="text1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837" w:type="dxa"/>
          </w:tcPr>
          <w:p w14:paraId="15E6343C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8"/>
                <w:szCs w:val="18"/>
                <w:lang w:val="en-US"/>
              </w:rPr>
            </w:pPr>
          </w:p>
          <w:p w14:paraId="3B6EAC5A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8"/>
                <w:szCs w:val="18"/>
                <w:lang w:val="en-US"/>
              </w:rPr>
            </w:pPr>
            <w:r w:rsidRPr="006E7CC3">
              <w:rPr>
                <w:rFonts w:ascii="Palatino Linotype" w:hAnsi="Palatino Linotype"/>
                <w:b/>
                <w:color w:val="000000" w:themeColor="text1"/>
                <w:sz w:val="18"/>
                <w:szCs w:val="18"/>
                <w:lang w:val="en-US"/>
              </w:rPr>
              <w:t>&lt;</w:t>
            </w:r>
            <w:r>
              <w:rPr>
                <w:rFonts w:ascii="Palatino Linotype" w:hAnsi="Palatino Linotype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6E7CC3">
              <w:rPr>
                <w:rFonts w:ascii="Palatino Linotype" w:hAnsi="Palatino Linotype"/>
                <w:b/>
                <w:color w:val="000000" w:themeColor="text1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821" w:type="dxa"/>
          </w:tcPr>
          <w:p w14:paraId="1FD6C845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8"/>
                <w:szCs w:val="18"/>
                <w:lang w:val="en-US"/>
              </w:rPr>
            </w:pPr>
          </w:p>
          <w:p w14:paraId="0DCDD52A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8"/>
                <w:szCs w:val="18"/>
                <w:lang w:val="en-US"/>
              </w:rPr>
            </w:pPr>
            <w:r w:rsidRPr="009E49D7">
              <w:rPr>
                <w:rFonts w:ascii="Palatino Linotype" w:hAnsi="Palatino Linotype"/>
                <w:b/>
                <w:color w:val="000000" w:themeColor="text1"/>
                <w:sz w:val="18"/>
                <w:szCs w:val="18"/>
                <w:lang w:val="en-US"/>
              </w:rPr>
              <w:t>18</w:t>
            </w:r>
          </w:p>
        </w:tc>
        <w:tc>
          <w:tcPr>
            <w:tcW w:w="829" w:type="dxa"/>
          </w:tcPr>
          <w:p w14:paraId="2C77546C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</w:pPr>
          </w:p>
          <w:p w14:paraId="78EE747E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  <w:t>[-0.9, 0.76]</w:t>
            </w:r>
          </w:p>
        </w:tc>
        <w:tc>
          <w:tcPr>
            <w:tcW w:w="831" w:type="dxa"/>
          </w:tcPr>
          <w:p w14:paraId="6EF80DFE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</w:pPr>
          </w:p>
          <w:p w14:paraId="3D3DABCE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  <w:t>[-0.29, 2.61]</w:t>
            </w:r>
          </w:p>
          <w:p w14:paraId="01F4D249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31" w:type="dxa"/>
          </w:tcPr>
          <w:p w14:paraId="2833E2D5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</w:pPr>
          </w:p>
          <w:p w14:paraId="6991D494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color w:val="000000" w:themeColor="text1"/>
                <w:sz w:val="16"/>
                <w:szCs w:val="16"/>
                <w:lang w:val="en-US"/>
              </w:rPr>
              <w:t>[0.86, 2.83]</w:t>
            </w:r>
          </w:p>
        </w:tc>
      </w:tr>
      <w:tr w:rsidR="00373D49" w14:paraId="6AB4791C" w14:textId="77777777" w:rsidTr="001F545D">
        <w:tc>
          <w:tcPr>
            <w:tcW w:w="1176" w:type="dxa"/>
          </w:tcPr>
          <w:p w14:paraId="6654E3AA" w14:textId="77777777" w:rsidR="00373D49" w:rsidRPr="002F4497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2F4497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Contralateral SII, observation (against the baseline)</w:t>
            </w:r>
          </w:p>
        </w:tc>
        <w:tc>
          <w:tcPr>
            <w:tcW w:w="827" w:type="dxa"/>
          </w:tcPr>
          <w:p w14:paraId="61AED755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0B87CB46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[-1.65, 7.75]</w:t>
            </w:r>
          </w:p>
        </w:tc>
        <w:tc>
          <w:tcPr>
            <w:tcW w:w="832" w:type="dxa"/>
          </w:tcPr>
          <w:p w14:paraId="738DE56A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25A6FB10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[0.31, 10.27]</w:t>
            </w:r>
          </w:p>
        </w:tc>
        <w:tc>
          <w:tcPr>
            <w:tcW w:w="832" w:type="dxa"/>
          </w:tcPr>
          <w:p w14:paraId="11FA497D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49E20E7C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[0.63, 8.37]</w:t>
            </w:r>
          </w:p>
        </w:tc>
        <w:tc>
          <w:tcPr>
            <w:tcW w:w="837" w:type="dxa"/>
          </w:tcPr>
          <w:p w14:paraId="00528F3B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7A4D7849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&lt;</w:t>
            </w:r>
            <w:r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</w:t>
            </w: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0.001</w:t>
            </w:r>
          </w:p>
        </w:tc>
        <w:tc>
          <w:tcPr>
            <w:tcW w:w="975" w:type="dxa"/>
          </w:tcPr>
          <w:p w14:paraId="090C8F05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41D7767A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&lt;</w:t>
            </w:r>
            <w:r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</w:t>
            </w: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0.001</w:t>
            </w:r>
          </w:p>
        </w:tc>
        <w:tc>
          <w:tcPr>
            <w:tcW w:w="837" w:type="dxa"/>
          </w:tcPr>
          <w:p w14:paraId="01E900FD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62D79524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&lt;</w:t>
            </w:r>
            <w:r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</w:t>
            </w: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0.001</w:t>
            </w:r>
          </w:p>
        </w:tc>
        <w:tc>
          <w:tcPr>
            <w:tcW w:w="821" w:type="dxa"/>
          </w:tcPr>
          <w:p w14:paraId="03817EDE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19ECCDA3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9E49D7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21</w:t>
            </w:r>
          </w:p>
        </w:tc>
        <w:tc>
          <w:tcPr>
            <w:tcW w:w="829" w:type="dxa"/>
          </w:tcPr>
          <w:p w14:paraId="2C99A887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1DE3135E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[-0.35, 1.65]</w:t>
            </w:r>
          </w:p>
        </w:tc>
        <w:tc>
          <w:tcPr>
            <w:tcW w:w="831" w:type="dxa"/>
          </w:tcPr>
          <w:p w14:paraId="2B6ACC33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3B288C35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[0.07, 2.19]</w:t>
            </w:r>
          </w:p>
        </w:tc>
        <w:tc>
          <w:tcPr>
            <w:tcW w:w="831" w:type="dxa"/>
          </w:tcPr>
          <w:p w14:paraId="1D979244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5AD2F958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[0.14, 1.78]</w:t>
            </w:r>
          </w:p>
        </w:tc>
      </w:tr>
      <w:tr w:rsidR="00373D49" w14:paraId="4F7E335C" w14:textId="77777777" w:rsidTr="001F545D">
        <w:tc>
          <w:tcPr>
            <w:tcW w:w="1176" w:type="dxa"/>
          </w:tcPr>
          <w:p w14:paraId="289726B4" w14:textId="77777777" w:rsidR="00373D49" w:rsidRPr="002F4497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2F4497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Ipsilateral SII, observation (against the baseline)</w:t>
            </w:r>
          </w:p>
        </w:tc>
        <w:tc>
          <w:tcPr>
            <w:tcW w:w="827" w:type="dxa"/>
          </w:tcPr>
          <w:p w14:paraId="49B480B6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2CBA9E3C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[-4.23, 5.06]</w:t>
            </w:r>
          </w:p>
        </w:tc>
        <w:tc>
          <w:tcPr>
            <w:tcW w:w="832" w:type="dxa"/>
          </w:tcPr>
          <w:p w14:paraId="0E552EA7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74EB81C0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[-0.98, 12.73]</w:t>
            </w:r>
          </w:p>
        </w:tc>
        <w:tc>
          <w:tcPr>
            <w:tcW w:w="832" w:type="dxa"/>
          </w:tcPr>
          <w:p w14:paraId="09DD8EBA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13B91F4F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[1.84, 12.13]</w:t>
            </w:r>
          </w:p>
        </w:tc>
        <w:tc>
          <w:tcPr>
            <w:tcW w:w="837" w:type="dxa"/>
          </w:tcPr>
          <w:p w14:paraId="3FF2D3D8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highlight w:val="yellow"/>
                <w:lang w:val="en-US"/>
              </w:rPr>
            </w:pPr>
          </w:p>
          <w:p w14:paraId="61B5DD82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highlight w:val="yellow"/>
                <w:lang w:val="en-US"/>
              </w:rPr>
            </w:pPr>
            <w:r w:rsidRPr="00DF5729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0.07</w:t>
            </w:r>
          </w:p>
        </w:tc>
        <w:tc>
          <w:tcPr>
            <w:tcW w:w="975" w:type="dxa"/>
          </w:tcPr>
          <w:p w14:paraId="18FFAE7A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23D54787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&lt;</w:t>
            </w:r>
            <w:r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</w:t>
            </w: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0.001</w:t>
            </w:r>
          </w:p>
        </w:tc>
        <w:tc>
          <w:tcPr>
            <w:tcW w:w="837" w:type="dxa"/>
          </w:tcPr>
          <w:p w14:paraId="4825CB47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6CF43656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&lt; 0.001</w:t>
            </w:r>
          </w:p>
        </w:tc>
        <w:tc>
          <w:tcPr>
            <w:tcW w:w="821" w:type="dxa"/>
          </w:tcPr>
          <w:p w14:paraId="6FD56F62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6A1F0367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9E49D7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829" w:type="dxa"/>
          </w:tcPr>
          <w:p w14:paraId="42D2698C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1D28059D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[-0.97, 1.16]</w:t>
            </w:r>
          </w:p>
        </w:tc>
        <w:tc>
          <w:tcPr>
            <w:tcW w:w="831" w:type="dxa"/>
          </w:tcPr>
          <w:p w14:paraId="236C2523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06D98609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[-0.23, 2.93]</w:t>
            </w:r>
          </w:p>
        </w:tc>
        <w:tc>
          <w:tcPr>
            <w:tcW w:w="831" w:type="dxa"/>
          </w:tcPr>
          <w:p w14:paraId="61F7C456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7933F280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[0.42, 2.78]</w:t>
            </w:r>
          </w:p>
          <w:p w14:paraId="58EB21D8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</w:tc>
      </w:tr>
      <w:tr w:rsidR="00373D49" w14:paraId="514881B6" w14:textId="77777777" w:rsidTr="001F545D">
        <w:tc>
          <w:tcPr>
            <w:tcW w:w="1176" w:type="dxa"/>
          </w:tcPr>
          <w:p w14:paraId="37852CBC" w14:textId="77777777" w:rsidR="00373D49" w:rsidRPr="002F4497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2F4497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Contralateral SII (execution vs observation)</w:t>
            </w:r>
          </w:p>
        </w:tc>
        <w:tc>
          <w:tcPr>
            <w:tcW w:w="827" w:type="dxa"/>
          </w:tcPr>
          <w:p w14:paraId="0B11F9BF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4BA6D8DF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[-3.76, 2.52]</w:t>
            </w:r>
          </w:p>
        </w:tc>
        <w:tc>
          <w:tcPr>
            <w:tcW w:w="832" w:type="dxa"/>
          </w:tcPr>
          <w:p w14:paraId="5ADABD99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14A88794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[-1.08, 8.24]</w:t>
            </w:r>
          </w:p>
        </w:tc>
        <w:tc>
          <w:tcPr>
            <w:tcW w:w="832" w:type="dxa"/>
          </w:tcPr>
          <w:p w14:paraId="2065E8F2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00A65DE4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[-2.05, 8.42]</w:t>
            </w:r>
          </w:p>
        </w:tc>
        <w:tc>
          <w:tcPr>
            <w:tcW w:w="837" w:type="dxa"/>
          </w:tcPr>
          <w:p w14:paraId="096C9C5E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highlight w:val="yellow"/>
                <w:lang w:val="en-US"/>
              </w:rPr>
            </w:pPr>
          </w:p>
          <w:p w14:paraId="26B77FE4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highlight w:val="yellow"/>
                <w:lang w:val="en-US"/>
              </w:rPr>
            </w:pPr>
            <w:r w:rsidRPr="009579E0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0.10</w:t>
            </w:r>
          </w:p>
        </w:tc>
        <w:tc>
          <w:tcPr>
            <w:tcW w:w="975" w:type="dxa"/>
          </w:tcPr>
          <w:p w14:paraId="68B22694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157EEEAC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&lt;</w:t>
            </w:r>
            <w:r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</w:t>
            </w: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0.001</w:t>
            </w:r>
          </w:p>
        </w:tc>
        <w:tc>
          <w:tcPr>
            <w:tcW w:w="837" w:type="dxa"/>
          </w:tcPr>
          <w:p w14:paraId="4196F1AF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56C29F10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&lt;</w:t>
            </w:r>
            <w:r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</w:t>
            </w: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0.001</w:t>
            </w:r>
          </w:p>
        </w:tc>
        <w:tc>
          <w:tcPr>
            <w:tcW w:w="821" w:type="dxa"/>
          </w:tcPr>
          <w:p w14:paraId="035D1683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25355012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9E49D7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41</w:t>
            </w:r>
          </w:p>
        </w:tc>
        <w:tc>
          <w:tcPr>
            <w:tcW w:w="829" w:type="dxa"/>
          </w:tcPr>
          <w:p w14:paraId="094D8A06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7EB4C697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[-1.13, 0.69]</w:t>
            </w:r>
          </w:p>
        </w:tc>
        <w:tc>
          <w:tcPr>
            <w:tcW w:w="831" w:type="dxa"/>
          </w:tcPr>
          <w:p w14:paraId="78339AD2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6EC74FD0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[-0.32, 2.49]</w:t>
            </w:r>
          </w:p>
        </w:tc>
        <w:tc>
          <w:tcPr>
            <w:tcW w:w="831" w:type="dxa"/>
          </w:tcPr>
          <w:p w14:paraId="6F4DE38F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1A1FCEAD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[0.66, 2.45]</w:t>
            </w:r>
          </w:p>
        </w:tc>
      </w:tr>
      <w:tr w:rsidR="00373D49" w14:paraId="5E97C085" w14:textId="77777777" w:rsidTr="001F545D">
        <w:tc>
          <w:tcPr>
            <w:tcW w:w="1176" w:type="dxa"/>
          </w:tcPr>
          <w:p w14:paraId="65A50C2A" w14:textId="77777777" w:rsidR="00373D49" w:rsidRPr="002F4497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2F4497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Ipsilateral SII (execution vs observation)</w:t>
            </w:r>
          </w:p>
        </w:tc>
        <w:tc>
          <w:tcPr>
            <w:tcW w:w="827" w:type="dxa"/>
          </w:tcPr>
          <w:p w14:paraId="07D09A6D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68C1020A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[-4.06, -3.02]</w:t>
            </w:r>
          </w:p>
        </w:tc>
        <w:tc>
          <w:tcPr>
            <w:tcW w:w="832" w:type="dxa"/>
          </w:tcPr>
          <w:p w14:paraId="4F782D8C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50782D9F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[-2.91, 4.07]</w:t>
            </w:r>
          </w:p>
        </w:tc>
        <w:tc>
          <w:tcPr>
            <w:tcW w:w="832" w:type="dxa"/>
          </w:tcPr>
          <w:p w14:paraId="2D7B1DD4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67342B86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[-2.66, 4.93]</w:t>
            </w:r>
          </w:p>
        </w:tc>
        <w:tc>
          <w:tcPr>
            <w:tcW w:w="837" w:type="dxa"/>
          </w:tcPr>
          <w:p w14:paraId="5776A7E4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highlight w:val="yellow"/>
                <w:lang w:val="en-US"/>
              </w:rPr>
            </w:pPr>
          </w:p>
          <w:p w14:paraId="7E13CB76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highlight w:val="yellow"/>
                <w:lang w:val="en-US"/>
              </w:rPr>
            </w:pPr>
            <w:r w:rsidRPr="00DF5729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0.05</w:t>
            </w:r>
          </w:p>
        </w:tc>
        <w:tc>
          <w:tcPr>
            <w:tcW w:w="975" w:type="dxa"/>
          </w:tcPr>
          <w:p w14:paraId="587174D0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139B2EA6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&lt;</w:t>
            </w:r>
            <w:r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</w:t>
            </w: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0.001</w:t>
            </w:r>
          </w:p>
        </w:tc>
        <w:tc>
          <w:tcPr>
            <w:tcW w:w="837" w:type="dxa"/>
          </w:tcPr>
          <w:p w14:paraId="43595D0A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56530E17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&lt;</w:t>
            </w:r>
            <w:r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 xml:space="preserve"> </w:t>
            </w:r>
            <w:r w:rsidRPr="006E7CC3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0.001</w:t>
            </w:r>
          </w:p>
        </w:tc>
        <w:tc>
          <w:tcPr>
            <w:tcW w:w="821" w:type="dxa"/>
          </w:tcPr>
          <w:p w14:paraId="4B5070CE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</w:p>
          <w:p w14:paraId="6804709E" w14:textId="77777777" w:rsidR="00373D49" w:rsidRPr="009E49D7" w:rsidRDefault="00373D49" w:rsidP="001F545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en-US"/>
              </w:rPr>
            </w:pPr>
            <w:r w:rsidRPr="009E49D7">
              <w:rPr>
                <w:rFonts w:ascii="Palatino Linotype" w:hAnsi="Palatino Linotype"/>
                <w:b/>
                <w:sz w:val="18"/>
                <w:szCs w:val="18"/>
                <w:lang w:val="en-US"/>
              </w:rPr>
              <w:t>37</w:t>
            </w:r>
          </w:p>
        </w:tc>
        <w:tc>
          <w:tcPr>
            <w:tcW w:w="829" w:type="dxa"/>
          </w:tcPr>
          <w:p w14:paraId="0D6138D0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65CD4E1D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[-1.32, 0.84]</w:t>
            </w:r>
          </w:p>
        </w:tc>
        <w:tc>
          <w:tcPr>
            <w:tcW w:w="831" w:type="dxa"/>
          </w:tcPr>
          <w:p w14:paraId="103AA47A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34C48C0D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[-0.94, 1.32]</w:t>
            </w:r>
          </w:p>
        </w:tc>
        <w:tc>
          <w:tcPr>
            <w:tcW w:w="831" w:type="dxa"/>
          </w:tcPr>
          <w:p w14:paraId="733D9D3F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</w:p>
          <w:p w14:paraId="1DC66184" w14:textId="77777777" w:rsidR="00373D49" w:rsidRPr="006E7CC3" w:rsidRDefault="00373D49" w:rsidP="001F545D">
            <w:pPr>
              <w:jc w:val="center"/>
              <w:rPr>
                <w:rFonts w:ascii="Palatino Linotype" w:hAnsi="Palatino Linotype"/>
                <w:b/>
                <w:sz w:val="16"/>
                <w:szCs w:val="16"/>
                <w:lang w:val="en-US"/>
              </w:rPr>
            </w:pPr>
            <w:r w:rsidRPr="006E7CC3">
              <w:rPr>
                <w:rFonts w:ascii="Palatino Linotype" w:hAnsi="Palatino Linotype"/>
                <w:b/>
                <w:sz w:val="16"/>
                <w:szCs w:val="16"/>
                <w:lang w:val="en-US"/>
              </w:rPr>
              <w:t>[-0.39, 1.6]</w:t>
            </w:r>
          </w:p>
        </w:tc>
      </w:tr>
    </w:tbl>
    <w:p w14:paraId="4AE9C572" w14:textId="7EC197A9" w:rsidR="009269B6" w:rsidRDefault="009269B6" w:rsidP="00B41E8A">
      <w:pPr>
        <w:spacing w:line="360" w:lineRule="auto"/>
        <w:jc w:val="both"/>
        <w:rPr>
          <w:rFonts w:ascii="Palatino Linotype" w:hAnsi="Palatino Linotype"/>
          <w:sz w:val="28"/>
          <w:szCs w:val="28"/>
          <w:lang w:val="en-US"/>
        </w:rPr>
      </w:pPr>
    </w:p>
    <w:p w14:paraId="63E43D6E" w14:textId="4A62BF0E" w:rsidR="00373D49" w:rsidRPr="001B6D7F" w:rsidRDefault="00373D49" w:rsidP="00B41E8A">
      <w:pPr>
        <w:spacing w:line="360" w:lineRule="auto"/>
        <w:jc w:val="both"/>
        <w:rPr>
          <w:rFonts w:ascii="Palatino Linotype" w:hAnsi="Palatino Linotype"/>
          <w:sz w:val="26"/>
          <w:szCs w:val="26"/>
          <w:lang w:val="en-US"/>
        </w:rPr>
      </w:pPr>
      <w:r w:rsidRPr="001B6D7F">
        <w:rPr>
          <w:rFonts w:ascii="Palatino Linotype" w:hAnsi="Palatino Linotype" w:cs="Helvetica"/>
          <w:b/>
          <w:color w:val="000000"/>
          <w:sz w:val="26"/>
          <w:szCs w:val="26"/>
          <w:lang w:val="en-US" w:eastAsia="it-IT"/>
        </w:rPr>
        <w:t xml:space="preserve">Supplementary Table 1: </w:t>
      </w:r>
      <w:r w:rsidRPr="001B6D7F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Supplementary Table 1 reports, for each time-wised test, the correspondent t- values range, the minimum p value, the degrees of freedom and the effect size (</w:t>
      </w:r>
      <w:r w:rsidRPr="001B6D7F">
        <w:rPr>
          <w:rFonts w:ascii="Palatino Linotype" w:hAnsi="Palatino Linotype" w:cs="Helvetica"/>
          <w:i/>
          <w:color w:val="000000"/>
          <w:sz w:val="26"/>
          <w:szCs w:val="26"/>
          <w:lang w:val="en-US" w:eastAsia="it-IT"/>
        </w:rPr>
        <w:t>Cohen’s d</w:t>
      </w:r>
      <w:r w:rsidRPr="001B6D7F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>).</w:t>
      </w:r>
      <w:r w:rsidR="00807E6A">
        <w:rPr>
          <w:rFonts w:ascii="Palatino Linotype" w:hAnsi="Palatino Linotype" w:cs="Helvetica"/>
          <w:color w:val="000000"/>
          <w:sz w:val="26"/>
          <w:szCs w:val="26"/>
          <w:lang w:val="en-US" w:eastAsia="it-IT"/>
        </w:rPr>
        <w:t xml:space="preserve"> PREP: preparation, RTG: reaching-to-grasp, MANIP: manipulation. </w:t>
      </w:r>
      <w:bookmarkStart w:id="0" w:name="_GoBack"/>
      <w:bookmarkEnd w:id="0"/>
    </w:p>
    <w:sectPr w:rsidR="00373D49" w:rsidRPr="001B6D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BFB"/>
    <w:rsid w:val="00056C1B"/>
    <w:rsid w:val="000957EB"/>
    <w:rsid w:val="000B4BA4"/>
    <w:rsid w:val="001447BF"/>
    <w:rsid w:val="0016144B"/>
    <w:rsid w:val="001A199A"/>
    <w:rsid w:val="001A391F"/>
    <w:rsid w:val="001B6D7F"/>
    <w:rsid w:val="001E4301"/>
    <w:rsid w:val="00363265"/>
    <w:rsid w:val="00373D49"/>
    <w:rsid w:val="00376157"/>
    <w:rsid w:val="003A3984"/>
    <w:rsid w:val="003B234C"/>
    <w:rsid w:val="00400D6B"/>
    <w:rsid w:val="0043489D"/>
    <w:rsid w:val="00441607"/>
    <w:rsid w:val="00441CD3"/>
    <w:rsid w:val="00610816"/>
    <w:rsid w:val="006732B1"/>
    <w:rsid w:val="006C3E50"/>
    <w:rsid w:val="00731422"/>
    <w:rsid w:val="00784818"/>
    <w:rsid w:val="00807E6A"/>
    <w:rsid w:val="00833BFB"/>
    <w:rsid w:val="00886FA4"/>
    <w:rsid w:val="009269B6"/>
    <w:rsid w:val="009E0167"/>
    <w:rsid w:val="009E1A9F"/>
    <w:rsid w:val="00A410A2"/>
    <w:rsid w:val="00A56AF7"/>
    <w:rsid w:val="00B0037E"/>
    <w:rsid w:val="00B118A3"/>
    <w:rsid w:val="00B41E8A"/>
    <w:rsid w:val="00BB4C61"/>
    <w:rsid w:val="00BF110B"/>
    <w:rsid w:val="00C747E1"/>
    <w:rsid w:val="00CA5AAB"/>
    <w:rsid w:val="00CB26C3"/>
    <w:rsid w:val="00D66047"/>
    <w:rsid w:val="00D91094"/>
    <w:rsid w:val="00DA62E9"/>
    <w:rsid w:val="00E220AF"/>
    <w:rsid w:val="00E363E0"/>
    <w:rsid w:val="00E933DB"/>
    <w:rsid w:val="00F73BDE"/>
    <w:rsid w:val="00F847CF"/>
    <w:rsid w:val="00FE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61FBE"/>
  <w15:chartTrackingRefBased/>
  <w15:docId w15:val="{E5E2E8C1-81E6-4137-B09A-2EC7AE3F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FE7323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E7323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E7323"/>
    <w:rPr>
      <w:sz w:val="24"/>
      <w:szCs w:val="24"/>
    </w:rPr>
  </w:style>
  <w:style w:type="paragraph" w:styleId="Paragrafoelenco">
    <w:name w:val="List Paragraph"/>
    <w:basedOn w:val="Normale"/>
    <w:uiPriority w:val="99"/>
    <w:qFormat/>
    <w:rsid w:val="00FE732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7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7323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373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33A1C-B12F-4C35-8F5A-4AD92B205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4416</TotalTime>
  <Pages>6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31</cp:revision>
  <dcterms:created xsi:type="dcterms:W3CDTF">2019-06-03T08:33:00Z</dcterms:created>
  <dcterms:modified xsi:type="dcterms:W3CDTF">2020-01-07T14:20:00Z</dcterms:modified>
</cp:coreProperties>
</file>