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A47C7" w14:textId="65B657DF" w:rsidR="00D951C2" w:rsidRDefault="00D951C2" w:rsidP="00E37B4F">
      <w:pPr>
        <w:rPr>
          <w:rFonts w:asciiTheme="majorBidi" w:hAnsiTheme="majorBidi" w:cstheme="majorBidi"/>
          <w:b/>
          <w:bCs/>
          <w:u w:val="single"/>
          <w:lang w:val="en-GB"/>
        </w:rPr>
      </w:pPr>
      <w:r w:rsidRPr="00567C78">
        <w:rPr>
          <w:rFonts w:asciiTheme="majorBidi" w:hAnsiTheme="majorBidi" w:cstheme="majorBidi"/>
          <w:b/>
          <w:bCs/>
          <w:u w:val="single"/>
          <w:lang w:val="en-GB"/>
        </w:rPr>
        <w:t xml:space="preserve">Supplementary </w:t>
      </w:r>
      <w:r w:rsidRPr="00D951C2">
        <w:rPr>
          <w:rFonts w:asciiTheme="majorBidi" w:hAnsiTheme="majorBidi" w:cstheme="majorBidi"/>
          <w:b/>
          <w:bCs/>
          <w:u w:val="single"/>
          <w:lang w:val="en-GB"/>
        </w:rPr>
        <w:t>data 1</w:t>
      </w:r>
      <w:r>
        <w:rPr>
          <w:rFonts w:asciiTheme="majorBidi" w:hAnsiTheme="majorBidi" w:cstheme="majorBidi"/>
          <w:b/>
          <w:bCs/>
          <w:u w:val="single"/>
          <w:lang w:val="en-GB"/>
        </w:rPr>
        <w:t>: source data for figure 2.</w:t>
      </w:r>
    </w:p>
    <w:p w14:paraId="1F55E493" w14:textId="16EA42A2" w:rsidR="002410EE" w:rsidRPr="002410EE" w:rsidRDefault="002F4F94" w:rsidP="00E37B4F">
      <w:pPr>
        <w:rPr>
          <w:rFonts w:asciiTheme="majorBidi" w:hAnsiTheme="majorBidi" w:cstheme="majorBidi"/>
          <w:lang w:val="en-GB"/>
        </w:rPr>
      </w:pPr>
      <w:r>
        <w:rPr>
          <w:rFonts w:asciiTheme="majorBidi" w:hAnsiTheme="majorBidi" w:cstheme="majorBidi"/>
          <w:lang w:val="en-GB"/>
        </w:rPr>
        <w:t>Microsoft® Excel® file, with the m</w:t>
      </w:r>
      <w:r w:rsidR="002410EE" w:rsidRPr="002410EE">
        <w:rPr>
          <w:rFonts w:asciiTheme="majorBidi" w:hAnsiTheme="majorBidi" w:cstheme="majorBidi"/>
          <w:lang w:val="en-GB"/>
        </w:rPr>
        <w:t>axima freq</w:t>
      </w:r>
      <w:r>
        <w:rPr>
          <w:rFonts w:asciiTheme="majorBidi" w:hAnsiTheme="majorBidi" w:cstheme="majorBidi"/>
          <w:lang w:val="en-GB"/>
        </w:rPr>
        <w:t>uency</w:t>
      </w:r>
      <w:r w:rsidR="002410EE" w:rsidRPr="002410EE">
        <w:rPr>
          <w:rFonts w:asciiTheme="majorBidi" w:hAnsiTheme="majorBidi" w:cstheme="majorBidi"/>
          <w:lang w:val="en-GB"/>
        </w:rPr>
        <w:t xml:space="preserve"> (Hz)</w:t>
      </w:r>
      <w:r>
        <w:rPr>
          <w:rFonts w:asciiTheme="majorBidi" w:hAnsiTheme="majorBidi" w:cstheme="majorBidi"/>
          <w:lang w:val="en-GB"/>
        </w:rPr>
        <w:t xml:space="preserve">, </w:t>
      </w:r>
      <w:r w:rsidR="002410EE" w:rsidRPr="002410EE">
        <w:rPr>
          <w:rFonts w:asciiTheme="majorBidi" w:hAnsiTheme="majorBidi" w:cstheme="majorBidi"/>
          <w:lang w:val="en-GB"/>
        </w:rPr>
        <w:t>freq</w:t>
      </w:r>
      <w:r>
        <w:rPr>
          <w:rFonts w:asciiTheme="majorBidi" w:hAnsiTheme="majorBidi" w:cstheme="majorBidi"/>
          <w:lang w:val="en-GB"/>
        </w:rPr>
        <w:t>uency</w:t>
      </w:r>
      <w:r w:rsidR="002410EE" w:rsidRPr="002410EE">
        <w:rPr>
          <w:rFonts w:asciiTheme="majorBidi" w:hAnsiTheme="majorBidi" w:cstheme="majorBidi"/>
          <w:lang w:val="en-GB"/>
        </w:rPr>
        <w:t xml:space="preserve"> span (Hz)</w:t>
      </w:r>
      <w:r>
        <w:rPr>
          <w:rFonts w:asciiTheme="majorBidi" w:hAnsiTheme="majorBidi" w:cstheme="majorBidi"/>
          <w:lang w:val="en-GB"/>
        </w:rPr>
        <w:t>, d</w:t>
      </w:r>
      <w:r w:rsidR="002410EE" w:rsidRPr="002410EE">
        <w:rPr>
          <w:rFonts w:asciiTheme="majorBidi" w:hAnsiTheme="majorBidi" w:cstheme="majorBidi"/>
          <w:lang w:val="en-GB"/>
        </w:rPr>
        <w:t>uration (</w:t>
      </w:r>
      <w:proofErr w:type="spellStart"/>
      <w:r w:rsidR="002410EE" w:rsidRPr="002410EE">
        <w:rPr>
          <w:rFonts w:asciiTheme="majorBidi" w:hAnsiTheme="majorBidi" w:cstheme="majorBidi"/>
          <w:lang w:val="en-GB"/>
        </w:rPr>
        <w:t>ms</w:t>
      </w:r>
      <w:proofErr w:type="spellEnd"/>
      <w:r w:rsidR="002410EE" w:rsidRPr="002410EE">
        <w:rPr>
          <w:rFonts w:asciiTheme="majorBidi" w:hAnsiTheme="majorBidi" w:cstheme="majorBidi"/>
          <w:lang w:val="en-GB"/>
        </w:rPr>
        <w:t>)</w:t>
      </w:r>
      <w:r>
        <w:rPr>
          <w:rFonts w:asciiTheme="majorBidi" w:hAnsiTheme="majorBidi" w:cstheme="majorBidi"/>
          <w:lang w:val="en-GB"/>
        </w:rPr>
        <w:t xml:space="preserve"> </w:t>
      </w:r>
      <w:r w:rsidR="002410EE" w:rsidRPr="002410EE">
        <w:rPr>
          <w:rFonts w:asciiTheme="majorBidi" w:hAnsiTheme="majorBidi" w:cstheme="majorBidi"/>
          <w:lang w:val="en-GB"/>
        </w:rPr>
        <w:t>power (mV^2</w:t>
      </w:r>
      <w:r>
        <w:rPr>
          <w:rFonts w:asciiTheme="majorBidi" w:hAnsiTheme="majorBidi" w:cstheme="majorBidi"/>
          <w:lang w:val="en-GB"/>
        </w:rPr>
        <w:t>), p</w:t>
      </w:r>
      <w:r w:rsidR="002410EE" w:rsidRPr="002410EE">
        <w:rPr>
          <w:rFonts w:asciiTheme="majorBidi" w:hAnsiTheme="majorBidi" w:cstheme="majorBidi"/>
          <w:lang w:val="en-GB"/>
        </w:rPr>
        <w:t>ower (ratio to 98</w:t>
      </w:r>
      <w:r w:rsidR="002410EE" w:rsidRPr="002F4F94">
        <w:rPr>
          <w:rFonts w:asciiTheme="majorBidi" w:hAnsiTheme="majorBidi" w:cstheme="majorBidi"/>
          <w:vertAlign w:val="superscript"/>
          <w:lang w:val="en-GB"/>
        </w:rPr>
        <w:t>th</w:t>
      </w:r>
      <w:r>
        <w:rPr>
          <w:rFonts w:asciiTheme="majorBidi" w:hAnsiTheme="majorBidi" w:cstheme="majorBidi"/>
          <w:lang w:val="en-GB"/>
        </w:rPr>
        <w:t xml:space="preserve"> percentile and </w:t>
      </w:r>
      <w:r w:rsidR="002410EE" w:rsidRPr="002410EE">
        <w:rPr>
          <w:rFonts w:asciiTheme="majorBidi" w:hAnsiTheme="majorBidi" w:cstheme="majorBidi"/>
          <w:lang w:val="en-GB"/>
        </w:rPr>
        <w:t>to median)</w:t>
      </w:r>
      <w:r>
        <w:rPr>
          <w:rFonts w:asciiTheme="majorBidi" w:hAnsiTheme="majorBidi" w:cstheme="majorBidi"/>
          <w:lang w:val="en-GB"/>
        </w:rPr>
        <w:t xml:space="preserve"> of a</w:t>
      </w:r>
      <w:r w:rsidR="002410EE">
        <w:rPr>
          <w:rFonts w:asciiTheme="majorBidi" w:hAnsiTheme="majorBidi" w:cstheme="majorBidi"/>
          <w:lang w:val="en-GB"/>
        </w:rPr>
        <w:t>ll bursts (detected offline) used for the distribution analysis</w:t>
      </w:r>
      <w:r>
        <w:rPr>
          <w:rFonts w:asciiTheme="majorBidi" w:hAnsiTheme="majorBidi" w:cstheme="majorBidi"/>
          <w:lang w:val="en-GB"/>
        </w:rPr>
        <w:t xml:space="preserve"> if figure 2</w:t>
      </w:r>
      <w:r w:rsidR="002410EE">
        <w:rPr>
          <w:rFonts w:asciiTheme="majorBidi" w:hAnsiTheme="majorBidi" w:cstheme="majorBidi"/>
          <w:lang w:val="en-GB"/>
        </w:rPr>
        <w:t xml:space="preserve">. </w:t>
      </w:r>
      <w:r>
        <w:rPr>
          <w:rFonts w:asciiTheme="majorBidi" w:hAnsiTheme="majorBidi" w:cstheme="majorBidi"/>
          <w:lang w:val="en-GB"/>
        </w:rPr>
        <w:t xml:space="preserve">Sessions 1-3 are represented in the figure as blue bars, and sessions 7-9 as a red line. </w:t>
      </w:r>
    </w:p>
    <w:p w14:paraId="61A79144" w14:textId="77777777" w:rsidR="002F4F94" w:rsidRDefault="002F4F94" w:rsidP="00D951C2">
      <w:pPr>
        <w:rPr>
          <w:rFonts w:asciiTheme="majorBidi" w:hAnsiTheme="majorBidi" w:cstheme="majorBidi"/>
          <w:b/>
          <w:bCs/>
          <w:u w:val="single"/>
          <w:lang w:val="en-GB"/>
        </w:rPr>
      </w:pPr>
    </w:p>
    <w:p w14:paraId="344D8C74" w14:textId="25E8739A" w:rsidR="00D951C2" w:rsidRDefault="00D951C2" w:rsidP="00D951C2">
      <w:pPr>
        <w:rPr>
          <w:rFonts w:asciiTheme="majorBidi" w:hAnsiTheme="majorBidi" w:cstheme="majorBidi"/>
          <w:b/>
          <w:bCs/>
          <w:u w:val="single"/>
          <w:lang w:val="en-GB"/>
        </w:rPr>
      </w:pPr>
      <w:r w:rsidRPr="00567C78">
        <w:rPr>
          <w:rFonts w:asciiTheme="majorBidi" w:hAnsiTheme="majorBidi" w:cstheme="majorBidi"/>
          <w:b/>
          <w:bCs/>
          <w:u w:val="single"/>
          <w:lang w:val="en-GB"/>
        </w:rPr>
        <w:t xml:space="preserve">Supplementary </w:t>
      </w:r>
      <w:r w:rsidRPr="00D951C2">
        <w:rPr>
          <w:rFonts w:asciiTheme="majorBidi" w:hAnsiTheme="majorBidi" w:cstheme="majorBidi"/>
          <w:b/>
          <w:bCs/>
          <w:u w:val="single"/>
          <w:lang w:val="en-GB"/>
        </w:rPr>
        <w:t xml:space="preserve">data </w:t>
      </w:r>
      <w:r>
        <w:rPr>
          <w:rFonts w:asciiTheme="majorBidi" w:hAnsiTheme="majorBidi" w:cstheme="majorBidi"/>
          <w:b/>
          <w:bCs/>
          <w:u w:val="single"/>
          <w:lang w:val="en-GB"/>
        </w:rPr>
        <w:t>2</w:t>
      </w:r>
      <w:r>
        <w:rPr>
          <w:rFonts w:asciiTheme="majorBidi" w:hAnsiTheme="majorBidi" w:cstheme="majorBidi"/>
          <w:b/>
          <w:bCs/>
          <w:u w:val="single"/>
          <w:lang w:val="en-GB"/>
        </w:rPr>
        <w:t xml:space="preserve">: source data for figure </w:t>
      </w:r>
      <w:r>
        <w:rPr>
          <w:rFonts w:asciiTheme="majorBidi" w:hAnsiTheme="majorBidi" w:cstheme="majorBidi"/>
          <w:b/>
          <w:bCs/>
          <w:u w:val="single"/>
          <w:lang w:val="en-GB"/>
        </w:rPr>
        <w:t>3</w:t>
      </w:r>
      <w:r>
        <w:rPr>
          <w:rFonts w:asciiTheme="majorBidi" w:hAnsiTheme="majorBidi" w:cstheme="majorBidi"/>
          <w:b/>
          <w:bCs/>
          <w:u w:val="single"/>
          <w:lang w:val="en-GB"/>
        </w:rPr>
        <w:t>.</w:t>
      </w:r>
    </w:p>
    <w:p w14:paraId="327DF9E4" w14:textId="2710EE97" w:rsidR="002F4F94" w:rsidRDefault="002F4F94" w:rsidP="00D951C2">
      <w:pPr>
        <w:rPr>
          <w:rFonts w:asciiTheme="majorBidi" w:hAnsiTheme="majorBidi" w:cstheme="majorBidi"/>
          <w:lang w:val="en-GB"/>
        </w:rPr>
      </w:pPr>
      <w:r>
        <w:rPr>
          <w:rFonts w:asciiTheme="majorBidi" w:hAnsiTheme="majorBidi" w:cstheme="majorBidi"/>
          <w:lang w:val="en-GB"/>
        </w:rPr>
        <w:t>Microsoft® Excel® file, with</w:t>
      </w:r>
      <w:r>
        <w:rPr>
          <w:rFonts w:asciiTheme="majorBidi" w:hAnsiTheme="majorBidi" w:cstheme="majorBidi"/>
          <w:lang w:val="en-GB"/>
        </w:rPr>
        <w:t xml:space="preserve"> the data underlying each panel shown in an individual spreadsheet.</w:t>
      </w:r>
    </w:p>
    <w:p w14:paraId="4F9DE455" w14:textId="77777777" w:rsidR="002F4F94" w:rsidRPr="002F4F94" w:rsidRDefault="002F4F94" w:rsidP="00D951C2">
      <w:pPr>
        <w:rPr>
          <w:rFonts w:asciiTheme="majorBidi" w:hAnsiTheme="majorBidi" w:cstheme="majorBidi"/>
          <w:lang w:val="en-GB"/>
        </w:rPr>
      </w:pPr>
    </w:p>
    <w:p w14:paraId="1E121223" w14:textId="774D63AC" w:rsidR="00D951C2" w:rsidRDefault="00D951C2" w:rsidP="00D951C2">
      <w:pPr>
        <w:rPr>
          <w:rFonts w:asciiTheme="majorBidi" w:hAnsiTheme="majorBidi" w:cstheme="majorBidi"/>
          <w:b/>
          <w:bCs/>
          <w:u w:val="single"/>
          <w:lang w:val="en-GB"/>
        </w:rPr>
      </w:pPr>
      <w:r w:rsidRPr="00567C78">
        <w:rPr>
          <w:rFonts w:asciiTheme="majorBidi" w:hAnsiTheme="majorBidi" w:cstheme="majorBidi"/>
          <w:b/>
          <w:bCs/>
          <w:u w:val="single"/>
          <w:lang w:val="en-GB"/>
        </w:rPr>
        <w:t xml:space="preserve">Supplementary </w:t>
      </w:r>
      <w:r w:rsidRPr="00D951C2">
        <w:rPr>
          <w:rFonts w:asciiTheme="majorBidi" w:hAnsiTheme="majorBidi" w:cstheme="majorBidi"/>
          <w:b/>
          <w:bCs/>
          <w:u w:val="single"/>
          <w:lang w:val="en-GB"/>
        </w:rPr>
        <w:t xml:space="preserve">data </w:t>
      </w:r>
      <w:r>
        <w:rPr>
          <w:rFonts w:asciiTheme="majorBidi" w:hAnsiTheme="majorBidi" w:cstheme="majorBidi"/>
          <w:b/>
          <w:bCs/>
          <w:u w:val="single"/>
          <w:lang w:val="en-GB"/>
        </w:rPr>
        <w:t>3</w:t>
      </w:r>
      <w:r>
        <w:rPr>
          <w:rFonts w:asciiTheme="majorBidi" w:hAnsiTheme="majorBidi" w:cstheme="majorBidi"/>
          <w:b/>
          <w:bCs/>
          <w:u w:val="single"/>
          <w:lang w:val="en-GB"/>
        </w:rPr>
        <w:t xml:space="preserve">: source data for figure </w:t>
      </w:r>
      <w:r>
        <w:rPr>
          <w:rFonts w:asciiTheme="majorBidi" w:hAnsiTheme="majorBidi" w:cstheme="majorBidi"/>
          <w:b/>
          <w:bCs/>
          <w:u w:val="single"/>
          <w:lang w:val="en-GB"/>
        </w:rPr>
        <w:t>4</w:t>
      </w:r>
      <w:r>
        <w:rPr>
          <w:rFonts w:asciiTheme="majorBidi" w:hAnsiTheme="majorBidi" w:cstheme="majorBidi"/>
          <w:b/>
          <w:bCs/>
          <w:u w:val="single"/>
          <w:lang w:val="en-GB"/>
        </w:rPr>
        <w:t>.</w:t>
      </w:r>
    </w:p>
    <w:p w14:paraId="6EF5B2AB" w14:textId="55BAEAB5" w:rsidR="002F4F94" w:rsidRDefault="002F4F94" w:rsidP="00D951C2">
      <w:pPr>
        <w:rPr>
          <w:rFonts w:asciiTheme="majorBidi" w:hAnsiTheme="majorBidi" w:cstheme="majorBidi"/>
          <w:lang w:val="en-GB"/>
        </w:rPr>
      </w:pPr>
      <w:r>
        <w:rPr>
          <w:rFonts w:asciiTheme="majorBidi" w:hAnsiTheme="majorBidi" w:cstheme="majorBidi"/>
          <w:lang w:val="en-GB"/>
        </w:rPr>
        <w:t>Microsoft® Excel® file, with the data underlying each panel shown in an individual spreadsheet.</w:t>
      </w:r>
      <w:r>
        <w:rPr>
          <w:rFonts w:asciiTheme="majorBidi" w:hAnsiTheme="majorBidi" w:cstheme="majorBidi"/>
          <w:lang w:val="en-GB"/>
        </w:rPr>
        <w:t xml:space="preserve"> Note that the data used for </w:t>
      </w:r>
      <w:r w:rsidR="005B12C0">
        <w:rPr>
          <w:rFonts w:asciiTheme="majorBidi" w:hAnsiTheme="majorBidi" w:cstheme="majorBidi"/>
          <w:lang w:val="en-GB"/>
        </w:rPr>
        <w:t xml:space="preserve">panels b and d is given in panels a and c, respectively. </w:t>
      </w:r>
    </w:p>
    <w:p w14:paraId="1C5DB5E7" w14:textId="77777777" w:rsidR="002F4F94" w:rsidRDefault="002F4F94" w:rsidP="00D951C2">
      <w:pPr>
        <w:rPr>
          <w:rFonts w:asciiTheme="majorBidi" w:hAnsiTheme="majorBidi" w:cstheme="majorBidi"/>
          <w:b/>
          <w:bCs/>
          <w:u w:val="single"/>
          <w:lang w:val="en-GB"/>
        </w:rPr>
      </w:pPr>
    </w:p>
    <w:p w14:paraId="2A2DA632" w14:textId="4D77B110" w:rsidR="00D951C2" w:rsidRDefault="00D951C2" w:rsidP="00D951C2">
      <w:pPr>
        <w:rPr>
          <w:rFonts w:asciiTheme="majorBidi" w:hAnsiTheme="majorBidi" w:cstheme="majorBidi"/>
          <w:b/>
          <w:bCs/>
          <w:u w:val="single"/>
          <w:lang w:val="en-GB"/>
        </w:rPr>
      </w:pPr>
      <w:r w:rsidRPr="00567C78">
        <w:rPr>
          <w:rFonts w:asciiTheme="majorBidi" w:hAnsiTheme="majorBidi" w:cstheme="majorBidi"/>
          <w:b/>
          <w:bCs/>
          <w:u w:val="single"/>
          <w:lang w:val="en-GB"/>
        </w:rPr>
        <w:t xml:space="preserve">Supplementary </w:t>
      </w:r>
      <w:r w:rsidRPr="00D951C2">
        <w:rPr>
          <w:rFonts w:asciiTheme="majorBidi" w:hAnsiTheme="majorBidi" w:cstheme="majorBidi"/>
          <w:b/>
          <w:bCs/>
          <w:u w:val="single"/>
          <w:lang w:val="en-GB"/>
        </w:rPr>
        <w:t xml:space="preserve">data </w:t>
      </w:r>
      <w:r>
        <w:rPr>
          <w:rFonts w:asciiTheme="majorBidi" w:hAnsiTheme="majorBidi" w:cstheme="majorBidi"/>
          <w:b/>
          <w:bCs/>
          <w:u w:val="single"/>
          <w:lang w:val="en-GB"/>
        </w:rPr>
        <w:t>4</w:t>
      </w:r>
      <w:r>
        <w:rPr>
          <w:rFonts w:asciiTheme="majorBidi" w:hAnsiTheme="majorBidi" w:cstheme="majorBidi"/>
          <w:b/>
          <w:bCs/>
          <w:u w:val="single"/>
          <w:lang w:val="en-GB"/>
        </w:rPr>
        <w:t xml:space="preserve">: source data for figure </w:t>
      </w:r>
      <w:r>
        <w:rPr>
          <w:rFonts w:asciiTheme="majorBidi" w:hAnsiTheme="majorBidi" w:cstheme="majorBidi"/>
          <w:b/>
          <w:bCs/>
          <w:u w:val="single"/>
          <w:lang w:val="en-GB"/>
        </w:rPr>
        <w:t>5</w:t>
      </w:r>
      <w:r>
        <w:rPr>
          <w:rFonts w:asciiTheme="majorBidi" w:hAnsiTheme="majorBidi" w:cstheme="majorBidi"/>
          <w:b/>
          <w:bCs/>
          <w:u w:val="single"/>
          <w:lang w:val="en-GB"/>
        </w:rPr>
        <w:t>.</w:t>
      </w:r>
    </w:p>
    <w:p w14:paraId="03D08EAE" w14:textId="58F71458" w:rsidR="005B12C0" w:rsidRDefault="005B12C0" w:rsidP="005B12C0">
      <w:pPr>
        <w:rPr>
          <w:rFonts w:asciiTheme="majorBidi" w:hAnsiTheme="majorBidi" w:cstheme="majorBidi"/>
          <w:lang w:val="en-GB"/>
        </w:rPr>
      </w:pPr>
      <w:r>
        <w:rPr>
          <w:rFonts w:asciiTheme="majorBidi" w:hAnsiTheme="majorBidi" w:cstheme="majorBidi"/>
          <w:lang w:val="en-GB"/>
        </w:rPr>
        <w:t>Microsoft® Excel® file, with the data underlying each panel shown in an individual spreadsheet.</w:t>
      </w:r>
      <w:r>
        <w:rPr>
          <w:rFonts w:asciiTheme="majorBidi" w:hAnsiTheme="majorBidi" w:cstheme="majorBidi"/>
          <w:lang w:val="en-GB"/>
        </w:rPr>
        <w:t xml:space="preserve"> </w:t>
      </w:r>
      <w:bookmarkStart w:id="0" w:name="_GoBack"/>
      <w:bookmarkEnd w:id="0"/>
    </w:p>
    <w:p w14:paraId="71D3E855" w14:textId="77777777" w:rsidR="005B12C0" w:rsidRDefault="005B12C0" w:rsidP="00D951C2">
      <w:pPr>
        <w:rPr>
          <w:rFonts w:asciiTheme="majorBidi" w:hAnsiTheme="majorBidi" w:cstheme="majorBidi"/>
          <w:b/>
          <w:bCs/>
          <w:u w:val="single"/>
          <w:lang w:val="en-GB"/>
        </w:rPr>
      </w:pPr>
    </w:p>
    <w:p w14:paraId="438BBA74" w14:textId="7CEBBD4E" w:rsidR="00E37B4F" w:rsidRPr="00567C78" w:rsidRDefault="00E37B4F" w:rsidP="00E37B4F">
      <w:pPr>
        <w:rPr>
          <w:rFonts w:asciiTheme="majorBidi" w:hAnsiTheme="majorBidi" w:cstheme="majorBidi"/>
          <w:lang w:val="en-GB"/>
        </w:rPr>
      </w:pPr>
      <w:r w:rsidRPr="00567C78">
        <w:rPr>
          <w:rFonts w:asciiTheme="majorBidi" w:hAnsiTheme="majorBidi" w:cstheme="majorBidi"/>
          <w:b/>
          <w:bCs/>
          <w:u w:val="single"/>
          <w:lang w:val="en-GB"/>
        </w:rPr>
        <w:t>Supplementary Movie 1: Video of a freely moving rat with raw LFP trace and power estimation (related to figure 1)</w:t>
      </w:r>
    </w:p>
    <w:p w14:paraId="627CD83E" w14:textId="77777777" w:rsidR="00E37B4F" w:rsidRDefault="00E37B4F" w:rsidP="00E37B4F">
      <w:pPr>
        <w:spacing w:line="276" w:lineRule="auto"/>
      </w:pPr>
      <w:r w:rsidRPr="00567C78">
        <w:rPr>
          <w:rFonts w:asciiTheme="majorBidi" w:hAnsiTheme="majorBidi" w:cstheme="majorBidi"/>
          <w:lang w:val="en-GB"/>
        </w:rPr>
        <w:t>Example video of the freely moving rat (left) with a raw LFP trace (bottom right) and the power estimation as computed online (spectrogram, top right). The colour map is normalized to the 98</w:t>
      </w:r>
      <w:r w:rsidRPr="00567C78">
        <w:rPr>
          <w:rFonts w:asciiTheme="majorBidi" w:hAnsiTheme="majorBidi" w:cstheme="majorBidi"/>
          <w:vertAlign w:val="superscript"/>
          <w:lang w:val="en-GB"/>
        </w:rPr>
        <w:t>th</w:t>
      </w:r>
      <w:r w:rsidRPr="00567C78">
        <w:rPr>
          <w:rFonts w:asciiTheme="majorBidi" w:hAnsiTheme="majorBidi" w:cstheme="majorBidi"/>
          <w:lang w:val="en-GB"/>
        </w:rPr>
        <w:t xml:space="preserve"> percentile of the power in each frequency, i.e., values higher than 1 are above the statistically defined threshold. If the power in a specific frequency crossed the threshold and was also higher than the neighbouring frequencies, it was considered a burst and denoted with a white overlay (over the spectrogram) or red overlay (over the LFP trace). If a burst lasted &gt;70 </w:t>
      </w:r>
      <w:proofErr w:type="spellStart"/>
      <w:r w:rsidRPr="00567C78">
        <w:rPr>
          <w:rFonts w:asciiTheme="majorBidi" w:hAnsiTheme="majorBidi" w:cstheme="majorBidi"/>
          <w:lang w:val="en-GB"/>
        </w:rPr>
        <w:t>ms</w:t>
      </w:r>
      <w:proofErr w:type="spellEnd"/>
      <w:r w:rsidRPr="00567C78">
        <w:rPr>
          <w:rFonts w:asciiTheme="majorBidi" w:hAnsiTheme="majorBidi" w:cstheme="majorBidi"/>
          <w:lang w:val="en-GB"/>
        </w:rPr>
        <w:t>, the rat was rewarded with sucrose water (blue lines above the LFP trace). The next burst could be rewarded only after the end of reward delivery. Note that the delay between the LFP trace and the power estimation is constant at 130 </w:t>
      </w:r>
      <w:proofErr w:type="spellStart"/>
      <w:r w:rsidRPr="00567C78">
        <w:rPr>
          <w:rFonts w:asciiTheme="majorBidi" w:hAnsiTheme="majorBidi" w:cstheme="majorBidi"/>
          <w:lang w:val="en-GB"/>
        </w:rPr>
        <w:t>ms</w:t>
      </w:r>
      <w:proofErr w:type="spellEnd"/>
      <w:r w:rsidRPr="00567C78">
        <w:rPr>
          <w:rFonts w:asciiTheme="majorBidi" w:hAnsiTheme="majorBidi" w:cstheme="majorBidi"/>
          <w:lang w:val="en-GB"/>
        </w:rPr>
        <w:t>, which is due to the group delay of the online filters.</w:t>
      </w:r>
    </w:p>
    <w:p w14:paraId="13CBE967" w14:textId="77777777" w:rsidR="000C740C" w:rsidRDefault="000C740C"/>
    <w:sectPr w:rsidR="000C740C" w:rsidSect="00E37B4F">
      <w:footerReference w:type="default" r:id="rId6"/>
      <w:pgSz w:w="12240" w:h="15840"/>
      <w:pgMar w:top="1440" w:right="1440" w:bottom="1440" w:left="1440" w:header="0" w:footer="72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7C959" w14:textId="77777777" w:rsidR="00F13A66" w:rsidRDefault="00F13A66">
      <w:pPr>
        <w:spacing w:after="0" w:line="240" w:lineRule="auto"/>
      </w:pPr>
      <w:r>
        <w:separator/>
      </w:r>
    </w:p>
  </w:endnote>
  <w:endnote w:type="continuationSeparator" w:id="0">
    <w:p w14:paraId="40B44518" w14:textId="77777777" w:rsidR="00F13A66" w:rsidRDefault="00F1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926058"/>
      <w:docPartObj>
        <w:docPartGallery w:val="Page Numbers (Bottom of Page)"/>
        <w:docPartUnique/>
      </w:docPartObj>
    </w:sdtPr>
    <w:sdtEndPr/>
    <w:sdtContent>
      <w:p w14:paraId="6A80B623" w14:textId="77777777" w:rsidR="006A08F8" w:rsidRDefault="00E37B4F">
        <w:pPr>
          <w:pStyle w:val="Footer"/>
          <w:jc w:val="center"/>
        </w:pPr>
        <w:r>
          <w:fldChar w:fldCharType="begin"/>
        </w:r>
        <w:r>
          <w:instrText>PAGE</w:instrText>
        </w:r>
        <w:r>
          <w:fldChar w:fldCharType="separate"/>
        </w:r>
        <w:r>
          <w:rPr>
            <w:noProof/>
          </w:rPr>
          <w:t>7</w:t>
        </w:r>
        <w:r>
          <w:fldChar w:fldCharType="end"/>
        </w:r>
      </w:p>
    </w:sdtContent>
  </w:sdt>
  <w:p w14:paraId="66D840F8" w14:textId="77777777" w:rsidR="006A08F8" w:rsidRDefault="00F13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E79EF" w14:textId="77777777" w:rsidR="00F13A66" w:rsidRDefault="00F13A66">
      <w:pPr>
        <w:spacing w:after="0" w:line="240" w:lineRule="auto"/>
      </w:pPr>
      <w:r>
        <w:separator/>
      </w:r>
    </w:p>
  </w:footnote>
  <w:footnote w:type="continuationSeparator" w:id="0">
    <w:p w14:paraId="5B408AA3" w14:textId="77777777" w:rsidR="00F13A66" w:rsidRDefault="00F13A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17"/>
    <w:rsid w:val="000C740C"/>
    <w:rsid w:val="002410EE"/>
    <w:rsid w:val="002F4F94"/>
    <w:rsid w:val="005B12C0"/>
    <w:rsid w:val="00972217"/>
    <w:rsid w:val="00D14392"/>
    <w:rsid w:val="00D951C2"/>
    <w:rsid w:val="00E37B4F"/>
    <w:rsid w:val="00F13A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4364"/>
  <w15:chartTrackingRefBased/>
  <w15:docId w15:val="{3CF684E4-D562-4A3B-83E0-B509D3AB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E37B4F"/>
  </w:style>
  <w:style w:type="paragraph" w:styleId="Footer">
    <w:name w:val="footer"/>
    <w:basedOn w:val="Normal"/>
    <w:link w:val="FooterChar"/>
    <w:uiPriority w:val="99"/>
    <w:unhideWhenUsed/>
    <w:rsid w:val="00E37B4F"/>
    <w:pPr>
      <w:suppressLineNumbers/>
      <w:tabs>
        <w:tab w:val="center" w:pos="4513"/>
        <w:tab w:val="right" w:pos="9026"/>
      </w:tabs>
      <w:spacing w:after="0" w:line="240" w:lineRule="auto"/>
    </w:pPr>
  </w:style>
  <w:style w:type="character" w:customStyle="1" w:styleId="FooterChar1">
    <w:name w:val="Footer Char1"/>
    <w:basedOn w:val="DefaultParagraphFont"/>
    <w:uiPriority w:val="99"/>
    <w:semiHidden/>
    <w:rsid w:val="00E37B4F"/>
  </w:style>
  <w:style w:type="character" w:styleId="LineNumber">
    <w:name w:val="line number"/>
    <w:basedOn w:val="DefaultParagraphFont"/>
    <w:uiPriority w:val="99"/>
    <w:semiHidden/>
    <w:unhideWhenUsed/>
    <w:rsid w:val="00E37B4F"/>
  </w:style>
  <w:style w:type="paragraph" w:styleId="BalloonText">
    <w:name w:val="Balloon Text"/>
    <w:basedOn w:val="Normal"/>
    <w:link w:val="BalloonTextChar"/>
    <w:uiPriority w:val="99"/>
    <w:semiHidden/>
    <w:unhideWhenUsed/>
    <w:rsid w:val="002410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0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1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Karvat</dc:creator>
  <cp:keywords/>
  <dc:description/>
  <cp:lastModifiedBy>Golan Karvat</cp:lastModifiedBy>
  <cp:revision>4</cp:revision>
  <dcterms:created xsi:type="dcterms:W3CDTF">2019-12-22T16:37:00Z</dcterms:created>
  <dcterms:modified xsi:type="dcterms:W3CDTF">2020-01-09T10:02:00Z</dcterms:modified>
</cp:coreProperties>
</file>