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CED82" w14:textId="41265183" w:rsidR="008F4F2B" w:rsidRDefault="008F4F2B" w:rsidP="008F4F2B">
      <w:pPr>
        <w:pStyle w:val="Heading1"/>
      </w:pPr>
      <w:bookmarkStart w:id="0" w:name="_heading=h.gjdgxs" w:colFirst="0" w:colLast="0"/>
      <w:bookmarkStart w:id="1" w:name="_Hlk168386006"/>
      <w:bookmarkEnd w:id="0"/>
      <w:r>
        <w:rPr>
          <w:color w:val="222222"/>
          <w:shd w:val="clear" w:color="auto" w:fill="FFFFFF"/>
        </w:rPr>
        <w:t>Supplementary Methods</w:t>
      </w:r>
    </w:p>
    <w:bookmarkEnd w:id="1"/>
    <w:p w14:paraId="6D63BB36" w14:textId="37C5182B" w:rsidR="00957E8C" w:rsidRDefault="00000000">
      <w:pPr>
        <w:pStyle w:val="Heading2"/>
        <w:spacing w:line="480" w:lineRule="auto"/>
        <w:jc w:val="both"/>
      </w:pPr>
      <w:r>
        <w:t xml:space="preserve">Speech Stimuli </w:t>
      </w:r>
    </w:p>
    <w:p w14:paraId="2611F12B" w14:textId="34E7E766" w:rsidR="00957E8C" w:rsidRDefault="00000000">
      <w:pPr>
        <w:spacing w:line="480" w:lineRule="auto"/>
        <w:ind w:firstLine="720"/>
        <w:jc w:val="both"/>
      </w:pPr>
      <w:r>
        <w:t xml:space="preserve">During MEG acquisition, participants were presented with 7 different blocks of TED talk recording extracts of various durations, with an average of 509 seconds. </w:t>
      </w:r>
      <w:r w:rsidR="00223209">
        <w:t xml:space="preserve">Supplementary </w:t>
      </w:r>
      <w:r>
        <w:t>Table 1 shows how the 4 TED talks were split in the experiment.</w:t>
      </w:r>
    </w:p>
    <w:p w14:paraId="195DBD7D" w14:textId="77777777" w:rsidR="00957E8C" w:rsidRDefault="00957E8C">
      <w:pPr>
        <w:spacing w:line="480" w:lineRule="auto"/>
        <w:ind w:firstLine="720"/>
        <w:jc w:val="both"/>
      </w:pPr>
    </w:p>
    <w:p w14:paraId="3C3B2719" w14:textId="77777777" w:rsidR="00957E8C" w:rsidRDefault="00000000">
      <w:pPr>
        <w:pStyle w:val="Heading2"/>
        <w:spacing w:line="480" w:lineRule="auto"/>
        <w:jc w:val="both"/>
      </w:pPr>
      <w:bookmarkStart w:id="2" w:name="_heading=h.30j0zll" w:colFirst="0" w:colLast="0"/>
      <w:bookmarkEnd w:id="2"/>
      <w:r>
        <w:t>Null distribution assessment of cortical decoding of MEG data</w:t>
      </w:r>
    </w:p>
    <w:p w14:paraId="4457B6E2" w14:textId="77777777" w:rsidR="00957E8C" w:rsidRDefault="00000000">
      <w:pPr>
        <w:spacing w:line="480" w:lineRule="auto"/>
      </w:pPr>
      <w:r>
        <w:t>The within-participant significance tests were computed with a permutation test of the AUC values. Each permutation was extracted by shuffling the original labels across all three conditions 1000 times.</w:t>
      </w:r>
    </w:p>
    <w:p w14:paraId="740FDCE8" w14:textId="45EEE6F8" w:rsidR="00957E8C" w:rsidRDefault="00000000">
      <w:pPr>
        <w:spacing w:line="480" w:lineRule="auto"/>
      </w:pPr>
      <w:r>
        <w:t xml:space="preserve">The permutation test allowed us to assess if the assumption of a chance level AUC of 0.5 was valid. None of the within-participants AUC scores, across conditions and time windows, showed that the chance level of AUC = 0.5 was different from the null distribution given by the permutation. </w:t>
      </w:r>
      <w:r w:rsidR="00223209">
        <w:t xml:space="preserve">Supplementary </w:t>
      </w:r>
      <w:r>
        <w:t>Figure 2 shows the histograms of the results of the 1000 permutation of the first 5 participants for each condition.</w:t>
      </w:r>
    </w:p>
    <w:p w14:paraId="1F9AA433" w14:textId="77777777" w:rsidR="00957E8C" w:rsidRDefault="00957E8C">
      <w:pPr>
        <w:spacing w:line="480" w:lineRule="auto"/>
      </w:pPr>
    </w:p>
    <w:p w14:paraId="0A99EC02" w14:textId="77777777" w:rsidR="00957E8C" w:rsidRDefault="00000000">
      <w:pPr>
        <w:pStyle w:val="Heading2"/>
        <w:spacing w:line="480" w:lineRule="auto"/>
        <w:jc w:val="both"/>
      </w:pPr>
      <w:r>
        <w:t>Test set results across the four binarized syntax by prosody conditions</w:t>
      </w:r>
    </w:p>
    <w:p w14:paraId="4DFFB409" w14:textId="77777777" w:rsidR="00957E8C" w:rsidRDefault="00000000">
      <w:pPr>
        <w:spacing w:line="480" w:lineRule="auto"/>
        <w:ind w:firstLine="720"/>
        <w:jc w:val="both"/>
      </w:pPr>
      <w:r>
        <w:t xml:space="preserve">We further unpacked the decoding results in the 4 different classes based on the presence of </w:t>
      </w:r>
      <w:r>
        <w:rPr>
          <w:rFonts w:ascii="Aptos" w:eastAsia="Aptos" w:hAnsi="Aptos" w:cs="Aptos"/>
          <w:color w:val="000000"/>
          <w:sz w:val="24"/>
          <w:szCs w:val="24"/>
        </w:rPr>
        <w:t xml:space="preserve">closing </w:t>
      </w:r>
      <w:r>
        <w:t>phrase boundaries (</w:t>
      </w:r>
      <w:proofErr w:type="spellStart"/>
      <w:r>
        <w:t>cPhBound</w:t>
      </w:r>
      <w:proofErr w:type="spellEnd"/>
      <w:r>
        <w:t xml:space="preserve">) and on the level of prosodic boundary (PB) strength (Fig. 3). </w:t>
      </w:r>
    </w:p>
    <w:p w14:paraId="65AA96A8" w14:textId="77777777" w:rsidR="00957E8C" w:rsidRDefault="00000000">
      <w:pPr>
        <w:spacing w:line="480" w:lineRule="auto"/>
        <w:ind w:firstLine="720"/>
        <w:jc w:val="both"/>
      </w:pPr>
      <w:r>
        <w:lastRenderedPageBreak/>
        <w:t xml:space="preserve">The permutation test in the low prosodic boundary strength and </w:t>
      </w:r>
      <w:proofErr w:type="spellStart"/>
      <w:r>
        <w:t>cPhBound</w:t>
      </w:r>
      <w:proofErr w:type="spellEnd"/>
      <w:r>
        <w:t xml:space="preserve"> condition as well as that in the high prosodic boundary strength and no </w:t>
      </w:r>
      <w:proofErr w:type="spellStart"/>
      <w:r>
        <w:t>cPhBound</w:t>
      </w:r>
      <w:proofErr w:type="spellEnd"/>
      <w:r>
        <w:t xml:space="preserve"> condition did not show any significant cluster. Decoding from words with low prosodic boundary strength and no </w:t>
      </w:r>
      <w:proofErr w:type="spellStart"/>
      <w:r>
        <w:t>cPhBound</w:t>
      </w:r>
      <w:proofErr w:type="spellEnd"/>
      <w:r>
        <w:t xml:space="preserve"> revealed multiple clusters after word offset (Cluster 1: [0.056, </w:t>
      </w:r>
      <w:proofErr w:type="gramStart"/>
      <w:r>
        <w:t>0.103]s</w:t>
      </w:r>
      <w:proofErr w:type="gramEnd"/>
      <w:r>
        <w:t xml:space="preserve">, </w:t>
      </w:r>
      <w:proofErr w:type="spellStart"/>
      <w:r>
        <w:t>pVal</w:t>
      </w:r>
      <w:proofErr w:type="spellEnd"/>
      <w:r>
        <w:t xml:space="preserve"> = 0.036; Cluster 2: [0.177, 0.223]s, </w:t>
      </w:r>
      <w:proofErr w:type="spellStart"/>
      <w:r>
        <w:t>pVal</w:t>
      </w:r>
      <w:proofErr w:type="spellEnd"/>
      <w:r>
        <w:t xml:space="preserve"> = 0.021; Cluster 3: [0.391, 0.438]s, </w:t>
      </w:r>
      <w:proofErr w:type="spellStart"/>
      <w:r>
        <w:t>pVal</w:t>
      </w:r>
      <w:proofErr w:type="spellEnd"/>
      <w:r>
        <w:t xml:space="preserve"> = 0.030). Similarly, the condition with strong prosodic boundary strength and phrase boundary showed significant temporal decoding clusters that spanned across both pre- and post-word offsets, with a peak in the first 200ms post word-offset (Cluster 1: [-0.065, 0.056]s, </w:t>
      </w:r>
      <w:proofErr w:type="spellStart"/>
      <w:r>
        <w:t>pVal</w:t>
      </w:r>
      <w:proofErr w:type="spellEnd"/>
      <w:r>
        <w:t xml:space="preserve"> = 0.006; Cluster 2: [0.069, 0.210]s, </w:t>
      </w:r>
      <w:proofErr w:type="spellStart"/>
      <w:r>
        <w:t>pVal</w:t>
      </w:r>
      <w:proofErr w:type="spellEnd"/>
      <w:r>
        <w:t xml:space="preserve"> = 0.004; Cluster 3: [0.223, 0.277]s, </w:t>
      </w:r>
      <w:proofErr w:type="spellStart"/>
      <w:r>
        <w:t>pVal</w:t>
      </w:r>
      <w:proofErr w:type="spellEnd"/>
      <w:r>
        <w:t xml:space="preserve"> = 0.021; Cluster 4: [0.297, 0.357]s, </w:t>
      </w:r>
      <w:proofErr w:type="spellStart"/>
      <w:r>
        <w:t>pVal</w:t>
      </w:r>
      <w:proofErr w:type="spellEnd"/>
      <w:r>
        <w:t xml:space="preserve"> = 0.021). These latter two significant test sets together correspond to the coherent condition and therefore converge with the results presented in the paper.</w:t>
      </w:r>
    </w:p>
    <w:p w14:paraId="5C629F9E" w14:textId="77777777" w:rsidR="00957E8C" w:rsidRDefault="00957E8C">
      <w:pPr>
        <w:spacing w:line="480" w:lineRule="auto"/>
        <w:ind w:firstLine="720"/>
        <w:jc w:val="both"/>
      </w:pPr>
    </w:p>
    <w:p w14:paraId="4E926283" w14:textId="47D0FEA0" w:rsidR="00957E8C" w:rsidRDefault="008F4F2B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i/>
          <w:color w:val="000000"/>
        </w:rPr>
      </w:pPr>
      <w:r>
        <w:rPr>
          <w:i/>
          <w:color w:val="000000"/>
        </w:rPr>
        <w:t>Supplementary Table 1 Information about the seven blocks of speech stimulus that were used in the experiment. The table reports lengths in seconds as well as the number of words of each snippet.</w:t>
      </w:r>
    </w:p>
    <w:tbl>
      <w:tblPr>
        <w:tblStyle w:val="a7"/>
        <w:tblW w:w="9018" w:type="dxa"/>
        <w:jc w:val="center"/>
        <w:tblBorders>
          <w:top w:val="single" w:sz="4" w:space="0" w:color="202122"/>
          <w:left w:val="single" w:sz="4" w:space="0" w:color="202122"/>
          <w:bottom w:val="single" w:sz="4" w:space="0" w:color="202122"/>
          <w:right w:val="single" w:sz="4" w:space="0" w:color="202122"/>
          <w:insideH w:val="single" w:sz="4" w:space="0" w:color="202122"/>
          <w:insideV w:val="single" w:sz="4" w:space="0" w:color="202122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4488"/>
        <w:gridCol w:w="1955"/>
        <w:gridCol w:w="1502"/>
      </w:tblGrid>
      <w:tr w:rsidR="00957E8C" w14:paraId="1D32292B" w14:textId="77777777" w:rsidTr="00957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tcMar>
              <w:left w:w="0" w:type="dxa"/>
              <w:right w:w="0" w:type="dxa"/>
            </w:tcMar>
            <w:vAlign w:val="center"/>
          </w:tcPr>
          <w:p w14:paraId="60DA2DEE" w14:textId="77777777" w:rsidR="00957E8C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Block</w:t>
            </w:r>
          </w:p>
        </w:tc>
        <w:tc>
          <w:tcPr>
            <w:tcW w:w="4488" w:type="dxa"/>
            <w:tcMar>
              <w:left w:w="0" w:type="dxa"/>
              <w:right w:w="0" w:type="dxa"/>
            </w:tcMar>
            <w:vAlign w:val="center"/>
          </w:tcPr>
          <w:p w14:paraId="2D20E458" w14:textId="77777777" w:rsidR="00957E8C" w:rsidRDefault="0000000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File audio</w:t>
            </w:r>
          </w:p>
        </w:tc>
        <w:tc>
          <w:tcPr>
            <w:tcW w:w="1955" w:type="dxa"/>
            <w:tcMar>
              <w:left w:w="0" w:type="dxa"/>
              <w:right w:w="0" w:type="dxa"/>
            </w:tcMar>
            <w:vAlign w:val="center"/>
          </w:tcPr>
          <w:p w14:paraId="61E4D87C" w14:textId="77777777" w:rsidR="00957E8C" w:rsidRDefault="0000000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Length (s)</w:t>
            </w:r>
          </w:p>
        </w:tc>
        <w:tc>
          <w:tcPr>
            <w:tcW w:w="1502" w:type="dxa"/>
            <w:tcMar>
              <w:left w:w="0" w:type="dxa"/>
              <w:right w:w="0" w:type="dxa"/>
            </w:tcMar>
            <w:vAlign w:val="center"/>
          </w:tcPr>
          <w:p w14:paraId="2352090E" w14:textId="77777777" w:rsidR="00957E8C" w:rsidRDefault="0000000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#Words</w:t>
            </w:r>
          </w:p>
        </w:tc>
      </w:tr>
      <w:tr w:rsidR="00957E8C" w14:paraId="3F504AD9" w14:textId="77777777" w:rsidTr="00957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tcMar>
              <w:left w:w="0" w:type="dxa"/>
              <w:right w:w="0" w:type="dxa"/>
            </w:tcMar>
            <w:vAlign w:val="center"/>
          </w:tcPr>
          <w:p w14:paraId="28620A40" w14:textId="77777777" w:rsidR="00957E8C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488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42FF27F" w14:textId="77777777" w:rsidR="00957E8C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DanielKahneman</w:t>
            </w:r>
            <w:proofErr w:type="spellEnd"/>
            <w:r>
              <w:rPr>
                <w:sz w:val="16"/>
                <w:szCs w:val="16"/>
              </w:rPr>
              <w:t xml:space="preserve"> 2010_part1</w:t>
            </w:r>
          </w:p>
        </w:tc>
        <w:tc>
          <w:tcPr>
            <w:tcW w:w="195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E76C349" w14:textId="77777777" w:rsidR="00957E8C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</w:t>
            </w:r>
          </w:p>
        </w:tc>
        <w:tc>
          <w:tcPr>
            <w:tcW w:w="1502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D2E967F" w14:textId="77777777" w:rsidR="00957E8C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1358</w:t>
            </w:r>
          </w:p>
        </w:tc>
      </w:tr>
      <w:tr w:rsidR="00957E8C" w14:paraId="7686B3D5" w14:textId="77777777" w:rsidTr="00957E8C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tcMar>
              <w:left w:w="0" w:type="dxa"/>
              <w:right w:w="0" w:type="dxa"/>
            </w:tcMar>
            <w:vAlign w:val="center"/>
          </w:tcPr>
          <w:p w14:paraId="06542FF7" w14:textId="77777777" w:rsidR="00957E8C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488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C0D4FE" w14:textId="77777777" w:rsidR="00957E8C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DanielKahneman</w:t>
            </w:r>
            <w:proofErr w:type="spellEnd"/>
            <w:r>
              <w:rPr>
                <w:sz w:val="16"/>
                <w:szCs w:val="16"/>
              </w:rPr>
              <w:t xml:space="preserve"> 2010_part2</w:t>
            </w:r>
          </w:p>
        </w:tc>
        <w:tc>
          <w:tcPr>
            <w:tcW w:w="195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B8124E" w14:textId="77777777" w:rsidR="00957E8C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</w:t>
            </w:r>
          </w:p>
        </w:tc>
        <w:tc>
          <w:tcPr>
            <w:tcW w:w="1502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A301BE" w14:textId="77777777" w:rsidR="00957E8C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1304</w:t>
            </w:r>
          </w:p>
        </w:tc>
      </w:tr>
      <w:tr w:rsidR="00957E8C" w14:paraId="26E13AD9" w14:textId="77777777" w:rsidTr="00957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tcMar>
              <w:left w:w="0" w:type="dxa"/>
              <w:right w:w="0" w:type="dxa"/>
            </w:tcMar>
            <w:vAlign w:val="center"/>
          </w:tcPr>
          <w:p w14:paraId="28ADDC1B" w14:textId="77777777" w:rsidR="00957E8C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488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E1B6AD" w14:textId="77777777" w:rsidR="00957E8C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JamesCameron</w:t>
            </w:r>
            <w:proofErr w:type="spellEnd"/>
            <w:r>
              <w:rPr>
                <w:sz w:val="16"/>
                <w:szCs w:val="16"/>
              </w:rPr>
              <w:t xml:space="preserve"> 2010_part1</w:t>
            </w:r>
          </w:p>
        </w:tc>
        <w:tc>
          <w:tcPr>
            <w:tcW w:w="195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E29CD88" w14:textId="77777777" w:rsidR="00957E8C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</w:t>
            </w:r>
          </w:p>
        </w:tc>
        <w:tc>
          <w:tcPr>
            <w:tcW w:w="1502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BECD93" w14:textId="77777777" w:rsidR="00957E8C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1397</w:t>
            </w:r>
          </w:p>
        </w:tc>
      </w:tr>
      <w:tr w:rsidR="00957E8C" w14:paraId="6F06869A" w14:textId="77777777" w:rsidTr="00957E8C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tcMar>
              <w:left w:w="0" w:type="dxa"/>
              <w:right w:w="0" w:type="dxa"/>
            </w:tcMar>
            <w:vAlign w:val="center"/>
          </w:tcPr>
          <w:p w14:paraId="299B6462" w14:textId="77777777" w:rsidR="00957E8C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488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66DD5E" w14:textId="77777777" w:rsidR="00957E8C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JamesCameron</w:t>
            </w:r>
            <w:proofErr w:type="spellEnd"/>
            <w:r>
              <w:rPr>
                <w:sz w:val="16"/>
                <w:szCs w:val="16"/>
              </w:rPr>
              <w:t xml:space="preserve"> 2010_part2</w:t>
            </w:r>
          </w:p>
        </w:tc>
        <w:tc>
          <w:tcPr>
            <w:tcW w:w="195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4729DB" w14:textId="77777777" w:rsidR="00957E8C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</w:t>
            </w:r>
          </w:p>
        </w:tc>
        <w:tc>
          <w:tcPr>
            <w:tcW w:w="1502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1D6DB4" w14:textId="77777777" w:rsidR="00957E8C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1573</w:t>
            </w:r>
          </w:p>
        </w:tc>
      </w:tr>
      <w:tr w:rsidR="00957E8C" w14:paraId="7C181B18" w14:textId="77777777" w:rsidTr="00957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tcMar>
              <w:left w:w="0" w:type="dxa"/>
              <w:right w:w="0" w:type="dxa"/>
            </w:tcMar>
            <w:vAlign w:val="center"/>
          </w:tcPr>
          <w:p w14:paraId="6866B795" w14:textId="77777777" w:rsidR="00957E8C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488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9DAFDC" w14:textId="77777777" w:rsidR="00957E8C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JaneMcGonigal</w:t>
            </w:r>
            <w:proofErr w:type="spellEnd"/>
            <w:r>
              <w:rPr>
                <w:sz w:val="16"/>
                <w:szCs w:val="16"/>
              </w:rPr>
              <w:t xml:space="preserve"> 2010_part1</w:t>
            </w:r>
          </w:p>
        </w:tc>
        <w:tc>
          <w:tcPr>
            <w:tcW w:w="195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7077DF" w14:textId="77777777" w:rsidR="00957E8C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</w:t>
            </w:r>
          </w:p>
        </w:tc>
        <w:tc>
          <w:tcPr>
            <w:tcW w:w="1502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B35D8A" w14:textId="77777777" w:rsidR="00957E8C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1775</w:t>
            </w:r>
          </w:p>
        </w:tc>
      </w:tr>
      <w:tr w:rsidR="00957E8C" w14:paraId="05926D3A" w14:textId="77777777" w:rsidTr="00957E8C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tcMar>
              <w:left w:w="0" w:type="dxa"/>
              <w:right w:w="0" w:type="dxa"/>
            </w:tcMar>
            <w:vAlign w:val="center"/>
          </w:tcPr>
          <w:p w14:paraId="43D46F1E" w14:textId="77777777" w:rsidR="00957E8C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488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B7999B" w14:textId="77777777" w:rsidR="00957E8C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JaneMcGonigal</w:t>
            </w:r>
            <w:proofErr w:type="spellEnd"/>
            <w:r>
              <w:rPr>
                <w:sz w:val="16"/>
                <w:szCs w:val="16"/>
              </w:rPr>
              <w:t xml:space="preserve"> 2010_part2</w:t>
            </w:r>
          </w:p>
        </w:tc>
        <w:tc>
          <w:tcPr>
            <w:tcW w:w="195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8CA2A0" w14:textId="77777777" w:rsidR="00957E8C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</w:t>
            </w:r>
          </w:p>
        </w:tc>
        <w:tc>
          <w:tcPr>
            <w:tcW w:w="1502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347D3BA" w14:textId="77777777" w:rsidR="00957E8C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2058</w:t>
            </w:r>
          </w:p>
        </w:tc>
      </w:tr>
      <w:tr w:rsidR="00957E8C" w14:paraId="115BE316" w14:textId="77777777" w:rsidTr="00957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tcMar>
              <w:left w:w="0" w:type="dxa"/>
              <w:right w:w="0" w:type="dxa"/>
            </w:tcMar>
            <w:vAlign w:val="center"/>
          </w:tcPr>
          <w:p w14:paraId="5D74F7B3" w14:textId="77777777" w:rsidR="00957E8C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488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4F7F9E" w14:textId="77777777" w:rsidR="00957E8C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TomWujec</w:t>
            </w:r>
            <w:proofErr w:type="spellEnd"/>
            <w:r>
              <w:rPr>
                <w:sz w:val="16"/>
                <w:szCs w:val="16"/>
              </w:rPr>
              <w:t xml:space="preserve"> 2010 (entire talk)</w:t>
            </w:r>
          </w:p>
        </w:tc>
        <w:tc>
          <w:tcPr>
            <w:tcW w:w="195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DFB852" w14:textId="77777777" w:rsidR="00957E8C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</w:t>
            </w:r>
          </w:p>
        </w:tc>
        <w:tc>
          <w:tcPr>
            <w:tcW w:w="1502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8AF1F99" w14:textId="77777777" w:rsidR="00957E8C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1124</w:t>
            </w:r>
          </w:p>
        </w:tc>
      </w:tr>
    </w:tbl>
    <w:p w14:paraId="0D2386CE" w14:textId="77777777" w:rsidR="00957E8C" w:rsidRDefault="00957E8C">
      <w:pPr>
        <w:ind w:hanging="640"/>
      </w:pPr>
    </w:p>
    <w:p w14:paraId="26F74F13" w14:textId="77777777" w:rsidR="00957E8C" w:rsidRDefault="00957E8C">
      <w:pPr>
        <w:ind w:hanging="640"/>
      </w:pPr>
    </w:p>
    <w:p w14:paraId="78A15541" w14:textId="77777777" w:rsidR="00957E8C" w:rsidRDefault="00957E8C">
      <w:pPr>
        <w:ind w:hanging="640"/>
      </w:pPr>
    </w:p>
    <w:p w14:paraId="60509825" w14:textId="77777777" w:rsidR="00957E8C" w:rsidRDefault="00957E8C">
      <w:pPr>
        <w:ind w:hanging="640"/>
      </w:pPr>
    </w:p>
    <w:p w14:paraId="0EE9B543" w14:textId="77777777" w:rsidR="00957E8C" w:rsidRDefault="00957E8C">
      <w:pPr>
        <w:ind w:hanging="640"/>
      </w:pPr>
    </w:p>
    <w:p w14:paraId="36DB7B72" w14:textId="77777777" w:rsidR="00957E8C" w:rsidRDefault="00957E8C">
      <w:pPr>
        <w:ind w:hanging="640"/>
      </w:pPr>
    </w:p>
    <w:p w14:paraId="1D1B8F6B" w14:textId="77777777" w:rsidR="00957E8C" w:rsidRDefault="00957E8C">
      <w:pPr>
        <w:ind w:hanging="640"/>
      </w:pPr>
    </w:p>
    <w:p w14:paraId="4559CEE4" w14:textId="77777777" w:rsidR="00957E8C" w:rsidRDefault="00000000">
      <w:pPr>
        <w:keepNext/>
        <w:spacing w:line="480" w:lineRule="auto"/>
      </w:pPr>
      <w:r>
        <w:rPr>
          <w:noProof/>
        </w:rPr>
        <w:lastRenderedPageBreak/>
        <w:drawing>
          <wp:inline distT="0" distB="0" distL="0" distR="0" wp14:anchorId="051C0C49" wp14:editId="20100F48">
            <wp:extent cx="5734050" cy="2638425"/>
            <wp:effectExtent l="0" t="0" r="0" b="0"/>
            <wp:docPr id="875848498" name="image2.png" descr="A graph of different colore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graph of different colored lines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638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62E48F" w14:textId="4233B1F6" w:rsidR="00957E8C" w:rsidRDefault="008F4F2B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i/>
          <w:color w:val="000000"/>
        </w:rPr>
      </w:pPr>
      <w:r w:rsidRPr="008F4F2B">
        <w:rPr>
          <w:i/>
          <w:color w:val="000000"/>
        </w:rPr>
        <w:t xml:space="preserve">Supplementary </w:t>
      </w:r>
      <w:r>
        <w:rPr>
          <w:i/>
          <w:color w:val="000000"/>
        </w:rPr>
        <w:t>Figure 1: Posterior distribution of prevalence scores</w:t>
      </w:r>
      <w:r>
        <w:rPr>
          <w:i/>
        </w:rPr>
        <w:t xml:space="preserve"> </w:t>
      </w:r>
      <w:r>
        <w:rPr>
          <w:i/>
          <w:color w:val="000000"/>
        </w:rPr>
        <w:t xml:space="preserve">of the three conditions in the </w:t>
      </w:r>
      <w:r>
        <w:rPr>
          <w:i/>
        </w:rPr>
        <w:t>two-time</w:t>
      </w:r>
      <w:r>
        <w:rPr>
          <w:i/>
          <w:color w:val="000000"/>
        </w:rPr>
        <w:t xml:space="preserve"> windows before (panel A) and after token offset (panel B). Error </w:t>
      </w:r>
      <w:r>
        <w:rPr>
          <w:i/>
        </w:rPr>
        <w:t>bars at the top of the curves show the 95% highest posterior density intervals (HPDIs).</w:t>
      </w:r>
    </w:p>
    <w:p w14:paraId="69E712B8" w14:textId="77777777" w:rsidR="00957E8C" w:rsidRDefault="00000000">
      <w:pPr>
        <w:keepNext/>
        <w:spacing w:line="480" w:lineRule="auto"/>
      </w:pPr>
      <w:r>
        <w:rPr>
          <w:noProof/>
        </w:rPr>
        <w:drawing>
          <wp:inline distT="0" distB="0" distL="0" distR="0" wp14:anchorId="232710EE" wp14:editId="2CC130C9">
            <wp:extent cx="5772150" cy="3086100"/>
            <wp:effectExtent l="0" t="0" r="0" b="0"/>
            <wp:docPr id="875848500" name="image3.png" descr="A screenshot of a computer scree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screenshot of a computer screen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08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C615B4" w14:textId="31D227FD" w:rsidR="00957E8C" w:rsidRDefault="008F4F2B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i/>
          <w:color w:val="000000"/>
        </w:rPr>
      </w:pPr>
      <w:r w:rsidRPr="008F4F2B">
        <w:rPr>
          <w:i/>
          <w:color w:val="000000"/>
        </w:rPr>
        <w:t xml:space="preserve">Supplementary </w:t>
      </w:r>
      <w:r>
        <w:rPr>
          <w:i/>
          <w:color w:val="000000"/>
        </w:rPr>
        <w:t xml:space="preserve">Figure 2: Histograms of the distribution around </w:t>
      </w:r>
      <w:r>
        <w:rPr>
          <w:i/>
        </w:rPr>
        <w:t xml:space="preserve">a </w:t>
      </w:r>
      <w:r>
        <w:rPr>
          <w:i/>
          <w:color w:val="000000"/>
        </w:rPr>
        <w:t xml:space="preserve">chance level of 0.5 for the AUC. Columns </w:t>
      </w:r>
      <w:r>
        <w:rPr>
          <w:i/>
        </w:rPr>
        <w:t>correspond</w:t>
      </w:r>
      <w:r>
        <w:rPr>
          <w:i/>
          <w:color w:val="000000"/>
        </w:rPr>
        <w:t xml:space="preserve"> to 5 examples of subjects while rows are the results across the three different conditions. All distribution within subjects seems to follow a normal </w:t>
      </w:r>
      <w:proofErr w:type="gramStart"/>
      <w:r>
        <w:rPr>
          <w:i/>
          <w:color w:val="000000"/>
        </w:rPr>
        <w:t>distribution</w:t>
      </w:r>
      <w:proofErr w:type="gramEnd"/>
    </w:p>
    <w:p w14:paraId="2A3B73B5" w14:textId="77777777" w:rsidR="00957E8C" w:rsidRDefault="00000000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</w:pPr>
      <w:r>
        <w:rPr>
          <w:noProof/>
        </w:rPr>
        <w:lastRenderedPageBreak/>
        <w:drawing>
          <wp:inline distT="0" distB="0" distL="0" distR="0" wp14:anchorId="0A795CF3" wp14:editId="6CEF8627">
            <wp:extent cx="5602605" cy="4558665"/>
            <wp:effectExtent l="0" t="0" r="0" b="0"/>
            <wp:docPr id="875848499" name="image1.png" descr="A screenshot of a black scree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screenshot of a black screen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4558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D2AE03" w14:textId="0AD450DB" w:rsidR="00957E8C" w:rsidRDefault="008F4F2B">
      <w:pPr>
        <w:ind w:hanging="640"/>
        <w:rPr>
          <w:i/>
          <w:color w:val="000000"/>
        </w:rPr>
      </w:pPr>
      <w:r w:rsidRPr="008F4F2B">
        <w:rPr>
          <w:i/>
          <w:color w:val="000000"/>
        </w:rPr>
        <w:t xml:space="preserve">Supplementary </w:t>
      </w:r>
      <w:r>
        <w:rPr>
          <w:i/>
          <w:color w:val="000000"/>
        </w:rPr>
        <w:t>Figure 3: Generalization</w:t>
      </w:r>
      <w:r>
        <w:t xml:space="preserve"> </w:t>
      </w:r>
      <w:r>
        <w:rPr>
          <w:i/>
          <w:color w:val="000000"/>
        </w:rPr>
        <w:t>sets according to the four different classes of category combinations (low and high prosodic boundary strength vs presence or not of closing</w:t>
      </w:r>
      <w:r>
        <w:rPr>
          <w:i/>
        </w:rPr>
        <w:t xml:space="preserve"> </w:t>
      </w:r>
      <w:r>
        <w:rPr>
          <w:i/>
          <w:color w:val="000000"/>
        </w:rPr>
        <w:t>phrase boundaries).</w:t>
      </w:r>
      <w:r>
        <w:rPr>
          <w:i/>
          <w:color w:val="1F497D"/>
          <w:sz w:val="18"/>
          <w:szCs w:val="18"/>
        </w:rPr>
        <w:t xml:space="preserve"> </w:t>
      </w:r>
      <w:r>
        <w:rPr>
          <w:i/>
          <w:color w:val="000000"/>
        </w:rPr>
        <w:t>Red lines show significant clusters (p&lt;0.05).</w:t>
      </w:r>
    </w:p>
    <w:p w14:paraId="3E6A78F7" w14:textId="77777777" w:rsidR="00957E8C" w:rsidRDefault="00957E8C">
      <w:pPr>
        <w:ind w:hanging="640"/>
        <w:rPr>
          <w:i/>
        </w:rPr>
      </w:pPr>
    </w:p>
    <w:p w14:paraId="15AF6756" w14:textId="77777777" w:rsidR="00957E8C" w:rsidRDefault="00957E8C">
      <w:pPr>
        <w:ind w:hanging="640"/>
        <w:rPr>
          <w:i/>
        </w:rPr>
      </w:pPr>
    </w:p>
    <w:sectPr w:rsidR="00957E8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8C"/>
    <w:rsid w:val="00223209"/>
    <w:rsid w:val="006C4617"/>
    <w:rsid w:val="008F4F2B"/>
    <w:rsid w:val="00957E8C"/>
    <w:rsid w:val="00B4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657CF"/>
  <w15:docId w15:val="{B7D450C8-288E-4020-A625-C32CE2A1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fr-C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18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89E"/>
    <w:rPr>
      <w:rFonts w:ascii="Segoe UI" w:hAnsi="Segoe UI" w:cs="Segoe UI"/>
      <w:sz w:val="18"/>
      <w:szCs w:val="18"/>
    </w:rPr>
  </w:style>
  <w:style w:type="table" w:customStyle="1" w:styleId="a1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614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146"/>
  </w:style>
  <w:style w:type="paragraph" w:styleId="Footer">
    <w:name w:val="footer"/>
    <w:basedOn w:val="Normal"/>
    <w:link w:val="FooterChar"/>
    <w:uiPriority w:val="99"/>
    <w:unhideWhenUsed/>
    <w:rsid w:val="00ED614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146"/>
  </w:style>
  <w:style w:type="paragraph" w:styleId="Caption">
    <w:name w:val="caption"/>
    <w:basedOn w:val="Normal"/>
    <w:next w:val="Normal"/>
    <w:uiPriority w:val="35"/>
    <w:unhideWhenUsed/>
    <w:qFormat/>
    <w:rsid w:val="00F0095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7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777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244C1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872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21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21E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1E5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FD6F0D"/>
    <w:pPr>
      <w:spacing w:line="240" w:lineRule="auto"/>
    </w:p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DXOr2+5/qOU4a5tYpSUUkHQVIw==">CgMxLjAyCGguZ2pkZ3hzMgloLjMwajB6bGw4AHIhMUJZN3JZMy0tSk1LNUZYV1hVYVVlNHdxeF92Y3kxU3cw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HOPITAUX UNIVERSITAIRES GENEVE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Narly Golestani</dc:creator>
  <cp:lastModifiedBy>David Favero</cp:lastModifiedBy>
  <cp:revision>4</cp:revision>
  <dcterms:created xsi:type="dcterms:W3CDTF">2024-01-24T12:55:00Z</dcterms:created>
  <dcterms:modified xsi:type="dcterms:W3CDTF">2024-06-12T18:44:00Z</dcterms:modified>
</cp:coreProperties>
</file>