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5CD66" w14:textId="77777777" w:rsidR="00511FA6" w:rsidRPr="00B248FE" w:rsidRDefault="00DC7716" w:rsidP="00B248FE">
      <w:pPr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B248FE">
        <w:rPr>
          <w:rFonts w:ascii="Times New Roman" w:eastAsia="Arial" w:hAnsi="Times New Roman" w:cs="Times New Roman"/>
          <w:b/>
          <w:bCs/>
          <w:sz w:val="24"/>
          <w:szCs w:val="24"/>
        </w:rPr>
        <w:t>Description of Additional Supplementary Files</w:t>
      </w:r>
    </w:p>
    <w:p w14:paraId="1A35C329" w14:textId="77777777" w:rsidR="00511FA6" w:rsidRPr="00B248FE" w:rsidRDefault="00DC7716" w:rsidP="00B248FE">
      <w:pPr>
        <w:spacing w:after="40" w:line="480" w:lineRule="auto"/>
        <w:rPr>
          <w:rFonts w:ascii="Times New Roman" w:hAnsi="Times New Roman" w:cs="Times New Roman"/>
          <w:sz w:val="24"/>
          <w:szCs w:val="24"/>
        </w:rPr>
      </w:pPr>
      <w:r w:rsidRPr="00B248FE">
        <w:rPr>
          <w:rFonts w:ascii="Times New Roman" w:eastAsia="Arial" w:hAnsi="Times New Roman" w:cs="Times New Roman"/>
          <w:sz w:val="24"/>
          <w:szCs w:val="24"/>
        </w:rPr>
        <w:t xml:space="preserve">Circuit plasticity coordinates action selection and temporal compression during operant conditioning in </w:t>
      </w:r>
      <w:r w:rsidRPr="00B248FE">
        <w:rPr>
          <w:rFonts w:ascii="Times New Roman" w:eastAsia="Arial" w:hAnsi="Times New Roman" w:cs="Times New Roman"/>
          <w:i/>
          <w:iCs/>
          <w:sz w:val="24"/>
          <w:szCs w:val="24"/>
        </w:rPr>
        <w:t>Aplysia</w:t>
      </w:r>
    </w:p>
    <w:p w14:paraId="1B8CAE2D" w14:textId="77777777" w:rsidR="00511FA6" w:rsidRPr="00B248FE" w:rsidRDefault="00DC7716" w:rsidP="00B248FE">
      <w:pPr>
        <w:spacing w:after="40" w:line="480" w:lineRule="auto"/>
        <w:rPr>
          <w:rFonts w:ascii="Times New Roman" w:hAnsi="Times New Roman" w:cs="Times New Roman"/>
          <w:sz w:val="24"/>
          <w:szCs w:val="24"/>
        </w:rPr>
      </w:pPr>
      <w:r w:rsidRPr="00B248FE">
        <w:rPr>
          <w:rFonts w:ascii="Times New Roman" w:eastAsia="Arial" w:hAnsi="Times New Roman" w:cs="Times New Roman"/>
          <w:sz w:val="24"/>
          <w:szCs w:val="24"/>
        </w:rPr>
        <w:t>Yuto Momohara, Curtis L. Neveu, and John H. Byrne</w:t>
      </w:r>
    </w:p>
    <w:p w14:paraId="7F02A340" w14:textId="77777777" w:rsidR="00511FA6" w:rsidRPr="00B248FE" w:rsidRDefault="00DC7716" w:rsidP="00B248FE">
      <w:pPr>
        <w:spacing w:after="300" w:line="480" w:lineRule="auto"/>
        <w:rPr>
          <w:rFonts w:ascii="Times New Roman" w:hAnsi="Times New Roman" w:cs="Times New Roman"/>
          <w:sz w:val="24"/>
          <w:szCs w:val="24"/>
        </w:rPr>
      </w:pPr>
      <w:r w:rsidRPr="00B248FE">
        <w:rPr>
          <w:rFonts w:ascii="Times New Roman" w:eastAsia="Arial" w:hAnsi="Times New Roman" w:cs="Times New Roman"/>
          <w:sz w:val="24"/>
          <w:szCs w:val="24"/>
        </w:rPr>
        <w:t>Manuscript COMMSBIO-26-2129</w:t>
      </w:r>
    </w:p>
    <w:p w14:paraId="233DC337" w14:textId="77777777" w:rsidR="00511FA6" w:rsidRPr="00B248FE" w:rsidRDefault="00DC7716" w:rsidP="00B248FE">
      <w:pPr>
        <w:spacing w:after="80" w:line="480" w:lineRule="auto"/>
        <w:rPr>
          <w:rFonts w:ascii="Times New Roman" w:hAnsi="Times New Roman" w:cs="Times New Roman"/>
          <w:sz w:val="24"/>
          <w:szCs w:val="24"/>
        </w:rPr>
      </w:pPr>
      <w:r w:rsidRPr="00B248FE">
        <w:rPr>
          <w:rFonts w:ascii="Times New Roman" w:eastAsia="Arial" w:hAnsi="Times New Roman" w:cs="Times New Roman"/>
          <w:b/>
          <w:bCs/>
          <w:sz w:val="24"/>
          <w:szCs w:val="24"/>
        </w:rPr>
        <w:t>File name: Supplementary_Data_1.xlsx</w:t>
      </w:r>
    </w:p>
    <w:p w14:paraId="1376DD4A" w14:textId="77777777" w:rsidR="00511FA6" w:rsidRPr="00B248FE" w:rsidRDefault="00DC7716" w:rsidP="00B248FE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B248FE">
        <w:rPr>
          <w:rFonts w:ascii="Times New Roman" w:eastAsia="Arial" w:hAnsi="Times New Roman" w:cs="Times New Roman"/>
          <w:sz w:val="24"/>
          <w:szCs w:val="24"/>
        </w:rPr>
        <w:t>Title: Supplementary Data 1. Source data.</w:t>
      </w:r>
    </w:p>
    <w:p w14:paraId="52141E39" w14:textId="77777777" w:rsidR="00511FA6" w:rsidRPr="00B248FE" w:rsidRDefault="00DC7716" w:rsidP="00B248FE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B248FE">
        <w:rPr>
          <w:rFonts w:ascii="Times New Roman" w:eastAsia="Arial" w:hAnsi="Times New Roman" w:cs="Times New Roman"/>
          <w:sz w:val="24"/>
          <w:szCs w:val="24"/>
        </w:rPr>
        <w:t xml:space="preserve">Description: Numerical values underlying the graphs in Figures 1 to 6 and Table 1, provided as a Microsoft Excel workbook with one worksheet per figure. For Figures 1 to 5, each row is one matched pair of reinforced and yoked-control preparations and gives the pre-test and post-test values, the percent change [(Post − Pre)/Pre × 100] for each preparation, and the difference between the two members of the pair. Input resistance data for Table 1 are the steady-state voltage deflections evoked by a −1 </w:t>
      </w:r>
      <w:proofErr w:type="spellStart"/>
      <w:r w:rsidRPr="00B248FE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B248FE">
        <w:rPr>
          <w:rFonts w:ascii="Times New Roman" w:eastAsia="Arial" w:hAnsi="Times New Roman" w:cs="Times New Roman"/>
          <w:sz w:val="24"/>
          <w:szCs w:val="24"/>
        </w:rPr>
        <w:t xml:space="preserve"> hyperpolarizing pulse and appear on the worksheet of the corresponding neuron. Each worksheet ends with the group means, SEM, n, test statistics, and p values calculated from the listed values.</w:t>
      </w:r>
    </w:p>
    <w:p w14:paraId="68D84F57" w14:textId="77777777" w:rsidR="00511FA6" w:rsidRPr="00B248FE" w:rsidRDefault="00DC7716" w:rsidP="00B248FE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B248F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Worksheet Figure 1. </w:t>
      </w:r>
      <w:r w:rsidRPr="00B248FE">
        <w:rPr>
          <w:rFonts w:ascii="Times New Roman" w:eastAsia="Arial" w:hAnsi="Times New Roman" w:cs="Times New Roman"/>
          <w:sz w:val="24"/>
          <w:szCs w:val="24"/>
        </w:rPr>
        <w:t xml:space="preserve">Panels d–f. Numbers of </w:t>
      </w:r>
      <w:proofErr w:type="spellStart"/>
      <w:r w:rsidRPr="00B248FE">
        <w:rPr>
          <w:rFonts w:ascii="Times New Roman" w:eastAsia="Arial" w:hAnsi="Times New Roman" w:cs="Times New Roman"/>
          <w:sz w:val="24"/>
          <w:szCs w:val="24"/>
        </w:rPr>
        <w:t>iBMPs</w:t>
      </w:r>
      <w:proofErr w:type="spellEnd"/>
      <w:r w:rsidRPr="00B248FE">
        <w:rPr>
          <w:rFonts w:ascii="Times New Roman" w:eastAsia="Arial" w:hAnsi="Times New Roman" w:cs="Times New Roman"/>
          <w:sz w:val="24"/>
          <w:szCs w:val="24"/>
        </w:rPr>
        <w:t xml:space="preserve"> and </w:t>
      </w:r>
      <w:proofErr w:type="spellStart"/>
      <w:r w:rsidRPr="00B248FE">
        <w:rPr>
          <w:rFonts w:ascii="Times New Roman" w:eastAsia="Arial" w:hAnsi="Times New Roman" w:cs="Times New Roman"/>
          <w:sz w:val="24"/>
          <w:szCs w:val="24"/>
        </w:rPr>
        <w:t>eBMPs</w:t>
      </w:r>
      <w:proofErr w:type="spellEnd"/>
      <w:r w:rsidRPr="00B248FE">
        <w:rPr>
          <w:rFonts w:ascii="Times New Roman" w:eastAsia="Arial" w:hAnsi="Times New Roman" w:cs="Times New Roman"/>
          <w:sz w:val="24"/>
          <w:szCs w:val="24"/>
        </w:rPr>
        <w:t xml:space="preserve"> in the 10-min pre-test and post-test (n = 22 pairs), and the percent changes in </w:t>
      </w:r>
      <w:proofErr w:type="spellStart"/>
      <w:r w:rsidRPr="00B248FE">
        <w:rPr>
          <w:rFonts w:ascii="Times New Roman" w:eastAsia="Arial" w:hAnsi="Times New Roman" w:cs="Times New Roman"/>
          <w:sz w:val="24"/>
          <w:szCs w:val="24"/>
        </w:rPr>
        <w:t>iBMP</w:t>
      </w:r>
      <w:proofErr w:type="spellEnd"/>
      <w:r w:rsidRPr="00B248FE">
        <w:rPr>
          <w:rFonts w:ascii="Times New Roman" w:eastAsia="Arial" w:hAnsi="Times New Roman" w:cs="Times New Roman"/>
          <w:sz w:val="24"/>
          <w:szCs w:val="24"/>
        </w:rPr>
        <w:t xml:space="preserve"> number (d), </w:t>
      </w:r>
      <w:proofErr w:type="spellStart"/>
      <w:r w:rsidRPr="00B248FE">
        <w:rPr>
          <w:rFonts w:ascii="Times New Roman" w:eastAsia="Arial" w:hAnsi="Times New Roman" w:cs="Times New Roman"/>
          <w:sz w:val="24"/>
          <w:szCs w:val="24"/>
        </w:rPr>
        <w:t>eBMP</w:t>
      </w:r>
      <w:proofErr w:type="spellEnd"/>
      <w:r w:rsidRPr="00B248FE">
        <w:rPr>
          <w:rFonts w:ascii="Times New Roman" w:eastAsia="Arial" w:hAnsi="Times New Roman" w:cs="Times New Roman"/>
          <w:sz w:val="24"/>
          <w:szCs w:val="24"/>
        </w:rPr>
        <w:t xml:space="preserve"> number (e), and the proportion of </w:t>
      </w:r>
      <w:proofErr w:type="spellStart"/>
      <w:r w:rsidRPr="00B248FE">
        <w:rPr>
          <w:rFonts w:ascii="Times New Roman" w:eastAsia="Arial" w:hAnsi="Times New Roman" w:cs="Times New Roman"/>
          <w:sz w:val="24"/>
          <w:szCs w:val="24"/>
        </w:rPr>
        <w:t>iBMPs</w:t>
      </w:r>
      <w:proofErr w:type="spellEnd"/>
      <w:r w:rsidRPr="00B248FE">
        <w:rPr>
          <w:rFonts w:ascii="Times New Roman" w:eastAsia="Arial" w:hAnsi="Times New Roman" w:cs="Times New Roman"/>
          <w:sz w:val="24"/>
          <w:szCs w:val="24"/>
        </w:rPr>
        <w:t xml:space="preserve"> (f). For one pair the pre-test </w:t>
      </w:r>
      <w:proofErr w:type="spellStart"/>
      <w:r w:rsidRPr="00B248FE">
        <w:rPr>
          <w:rFonts w:ascii="Times New Roman" w:eastAsia="Arial" w:hAnsi="Times New Roman" w:cs="Times New Roman"/>
          <w:sz w:val="24"/>
          <w:szCs w:val="24"/>
        </w:rPr>
        <w:t>eBMP</w:t>
      </w:r>
      <w:proofErr w:type="spellEnd"/>
      <w:r w:rsidRPr="00B248FE">
        <w:rPr>
          <w:rFonts w:ascii="Times New Roman" w:eastAsia="Arial" w:hAnsi="Times New Roman" w:cs="Times New Roman"/>
          <w:sz w:val="24"/>
          <w:szCs w:val="24"/>
        </w:rPr>
        <w:t xml:space="preserve"> count was zero, so its </w:t>
      </w:r>
      <w:proofErr w:type="spellStart"/>
      <w:r w:rsidRPr="00B248FE">
        <w:rPr>
          <w:rFonts w:ascii="Times New Roman" w:eastAsia="Arial" w:hAnsi="Times New Roman" w:cs="Times New Roman"/>
          <w:sz w:val="24"/>
          <w:szCs w:val="24"/>
        </w:rPr>
        <w:t>eBMP</w:t>
      </w:r>
      <w:proofErr w:type="spellEnd"/>
      <w:r w:rsidRPr="00B248FE">
        <w:rPr>
          <w:rFonts w:ascii="Times New Roman" w:eastAsia="Arial" w:hAnsi="Times New Roman" w:cs="Times New Roman"/>
          <w:sz w:val="24"/>
          <w:szCs w:val="24"/>
        </w:rPr>
        <w:t xml:space="preserve"> percent change is undefined and left blank (n = 21 pairs for panel e).</w:t>
      </w:r>
    </w:p>
    <w:p w14:paraId="4D68A641" w14:textId="77777777" w:rsidR="00511FA6" w:rsidRPr="00B248FE" w:rsidRDefault="00DC7716" w:rsidP="00B248FE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B248F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Worksheet Figure 2. </w:t>
      </w:r>
      <w:r w:rsidRPr="00B248FE">
        <w:rPr>
          <w:rFonts w:ascii="Times New Roman" w:eastAsia="Arial" w:hAnsi="Times New Roman" w:cs="Times New Roman"/>
          <w:sz w:val="24"/>
          <w:szCs w:val="24"/>
        </w:rPr>
        <w:t xml:space="preserve">Panels d and e. Mean numbers of B8 spikes per BMP during protraction and retraction, the proportion of spikes in each phase, and the percent change in each proportion (n = 10 pairs). Panel f. Number of B20 spikes during protraction, protraction duration, and the </w:t>
      </w:r>
      <w:r w:rsidRPr="00B248FE">
        <w:rPr>
          <w:rFonts w:ascii="Times New Roman" w:eastAsia="Arial" w:hAnsi="Times New Roman" w:cs="Times New Roman"/>
          <w:sz w:val="24"/>
          <w:szCs w:val="24"/>
        </w:rPr>
        <w:lastRenderedPageBreak/>
        <w:t>firing rate derived from them (n = 10 pairs). Panels g–j. Number of B20 spikes evoked by a 5-s depolarizing pulse (g, h) and peak amplitude of the B20→B8 EPSP (</w:t>
      </w:r>
      <w:proofErr w:type="spellStart"/>
      <w:r w:rsidRPr="00B248FE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B248FE">
        <w:rPr>
          <w:rFonts w:ascii="Times New Roman" w:eastAsia="Arial" w:hAnsi="Times New Roman" w:cs="Times New Roman"/>
          <w:sz w:val="24"/>
          <w:szCs w:val="24"/>
        </w:rPr>
        <w:t>, j), with the B20 and B8 input resistance data for Table 1 (n = 10 pairs; n = 9 pairs f</w:t>
      </w:r>
      <w:r w:rsidRPr="00B248FE">
        <w:rPr>
          <w:rFonts w:ascii="Times New Roman" w:eastAsia="Arial" w:hAnsi="Times New Roman" w:cs="Times New Roman"/>
          <w:sz w:val="24"/>
          <w:szCs w:val="24"/>
        </w:rPr>
        <w:t>or the EPSP and for B8).</w:t>
      </w:r>
    </w:p>
    <w:p w14:paraId="42BEE9CC" w14:textId="77777777" w:rsidR="00511FA6" w:rsidRPr="00B248FE" w:rsidRDefault="00DC7716" w:rsidP="00B248FE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B248F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Worksheet Figure 3. </w:t>
      </w:r>
      <w:r w:rsidRPr="00B248FE">
        <w:rPr>
          <w:rFonts w:ascii="Times New Roman" w:eastAsia="Arial" w:hAnsi="Times New Roman" w:cs="Times New Roman"/>
          <w:sz w:val="24"/>
          <w:szCs w:val="24"/>
        </w:rPr>
        <w:t xml:space="preserve">Panels a–c. Protraction, retraction, and total cycle durations averaged over all BMPs in each test period (n = 22 pairs). Panels f and g. The same measurements for </w:t>
      </w:r>
      <w:proofErr w:type="spellStart"/>
      <w:r w:rsidRPr="00B248FE">
        <w:rPr>
          <w:rFonts w:ascii="Times New Roman" w:eastAsia="Arial" w:hAnsi="Times New Roman" w:cs="Times New Roman"/>
          <w:sz w:val="24"/>
          <w:szCs w:val="24"/>
        </w:rPr>
        <w:t>iBMPs</w:t>
      </w:r>
      <w:proofErr w:type="spellEnd"/>
      <w:r w:rsidRPr="00B248FE">
        <w:rPr>
          <w:rFonts w:ascii="Times New Roman" w:eastAsia="Arial" w:hAnsi="Times New Roman" w:cs="Times New Roman"/>
          <w:sz w:val="24"/>
          <w:szCs w:val="24"/>
        </w:rPr>
        <w:t xml:space="preserve"> only (n = 22 pairs). Panels d and e are representative recordings and have no group data.</w:t>
      </w:r>
    </w:p>
    <w:p w14:paraId="311C1D50" w14:textId="77777777" w:rsidR="00511FA6" w:rsidRPr="00B248FE" w:rsidRDefault="00DC7716" w:rsidP="00B248FE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B248F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Worksheet Figure 4. </w:t>
      </w:r>
      <w:r w:rsidRPr="00B248FE">
        <w:rPr>
          <w:rFonts w:ascii="Times New Roman" w:eastAsia="Arial" w:hAnsi="Times New Roman" w:cs="Times New Roman"/>
          <w:sz w:val="24"/>
          <w:szCs w:val="24"/>
        </w:rPr>
        <w:t xml:space="preserve">Panels d and e. Mean numbers of B52 spikes per BMP during protraction and within 2 s after the end of retraction, protraction duration, and the protraction firing rate (n = 12 pairs). Panels f and g. Number of B52 spikes evoked by a 5-s depolarizing pulse (n = 12 pairs). Panels h and </w:t>
      </w:r>
      <w:proofErr w:type="spellStart"/>
      <w:r w:rsidRPr="00B248FE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B248FE">
        <w:rPr>
          <w:rFonts w:ascii="Times New Roman" w:eastAsia="Arial" w:hAnsi="Times New Roman" w:cs="Times New Roman"/>
          <w:sz w:val="24"/>
          <w:szCs w:val="24"/>
        </w:rPr>
        <w:t xml:space="preserve">. Peak and steady-state voltage deflections evoked by a −1 </w:t>
      </w:r>
      <w:proofErr w:type="spellStart"/>
      <w:r w:rsidRPr="00B248FE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B248FE">
        <w:rPr>
          <w:rFonts w:ascii="Times New Roman" w:eastAsia="Arial" w:hAnsi="Times New Roman" w:cs="Times New Roman"/>
          <w:sz w:val="24"/>
          <w:szCs w:val="24"/>
        </w:rPr>
        <w:t xml:space="preserve"> pulse, from which the sag potential and the B52 input resistance for Table 1 were obtained (n = 11 pairs). Panels j and k. Peak amplitude of the B52→B64 IPSP (n = 9</w:t>
      </w:r>
      <w:r w:rsidRPr="00B248FE">
        <w:rPr>
          <w:rFonts w:ascii="Times New Roman" w:eastAsia="Arial" w:hAnsi="Times New Roman" w:cs="Times New Roman"/>
          <w:sz w:val="24"/>
          <w:szCs w:val="24"/>
        </w:rPr>
        <w:t xml:space="preserve"> pairs). Panels l and m. Peak amplitude of the B52→B51 IPSP (n = 8 pairs).</w:t>
      </w:r>
    </w:p>
    <w:p w14:paraId="1E9D569D" w14:textId="77777777" w:rsidR="00511FA6" w:rsidRPr="00B248FE" w:rsidRDefault="00DC7716" w:rsidP="00B248FE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B248F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Worksheet Figure 5. </w:t>
      </w:r>
      <w:r w:rsidRPr="00B248FE">
        <w:rPr>
          <w:rFonts w:ascii="Times New Roman" w:eastAsia="Arial" w:hAnsi="Times New Roman" w:cs="Times New Roman"/>
          <w:sz w:val="24"/>
          <w:szCs w:val="24"/>
        </w:rPr>
        <w:t>Panels a and b. Minimal 1-s depolarizing current that triggered a plateau potential in B64, with the B64 input resistance data for Table 1 (n = 11 pairs). Panels c and d. Steady-state voltage deflections in B64 and B51 during a hyperpolarizing pulse delivered to B64, and the coupling coefficient (B51 deflection / B64 deflection) (n = 5 pairs).</w:t>
      </w:r>
    </w:p>
    <w:p w14:paraId="151082A1" w14:textId="77777777" w:rsidR="00511FA6" w:rsidRPr="00B248FE" w:rsidRDefault="00DC7716" w:rsidP="00B248FE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 w:rsidRPr="00B248F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Worksheet Figure 6. </w:t>
      </w:r>
      <w:r w:rsidRPr="00B248FE">
        <w:rPr>
          <w:rFonts w:ascii="Times New Roman" w:eastAsia="Arial" w:hAnsi="Times New Roman" w:cs="Times New Roman"/>
          <w:sz w:val="24"/>
          <w:szCs w:val="24"/>
        </w:rPr>
        <w:t xml:space="preserve">Panel e. Untrained preparations, one per row. Protraction duration of </w:t>
      </w:r>
      <w:proofErr w:type="spellStart"/>
      <w:r w:rsidRPr="00B248FE">
        <w:rPr>
          <w:rFonts w:ascii="Times New Roman" w:eastAsia="Arial" w:hAnsi="Times New Roman" w:cs="Times New Roman"/>
          <w:sz w:val="24"/>
          <w:szCs w:val="24"/>
        </w:rPr>
        <w:t>iBMPs</w:t>
      </w:r>
      <w:proofErr w:type="spellEnd"/>
      <w:r w:rsidRPr="00B248FE">
        <w:rPr>
          <w:rFonts w:ascii="Times New Roman" w:eastAsia="Arial" w:hAnsi="Times New Roman" w:cs="Times New Roman"/>
          <w:sz w:val="24"/>
          <w:szCs w:val="24"/>
        </w:rPr>
        <w:t xml:space="preserve"> without current injection and during hyperpolarization of B52, depolarization of B64, and both together, expressed as percent change from the no-injection value in the same preparation. A blank cell means that the manipulation was not obtained in that preparation (n = 6, 6, and 5). The summary gives the one-sample t test against 0% change, with p values Bonferroni-corrected for three comparisons.</w:t>
      </w:r>
    </w:p>
    <w:sectPr w:rsidR="00511FA6" w:rsidRPr="00B248FE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974E6C"/>
    <w:multiLevelType w:val="hybridMultilevel"/>
    <w:tmpl w:val="91CCC996"/>
    <w:lvl w:ilvl="0" w:tplc="39DC0A62">
      <w:start w:val="1"/>
      <w:numFmt w:val="bullet"/>
      <w:lvlText w:val="●"/>
      <w:lvlJc w:val="left"/>
      <w:pPr>
        <w:ind w:left="720" w:hanging="360"/>
      </w:pPr>
    </w:lvl>
    <w:lvl w:ilvl="1" w:tplc="A49A1960">
      <w:start w:val="1"/>
      <w:numFmt w:val="bullet"/>
      <w:lvlText w:val="○"/>
      <w:lvlJc w:val="left"/>
      <w:pPr>
        <w:ind w:left="1440" w:hanging="360"/>
      </w:pPr>
    </w:lvl>
    <w:lvl w:ilvl="2" w:tplc="C6A40272">
      <w:start w:val="1"/>
      <w:numFmt w:val="bullet"/>
      <w:lvlText w:val="■"/>
      <w:lvlJc w:val="left"/>
      <w:pPr>
        <w:ind w:left="2160" w:hanging="360"/>
      </w:pPr>
    </w:lvl>
    <w:lvl w:ilvl="3" w:tplc="15EA027C">
      <w:start w:val="1"/>
      <w:numFmt w:val="bullet"/>
      <w:lvlText w:val="●"/>
      <w:lvlJc w:val="left"/>
      <w:pPr>
        <w:ind w:left="2880" w:hanging="360"/>
      </w:pPr>
    </w:lvl>
    <w:lvl w:ilvl="4" w:tplc="911099D0">
      <w:start w:val="1"/>
      <w:numFmt w:val="bullet"/>
      <w:lvlText w:val="○"/>
      <w:lvlJc w:val="left"/>
      <w:pPr>
        <w:ind w:left="3600" w:hanging="360"/>
      </w:pPr>
    </w:lvl>
    <w:lvl w:ilvl="5" w:tplc="2D568072">
      <w:start w:val="1"/>
      <w:numFmt w:val="bullet"/>
      <w:lvlText w:val="■"/>
      <w:lvlJc w:val="left"/>
      <w:pPr>
        <w:ind w:left="4320" w:hanging="360"/>
      </w:pPr>
    </w:lvl>
    <w:lvl w:ilvl="6" w:tplc="3754EF32">
      <w:start w:val="1"/>
      <w:numFmt w:val="bullet"/>
      <w:lvlText w:val="●"/>
      <w:lvlJc w:val="left"/>
      <w:pPr>
        <w:ind w:left="5040" w:hanging="360"/>
      </w:pPr>
    </w:lvl>
    <w:lvl w:ilvl="7" w:tplc="EFC05E50">
      <w:start w:val="1"/>
      <w:numFmt w:val="bullet"/>
      <w:lvlText w:val="●"/>
      <w:lvlJc w:val="left"/>
      <w:pPr>
        <w:ind w:left="5760" w:hanging="360"/>
      </w:pPr>
    </w:lvl>
    <w:lvl w:ilvl="8" w:tplc="A9B2AF4A">
      <w:start w:val="1"/>
      <w:numFmt w:val="bullet"/>
      <w:lvlText w:val="●"/>
      <w:lvlJc w:val="left"/>
      <w:pPr>
        <w:ind w:left="6480" w:hanging="360"/>
      </w:pPr>
    </w:lvl>
  </w:abstractNum>
  <w:num w:numId="1" w16cid:durableId="16289679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FA6"/>
    <w:rsid w:val="004F7761"/>
    <w:rsid w:val="00511FA6"/>
    <w:rsid w:val="00B248FE"/>
    <w:rsid w:val="00DC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5991E5"/>
  <w15:docId w15:val="{140E2ED1-EB3A-4FF9-A059-5E079DF8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Yuto Momohara</cp:lastModifiedBy>
  <cp:revision>2</cp:revision>
  <dcterms:created xsi:type="dcterms:W3CDTF">2026-09-29T13:16:00Z</dcterms:created>
  <dcterms:modified xsi:type="dcterms:W3CDTF">2026-09-29T13:16:00Z</dcterms:modified>
</cp:coreProperties>
</file>