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955C1" w14:textId="4FA9699F" w:rsidR="00312122" w:rsidRDefault="00312122" w:rsidP="00312122">
      <w:pPr>
        <w:spacing w:line="240" w:lineRule="auto"/>
        <w:jc w:val="both"/>
        <w:rPr>
          <w:rFonts w:ascii="Segoe UI" w:hAnsi="Segoe UI" w:cs="Segoe UI"/>
          <w:b/>
          <w:bCs/>
          <w:sz w:val="22"/>
          <w:szCs w:val="22"/>
          <w:lang w:val="en-IN"/>
        </w:rPr>
      </w:pPr>
      <w:r>
        <w:rPr>
          <w:rFonts w:ascii="Segoe UI" w:hAnsi="Segoe UI" w:cs="Segoe UI"/>
          <w:b/>
          <w:bCs/>
          <w:sz w:val="22"/>
          <w:szCs w:val="22"/>
          <w:lang w:val="en-IN"/>
        </w:rPr>
        <w:t>SU</w:t>
      </w:r>
      <w:r w:rsidR="00C53D24">
        <w:rPr>
          <w:rFonts w:ascii="Segoe UI" w:hAnsi="Segoe UI" w:cs="Segoe UI"/>
          <w:b/>
          <w:bCs/>
          <w:sz w:val="22"/>
          <w:szCs w:val="22"/>
          <w:lang w:val="en-IN"/>
        </w:rPr>
        <w:t>P</w:t>
      </w:r>
      <w:r>
        <w:rPr>
          <w:rFonts w:ascii="Segoe UI" w:hAnsi="Segoe UI" w:cs="Segoe UI"/>
          <w:b/>
          <w:bCs/>
          <w:sz w:val="22"/>
          <w:szCs w:val="22"/>
          <w:lang w:val="en-IN"/>
        </w:rPr>
        <w:t>PLEMENTARY INFORMATION</w:t>
      </w:r>
    </w:p>
    <w:p w14:paraId="173BC8D3" w14:textId="77777777" w:rsidR="00312122" w:rsidRPr="008A2059" w:rsidRDefault="00312122" w:rsidP="00312122">
      <w:pPr>
        <w:spacing w:line="240" w:lineRule="auto"/>
        <w:jc w:val="both"/>
        <w:rPr>
          <w:rFonts w:ascii="Segoe UI" w:hAnsi="Segoe UI" w:cs="Segoe UI"/>
          <w:b/>
          <w:bCs/>
          <w:sz w:val="22"/>
          <w:szCs w:val="22"/>
        </w:rPr>
      </w:pPr>
      <w:r>
        <w:rPr>
          <w:rFonts w:ascii="Segoe UI" w:hAnsi="Segoe UI" w:cs="Segoe UI"/>
          <w:b/>
          <w:bCs/>
          <w:sz w:val="22"/>
          <w:szCs w:val="22"/>
          <w:lang w:val="en-IN"/>
        </w:rPr>
        <w:t xml:space="preserve">Supplementary Table 1: </w:t>
      </w:r>
      <w:r>
        <w:rPr>
          <w:rFonts w:ascii="Segoe UI" w:hAnsi="Segoe UI" w:cs="Segoe UI"/>
          <w:b/>
          <w:bCs/>
          <w:sz w:val="22"/>
          <w:szCs w:val="22"/>
        </w:rPr>
        <w:t>Pathways to Equity: A Global Matrix of Urban Climate Justice Interventions</w:t>
      </w:r>
    </w:p>
    <w:tbl>
      <w:tblPr>
        <w:tblStyle w:val="TableGrid"/>
        <w:tblpPr w:leftFromText="180" w:rightFromText="180" w:vertAnchor="text" w:tblpX="-861" w:tblpY="1"/>
        <w:tblOverlap w:val="never"/>
        <w:tblW w:w="11047" w:type="dxa"/>
        <w:tblLayout w:type="fixed"/>
        <w:tblLook w:val="04A0" w:firstRow="1" w:lastRow="0" w:firstColumn="1" w:lastColumn="0" w:noHBand="0" w:noVBand="1"/>
      </w:tblPr>
      <w:tblGrid>
        <w:gridCol w:w="1392"/>
        <w:gridCol w:w="2458"/>
        <w:gridCol w:w="1053"/>
        <w:gridCol w:w="1404"/>
        <w:gridCol w:w="2808"/>
        <w:gridCol w:w="1932"/>
      </w:tblGrid>
      <w:tr w:rsidR="00312122" w:rsidRPr="009E7B2A" w14:paraId="485DEB8E" w14:textId="77777777" w:rsidTr="00265E43">
        <w:trPr>
          <w:trHeight w:val="1200"/>
        </w:trPr>
        <w:tc>
          <w:tcPr>
            <w:tcW w:w="1124"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6B93F5EE" w14:textId="77777777" w:rsidR="00312122" w:rsidRPr="009E7B2A" w:rsidRDefault="00312122" w:rsidP="00265E43">
            <w:pPr>
              <w:spacing w:after="160"/>
              <w:jc w:val="both"/>
              <w:rPr>
                <w:rFonts w:ascii="Segoe UI" w:eastAsia="Times New Roman" w:hAnsi="Segoe UI" w:cs="Segoe UI"/>
                <w:color w:val="000000" w:themeColor="text1"/>
              </w:rPr>
            </w:pPr>
          </w:p>
        </w:tc>
        <w:tc>
          <w:tcPr>
            <w:tcW w:w="1985"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264E9CE7"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Promising pathways of achieving justice</w:t>
            </w:r>
            <w:r>
              <w:rPr>
                <w:rFonts w:ascii="Segoe UI" w:eastAsia="Times New Roman" w:hAnsi="Segoe UI" w:cs="Segoe UI"/>
                <w:color w:val="000000" w:themeColor="text1"/>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30E6240F"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Cities</w:t>
            </w:r>
            <w:r>
              <w:rPr>
                <w:rFonts w:ascii="Segoe UI" w:eastAsia="Times New Roman" w:hAnsi="Segoe UI" w:cs="Segoe UI"/>
                <w:color w:val="000000" w:themeColor="text1"/>
              </w:rPr>
              <w:t xml:space="preserve"> </w:t>
            </w:r>
          </w:p>
        </w:tc>
        <w:tc>
          <w:tcPr>
            <w:tcW w:w="1134"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08021AA3"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Which justice pillars invoked? *</w:t>
            </w:r>
            <w:r>
              <w:rPr>
                <w:rFonts w:ascii="Segoe UI" w:eastAsia="Times New Roman" w:hAnsi="Segoe UI" w:cs="Segoe UI"/>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53C481C2"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What climate injustice was addressed?</w:t>
            </w:r>
            <w:r>
              <w:rPr>
                <w:rFonts w:ascii="Segoe UI" w:eastAsia="Times New Roman" w:hAnsi="Segoe UI" w:cs="Segoe UI"/>
                <w:color w:val="000000" w:themeColor="text1"/>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34B2BF3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 xml:space="preserve">Assessment </w:t>
            </w:r>
            <w:r>
              <w:rPr>
                <w:rFonts w:ascii="Segoe UI" w:eastAsia="Times New Roman" w:hAnsi="Segoe UI" w:cs="Segoe UI"/>
                <w:color w:val="000000" w:themeColor="text1"/>
              </w:rPr>
              <w:t xml:space="preserve"> </w:t>
            </w:r>
          </w:p>
        </w:tc>
      </w:tr>
      <w:tr w:rsidR="00312122" w:rsidRPr="009E7B2A" w14:paraId="737ED332" w14:textId="77777777" w:rsidTr="00265E43">
        <w:trPr>
          <w:trHeight w:val="2040"/>
        </w:trPr>
        <w:tc>
          <w:tcPr>
            <w:tcW w:w="1124" w:type="dxa"/>
            <w:vMerge w:val="restart"/>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5622933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Collaborative processes and capacity building</w:t>
            </w:r>
            <w:r>
              <w:rPr>
                <w:rFonts w:ascii="Segoe UI" w:eastAsia="Times New Roman" w:hAnsi="Segoe UI" w:cs="Segoe UI"/>
                <w:color w:val="000000" w:themeColor="text1"/>
              </w:rPr>
              <w:t xml:space="preserve"> </w:t>
            </w:r>
          </w:p>
          <w:p w14:paraId="077726D0"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118AE0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 xml:space="preserve">Acknowledging and dismantling deep-seated structural vulnerabilities </w:t>
            </w:r>
            <w:r>
              <w:rPr>
                <w:rFonts w:ascii="Segoe UI" w:eastAsia="Times New Roman" w:hAnsi="Segoe UI" w:cs="Segoe UI"/>
              </w:rPr>
              <w:t>through policy processes and governance practices by validating the identities, histories, and distinct needs of historically oppressed populations in climate discourse. Examples include integrating Indigenous knowledge in relocation planning in Fiji, assessing transformative capacity in Changwon, utilizing inclusive travel demand management in Seoul, and emphasizing trust-building and anti-racism training in Boston and Seattle</w:t>
            </w:r>
            <w:r>
              <w:rPr>
                <w:rFonts w:ascii="Segoe UI" w:eastAsia="Times New Roman" w:hAnsi="Segoe UI" w:cs="Segoe UI"/>
                <w:vertAlign w:val="superscript"/>
              </w:rPr>
              <w:t>1–8</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AD888A0"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Global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FFE2C4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D,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4F68AE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Root causes of injustice:</w:t>
            </w:r>
            <w:r>
              <w:rPr>
                <w:rFonts w:ascii="Segoe UI" w:eastAsia="Times New Roman" w:hAnsi="Segoe UI" w:cs="Segoe UI"/>
              </w:rPr>
              <w:t xml:space="preserve"> The long shadow of coloniality and slavery; neocolonialism; structural vulnerabilities leading to differential adaptive and transition capacities; uneven emissions and the commodification of carbon.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13CC5D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High evidence, high agreement. </w:t>
            </w:r>
          </w:p>
        </w:tc>
      </w:tr>
      <w:tr w:rsidR="00312122" w:rsidRPr="009E7B2A" w14:paraId="7BCFCC8C" w14:textId="77777777" w:rsidTr="00265E43">
        <w:trPr>
          <w:trHeight w:val="2040"/>
        </w:trPr>
        <w:tc>
          <w:tcPr>
            <w:tcW w:w="1124" w:type="dxa"/>
            <w:vMerge/>
            <w:tcBorders>
              <w:left w:val="single" w:sz="0" w:space="0" w:color="auto"/>
              <w:right w:val="single" w:sz="0" w:space="0" w:color="auto"/>
            </w:tcBorders>
            <w:tcMar>
              <w:top w:w="15" w:type="dxa"/>
              <w:left w:w="15" w:type="dxa"/>
              <w:bottom w:w="15" w:type="dxa"/>
              <w:right w:w="15" w:type="dxa"/>
            </w:tcMar>
            <w:vAlign w:val="center"/>
          </w:tcPr>
          <w:p w14:paraId="63791C4C"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383F889F"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Consultative partnerships, strategic collaborations, and expansive co-governance arrangements</w:t>
            </w:r>
            <w:r>
              <w:rPr>
                <w:rFonts w:ascii="Segoe UI" w:eastAsia="Times New Roman" w:hAnsi="Segoe UI" w:cs="Segoe UI"/>
              </w:rPr>
              <w:t xml:space="preserve"> that enable consensual decision-making, e.g., participatory, four-step climate adaptation planning (iDEAL project) integrating stakeholder perception and vulnerability mapping; public–private </w:t>
            </w:r>
            <w:r>
              <w:rPr>
                <w:rFonts w:ascii="Segoe UI" w:eastAsia="Times New Roman" w:hAnsi="Segoe UI" w:cs="Segoe UI"/>
              </w:rPr>
              <w:lastRenderedPageBreak/>
              <w:t>partnerships to implement integrated stormwater management; and participatory urban upgrading processes</w:t>
            </w:r>
            <w:r>
              <w:rPr>
                <w:rFonts w:ascii="Segoe UI" w:eastAsia="Times New Roman" w:hAnsi="Segoe UI" w:cs="Segoe UI"/>
                <w:vertAlign w:val="superscript"/>
              </w:rPr>
              <w:t>9–14</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868FCA6"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Buenos Aires (Argentina), Campinas, and Santos (Brazil); Pesaro, Misano (Italy); Kokkedal, Copenhagen (Denmark)</w:t>
            </w:r>
            <w:r>
              <w:rPr>
                <w:rFonts w:ascii="Segoe UI" w:eastAsia="Times New Roman" w:hAnsi="Segoe UI" w:cs="Segoe UI"/>
              </w:rPr>
              <w:lastRenderedPageBreak/>
              <w:t xml:space="preserve">, Stockholm (Sweden) </w:t>
            </w:r>
          </w:p>
          <w:p w14:paraId="6EB151A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Utrecht (Netherlands), Detroit, Kansas City, Sacramento, Seattle, Houston, Dallas, Boston, Columbus (USA)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3977746"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R, P, D, E,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4C78409"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voice in decision-making and exclusionary governance:</w:t>
            </w:r>
            <w:r>
              <w:rPr>
                <w:rFonts w:ascii="Segoe UI" w:eastAsia="Times New Roman" w:hAnsi="Segoe UI" w:cs="Segoe UI"/>
              </w:rPr>
              <w:t xml:space="preserve"> lack of recognition of and limited opportunities for inclusive, participatory structures for marginalized communities in urban climate governance. </w:t>
            </w:r>
          </w:p>
          <w:p w14:paraId="75210B4F"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p w14:paraId="0FBBBED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outcomes of climate solutions</w:t>
            </w:r>
            <w:r>
              <w:rPr>
                <w:rFonts w:ascii="Segoe UI" w:eastAsia="Times New Roman" w:hAnsi="Segoe UI" w:cs="Segoe UI"/>
              </w:rPr>
              <w:t xml:space="preserve"> includes recognising historic </w:t>
            </w:r>
            <w:r>
              <w:rPr>
                <w:rFonts w:ascii="Segoe UI" w:eastAsia="Times New Roman" w:hAnsi="Segoe UI" w:cs="Segoe UI"/>
              </w:rPr>
              <w:lastRenderedPageBreak/>
              <w:t xml:space="preserve">structures and processes of marginalisation, the unequal distribution of benefits and costs of certain solutions (between certain populations; between urban areas; or across time). </w:t>
            </w:r>
          </w:p>
          <w:p w14:paraId="30947880"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ADF83C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High evidence, high agreement. </w:t>
            </w:r>
          </w:p>
        </w:tc>
      </w:tr>
      <w:tr w:rsidR="00312122" w:rsidRPr="009E7B2A" w14:paraId="72C738EE" w14:textId="77777777" w:rsidTr="00265E43">
        <w:trPr>
          <w:trHeight w:val="135"/>
        </w:trPr>
        <w:tc>
          <w:tcPr>
            <w:tcW w:w="1124" w:type="dxa"/>
            <w:vMerge/>
            <w:tcBorders>
              <w:left w:val="single" w:sz="0" w:space="0" w:color="auto"/>
              <w:right w:val="single" w:sz="0" w:space="0" w:color="auto"/>
            </w:tcBorders>
            <w:tcMar>
              <w:top w:w="15" w:type="dxa"/>
              <w:left w:w="15" w:type="dxa"/>
              <w:bottom w:w="15" w:type="dxa"/>
              <w:right w:w="15" w:type="dxa"/>
            </w:tcMar>
            <w:vAlign w:val="center"/>
          </w:tcPr>
          <w:p w14:paraId="6DE713D6"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54F0F80B"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 xml:space="preserve">Co-governance and city-to-city networking </w:t>
            </w:r>
            <w:r>
              <w:rPr>
                <w:rFonts w:ascii="Segoe UI" w:eastAsia="Times New Roman" w:hAnsi="Segoe UI" w:cs="Segoe UI"/>
              </w:rPr>
              <w:t>to overcome exclusionary governance. Examples include Nilüfer leveraging transnational networks to bypass top-down national control</w:t>
            </w:r>
            <w:r>
              <w:rPr>
                <w:rFonts w:ascii="Segoe UI" w:eastAsia="Times New Roman" w:hAnsi="Segoe UI" w:cs="Segoe UI"/>
                <w:vertAlign w:val="superscript"/>
              </w:rPr>
              <w:t>15</w:t>
            </w:r>
            <w:r>
              <w:rPr>
                <w:rFonts w:ascii="Segoe UI" w:eastAsia="Times New Roman" w:hAnsi="Segoe UI" w:cs="Segoe UI"/>
              </w:rPr>
              <w:t>, evaluating localized district-level climate risk perceptions and trust in Istanbul</w:t>
            </w:r>
            <w:r>
              <w:rPr>
                <w:rFonts w:ascii="Segoe UI" w:eastAsia="Times New Roman" w:hAnsi="Segoe UI" w:cs="Segoe UI"/>
                <w:vertAlign w:val="superscript"/>
              </w:rPr>
              <w:t>16,17</w:t>
            </w:r>
            <w:r>
              <w:rPr>
                <w:rFonts w:ascii="Segoe UI" w:eastAsia="Times New Roman" w:hAnsi="Segoe UI" w:cs="Segoe UI"/>
              </w:rPr>
              <w:t>, and broad multi-city networking across European and Turkish cities for climate neutrality</w:t>
            </w:r>
            <w:r>
              <w:rPr>
                <w:rFonts w:ascii="Segoe UI" w:eastAsia="Times New Roman" w:hAnsi="Segoe UI" w:cs="Segoe UI"/>
                <w:vertAlign w:val="superscript"/>
              </w:rPr>
              <w:t>18–20</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B68AF3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Various Turkish cities (including Istanbul and Nilüfer) and broader multi-city networks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A169611"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F87CFC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voice in decision-making and exclusionary governance:</w:t>
            </w:r>
            <w:r>
              <w:rPr>
                <w:rFonts w:ascii="Segoe UI" w:eastAsia="Times New Roman" w:hAnsi="Segoe UI" w:cs="Segoe UI"/>
              </w:rPr>
              <w:t xml:space="preserve"> lack of recognition of and limited opportunities for inclusive, participatory structures for marginalized communities in urban climate governance. </w:t>
            </w:r>
          </w:p>
          <w:p w14:paraId="683B220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F95D989"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Medium evidence, high agreement  </w:t>
            </w:r>
          </w:p>
        </w:tc>
      </w:tr>
      <w:tr w:rsidR="00312122" w:rsidRPr="009E7B2A" w14:paraId="738DEA62" w14:textId="77777777" w:rsidTr="00265E43">
        <w:trPr>
          <w:trHeight w:val="135"/>
        </w:trPr>
        <w:tc>
          <w:tcPr>
            <w:tcW w:w="1124" w:type="dxa"/>
            <w:vMerge/>
            <w:tcBorders>
              <w:left w:val="single" w:sz="0" w:space="0" w:color="auto"/>
              <w:right w:val="single" w:sz="0" w:space="0" w:color="auto"/>
            </w:tcBorders>
            <w:tcMar>
              <w:top w:w="15" w:type="dxa"/>
              <w:left w:w="15" w:type="dxa"/>
              <w:bottom w:w="15" w:type="dxa"/>
              <w:right w:w="15" w:type="dxa"/>
            </w:tcMar>
            <w:vAlign w:val="center"/>
          </w:tcPr>
          <w:p w14:paraId="5FDFEC55"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2C7A6C0C"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Participatory planning and co-creation</w:t>
            </w:r>
            <w:r>
              <w:rPr>
                <w:rFonts w:ascii="Segoe UI" w:eastAsia="Times New Roman" w:hAnsi="Segoe UI" w:cs="Segoe UI"/>
              </w:rPr>
              <w:t xml:space="preserve"> (e.g. for nature-based solutions, climate adaptation plans) which foster authentic participation and trust building e.g. through antiracism training, comprehensive efforts to bring underrepresented groups to the table, and </w:t>
            </w:r>
            <w:r>
              <w:rPr>
                <w:rFonts w:ascii="Segoe UI" w:eastAsia="Times New Roman" w:hAnsi="Segoe UI" w:cs="Segoe UI"/>
              </w:rPr>
              <w:lastRenderedPageBreak/>
              <w:t>creating planning processes where participants are valued. Participatory governance, involving local communities, ensures context-responsive urban resilience</w:t>
            </w:r>
            <w:r>
              <w:rPr>
                <w:rFonts w:ascii="Segoe UI" w:eastAsia="Times New Roman" w:hAnsi="Segoe UI" w:cs="Segoe UI"/>
                <w:vertAlign w:val="superscript"/>
              </w:rPr>
              <w:t>21</w:t>
            </w:r>
            <w:r>
              <w:rPr>
                <w:rFonts w:ascii="Segoe UI" w:eastAsia="Times New Roman" w:hAnsi="Segoe UI" w:cs="Segoe UI"/>
              </w:rPr>
              <w:t>. This participatory approach ensures local communities actively shape policies and research, leveraging unique insights for contextually relevant, sustainable solutions</w:t>
            </w:r>
            <w:r>
              <w:rPr>
                <w:rFonts w:ascii="Segoe UI" w:eastAsia="Times New Roman" w:hAnsi="Segoe UI" w:cs="Segoe UI"/>
                <w:vertAlign w:val="superscript"/>
              </w:rPr>
              <w:t>7,22–29</w:t>
            </w:r>
            <w:r>
              <w:rPr>
                <w:rFonts w:ascii="Segoe UI" w:eastAsia="Times New Roman" w:hAnsi="Segoe UI" w:cs="Segoe UI"/>
              </w:rPr>
              <w:t xml:space="preserve">.  </w:t>
            </w:r>
          </w:p>
          <w:p w14:paraId="6F8FC2C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931266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Nairobi (Kenya), Barcelona (Spain), Berlin (Germany), Portland (United States), New York City (United </w:t>
            </w:r>
            <w:r>
              <w:rPr>
                <w:rFonts w:ascii="Segoe UI" w:eastAsia="Times New Roman" w:hAnsi="Segoe UI" w:cs="Segoe UI"/>
              </w:rPr>
              <w:lastRenderedPageBreak/>
              <w:t xml:space="preserve">States), Boston (United States), Seattle (United States), various U.S. cities, and Latin American metropolitan areas.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D9A7DC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R, P, E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AD91995"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voice in decision-making and exclusionary governance:</w:t>
            </w:r>
            <w:r>
              <w:rPr>
                <w:rFonts w:ascii="Segoe UI" w:eastAsia="Times New Roman" w:hAnsi="Segoe UI" w:cs="Segoe UI"/>
              </w:rPr>
              <w:t xml:space="preserve"> lack of recognition of and limited opportunities for inclusive, participatory structures for marginalized communities in urban climate governance.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5B74990"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Medium evidence, high agreement </w:t>
            </w:r>
          </w:p>
        </w:tc>
      </w:tr>
      <w:tr w:rsidR="00312122" w:rsidRPr="009E7B2A" w14:paraId="79A851C2" w14:textId="77777777" w:rsidTr="00265E43">
        <w:trPr>
          <w:trHeight w:val="135"/>
        </w:trPr>
        <w:tc>
          <w:tcPr>
            <w:tcW w:w="1124" w:type="dxa"/>
            <w:vMerge/>
            <w:tcBorders>
              <w:left w:val="single" w:sz="0" w:space="0" w:color="auto"/>
              <w:bottom w:val="single" w:sz="0" w:space="0" w:color="auto"/>
              <w:right w:val="single" w:sz="0" w:space="0" w:color="auto"/>
            </w:tcBorders>
            <w:tcMar>
              <w:top w:w="15" w:type="dxa"/>
              <w:left w:w="15" w:type="dxa"/>
              <w:bottom w:w="15" w:type="dxa"/>
              <w:right w:w="15" w:type="dxa"/>
            </w:tcMar>
            <w:vAlign w:val="center"/>
          </w:tcPr>
          <w:p w14:paraId="26659FF9"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23B6DC5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 xml:space="preserve">Community-based resilience and civic stewardship practices </w:t>
            </w:r>
            <w:r>
              <w:rPr>
                <w:rFonts w:ascii="Segoe UI" w:eastAsia="Times New Roman" w:hAnsi="Segoe UI" w:cs="Segoe UI"/>
              </w:rPr>
              <w:t>create opportunities for diverse groups to be involved in urban climate governance on their own terms. Examples include adaptive community governance in Nairobi</w:t>
            </w:r>
            <w:r>
              <w:rPr>
                <w:rFonts w:ascii="Segoe UI" w:eastAsia="Times New Roman" w:hAnsi="Segoe UI" w:cs="Segoe UI"/>
                <w:vertAlign w:val="superscript"/>
              </w:rPr>
              <w:t>30</w:t>
            </w:r>
            <w:r>
              <w:rPr>
                <w:rFonts w:ascii="Segoe UI" w:eastAsia="Times New Roman" w:hAnsi="Segoe UI" w:cs="Segoe UI"/>
              </w:rPr>
              <w:t>, transboundary civic stewardship in New York City</w:t>
            </w:r>
            <w:r>
              <w:rPr>
                <w:rFonts w:ascii="Segoe UI" w:eastAsia="Times New Roman" w:hAnsi="Segoe UI" w:cs="Segoe UI"/>
                <w:vertAlign w:val="superscript"/>
              </w:rPr>
              <w:t>29</w:t>
            </w:r>
            <w:r>
              <w:rPr>
                <w:rFonts w:ascii="Segoe UI" w:eastAsia="Times New Roman" w:hAnsi="Segoe UI" w:cs="Segoe UI"/>
              </w:rPr>
              <w:t>, Community Learning Platforms empowering informal settlements in Freetown</w:t>
            </w:r>
            <w:r>
              <w:rPr>
                <w:rFonts w:ascii="Segoe UI" w:eastAsia="Times New Roman" w:hAnsi="Segoe UI" w:cs="Segoe UI"/>
                <w:vertAlign w:val="superscript"/>
              </w:rPr>
              <w:t>31,32</w:t>
            </w:r>
            <w:r>
              <w:rPr>
                <w:rFonts w:ascii="Segoe UI" w:eastAsia="Times New Roman" w:hAnsi="Segoe UI" w:cs="Segoe UI"/>
              </w:rPr>
              <w:t>, participatory urban upgrading through urban labs in Buenos Aires</w:t>
            </w:r>
            <w:r>
              <w:rPr>
                <w:rFonts w:ascii="Segoe UI" w:eastAsia="Times New Roman" w:hAnsi="Segoe UI" w:cs="Segoe UI"/>
                <w:vertAlign w:val="superscript"/>
              </w:rPr>
              <w:t>9,33</w:t>
            </w:r>
            <w:r>
              <w:rPr>
                <w:rFonts w:ascii="Segoe UI" w:eastAsia="Times New Roman" w:hAnsi="Segoe UI" w:cs="Segoe UI"/>
              </w:rPr>
              <w:t>, self-provisioning waste micro-enterprises in Kampala</w:t>
            </w:r>
            <w:r>
              <w:rPr>
                <w:rFonts w:ascii="Segoe UI" w:eastAsia="Times New Roman" w:hAnsi="Segoe UI" w:cs="Segoe UI"/>
                <w:vertAlign w:val="superscript"/>
              </w:rPr>
              <w:t>34</w:t>
            </w:r>
            <w:r>
              <w:rPr>
                <w:rFonts w:ascii="Segoe UI" w:eastAsia="Times New Roman" w:hAnsi="Segoe UI" w:cs="Segoe UI"/>
              </w:rPr>
              <w:t xml:space="preserve">, and collective resource management </w:t>
            </w:r>
            <w:r>
              <w:rPr>
                <w:rFonts w:ascii="Segoe UI" w:eastAsia="Times New Roman" w:hAnsi="Segoe UI" w:cs="Segoe UI"/>
              </w:rPr>
              <w:lastRenderedPageBreak/>
              <w:t>by community networks in Nakhon Sawan</w:t>
            </w:r>
            <w:r>
              <w:rPr>
                <w:rFonts w:ascii="Segoe UI" w:eastAsia="Times New Roman" w:hAnsi="Segoe UI" w:cs="Segoe UI"/>
                <w:vertAlign w:val="superscript"/>
              </w:rPr>
              <w:t>35,36</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930AB8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Nairobi (Kenya), New York City (United States), Freetown (Sierra Leone), Buenos Aires (Argentina), Kampala (Uganda), and Nakhon Sawan (Thailand).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B307E4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R, P, D, E, Res</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E687043"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processes and outcomes of climate solutions:</w:t>
            </w:r>
            <w:r>
              <w:rPr>
                <w:rFonts w:ascii="Segoe UI" w:eastAsia="Times New Roman" w:hAnsi="Segoe UI" w:cs="Segoe UI"/>
              </w:rPr>
              <w:t xml:space="preserve"> includes recognising historic structures and processes of marginalisation, the unequal distribution of benefits and costs of certain solutions (between certain populations; between urban areas; or across time) and the unequal participation of marginalised groups in decision-making processes. </w:t>
            </w:r>
          </w:p>
          <w:p w14:paraId="77A77C59"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F5A6381"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tc>
      </w:tr>
      <w:tr w:rsidR="00312122" w:rsidRPr="009E7B2A" w14:paraId="1872A36D" w14:textId="77777777" w:rsidTr="00265E43">
        <w:trPr>
          <w:trHeight w:val="135"/>
        </w:trPr>
        <w:tc>
          <w:tcPr>
            <w:tcW w:w="1124" w:type="dxa"/>
            <w:tcBorders>
              <w:top w:val="nil"/>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49557018"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6DBA22D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18D8191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134"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3547E9DD"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22E3A0F3"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11A23FB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r>
      <w:tr w:rsidR="00312122" w:rsidRPr="009E7B2A" w14:paraId="2A7F8FBC" w14:textId="77777777" w:rsidTr="00265E43">
        <w:trPr>
          <w:trHeight w:val="135"/>
        </w:trPr>
        <w:tc>
          <w:tcPr>
            <w:tcW w:w="1124" w:type="dxa"/>
            <w:vMerge w:val="restart"/>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00F44792"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Improved data and information sharing</w:t>
            </w:r>
            <w:r>
              <w:rPr>
                <w:rFonts w:ascii="Segoe UI" w:eastAsia="Times New Roman" w:hAnsi="Segoe UI" w:cs="Segoe UI"/>
                <w:color w:val="000000" w:themeColor="text1"/>
              </w:rPr>
              <w:t xml:space="preserve"> </w:t>
            </w:r>
          </w:p>
          <w:p w14:paraId="366A5DA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9973FDC"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Granular vulnerability and spatial risk mapping to assess unequal socio-economic risks and target resources. Examples include multiscale GIS modeling across 146 urban centers in West Bengal</w:t>
            </w:r>
            <w:r>
              <w:rPr>
                <w:rFonts w:ascii="Segoe UI" w:eastAsia="Times New Roman" w:hAnsi="Segoe UI" w:cs="Segoe UI"/>
                <w:vertAlign w:val="superscript"/>
              </w:rPr>
              <w:t>37</w:t>
            </w:r>
            <w:r>
              <w:rPr>
                <w:rFonts w:ascii="Segoe UI" w:eastAsia="Times New Roman" w:hAnsi="Segoe UI" w:cs="Segoe UI"/>
              </w:rPr>
              <w:t>, utilizing World Risk Index methodologies in the Tyumen Region</w:t>
            </w:r>
            <w:r>
              <w:rPr>
                <w:rFonts w:ascii="Segoe UI" w:eastAsia="Times New Roman" w:hAnsi="Segoe UI" w:cs="Segoe UI"/>
                <w:vertAlign w:val="superscript"/>
              </w:rPr>
              <w:t>38</w:t>
            </w:r>
            <w:r>
              <w:rPr>
                <w:rFonts w:ascii="Segoe UI" w:eastAsia="Times New Roman" w:hAnsi="Segoe UI" w:cs="Segoe UI"/>
              </w:rPr>
              <w:t>, integrating climate risk indices in Almería</w:t>
            </w:r>
            <w:r>
              <w:rPr>
                <w:rFonts w:ascii="Segoe UI" w:eastAsia="Times New Roman" w:hAnsi="Segoe UI" w:cs="Segoe UI"/>
                <w:vertAlign w:val="superscript"/>
              </w:rPr>
              <w:t>39</w:t>
            </w:r>
            <w:r>
              <w:rPr>
                <w:rFonts w:ascii="Segoe UI" w:eastAsia="Times New Roman" w:hAnsi="Segoe UI" w:cs="Segoe UI"/>
              </w:rPr>
              <w:t xml:space="preserve"> and systemic vulnerability in Barcelona</w:t>
            </w:r>
            <w:r>
              <w:rPr>
                <w:rFonts w:ascii="Segoe UI" w:eastAsia="Times New Roman" w:hAnsi="Segoe UI" w:cs="Segoe UI"/>
                <w:vertAlign w:val="superscript"/>
              </w:rPr>
              <w:t>40</w:t>
            </w:r>
            <w:r>
              <w:rPr>
                <w:rFonts w:ascii="Segoe UI" w:eastAsia="Times New Roman" w:hAnsi="Segoe UI" w:cs="Segoe UI"/>
              </w:rPr>
              <w:t>, and mapping heat and flood risks in Bhubaneshwar and Bangkok</w:t>
            </w:r>
            <w:r>
              <w:rPr>
                <w:rFonts w:ascii="Segoe UI" w:eastAsia="Times New Roman" w:hAnsi="Segoe UI" w:cs="Segoe UI"/>
                <w:vertAlign w:val="superscript"/>
              </w:rPr>
              <w:t>41–44</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A79B3B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Bhubaneshwar (India); Tyumen, Tobolsk, Ishim, Yalutorovsk, and 22 municipalities in the Tyumen Region (Russia); 146 urban centers in West Bengal (India); 103 municipalities in the Province of Almería (Spain); Barcelona (Spain); Thessaloniki (Greece); Cologne (Germany); Hong Kong (China); Kobe (Japan); Naples (Italy); Bangkok (Thailand).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9F03053"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D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E7AA683"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exposure and experience of climate impacts:</w:t>
            </w:r>
            <w:r>
              <w:rPr>
                <w:rFonts w:ascii="Segoe UI" w:eastAsia="Times New Roman" w:hAnsi="Segoe UI" w:cs="Segoe UI"/>
              </w:rPr>
              <w:t xml:space="preserve"> exposure to hazards (such as urban rainstorm flooding and broader climate risks) is mediated by socio-economic vulnerability and spatial inequalities, leading to disproportionate risk burdens for vulnerable groups.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252B89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Low evidence, High Agreement </w:t>
            </w:r>
          </w:p>
        </w:tc>
      </w:tr>
      <w:tr w:rsidR="00312122" w:rsidRPr="009E7B2A" w14:paraId="644C0155" w14:textId="77777777" w:rsidTr="00265E43">
        <w:trPr>
          <w:trHeight w:val="135"/>
        </w:trPr>
        <w:tc>
          <w:tcPr>
            <w:tcW w:w="1124" w:type="dxa"/>
            <w:vMerge/>
            <w:tcBorders>
              <w:left w:val="single" w:sz="0" w:space="0" w:color="auto"/>
              <w:bottom w:val="single" w:sz="0" w:space="0" w:color="auto"/>
              <w:right w:val="single" w:sz="0" w:space="0" w:color="auto"/>
            </w:tcBorders>
            <w:tcMar>
              <w:top w:w="15" w:type="dxa"/>
              <w:left w:w="15" w:type="dxa"/>
              <w:bottom w:w="15" w:type="dxa"/>
              <w:right w:w="15" w:type="dxa"/>
            </w:tcMar>
            <w:vAlign w:val="center"/>
          </w:tcPr>
          <w:p w14:paraId="7AB9D8D7"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46C09D20"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Unjust processes and outcomes of climate solutions:</w:t>
            </w:r>
            <w:r>
              <w:rPr>
                <w:rFonts w:ascii="Segoe UI" w:eastAsia="Times New Roman" w:hAnsi="Segoe UI" w:cs="Segoe UI"/>
              </w:rPr>
              <w:t xml:space="preserve"> Includes unequal distribution of benefits and costs of certain solutions (between certain populations; between urban and rural areas; or across time) and the unequal participation of marginalised groups in decision-making processes.to track inclusion and equity progress in climate planning. Examples include advancing gender-responsive policies globally</w:t>
            </w:r>
            <w:r>
              <w:rPr>
                <w:rFonts w:ascii="Segoe UI" w:eastAsia="Times New Roman" w:hAnsi="Segoe UI" w:cs="Segoe UI"/>
                <w:vertAlign w:val="superscript"/>
              </w:rPr>
              <w:t>45</w:t>
            </w:r>
            <w:r>
              <w:rPr>
                <w:rFonts w:ascii="Segoe UI" w:eastAsia="Times New Roman" w:hAnsi="Segoe UI" w:cs="Segoe UI"/>
              </w:rPr>
              <w:t>, evaluating environmental justice in U.S. legacy cities</w:t>
            </w:r>
            <w:r>
              <w:rPr>
                <w:rFonts w:ascii="Segoe UI" w:eastAsia="Times New Roman" w:hAnsi="Segoe UI" w:cs="Segoe UI"/>
                <w:vertAlign w:val="superscript"/>
              </w:rPr>
              <w:t>46</w:t>
            </w:r>
            <w:r>
              <w:rPr>
                <w:rFonts w:ascii="Segoe UI" w:eastAsia="Times New Roman" w:hAnsi="Segoe UI" w:cs="Segoe UI"/>
              </w:rPr>
              <w:t>, assessing procedural justice in U.S. cities like Boston and Seattle</w:t>
            </w:r>
            <w:r>
              <w:rPr>
                <w:rFonts w:ascii="Segoe UI" w:eastAsia="Times New Roman" w:hAnsi="Segoe UI" w:cs="Segoe UI"/>
                <w:vertAlign w:val="superscript"/>
              </w:rPr>
              <w:t>7,13</w:t>
            </w:r>
            <w:r>
              <w:rPr>
                <w:rFonts w:ascii="Segoe UI" w:eastAsia="Times New Roman" w:hAnsi="Segoe UI" w:cs="Segoe UI"/>
              </w:rPr>
              <w:t>, and tracking equity in decision-making across Turkish cities</w:t>
            </w:r>
            <w:r>
              <w:rPr>
                <w:rFonts w:ascii="Segoe UI" w:eastAsia="Times New Roman" w:hAnsi="Segoe UI" w:cs="Segoe UI"/>
                <w:vertAlign w:val="superscript"/>
              </w:rPr>
              <w:t>47</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658B98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Multiple cities including U.S. and Turkish cities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4D349C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8C19B20"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 xml:space="preserve">Unjust processes and outcomes of climate solutions: </w:t>
            </w:r>
            <w:r>
              <w:rPr>
                <w:rFonts w:ascii="Segoe UI" w:eastAsia="Times New Roman" w:hAnsi="Segoe UI" w:cs="Segoe UI"/>
              </w:rPr>
              <w:t>Includes unequal distribution of benefits and costs of certain solutions (between certain populations; between urban and rural areas; or across time) and the unequal participation of marginalised groups in decision-making processes</w:t>
            </w:r>
            <w:r>
              <w:rPr>
                <w:rFonts w:ascii="Segoe UI" w:eastAsia="Times New Roman" w:hAnsi="Segoe UI" w:cs="Segoe UI"/>
                <w:b/>
                <w:bCs/>
              </w:rPr>
              <w:t>.</w:t>
            </w:r>
            <w:r>
              <w:rPr>
                <w:rFonts w:ascii="Segoe UI" w:eastAsia="Times New Roman" w:hAnsi="Segoe UI" w:cs="Segoe UI"/>
              </w:rPr>
              <w:t xml:space="preserv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668FA0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Medium evidence, High agreement </w:t>
            </w:r>
          </w:p>
        </w:tc>
      </w:tr>
      <w:tr w:rsidR="00312122" w:rsidRPr="009E7B2A" w14:paraId="558A584D" w14:textId="77777777" w:rsidTr="00265E43">
        <w:trPr>
          <w:trHeight w:val="135"/>
        </w:trPr>
        <w:tc>
          <w:tcPr>
            <w:tcW w:w="1124" w:type="dxa"/>
            <w:tcBorders>
              <w:top w:val="nil"/>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52DBF537"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5B5B28ED"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533E0628"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134"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0D7F0241"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5C86234C"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2104F07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r>
      <w:tr w:rsidR="00312122" w:rsidRPr="009E7B2A" w14:paraId="445DA3A2" w14:textId="77777777" w:rsidTr="00265E43">
        <w:trPr>
          <w:trHeight w:val="135"/>
        </w:trPr>
        <w:tc>
          <w:tcPr>
            <w:tcW w:w="1124" w:type="dxa"/>
            <w:vMerge w:val="restart"/>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376A75F6"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Legislative, policy reforms</w:t>
            </w:r>
            <w:r>
              <w:rPr>
                <w:rFonts w:ascii="Segoe UI" w:eastAsia="Times New Roman" w:hAnsi="Segoe UI" w:cs="Segoe UI"/>
                <w:color w:val="000000" w:themeColor="text1"/>
              </w:rPr>
              <w:t xml:space="preserve"> </w:t>
            </w:r>
          </w:p>
          <w:p w14:paraId="0A3C3F1A"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44D8F0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Progressive reforms to expand democratic decision-making and equitable access to services like grid connections and utility provision</w:t>
            </w:r>
            <w:r>
              <w:rPr>
                <w:rFonts w:ascii="Segoe UI" w:eastAsia="Times New Roman" w:hAnsi="Segoe UI" w:cs="Segoe UI"/>
                <w:vertAlign w:val="superscript"/>
              </w:rPr>
              <w:t>48</w:t>
            </w:r>
            <w:r>
              <w:rPr>
                <w:rFonts w:ascii="Segoe UI" w:eastAsia="Times New Roman" w:hAnsi="Segoe UI" w:cs="Segoe UI"/>
              </w:rPr>
              <w:t>. Examples include advancing equitable climate adaptation in progressive cities like Boston and Seattle</w:t>
            </w:r>
            <w:r>
              <w:rPr>
                <w:rFonts w:ascii="Segoe UI" w:eastAsia="Times New Roman" w:hAnsi="Segoe UI" w:cs="Segoe UI"/>
                <w:vertAlign w:val="superscript"/>
              </w:rPr>
              <w:t>49</w:t>
            </w:r>
            <w:r>
              <w:rPr>
                <w:rFonts w:ascii="Segoe UI" w:eastAsia="Times New Roman" w:hAnsi="Segoe UI" w:cs="Segoe UI"/>
              </w:rPr>
              <w:t xml:space="preserve">, addressing urban climate justice in Istanbul, and centering epistemic justice for </w:t>
            </w:r>
            <w:r>
              <w:rPr>
                <w:rFonts w:ascii="Segoe UI" w:eastAsia="Times New Roman" w:hAnsi="Segoe UI" w:cs="Segoe UI"/>
              </w:rPr>
              <w:lastRenderedPageBreak/>
              <w:t>nature-based solutions across Europe and Asia</w:t>
            </w:r>
            <w:r>
              <w:rPr>
                <w:rFonts w:ascii="Segoe UI" w:eastAsia="Times New Roman" w:hAnsi="Segoe UI" w:cs="Segoe UI"/>
                <w:vertAlign w:val="superscript"/>
              </w:rPr>
              <w:t>50</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6E74DD6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Multi-city comparisons (Boston, Seattle, Istanbul, and cities across Europe and Asia)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45F8F4B"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D, E,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108EAEB"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processes and outcomes of climate solutions:</w:t>
            </w:r>
            <w:r>
              <w:rPr>
                <w:rFonts w:ascii="Segoe UI" w:eastAsia="Times New Roman" w:hAnsi="Segoe UI" w:cs="Segoe UI"/>
              </w:rPr>
              <w:t xml:space="preserve"> includes recognising historic structures and processes of marginalisation, the unequal distribution of benefits and costs of certain solutions (between certain populations; between urban areas; or across time) and the unequal participation of marginalised groups in decision-making processes.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E28F57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High evidence, high agreement </w:t>
            </w:r>
          </w:p>
        </w:tc>
      </w:tr>
      <w:tr w:rsidR="00312122" w:rsidRPr="009E7B2A" w14:paraId="118AAD75" w14:textId="77777777" w:rsidTr="00265E43">
        <w:trPr>
          <w:trHeight w:val="135"/>
        </w:trPr>
        <w:tc>
          <w:tcPr>
            <w:tcW w:w="1124" w:type="dxa"/>
            <w:vMerge/>
            <w:tcBorders>
              <w:left w:val="single" w:sz="0" w:space="0" w:color="auto"/>
              <w:bottom w:val="single" w:sz="0" w:space="0" w:color="auto"/>
              <w:right w:val="single" w:sz="0" w:space="0" w:color="auto"/>
            </w:tcBorders>
            <w:tcMar>
              <w:top w:w="15" w:type="dxa"/>
              <w:left w:w="15" w:type="dxa"/>
              <w:bottom w:w="15" w:type="dxa"/>
              <w:right w:w="15" w:type="dxa"/>
            </w:tcMar>
            <w:vAlign w:val="center"/>
          </w:tcPr>
          <w:p w14:paraId="575B49AE"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64266B2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Recognising and protecting Indigenous rights, traditional knowledge</w:t>
            </w:r>
            <w:r>
              <w:rPr>
                <w:rFonts w:ascii="Segoe UI" w:eastAsia="Times New Roman" w:hAnsi="Segoe UI" w:cs="Segoe UI"/>
              </w:rPr>
              <w:t>, and land rights empowers environmental stewardship and social justice</w:t>
            </w:r>
            <w:r>
              <w:rPr>
                <w:rFonts w:ascii="Segoe UI" w:eastAsia="Times New Roman" w:hAnsi="Segoe UI" w:cs="Segoe UI"/>
                <w:vertAlign w:val="superscript"/>
              </w:rPr>
              <w:t>51</w:t>
            </w:r>
            <w:r>
              <w:rPr>
                <w:rFonts w:ascii="Segoe UI" w:eastAsia="Times New Roman" w:hAnsi="Segoe UI" w:cs="Segoe UI"/>
              </w:rPr>
              <w:t>. Examples include incorporating Indigenous land management for wildfire prevention</w:t>
            </w:r>
            <w:r>
              <w:rPr>
                <w:rFonts w:ascii="Segoe UI" w:eastAsia="Times New Roman" w:hAnsi="Segoe UI" w:cs="Segoe UI"/>
                <w:vertAlign w:val="superscript"/>
              </w:rPr>
              <w:t>52</w:t>
            </w:r>
            <w:r>
              <w:rPr>
                <w:rFonts w:ascii="Segoe UI" w:eastAsia="Times New Roman" w:hAnsi="Segoe UI" w:cs="Segoe UI"/>
              </w:rPr>
              <w:t>, revitalising Native Hawaiian practices to regenerate urban forests in Honolulu</w:t>
            </w:r>
            <w:r>
              <w:rPr>
                <w:rFonts w:ascii="Segoe UI" w:eastAsia="Times New Roman" w:hAnsi="Segoe UI" w:cs="Segoe UI"/>
                <w:vertAlign w:val="superscript"/>
              </w:rPr>
              <w:t>53</w:t>
            </w:r>
            <w:r>
              <w:rPr>
                <w:rFonts w:ascii="Segoe UI" w:eastAsia="Times New Roman" w:hAnsi="Segoe UI" w:cs="Segoe UI"/>
              </w:rPr>
              <w:t>, blending traditional agroforestry for food security in the Marshall Islands</w:t>
            </w:r>
            <w:r>
              <w:rPr>
                <w:rFonts w:ascii="Segoe UI" w:eastAsia="Times New Roman" w:hAnsi="Segoe UI" w:cs="Segoe UI"/>
                <w:vertAlign w:val="superscript"/>
              </w:rPr>
              <w:t>54</w:t>
            </w:r>
            <w:r>
              <w:rPr>
                <w:rFonts w:ascii="Segoe UI" w:eastAsia="Times New Roman" w:hAnsi="Segoe UI" w:cs="Segoe UI"/>
              </w:rPr>
              <w:t>, and empowering customary assemblies in Tuvalu</w:t>
            </w:r>
            <w:r>
              <w:rPr>
                <w:rFonts w:ascii="Segoe UI" w:eastAsia="Times New Roman" w:hAnsi="Segoe UI" w:cs="Segoe UI"/>
                <w:vertAlign w:val="superscript"/>
              </w:rPr>
              <w:t>55,56</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0E9BA4B"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Honolulu (United States), Marshall Islands (Marshall Islands), Tuvalu (Tuvalu), and global Indigenous territories.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19CA425"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D, E,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151CB33"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Marginalisation of Indigenous knowledge and land dispossession:</w:t>
            </w:r>
            <w:r>
              <w:rPr>
                <w:rFonts w:ascii="Segoe UI" w:eastAsia="Times New Roman" w:hAnsi="Segoe UI" w:cs="Segoe UI"/>
              </w:rPr>
              <w:t xml:space="preserve"> Conventional, technocratic climate models frequently overlook the invaluable ecological knowledge and land rights of Indigenous peoples, resulting in epistemic injustice, maladaptation, and the exclusion of these communities from environmental governance. </w:t>
            </w:r>
          </w:p>
          <w:p w14:paraId="79ED405C"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r>
              <w:rPr>
                <w:rFonts w:ascii="Segoe UI" w:hAnsi="Segoe UI" w:cs="Segoe UI"/>
              </w:rPr>
              <w:t xml:space="preserve"> </w:t>
            </w:r>
            <w:r>
              <w:rPr>
                <w:rFonts w:ascii="Segoe UI" w:eastAsia="Times New Roman" w:hAnsi="Segoe UI" w:cs="Segoe UI"/>
              </w:rPr>
              <w:t xml:space="preserve"> </w:t>
            </w:r>
            <w:r>
              <w:rPr>
                <w:rFonts w:ascii="Segoe UI" w:eastAsia="Times New Roman" w:hAnsi="Segoe UI" w:cs="Segoe UI"/>
                <w:b/>
                <w:bCs/>
              </w:rPr>
              <w:t xml:space="preserve">Formal recognition empowers Indigenous Peoples in environmental stewardship, </w:t>
            </w:r>
            <w:r>
              <w:rPr>
                <w:rFonts w:ascii="Segoe UI" w:eastAsia="Times New Roman" w:hAnsi="Segoe UI" w:cs="Segoe UI"/>
              </w:rPr>
              <w:t>promoting social justice and robust solutions, like incorporating Indigenous land management for wildfire prevention</w:t>
            </w:r>
            <w:r>
              <w:rPr>
                <w:rFonts w:ascii="Segoe UI" w:eastAsia="Times New Roman" w:hAnsi="Segoe UI" w:cs="Segoe UI"/>
                <w:b/>
                <w:bCs/>
                <w:vertAlign w:val="superscript"/>
              </w:rPr>
              <w:t>52</w:t>
            </w:r>
            <w:r>
              <w:rPr>
                <w:rFonts w:ascii="Segoe UI" w:eastAsia="Times New Roman" w:hAnsi="Segoe UI" w:cs="Segoe UI"/>
                <w:b/>
                <w:bCs/>
              </w:rPr>
              <w:t>.</w:t>
            </w:r>
            <w:r>
              <w:rPr>
                <w:rFonts w:ascii="Segoe UI" w:eastAsia="Times New Roman" w:hAnsi="Segoe UI" w:cs="Segoe UI"/>
              </w:rPr>
              <w:t xml:space="preserv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DCB0BA6"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High evidence, high agreement </w:t>
            </w:r>
          </w:p>
        </w:tc>
      </w:tr>
      <w:tr w:rsidR="00312122" w:rsidRPr="009E7B2A" w14:paraId="5B66686F" w14:textId="77777777" w:rsidTr="00265E43">
        <w:trPr>
          <w:trHeight w:val="135"/>
        </w:trPr>
        <w:tc>
          <w:tcPr>
            <w:tcW w:w="1124" w:type="dxa"/>
            <w:tcBorders>
              <w:top w:val="nil"/>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102D264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2F22B4FC"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6185E1B1"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134"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68301B57"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1895C2DB"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446114C3"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r>
      <w:tr w:rsidR="00312122" w:rsidRPr="009E7B2A" w14:paraId="11A68097" w14:textId="77777777" w:rsidTr="00265E43">
        <w:trPr>
          <w:trHeight w:val="135"/>
        </w:trPr>
        <w:tc>
          <w:tcPr>
            <w:tcW w:w="1124" w:type="dxa"/>
            <w:vMerge w:val="restart"/>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02C1643D"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 xml:space="preserve">Enabling diverse knowledges and learning </w:t>
            </w: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02F199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Recognising Indigenous Knowledge holders through explicit leadership, rights recognition, and collaborative urban planning ensures inclusive adaptation. Examples include participatory flood risk mapping protecting homes and sacred sites in Samoa, Fiji, Vanuatu, and the Solomon Islands</w:t>
            </w:r>
            <w:r>
              <w:rPr>
                <w:rFonts w:ascii="Segoe UI" w:eastAsia="Times New Roman" w:hAnsi="Segoe UI" w:cs="Segoe UI"/>
                <w:vertAlign w:val="superscript"/>
              </w:rPr>
              <w:t>57</w:t>
            </w:r>
            <w:r>
              <w:rPr>
                <w:rFonts w:ascii="Segoe UI" w:eastAsia="Times New Roman" w:hAnsi="Segoe UI" w:cs="Segoe UI"/>
              </w:rPr>
              <w:t xml:space="preserve">, engaging traditional governance like the </w:t>
            </w:r>
            <w:r>
              <w:rPr>
                <w:rFonts w:ascii="Segoe UI" w:eastAsia="Times New Roman" w:hAnsi="Segoe UI" w:cs="Segoe UI"/>
                <w:i/>
                <w:iCs/>
              </w:rPr>
              <w:t>fono a matai</w:t>
            </w:r>
            <w:r>
              <w:rPr>
                <w:rFonts w:ascii="Segoe UI" w:eastAsia="Times New Roman" w:hAnsi="Segoe UI" w:cs="Segoe UI"/>
              </w:rPr>
              <w:t xml:space="preserve"> in </w:t>
            </w:r>
            <w:r>
              <w:rPr>
                <w:rFonts w:ascii="Segoe UI" w:eastAsia="Times New Roman" w:hAnsi="Segoe UI" w:cs="Segoe UI"/>
              </w:rPr>
              <w:lastRenderedPageBreak/>
              <w:t xml:space="preserve">Samoa and </w:t>
            </w:r>
            <w:r>
              <w:rPr>
                <w:rFonts w:ascii="Segoe UI" w:eastAsia="Times New Roman" w:hAnsi="Segoe UI" w:cs="Segoe UI"/>
                <w:i/>
                <w:iCs/>
              </w:rPr>
              <w:t>kaupule</w:t>
            </w:r>
            <w:r>
              <w:rPr>
                <w:rFonts w:ascii="Segoe UI" w:eastAsia="Times New Roman" w:hAnsi="Segoe UI" w:cs="Segoe UI"/>
              </w:rPr>
              <w:t xml:space="preserve"> in Tuvalu to lead planning</w:t>
            </w:r>
            <w:r>
              <w:rPr>
                <w:rFonts w:ascii="Segoe UI" w:eastAsia="Times New Roman" w:hAnsi="Segoe UI" w:cs="Segoe UI"/>
                <w:vertAlign w:val="superscript"/>
              </w:rPr>
              <w:t>58</w:t>
            </w:r>
            <w:r>
              <w:rPr>
                <w:rFonts w:ascii="Segoe UI" w:eastAsia="Times New Roman" w:hAnsi="Segoe UI" w:cs="Segoe UI"/>
              </w:rPr>
              <w:t>, and weaving traditional ecological knowledge with climate forecasting in Vanuatu</w:t>
            </w:r>
            <w:r>
              <w:rPr>
                <w:rFonts w:ascii="Segoe UI" w:eastAsia="Times New Roman" w:hAnsi="Segoe UI" w:cs="Segoe UI"/>
                <w:vertAlign w:val="superscript"/>
              </w:rPr>
              <w:t>59</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39F51D0F"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Coastal cities and communities in Samoa, Fiji, Vanuatu, Solomon Islands, and Tuvalu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B688E36"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D, E,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4524653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voice in decision-making and exclusionary governance:</w:t>
            </w:r>
            <w:r>
              <w:rPr>
                <w:rFonts w:ascii="Segoe UI" w:eastAsia="Times New Roman" w:hAnsi="Segoe UI" w:cs="Segoe UI"/>
              </w:rPr>
              <w:t xml:space="preserve"> lack of recognition of and limited opportunities for inclusive, participatory structures for marginalized communities in urban climate governance.  </w:t>
            </w:r>
          </w:p>
          <w:p w14:paraId="204BC04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 </w:t>
            </w:r>
          </w:p>
          <w:p w14:paraId="151C40B5"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outcomes of climate solutions:</w:t>
            </w:r>
            <w:r>
              <w:rPr>
                <w:rFonts w:ascii="Segoe UI" w:eastAsia="Times New Roman" w:hAnsi="Segoe UI" w:cs="Segoe UI"/>
              </w:rPr>
              <w:t xml:space="preserve"> Includes recognising historic structures and processes of marginalisation and </w:t>
            </w:r>
            <w:r>
              <w:rPr>
                <w:rFonts w:ascii="Segoe UI" w:eastAsia="Times New Roman" w:hAnsi="Segoe UI" w:cs="Segoe UI"/>
              </w:rPr>
              <w:lastRenderedPageBreak/>
              <w:t xml:space="preserve">addressing unequal distribution of benefits and costs of certain solutions (between certain populations; between urban areas; or across time).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7EB1C3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High evidence, high agreement </w:t>
            </w:r>
          </w:p>
        </w:tc>
      </w:tr>
      <w:tr w:rsidR="00312122" w:rsidRPr="009E7B2A" w14:paraId="6AA02CC7" w14:textId="77777777" w:rsidTr="00265E43">
        <w:trPr>
          <w:trHeight w:val="135"/>
        </w:trPr>
        <w:tc>
          <w:tcPr>
            <w:tcW w:w="1124" w:type="dxa"/>
            <w:vMerge/>
            <w:tcBorders>
              <w:left w:val="single" w:sz="0" w:space="0" w:color="auto"/>
              <w:right w:val="single" w:sz="0" w:space="0" w:color="auto"/>
            </w:tcBorders>
            <w:tcMar>
              <w:top w:w="15" w:type="dxa"/>
              <w:left w:w="15" w:type="dxa"/>
              <w:bottom w:w="15" w:type="dxa"/>
              <w:right w:w="15" w:type="dxa"/>
            </w:tcMar>
            <w:vAlign w:val="center"/>
          </w:tcPr>
          <w:p w14:paraId="3B9FD83A"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7E370BD3"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Living labs and innovation hubs</w:t>
            </w:r>
            <w:r>
              <w:rPr>
                <w:rFonts w:ascii="Segoe UI" w:eastAsia="Times New Roman" w:hAnsi="Segoe UI" w:cs="Segoe UI"/>
              </w:rPr>
              <w:t xml:space="preserve"> trial climate technologies in real-world settings, overcoming unequal participation in decision-making. Examples include an innovation hub in Harare</w:t>
            </w:r>
            <w:r>
              <w:rPr>
                <w:rFonts w:ascii="Segoe UI" w:eastAsia="Times New Roman" w:hAnsi="Segoe UI" w:cs="Segoe UI"/>
                <w:vertAlign w:val="superscript"/>
              </w:rPr>
              <w:t>60</w:t>
            </w:r>
            <w:r>
              <w:rPr>
                <w:rFonts w:ascii="Segoe UI" w:eastAsia="Times New Roman" w:hAnsi="Segoe UI" w:cs="Segoe UI"/>
              </w:rPr>
              <w:t>, participatory urban labs in Buenos Aires</w:t>
            </w:r>
            <w:r>
              <w:rPr>
                <w:rFonts w:ascii="Segoe UI" w:eastAsia="Times New Roman" w:hAnsi="Segoe UI" w:cs="Segoe UI"/>
                <w:vertAlign w:val="superscript"/>
              </w:rPr>
              <w:t>33</w:t>
            </w:r>
            <w:r>
              <w:rPr>
                <w:rFonts w:ascii="Segoe UI" w:eastAsia="Times New Roman" w:hAnsi="Segoe UI" w:cs="Segoe UI"/>
              </w:rPr>
              <w:t>, and neighborhood living labs across Stockholm</w:t>
            </w:r>
            <w:r>
              <w:rPr>
                <w:rFonts w:ascii="Segoe UI" w:eastAsia="Times New Roman" w:hAnsi="Segoe UI" w:cs="Segoe UI"/>
                <w:vertAlign w:val="superscript"/>
              </w:rPr>
              <w:t>61</w:t>
            </w:r>
            <w:r>
              <w:rPr>
                <w:rFonts w:ascii="Segoe UI" w:eastAsia="Times New Roman" w:hAnsi="Segoe UI" w:cs="Segoe UI"/>
              </w:rPr>
              <w:t>, Dutch cities like Rotterdam</w:t>
            </w:r>
            <w:r>
              <w:rPr>
                <w:rFonts w:ascii="Segoe UI" w:eastAsia="Times New Roman" w:hAnsi="Segoe UI" w:cs="Segoe UI"/>
                <w:vertAlign w:val="superscript"/>
              </w:rPr>
              <w:t>62</w:t>
            </w:r>
            <w:r>
              <w:rPr>
                <w:rFonts w:ascii="Segoe UI" w:eastAsia="Times New Roman" w:hAnsi="Segoe UI" w:cs="Segoe UI"/>
              </w:rPr>
              <w:t>, and Latin American cities including Mexico City, Bogota, and Santiago</w:t>
            </w:r>
            <w:r>
              <w:rPr>
                <w:rFonts w:ascii="Segoe UI" w:eastAsia="Times New Roman" w:hAnsi="Segoe UI" w:cs="Segoe UI"/>
                <w:vertAlign w:val="superscript"/>
              </w:rPr>
              <w:t>63</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0CD86E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Harare (Zimbabwe), Stockholm (Sweden), Rotterdam (Netherlands), Amsterdam (Netherlands), Gemert (Netherlands), Mexico City (Mexico), Bogotá (Colombia), Santiago (Chile), and Buenos Aires (Argentina).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7BE13E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E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20D7A2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processes of developing climate solutions:</w:t>
            </w:r>
            <w:r>
              <w:rPr>
                <w:rFonts w:ascii="Segoe UI" w:eastAsia="Times New Roman" w:hAnsi="Segoe UI" w:cs="Segoe UI"/>
              </w:rPr>
              <w:t xml:space="preserve"> includes recognising historic structures and processes of marginalisation and the unequal participation of marginalised groups in decision-making processes.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7A13F4B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i/>
                <w:iCs/>
              </w:rPr>
              <w:t>High evidence, high agreement</w:t>
            </w:r>
            <w:r>
              <w:rPr>
                <w:rFonts w:ascii="Segoe UI" w:eastAsia="Times New Roman" w:hAnsi="Segoe UI" w:cs="Segoe UI"/>
              </w:rPr>
              <w:t xml:space="preserve"> </w:t>
            </w:r>
          </w:p>
        </w:tc>
      </w:tr>
      <w:tr w:rsidR="00312122" w:rsidRPr="009E7B2A" w14:paraId="46D75B3C" w14:textId="77777777" w:rsidTr="00265E43">
        <w:trPr>
          <w:trHeight w:val="135"/>
        </w:trPr>
        <w:tc>
          <w:tcPr>
            <w:tcW w:w="1124" w:type="dxa"/>
            <w:vMerge/>
            <w:tcBorders>
              <w:left w:val="single" w:sz="0" w:space="0" w:color="auto"/>
              <w:bottom w:val="single" w:sz="0" w:space="0" w:color="auto"/>
              <w:right w:val="single" w:sz="0" w:space="0" w:color="auto"/>
            </w:tcBorders>
            <w:tcMar>
              <w:top w:w="15" w:type="dxa"/>
              <w:left w:w="15" w:type="dxa"/>
              <w:bottom w:w="15" w:type="dxa"/>
              <w:right w:w="15" w:type="dxa"/>
            </w:tcMar>
            <w:vAlign w:val="center"/>
          </w:tcPr>
          <w:p w14:paraId="1DE2CAE7"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tcPr>
          <w:p w14:paraId="208EB605"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Citizen science initiatives</w:t>
            </w:r>
            <w:r>
              <w:rPr>
                <w:rFonts w:ascii="Segoe UI" w:eastAsia="Times New Roman" w:hAnsi="Segoe UI" w:cs="Segoe UI"/>
              </w:rPr>
              <w:t xml:space="preserve"> engage marginalized groups to diversify knowledge systems and ensure multiple values and wisdom inform urban climate action. Examples include participatory citizen science in Nairobi</w:t>
            </w:r>
            <w:r>
              <w:rPr>
                <w:rFonts w:ascii="Segoe UI" w:eastAsia="Times New Roman" w:hAnsi="Segoe UI" w:cs="Segoe UI"/>
                <w:vertAlign w:val="superscript"/>
              </w:rPr>
              <w:t>64</w:t>
            </w:r>
            <w:r>
              <w:rPr>
                <w:rFonts w:ascii="Segoe UI" w:eastAsia="Times New Roman" w:hAnsi="Segoe UI" w:cs="Segoe UI"/>
              </w:rPr>
              <w:t>, community-</w:t>
            </w:r>
            <w:r>
              <w:rPr>
                <w:rFonts w:ascii="Segoe UI" w:eastAsia="Times New Roman" w:hAnsi="Segoe UI" w:cs="Segoe UI"/>
              </w:rPr>
              <w:lastRenderedPageBreak/>
              <w:t>led temperature and humidity monitoring to bridge scientific and local knowledge in Buenos Aires</w:t>
            </w:r>
            <w:r>
              <w:rPr>
                <w:rFonts w:ascii="Segoe UI" w:eastAsia="Times New Roman" w:hAnsi="Segoe UI" w:cs="Segoe UI"/>
                <w:vertAlign w:val="superscript"/>
              </w:rPr>
              <w:t>33</w:t>
            </w:r>
            <w:r>
              <w:rPr>
                <w:rFonts w:ascii="Segoe UI" w:eastAsia="Times New Roman" w:hAnsi="Segoe UI" w:cs="Segoe UI"/>
              </w:rPr>
              <w:t>, and co-producing a digital water observatory to map inequalities in Lima</w:t>
            </w:r>
            <w:r>
              <w:rPr>
                <w:rFonts w:ascii="Segoe UI" w:eastAsia="Times New Roman" w:hAnsi="Segoe UI" w:cs="Segoe UI"/>
                <w:vertAlign w:val="superscript"/>
              </w:rPr>
              <w:t>65</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DE996D7"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lastRenderedPageBreak/>
              <w:t xml:space="preserve">Nairobi (Kenya), Buenos Aires (Argentina), Lima (Peru)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54C725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D, E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00CB9BAC"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voice in decision-making processes and their outcomes</w:t>
            </w:r>
            <w:r>
              <w:rPr>
                <w:rFonts w:ascii="Segoe UI" w:eastAsia="Times New Roman" w:hAnsi="Segoe UI" w:cs="Segoe UI"/>
              </w:rPr>
              <w:t xml:space="preserve"> (e.g. in risk assessments, urban resilience plans, mitigation priorities). This also addresses epistemic injustice by confronting the marginalization of local, situated knowledge in favor </w:t>
            </w:r>
            <w:r>
              <w:rPr>
                <w:rFonts w:ascii="Segoe UI" w:eastAsia="Times New Roman" w:hAnsi="Segoe UI" w:cs="Segoe UI"/>
              </w:rPr>
              <w:lastRenderedPageBreak/>
              <w:t xml:space="preserve">of top-down technocratic data.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1E1FD91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i/>
                <w:iCs/>
              </w:rPr>
              <w:lastRenderedPageBreak/>
              <w:t>Medium evidence, high agreement</w:t>
            </w:r>
            <w:r>
              <w:rPr>
                <w:rFonts w:ascii="Segoe UI" w:eastAsia="Times New Roman" w:hAnsi="Segoe UI" w:cs="Segoe UI"/>
              </w:rPr>
              <w:t xml:space="preserve"> </w:t>
            </w:r>
          </w:p>
        </w:tc>
      </w:tr>
      <w:tr w:rsidR="00312122" w:rsidRPr="009E7B2A" w14:paraId="77E3ABDE" w14:textId="77777777" w:rsidTr="00265E43">
        <w:trPr>
          <w:trHeight w:val="135"/>
        </w:trPr>
        <w:tc>
          <w:tcPr>
            <w:tcW w:w="1124" w:type="dxa"/>
            <w:tcBorders>
              <w:top w:val="nil"/>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4ED3EE0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335EF01D"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85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5C2E4826"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134"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7692BBCF"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2268"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763BE48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c>
          <w:tcPr>
            <w:tcW w:w="1560" w:type="dxa"/>
            <w:tcBorders>
              <w:top w:val="single" w:sz="8" w:space="0" w:color="auto"/>
              <w:left w:val="single" w:sz="8" w:space="0" w:color="auto"/>
              <w:bottom w:val="single" w:sz="8" w:space="0" w:color="auto"/>
              <w:right w:val="single" w:sz="8" w:space="0" w:color="auto"/>
            </w:tcBorders>
            <w:shd w:val="clear" w:color="auto" w:fill="F2CEED" w:themeFill="accent5" w:themeFillTint="33"/>
            <w:tcMar>
              <w:top w:w="15" w:type="dxa"/>
              <w:left w:w="15" w:type="dxa"/>
              <w:bottom w:w="15" w:type="dxa"/>
              <w:right w:w="15" w:type="dxa"/>
            </w:tcMar>
          </w:tcPr>
          <w:p w14:paraId="72BA8094"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color w:val="000000" w:themeColor="text1"/>
              </w:rPr>
              <w:t xml:space="preserve"> </w:t>
            </w:r>
          </w:p>
        </w:tc>
      </w:tr>
      <w:tr w:rsidR="00312122" w:rsidRPr="009E7B2A" w14:paraId="3AB1EB55" w14:textId="77777777" w:rsidTr="00265E43">
        <w:trPr>
          <w:trHeight w:val="135"/>
        </w:trPr>
        <w:tc>
          <w:tcPr>
            <w:tcW w:w="1124" w:type="dxa"/>
            <w:vMerge w:val="restart"/>
            <w:tcBorders>
              <w:top w:val="single" w:sz="8" w:space="0" w:color="auto"/>
              <w:left w:val="single" w:sz="8" w:space="0" w:color="auto"/>
              <w:bottom w:val="single" w:sz="8" w:space="0" w:color="auto"/>
              <w:right w:val="single" w:sz="8" w:space="0" w:color="auto"/>
            </w:tcBorders>
            <w:shd w:val="clear" w:color="auto" w:fill="E8E8E8" w:themeFill="background2"/>
            <w:tcMar>
              <w:top w:w="15" w:type="dxa"/>
              <w:left w:w="15" w:type="dxa"/>
              <w:bottom w:w="15" w:type="dxa"/>
              <w:right w:w="15" w:type="dxa"/>
            </w:tcMar>
          </w:tcPr>
          <w:p w14:paraId="74455875" w14:textId="77777777" w:rsidR="00312122" w:rsidRPr="009E7B2A" w:rsidRDefault="00312122" w:rsidP="00265E43">
            <w:pPr>
              <w:spacing w:after="160"/>
              <w:rPr>
                <w:rFonts w:ascii="Segoe UI" w:eastAsia="Times New Roman" w:hAnsi="Segoe UI" w:cs="Segoe UI"/>
                <w:color w:val="000000" w:themeColor="text1"/>
              </w:rPr>
            </w:pPr>
            <w:r>
              <w:rPr>
                <w:rFonts w:ascii="Segoe UI" w:eastAsia="Times New Roman" w:hAnsi="Segoe UI" w:cs="Segoe UI"/>
                <w:b/>
                <w:bCs/>
                <w:color w:val="000000" w:themeColor="text1"/>
              </w:rPr>
              <w:t xml:space="preserve">Innovation and experimentation </w:t>
            </w:r>
            <w:r>
              <w:rPr>
                <w:rFonts w:ascii="Segoe UI" w:eastAsia="Times New Roman" w:hAnsi="Segoe UI" w:cs="Segoe UI"/>
                <w:color w:val="000000" w:themeColor="text1"/>
              </w:rPr>
              <w:t xml:space="preserve"> </w:t>
            </w:r>
          </w:p>
        </w:tc>
        <w:tc>
          <w:tcPr>
            <w:tcW w:w="1985"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35F879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Alternative technologies</w:t>
            </w:r>
            <w:r>
              <w:rPr>
                <w:rFonts w:ascii="Segoe UI" w:eastAsia="Times New Roman" w:hAnsi="Segoe UI" w:cs="Segoe UI"/>
              </w:rPr>
              <w:t xml:space="preserve"> delivered at the neighbourhood scale address unequal access to climate solutions. Examples include pavement-watering techniques for urban cooling in Paris</w:t>
            </w:r>
            <w:r>
              <w:rPr>
                <w:rFonts w:ascii="Segoe UI" w:eastAsia="Times New Roman" w:hAnsi="Segoe UI" w:cs="Segoe UI"/>
                <w:vertAlign w:val="superscript"/>
              </w:rPr>
              <w:t>66</w:t>
            </w:r>
            <w:r>
              <w:rPr>
                <w:rFonts w:ascii="Segoe UI" w:eastAsia="Times New Roman" w:hAnsi="Segoe UI" w:cs="Segoe UI"/>
              </w:rPr>
              <w:t>, implementing targeted rainwater harvesting to alleviate water scarcity in Zapopan and Guadalajara</w:t>
            </w:r>
            <w:r>
              <w:rPr>
                <w:rFonts w:ascii="Segoe UI" w:eastAsia="Times New Roman" w:hAnsi="Segoe UI" w:cs="Segoe UI"/>
                <w:vertAlign w:val="superscript"/>
              </w:rPr>
              <w:t>67</w:t>
            </w:r>
            <w:r>
              <w:rPr>
                <w:rFonts w:ascii="Segoe UI" w:eastAsia="Times New Roman" w:hAnsi="Segoe UI" w:cs="Segoe UI"/>
              </w:rPr>
              <w:t>, subsurface rainwater storage and recovery in Mykonos</w:t>
            </w:r>
            <w:r>
              <w:rPr>
                <w:rFonts w:ascii="Segoe UI" w:eastAsia="Times New Roman" w:hAnsi="Segoe UI" w:cs="Segoe UI"/>
                <w:vertAlign w:val="superscript"/>
              </w:rPr>
              <w:t>68</w:t>
            </w:r>
            <w:r>
              <w:rPr>
                <w:rFonts w:ascii="Segoe UI" w:eastAsia="Times New Roman" w:hAnsi="Segoe UI" w:cs="Segoe UI"/>
              </w:rPr>
              <w:t xml:space="preserve">, and community-based solar power initiatives in cities like New York.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22E1E59B"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Paris (France), Zapopan (Mexico), Guadalajara (Mexico), Mykonos (Greece), and New York (United States).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4F3229CC"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D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527A63A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outcomes of climate solutions:</w:t>
            </w:r>
            <w:r>
              <w:rPr>
                <w:rFonts w:ascii="Segoe UI" w:eastAsia="Times New Roman" w:hAnsi="Segoe UI" w:cs="Segoe UI"/>
              </w:rPr>
              <w:t xml:space="preserve"> Includes recognising historic structures and processes of marginalisation and addressing unequal distribution of benefits and costs of certain solutions (between certain populations; between urban areas; or across time).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tcPr>
          <w:p w14:paraId="3C4EEB9E"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i/>
                <w:iCs/>
              </w:rPr>
              <w:t>Medium evidence, high agreement</w:t>
            </w:r>
            <w:r>
              <w:rPr>
                <w:rFonts w:ascii="Segoe UI" w:eastAsia="Times New Roman" w:hAnsi="Segoe UI" w:cs="Segoe UI"/>
              </w:rPr>
              <w:t xml:space="preserve"> </w:t>
            </w:r>
          </w:p>
        </w:tc>
      </w:tr>
      <w:tr w:rsidR="00312122" w:rsidRPr="009E7B2A" w14:paraId="528549BA" w14:textId="77777777" w:rsidTr="00265E43">
        <w:trPr>
          <w:trHeight w:val="135"/>
        </w:trPr>
        <w:tc>
          <w:tcPr>
            <w:tcW w:w="1124" w:type="dxa"/>
            <w:vMerge/>
            <w:tcBorders>
              <w:left w:val="single" w:sz="0" w:space="0" w:color="auto"/>
              <w:bottom w:val="single" w:sz="0" w:space="0" w:color="auto"/>
              <w:right w:val="single" w:sz="0" w:space="0" w:color="auto"/>
            </w:tcBorders>
            <w:tcMar>
              <w:top w:w="15" w:type="dxa"/>
              <w:left w:w="15" w:type="dxa"/>
              <w:bottom w:w="15" w:type="dxa"/>
              <w:right w:w="15" w:type="dxa"/>
            </w:tcMar>
            <w:vAlign w:val="center"/>
          </w:tcPr>
          <w:p w14:paraId="569DFB09"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05B47C56"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Repair and reuse schemes</w:t>
            </w:r>
            <w:r>
              <w:rPr>
                <w:rFonts w:ascii="Segoe UI" w:eastAsia="Times New Roman" w:hAnsi="Segoe UI" w:cs="Segoe UI"/>
              </w:rPr>
              <w:t xml:space="preserve"> enable equitable access to resources while reducing waste and promoting sustainable practices. Examples include end-of-life product management policies for used tires in </w:t>
            </w:r>
            <w:r>
              <w:rPr>
                <w:rFonts w:ascii="Segoe UI" w:eastAsia="Times New Roman" w:hAnsi="Segoe UI" w:cs="Segoe UI"/>
                <w:b/>
                <w:bCs/>
              </w:rPr>
              <w:t>Ecuador</w:t>
            </w:r>
            <w:r>
              <w:rPr>
                <w:rFonts w:ascii="Segoe UI" w:eastAsia="Times New Roman" w:hAnsi="Segoe UI" w:cs="Segoe UI"/>
                <w:vertAlign w:val="superscript"/>
              </w:rPr>
              <w:t>69</w:t>
            </w:r>
            <w:r>
              <w:rPr>
                <w:rFonts w:ascii="Segoe UI" w:eastAsia="Times New Roman" w:hAnsi="Segoe UI" w:cs="Segoe UI"/>
              </w:rPr>
              <w:t xml:space="preserve">, and targeted repair and reuse initiatives in </w:t>
            </w:r>
            <w:r>
              <w:rPr>
                <w:rFonts w:ascii="Segoe UI" w:eastAsia="Times New Roman" w:hAnsi="Segoe UI" w:cs="Segoe UI"/>
                <w:b/>
                <w:bCs/>
              </w:rPr>
              <w:t>Lisbon</w:t>
            </w:r>
            <w:r>
              <w:rPr>
                <w:rFonts w:ascii="Segoe UI" w:eastAsia="Times New Roman" w:hAnsi="Segoe UI" w:cs="Segoe UI"/>
                <w:vertAlign w:val="superscript"/>
              </w:rPr>
              <w:t>70</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812B09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Ecuador (Ecuador) and Lisbon (Portugal)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00D069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D, P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0EC2AD32"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Unequal access to outcomes of climate solutions:</w:t>
            </w:r>
            <w:r>
              <w:rPr>
                <w:rFonts w:ascii="Segoe UI" w:eastAsia="Times New Roman" w:hAnsi="Segoe UI" w:cs="Segoe UI"/>
              </w:rPr>
              <w:t xml:space="preserve"> Includes recognising historic structures and processes of marginalisation and addressing unequal distribution of benefits and costs of certain solutions (between certain populations; between urban areas; or across time).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5D7AFE9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i/>
                <w:iCs/>
              </w:rPr>
              <w:t>Medium evidence, high agreement</w:t>
            </w:r>
            <w:r>
              <w:rPr>
                <w:rFonts w:ascii="Segoe UI" w:eastAsia="Times New Roman" w:hAnsi="Segoe UI" w:cs="Segoe UI"/>
              </w:rPr>
              <w:t xml:space="preserve"> </w:t>
            </w:r>
          </w:p>
        </w:tc>
      </w:tr>
      <w:tr w:rsidR="00312122" w:rsidRPr="009E7B2A" w14:paraId="7724DB2E" w14:textId="77777777" w:rsidTr="00265E43">
        <w:trPr>
          <w:trHeight w:val="135"/>
        </w:trPr>
        <w:tc>
          <w:tcPr>
            <w:tcW w:w="1124" w:type="dxa"/>
            <w:vMerge/>
            <w:tcBorders>
              <w:top w:val="single" w:sz="0" w:space="0" w:color="auto"/>
              <w:left w:val="single" w:sz="0" w:space="0" w:color="auto"/>
              <w:bottom w:val="single" w:sz="0" w:space="0" w:color="auto"/>
              <w:right w:val="single" w:sz="0" w:space="0" w:color="auto"/>
            </w:tcBorders>
            <w:tcMar>
              <w:top w:w="15" w:type="dxa"/>
              <w:left w:w="15" w:type="dxa"/>
              <w:bottom w:w="15" w:type="dxa"/>
              <w:right w:w="15" w:type="dxa"/>
            </w:tcMar>
            <w:vAlign w:val="center"/>
          </w:tcPr>
          <w:p w14:paraId="5E6A43A7" w14:textId="77777777" w:rsidR="00312122" w:rsidRPr="009E7B2A" w:rsidRDefault="00312122" w:rsidP="00265E43">
            <w:pPr>
              <w:rPr>
                <w:rFonts w:ascii="Segoe UI" w:hAnsi="Segoe UI" w:cs="Segoe UI"/>
              </w:rPr>
            </w:pPr>
          </w:p>
        </w:tc>
        <w:tc>
          <w:tcPr>
            <w:tcW w:w="1985" w:type="dxa"/>
            <w:tcBorders>
              <w:top w:val="single" w:sz="8" w:space="0" w:color="auto"/>
              <w:left w:val="nil"/>
              <w:bottom w:val="single" w:sz="8" w:space="0" w:color="auto"/>
              <w:right w:val="single" w:sz="8" w:space="0" w:color="auto"/>
            </w:tcBorders>
            <w:tcMar>
              <w:top w:w="15" w:type="dxa"/>
              <w:left w:w="15" w:type="dxa"/>
              <w:bottom w:w="15" w:type="dxa"/>
              <w:right w:w="15" w:type="dxa"/>
            </w:tcMar>
            <w:vAlign w:val="center"/>
          </w:tcPr>
          <w:p w14:paraId="2DB24AC4"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Co-design and implementation of multifunctional nature-based solutions</w:t>
            </w:r>
            <w:r>
              <w:rPr>
                <w:rFonts w:ascii="Segoe UI" w:eastAsia="Times New Roman" w:hAnsi="Segoe UI" w:cs="Segoe UI"/>
              </w:rPr>
              <w:t xml:space="preserve"> (NbS) provide diverse benefits while addressing unequal access to climate outcomes. Examples include river restoration and community gardens in Christchurch</w:t>
            </w:r>
            <w:r>
              <w:rPr>
                <w:rFonts w:ascii="Segoe UI" w:eastAsia="Times New Roman" w:hAnsi="Segoe UI" w:cs="Segoe UI"/>
                <w:vertAlign w:val="superscript"/>
              </w:rPr>
              <w:t>71</w:t>
            </w:r>
            <w:r>
              <w:rPr>
                <w:rFonts w:ascii="Segoe UI" w:eastAsia="Times New Roman" w:hAnsi="Segoe UI" w:cs="Segoe UI"/>
              </w:rPr>
              <w:t>, integrating Blue-Green Infrastructure through participatory upgrading in Buenos Aires</w:t>
            </w:r>
            <w:r>
              <w:rPr>
                <w:rFonts w:ascii="Segoe UI" w:eastAsia="Times New Roman" w:hAnsi="Segoe UI" w:cs="Segoe UI"/>
                <w:vertAlign w:val="superscript"/>
              </w:rPr>
              <w:t>9</w:t>
            </w:r>
            <w:r>
              <w:rPr>
                <w:rFonts w:ascii="Segoe UI" w:eastAsia="Times New Roman" w:hAnsi="Segoe UI" w:cs="Segoe UI"/>
              </w:rPr>
              <w:t>, advancing local NbS in Campinas and Santos</w:t>
            </w:r>
            <w:r>
              <w:rPr>
                <w:rFonts w:ascii="Segoe UI" w:eastAsia="Times New Roman" w:hAnsi="Segoe UI" w:cs="Segoe UI"/>
                <w:vertAlign w:val="superscript"/>
              </w:rPr>
              <w:t>10</w:t>
            </w:r>
            <w:r>
              <w:rPr>
                <w:rFonts w:ascii="Segoe UI" w:eastAsia="Times New Roman" w:hAnsi="Segoe UI" w:cs="Segoe UI"/>
              </w:rPr>
              <w:t>, and scaling community-driven NbS for urban climate resilience in Dar es Salaam</w:t>
            </w:r>
            <w:r>
              <w:rPr>
                <w:rFonts w:ascii="Segoe UI" w:eastAsia="Times New Roman" w:hAnsi="Segoe UI" w:cs="Segoe UI"/>
                <w:vertAlign w:val="superscript"/>
              </w:rPr>
              <w:t>72</w:t>
            </w:r>
            <w:r>
              <w:rPr>
                <w:rFonts w:ascii="Segoe UI" w:eastAsia="Times New Roman" w:hAnsi="Segoe UI" w:cs="Segoe UI"/>
              </w:rPr>
              <w:t xml:space="preserve">. </w:t>
            </w:r>
          </w:p>
        </w:tc>
        <w:tc>
          <w:tcPr>
            <w:tcW w:w="85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EB06AA"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Christchurch (New Zealand), Buenos Aires (Argentina), Campinas and Santos (Brazil), Dar es Salaam (Tanzania) </w:t>
            </w:r>
          </w:p>
        </w:tc>
        <w:tc>
          <w:tcPr>
            <w:tcW w:w="1134"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726B69D8"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rPr>
              <w:t xml:space="preserve">R, P, D, Res </w:t>
            </w:r>
          </w:p>
        </w:tc>
        <w:tc>
          <w:tcPr>
            <w:tcW w:w="2268"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1DC86541"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b/>
                <w:bCs/>
              </w:rPr>
              <w:t xml:space="preserve">Unequal access to processes and outcomes of climate solutions </w:t>
            </w:r>
            <w:r>
              <w:rPr>
                <w:rFonts w:ascii="Segoe UI" w:eastAsia="Times New Roman" w:hAnsi="Segoe UI" w:cs="Segoe UI"/>
              </w:rPr>
              <w:t xml:space="preserve">include recognising historic structures and processes of marginalisation, the unequal distribution of benefits and costs of certain solutions (between certain populations; between urban areas; or across time) and the unequal participation of marginalised groups in decision-making processes. </w:t>
            </w:r>
          </w:p>
        </w:tc>
        <w:tc>
          <w:tcPr>
            <w:tcW w:w="1560" w:type="dxa"/>
            <w:tcBorders>
              <w:top w:val="single" w:sz="8" w:space="0" w:color="auto"/>
              <w:left w:val="single" w:sz="8" w:space="0" w:color="auto"/>
              <w:bottom w:val="single" w:sz="8" w:space="0" w:color="auto"/>
              <w:right w:val="single" w:sz="8" w:space="0" w:color="auto"/>
            </w:tcBorders>
            <w:tcMar>
              <w:top w:w="15" w:type="dxa"/>
              <w:left w:w="15" w:type="dxa"/>
              <w:bottom w:w="15" w:type="dxa"/>
              <w:right w:w="15" w:type="dxa"/>
            </w:tcMar>
            <w:vAlign w:val="center"/>
          </w:tcPr>
          <w:p w14:paraId="2BE123BD" w14:textId="77777777" w:rsidR="00312122" w:rsidRPr="009E7B2A" w:rsidRDefault="00312122" w:rsidP="00265E43">
            <w:pPr>
              <w:spacing w:after="160"/>
              <w:rPr>
                <w:rFonts w:ascii="Segoe UI" w:eastAsia="Times New Roman" w:hAnsi="Segoe UI" w:cs="Segoe UI"/>
              </w:rPr>
            </w:pPr>
            <w:r>
              <w:rPr>
                <w:rFonts w:ascii="Segoe UI" w:eastAsia="Times New Roman" w:hAnsi="Segoe UI" w:cs="Segoe UI"/>
                <w:i/>
                <w:iCs/>
              </w:rPr>
              <w:t>High evidence, high agreement)</w:t>
            </w:r>
            <w:r>
              <w:rPr>
                <w:rFonts w:ascii="Segoe UI" w:eastAsia="Times New Roman" w:hAnsi="Segoe UI" w:cs="Segoe UI"/>
              </w:rPr>
              <w:t xml:space="preserve"> </w:t>
            </w:r>
          </w:p>
        </w:tc>
      </w:tr>
    </w:tbl>
    <w:p w14:paraId="5BF96587" w14:textId="77777777" w:rsidR="00312122" w:rsidRPr="009E7B2A" w:rsidRDefault="00312122" w:rsidP="00312122">
      <w:pPr>
        <w:spacing w:line="240" w:lineRule="auto"/>
        <w:rPr>
          <w:rFonts w:ascii="Segoe UI" w:hAnsi="Segoe UI" w:cs="Segoe UI"/>
          <w:i/>
          <w:iCs/>
          <w:sz w:val="22"/>
          <w:szCs w:val="22"/>
          <w:lang w:val="en-IN"/>
        </w:rPr>
      </w:pPr>
      <w:r>
        <w:rPr>
          <w:rFonts w:ascii="Segoe UI" w:hAnsi="Segoe UI" w:cs="Segoe UI"/>
          <w:sz w:val="22"/>
          <w:szCs w:val="22"/>
        </w:rPr>
        <w:t xml:space="preserve">Note: </w:t>
      </w:r>
      <w:r>
        <w:rPr>
          <w:rFonts w:ascii="Segoe UI" w:hAnsi="Segoe UI" w:cs="Segoe UI"/>
          <w:i/>
          <w:iCs/>
          <w:sz w:val="22"/>
          <w:szCs w:val="22"/>
          <w:lang w:val="en-IN"/>
        </w:rPr>
        <w:t xml:space="preserve">*Key for Justice Pillars: </w:t>
      </w:r>
      <w:r>
        <w:rPr>
          <w:rFonts w:ascii="Segoe UI" w:hAnsi="Segoe UI" w:cs="Segoe UI"/>
          <w:b/>
          <w:bCs/>
          <w:i/>
          <w:iCs/>
          <w:sz w:val="22"/>
          <w:szCs w:val="22"/>
          <w:lang w:val="en-IN"/>
        </w:rPr>
        <w:t>R</w:t>
      </w:r>
      <w:r>
        <w:rPr>
          <w:rFonts w:ascii="Segoe UI" w:hAnsi="Segoe UI" w:cs="Segoe UI"/>
          <w:i/>
          <w:iCs/>
          <w:sz w:val="22"/>
          <w:szCs w:val="22"/>
          <w:lang w:val="en-IN"/>
        </w:rPr>
        <w:t xml:space="preserve"> = Recognitional, </w:t>
      </w:r>
      <w:r>
        <w:rPr>
          <w:rFonts w:ascii="Segoe UI" w:hAnsi="Segoe UI" w:cs="Segoe UI"/>
          <w:b/>
          <w:bCs/>
          <w:i/>
          <w:iCs/>
          <w:sz w:val="22"/>
          <w:szCs w:val="22"/>
          <w:lang w:val="en-IN"/>
        </w:rPr>
        <w:t>D</w:t>
      </w:r>
      <w:r>
        <w:rPr>
          <w:rFonts w:ascii="Segoe UI" w:hAnsi="Segoe UI" w:cs="Segoe UI"/>
          <w:i/>
          <w:iCs/>
          <w:sz w:val="22"/>
          <w:szCs w:val="22"/>
          <w:lang w:val="en-IN"/>
        </w:rPr>
        <w:t xml:space="preserve"> = Distributive, </w:t>
      </w:r>
      <w:r>
        <w:rPr>
          <w:rFonts w:ascii="Segoe UI" w:hAnsi="Segoe UI" w:cs="Segoe UI"/>
          <w:b/>
          <w:bCs/>
          <w:i/>
          <w:iCs/>
          <w:sz w:val="22"/>
          <w:szCs w:val="22"/>
          <w:lang w:val="en-IN"/>
        </w:rPr>
        <w:t>P</w:t>
      </w:r>
      <w:r>
        <w:rPr>
          <w:rFonts w:ascii="Segoe UI" w:hAnsi="Segoe UI" w:cs="Segoe UI"/>
          <w:i/>
          <w:iCs/>
          <w:sz w:val="22"/>
          <w:szCs w:val="22"/>
          <w:lang w:val="en-IN"/>
        </w:rPr>
        <w:t xml:space="preserve"> = Procedural, </w:t>
      </w:r>
      <w:r>
        <w:rPr>
          <w:rFonts w:ascii="Segoe UI" w:hAnsi="Segoe UI" w:cs="Segoe UI"/>
          <w:b/>
          <w:bCs/>
          <w:i/>
          <w:iCs/>
          <w:sz w:val="22"/>
          <w:szCs w:val="22"/>
          <w:lang w:val="en-IN"/>
        </w:rPr>
        <w:t xml:space="preserve">E </w:t>
      </w:r>
      <w:r>
        <w:rPr>
          <w:rFonts w:ascii="Segoe UI" w:hAnsi="Segoe UI" w:cs="Segoe UI"/>
          <w:i/>
          <w:iCs/>
          <w:sz w:val="22"/>
          <w:szCs w:val="22"/>
          <w:lang w:val="en-IN"/>
        </w:rPr>
        <w:t xml:space="preserve">= Epistemic, </w:t>
      </w:r>
      <w:r>
        <w:rPr>
          <w:rFonts w:ascii="Segoe UI" w:hAnsi="Segoe UI" w:cs="Segoe UI"/>
          <w:b/>
          <w:bCs/>
          <w:i/>
          <w:iCs/>
          <w:sz w:val="22"/>
          <w:szCs w:val="22"/>
          <w:lang w:val="en-IN"/>
        </w:rPr>
        <w:t xml:space="preserve">Res </w:t>
      </w:r>
      <w:r>
        <w:rPr>
          <w:rFonts w:ascii="Segoe UI" w:hAnsi="Segoe UI" w:cs="Segoe UI"/>
          <w:i/>
          <w:iCs/>
          <w:sz w:val="22"/>
          <w:szCs w:val="22"/>
          <w:lang w:val="en-IN"/>
        </w:rPr>
        <w:t>= Restorative</w:t>
      </w:r>
    </w:p>
    <w:p w14:paraId="09B8C297" w14:textId="77777777" w:rsidR="00ED5757" w:rsidRDefault="00ED5757"/>
    <w:p w14:paraId="100DC678" w14:textId="77777777" w:rsidR="00816E08" w:rsidRDefault="00000000">
      <w:pPr>
        <w:spacing w:line="240" w:lineRule="auto"/>
        <w:jc w:val="both"/>
        <w:rPr>
          <w:rFonts w:ascii="Segoe UI" w:hAnsi="Segoe UI" w:cs="Segoe UI"/>
          <w:b/>
          <w:bCs/>
          <w:sz w:val="22"/>
          <w:szCs w:val="22"/>
          <w:lang w:val="en-IN"/>
        </w:rPr>
      </w:pPr>
      <w:r>
        <w:rPr>
          <w:rFonts w:ascii="Segoe UI" w:hAnsi="Segoe UI" w:cs="Segoe UI"/>
          <w:b/>
          <w:bCs/>
          <w:sz w:val="22"/>
          <w:szCs w:val="22"/>
          <w:lang w:val="en-IN"/>
        </w:rPr>
        <w:t>References</w:t>
      </w:r>
    </w:p>
    <w:p w14:paraId="7B839220" w14:textId="77777777" w:rsidR="00816E08" w:rsidRDefault="00816E08">
      <w:r>
        <w:rPr>
          <w:rFonts w:ascii="Segoe UI" w:hAnsi="Segoe UI" w:cs="Segoe UI"/>
          <w:sz w:val="22"/>
          <w:szCs w:val="22"/>
          <w:lang w:val="en-IN"/>
        </w:rPr>
        <w:t>1. Mikulewicz, M., Caretta, M. A., Sultana, F. &amp; Crawford, N. J. W. Intersectionality &amp; climate justice: a call for synergy in climate change scholarship. Environ. Polit. 32, 1275–1286 (2023).</w:t>
      </w:r>
    </w:p>
    <w:p w14:paraId="0189E019" w14:textId="77777777" w:rsidR="00816E08" w:rsidRDefault="00816E08">
      <w:r>
        <w:rPr>
          <w:rFonts w:ascii="Segoe UI" w:hAnsi="Segoe UI" w:cs="Segoe UI"/>
          <w:sz w:val="22"/>
          <w:szCs w:val="22"/>
          <w:lang w:val="en-IN"/>
        </w:rPr>
        <w:t>2. Bhambra, G. K. &amp; Newell, P. More than a metaphor: 'climate colonialism' in perspective. Glob. Soc. Chall. J. 2, 179–187 (2023).</w:t>
      </w:r>
    </w:p>
    <w:p w14:paraId="2166C5F9" w14:textId="77777777" w:rsidR="00816E08" w:rsidRDefault="00816E08">
      <w:r>
        <w:rPr>
          <w:rFonts w:ascii="Segoe UI" w:hAnsi="Segoe UI" w:cs="Segoe UI"/>
          <w:sz w:val="22"/>
          <w:szCs w:val="22"/>
          <w:lang w:val="en-IN"/>
        </w:rPr>
        <w:t>3. Sultana, F. The unbearable heaviness of climate coloniality. Polit. Geogr. 91, 102638 (2022).</w:t>
      </w:r>
    </w:p>
    <w:p w14:paraId="7EC59F58" w14:textId="77777777" w:rsidR="00816E08" w:rsidRDefault="00816E08">
      <w:r>
        <w:rPr>
          <w:rFonts w:ascii="Segoe UI" w:hAnsi="Segoe UI" w:cs="Segoe UI"/>
          <w:sz w:val="22"/>
          <w:szCs w:val="22"/>
          <w:lang w:val="en-IN"/>
        </w:rPr>
        <w:t>4. Ajibade, I. J. &amp; Siders, A. R. Introduction: climate change and planned retreat. in Global Views on Climate Relocation and Social Justice: Navigating Retreat 3–22 (Routledge, 2022).</w:t>
      </w:r>
    </w:p>
    <w:p w14:paraId="7E7F0005" w14:textId="77777777" w:rsidR="00816E08" w:rsidRDefault="00816E08">
      <w:r>
        <w:rPr>
          <w:rFonts w:ascii="Segoe UI" w:hAnsi="Segoe UI" w:cs="Segoe UI"/>
          <w:sz w:val="22"/>
          <w:szCs w:val="22"/>
          <w:lang w:val="en-IN"/>
        </w:rPr>
        <w:t>5. Kwak, J. et al. Travel demand management strategies to mitigate climate change. Proc. Inst. Civ. Eng. Munic. Eng. 177, 64–75 (2024).</w:t>
      </w:r>
    </w:p>
    <w:p w14:paraId="6930AA96" w14:textId="77777777" w:rsidR="00816E08" w:rsidRDefault="00816E08">
      <w:r>
        <w:rPr>
          <w:rFonts w:ascii="Segoe UI" w:hAnsi="Segoe UI" w:cs="Segoe UI"/>
          <w:sz w:val="22"/>
          <w:szCs w:val="22"/>
          <w:lang w:val="en-IN"/>
        </w:rPr>
        <w:t>6. Wolfram, M. Learning urban energy governance for system innovation: an assessment of transformative capacity development in three South Korean cities. J. Environ. Policy Plan. 21, 30–45 (2018).</w:t>
      </w:r>
    </w:p>
    <w:p w14:paraId="0B0D368E" w14:textId="77777777" w:rsidR="00816E08" w:rsidRDefault="00816E08">
      <w:r>
        <w:rPr>
          <w:rFonts w:ascii="Segoe UI" w:hAnsi="Segoe UI" w:cs="Segoe UI"/>
          <w:sz w:val="22"/>
          <w:szCs w:val="22"/>
          <w:lang w:val="en-IN"/>
        </w:rPr>
        <w:lastRenderedPageBreak/>
        <w:t>7. Fitzgerald, J. Transitioning from urban climate action to climate equity. J. Am. Plan. Assoc. 88, 508–523 (2022).</w:t>
      </w:r>
    </w:p>
    <w:p w14:paraId="14F294F2" w14:textId="77777777" w:rsidR="00816E08" w:rsidRDefault="00816E08">
      <w:r>
        <w:rPr>
          <w:rFonts w:ascii="Segoe UI" w:hAnsi="Segoe UI" w:cs="Segoe UI"/>
          <w:sz w:val="22"/>
          <w:szCs w:val="22"/>
          <w:lang w:val="en-IN"/>
        </w:rPr>
        <w:t>8. Parsons, M. &amp; Crease, R. Exploring Indigenous climate justice in Aotearoa New Zealand's climate adaptation planning. in Routledge Handbook of Climate Change and Society (Routledge, 2024).</w:t>
      </w:r>
    </w:p>
    <w:p w14:paraId="3948B399" w14:textId="77777777" w:rsidR="00816E08" w:rsidRDefault="00816E08">
      <w:r>
        <w:rPr>
          <w:rFonts w:ascii="Segoe UI" w:hAnsi="Segoe UI" w:cs="Segoe UI"/>
          <w:sz w:val="22"/>
          <w:szCs w:val="22"/>
          <w:lang w:val="en-IN"/>
        </w:rPr>
        <w:t>9. Hardoy, J. et al. Exploring the links between the use of NbS, mindshifts and transformative urban coalitions to promote climate resilience within an ongoing reurbanization process. The case of Villa 20, Buenos Aires. Front. Sustain. Cities 4, 962168 (2022).</w:t>
      </w:r>
    </w:p>
    <w:p w14:paraId="351ECA73" w14:textId="77777777" w:rsidR="00816E08" w:rsidRDefault="00816E08">
      <w:r>
        <w:rPr>
          <w:rFonts w:ascii="Segoe UI" w:hAnsi="Segoe UI" w:cs="Segoe UI"/>
          <w:sz w:val="22"/>
          <w:szCs w:val="22"/>
          <w:lang w:val="en-IN"/>
        </w:rPr>
        <w:t>10. Seleguim, F. B. et al. Nature-based solutions to adapt to local climate change: political strategies in Brazilian cities. Braz. Polit. Sci. Rev. 18, e0008 (2024).</w:t>
      </w:r>
    </w:p>
    <w:p w14:paraId="79497DC2" w14:textId="77777777" w:rsidR="00816E08" w:rsidRDefault="00816E08">
      <w:r>
        <w:rPr>
          <w:rFonts w:ascii="Segoe UI" w:hAnsi="Segoe UI" w:cs="Segoe UI"/>
          <w:sz w:val="22"/>
          <w:szCs w:val="22"/>
          <w:lang w:val="en-IN"/>
        </w:rPr>
        <w:t>11. Lucertini, G., Di Giustino, G., dall'Omo, C. F. &amp; Musco, F. An innovative climate adaptation planning process: iDEAL project. J. Environ. Manage. 317, 115408 (2022).</w:t>
      </w:r>
    </w:p>
    <w:p w14:paraId="136A6F78" w14:textId="77777777" w:rsidR="00816E08" w:rsidRDefault="00816E08">
      <w:r>
        <w:rPr>
          <w:rFonts w:ascii="Segoe UI" w:hAnsi="Segoe UI" w:cs="Segoe UI"/>
          <w:sz w:val="22"/>
          <w:szCs w:val="22"/>
          <w:lang w:val="en-IN"/>
        </w:rPr>
        <w:t>12. Lund, D. H. Governance innovations for climate change adaptation in urban Denmark. J. Environ. Policy Plan. 20, 632–644 (2018).</w:t>
      </w:r>
    </w:p>
    <w:p w14:paraId="754308F6" w14:textId="77777777" w:rsidR="00816E08" w:rsidRDefault="00816E08">
      <w:r>
        <w:rPr>
          <w:rFonts w:ascii="Segoe UI" w:hAnsi="Segoe UI" w:cs="Segoe UI"/>
          <w:sz w:val="22"/>
          <w:szCs w:val="22"/>
          <w:lang w:val="en-IN"/>
        </w:rPr>
        <w:t>13. Cannon, C. E. B., Chu, E. K., Natekal, A. &amp; Waaland, G. Institutional designs for procedural justice and inclusion in urban climate change adaptation. J. Plan. Educ. Res. (2024) doi:10.1177/0739456X241274579.</w:t>
      </w:r>
    </w:p>
    <w:p w14:paraId="27BBB251" w14:textId="77777777" w:rsidR="00816E08" w:rsidRDefault="00816E08">
      <w:r>
        <w:rPr>
          <w:rFonts w:ascii="Segoe UI" w:hAnsi="Segoe UI" w:cs="Segoe UI"/>
          <w:sz w:val="22"/>
          <w:szCs w:val="22"/>
          <w:lang w:val="en-IN"/>
        </w:rPr>
        <w:t>14. Buijs, A. E., Gulsrud, N. M., Rodela, R., Diduck, A. P., van der Jagt, A. P. N. &amp; Raymond, C. M. Advancing environmental justice in cities through the Mosaic Governance of nature-based solutions. Cities 147, 104799 (2024).</w:t>
      </w:r>
    </w:p>
    <w:p w14:paraId="66B48518" w14:textId="77777777" w:rsidR="00816E08" w:rsidRDefault="00816E08">
      <w:r>
        <w:rPr>
          <w:rFonts w:ascii="Segoe UI" w:hAnsi="Segoe UI" w:cs="Segoe UI"/>
          <w:sz w:val="22"/>
          <w:szCs w:val="22"/>
          <w:lang w:val="en-IN"/>
        </w:rPr>
        <w:t>15. Kulozu Uzunboy, N. Effect of transnational climate networks on climate experiments: the Nilüfer Municipality, a case from Turkey. Environ. Dev. Sustain. 22, 3005–3031 (2019).</w:t>
      </w:r>
    </w:p>
    <w:p w14:paraId="3662E859" w14:textId="77777777" w:rsidR="00816E08" w:rsidRDefault="00816E08">
      <w:r>
        <w:rPr>
          <w:rFonts w:ascii="Segoe UI" w:hAnsi="Segoe UI" w:cs="Segoe UI"/>
          <w:sz w:val="22"/>
          <w:szCs w:val="22"/>
          <w:lang w:val="en-IN"/>
        </w:rPr>
        <w:t>16. Okutan, P. &amp; Otay, E. N. Climate change risk perception, adaptive capacity and psychological distance in urban vulnerability: a district-level case study in Istanbul, Türkiye. Sustainability 17, 5358 (2025).</w:t>
      </w:r>
    </w:p>
    <w:p w14:paraId="0B787720" w14:textId="77777777" w:rsidR="00816E08" w:rsidRDefault="00816E08">
      <w:r>
        <w:rPr>
          <w:rFonts w:ascii="Segoe UI" w:hAnsi="Segoe UI" w:cs="Segoe UI"/>
          <w:sz w:val="22"/>
          <w:szCs w:val="22"/>
          <w:lang w:val="en-IN"/>
        </w:rPr>
        <w:t>17. Yazar, M. &amp; York, A. Disentangling justice as recognition through public support for local climate adaptation policies: insights from the southwest US. Urban Clim. 41, 101079 (2022).</w:t>
      </w:r>
    </w:p>
    <w:p w14:paraId="277EC378" w14:textId="77777777" w:rsidR="00816E08" w:rsidRDefault="00816E08">
      <w:r>
        <w:rPr>
          <w:rFonts w:ascii="Segoe UI" w:hAnsi="Segoe UI" w:cs="Segoe UI"/>
          <w:sz w:val="22"/>
          <w:szCs w:val="22"/>
          <w:lang w:val="en-IN"/>
        </w:rPr>
        <w:t>18. Ersavaş Kavanoz, S. &amp; Erdem, N. The relationship between transnational networks and its member cities: Turkey. Siyasal J. Polit. Sci. 33, 87–109 (2024).</w:t>
      </w:r>
    </w:p>
    <w:p w14:paraId="451D98F4" w14:textId="77777777" w:rsidR="00816E08" w:rsidRDefault="00816E08">
      <w:r>
        <w:rPr>
          <w:rFonts w:ascii="Segoe UI" w:hAnsi="Segoe UI" w:cs="Segoe UI"/>
          <w:sz w:val="22"/>
          <w:szCs w:val="22"/>
          <w:lang w:val="en-IN"/>
        </w:rPr>
        <w:t>19. Salvia, M. et al. Key dimensions of cities' engagement in the transition to climate neutrality. J. Environ. Manage. 344, 118519 (2023).</w:t>
      </w:r>
    </w:p>
    <w:p w14:paraId="1B8191A0" w14:textId="77777777" w:rsidR="00816E08" w:rsidRDefault="00816E08">
      <w:r>
        <w:rPr>
          <w:rFonts w:ascii="Segoe UI" w:hAnsi="Segoe UI" w:cs="Segoe UI"/>
          <w:sz w:val="22"/>
          <w:szCs w:val="22"/>
          <w:lang w:val="en-IN"/>
        </w:rPr>
        <w:t>20. Kochskämper, E. Just transformations through resilience experiments? Comparing policy rationales and narratives of the Global South and North in the Resilient Cities Network. Z. Vgl. Polit. 18, 207–226 (2024).</w:t>
      </w:r>
    </w:p>
    <w:p w14:paraId="54BC5774" w14:textId="77777777" w:rsidR="00816E08" w:rsidRDefault="00816E08">
      <w:r>
        <w:rPr>
          <w:rFonts w:ascii="Segoe UI" w:hAnsi="Segoe UI" w:cs="Segoe UI"/>
          <w:sz w:val="22"/>
          <w:szCs w:val="22"/>
          <w:lang w:val="en-IN"/>
        </w:rPr>
        <w:lastRenderedPageBreak/>
        <w:t>21. Palla, A., Pezzagno, M., Spadaro, I. &amp; Ermini, R. Participatory approach to planning urban resilience to climate change: Brescia, Genoa, and Matera — three case studies from Italy compared. Sustainability 16, 2170 (2024).</w:t>
      </w:r>
    </w:p>
    <w:p w14:paraId="5873DD0C" w14:textId="77777777" w:rsidR="00816E08" w:rsidRDefault="00816E08">
      <w:r>
        <w:rPr>
          <w:rFonts w:ascii="Segoe UI" w:hAnsi="Segoe UI" w:cs="Segoe UI"/>
          <w:sz w:val="22"/>
          <w:szCs w:val="22"/>
          <w:lang w:val="en-IN"/>
        </w:rPr>
        <w:t>22. Peralta, K. &amp; Murphy, J. Community-based participatory research and the co-construction of community knowledge. Qual. Rep. 21, (2016).</w:t>
      </w:r>
    </w:p>
    <w:p w14:paraId="6FF40261" w14:textId="77777777" w:rsidR="00816E08" w:rsidRDefault="00816E08">
      <w:r>
        <w:rPr>
          <w:rFonts w:ascii="Segoe UI" w:hAnsi="Segoe UI" w:cs="Segoe UI"/>
          <w:sz w:val="22"/>
          <w:szCs w:val="22"/>
          <w:lang w:val="en-IN"/>
        </w:rPr>
        <w:t>23. Rudge, K. Participatory climate adaptation planning in New York City: analyzing the role of community-based organizations. Urban Clim. 40, 101018 (2021).</w:t>
      </w:r>
    </w:p>
    <w:p w14:paraId="7F0C2817" w14:textId="77777777" w:rsidR="00816E08" w:rsidRDefault="00816E08">
      <w:r>
        <w:rPr>
          <w:rFonts w:ascii="Segoe UI" w:hAnsi="Segoe UI" w:cs="Segoe UI"/>
          <w:sz w:val="22"/>
          <w:szCs w:val="22"/>
          <w:lang w:val="en-IN"/>
        </w:rPr>
        <w:t>24. Eakin, H. The case for collaborative urban adaptation. npj Urban Sustain. (2026) doi:10.1038/s42949-026-00341-0.</w:t>
      </w:r>
    </w:p>
    <w:p w14:paraId="106AE714" w14:textId="77777777" w:rsidR="00816E08" w:rsidRDefault="00816E08">
      <w:r>
        <w:rPr>
          <w:rFonts w:ascii="Segoe UI" w:hAnsi="Segoe UI" w:cs="Segoe UI"/>
          <w:sz w:val="22"/>
          <w:szCs w:val="22"/>
          <w:lang w:val="en-IN"/>
        </w:rPr>
        <w:t>25. Berner, H., De Gregorio Hurtado, S. &amp; Gualini, E. Strategies for urban climate adaptation: pathways towards equitable resilience in Barcelona and Berlin. Cities (2025) doi:10.1016/j.cities.2025.105836.</w:t>
      </w:r>
    </w:p>
    <w:p w14:paraId="702FB351" w14:textId="77777777" w:rsidR="00816E08" w:rsidRDefault="00816E08">
      <w:r>
        <w:rPr>
          <w:rFonts w:ascii="Segoe UI" w:hAnsi="Segoe UI" w:cs="Segoe UI"/>
          <w:sz w:val="22"/>
          <w:szCs w:val="22"/>
          <w:lang w:val="en-IN"/>
        </w:rPr>
        <w:t>26. Breton-Carbonneau, A. C., Anguelovski, I., Triguero-Mas, M. &amp; Cole, H. V. S. Just urban greening for climate adaptation &amp; health equity planning: lessons learned from 5 cities in the Global North. Cities 158, 105677 (2025).</w:t>
      </w:r>
    </w:p>
    <w:p w14:paraId="70FF2E72" w14:textId="77777777" w:rsidR="00816E08" w:rsidRDefault="00816E08">
      <w:r>
        <w:rPr>
          <w:rFonts w:ascii="Segoe UI" w:hAnsi="Segoe UI" w:cs="Segoe UI"/>
          <w:sz w:val="22"/>
          <w:szCs w:val="22"/>
          <w:lang w:val="en-IN"/>
        </w:rPr>
        <w:t>27. Diezmartínez, C. V. &amp; Short Gianotti, A. G. US cities increasingly integrate justice into climate planning and create policy tools for climate justice. Nat. Commun. 13, 5763 (2022).</w:t>
      </w:r>
    </w:p>
    <w:p w14:paraId="08A5CDB8" w14:textId="77777777" w:rsidR="00816E08" w:rsidRDefault="00816E08">
      <w:r>
        <w:rPr>
          <w:rFonts w:ascii="Segoe UI" w:hAnsi="Segoe UI" w:cs="Segoe UI"/>
          <w:sz w:val="22"/>
          <w:szCs w:val="22"/>
          <w:lang w:val="en-IN"/>
        </w:rPr>
        <w:t>28. Kato-Huerta, J. &amp; Geneletti, D. Analysing the treatment of environmental justice and nature-based solutions in the urban climate action plans of Latin American metropolitan areas. Local Environ. 28, 1388–1409 (2023).</w:t>
      </w:r>
    </w:p>
    <w:p w14:paraId="5BD1BA86" w14:textId="77777777" w:rsidR="00816E08" w:rsidRDefault="00816E08">
      <w:r>
        <w:rPr>
          <w:rFonts w:ascii="Segoe UI" w:hAnsi="Segoe UI" w:cs="Segoe UI"/>
          <w:sz w:val="22"/>
          <w:szCs w:val="22"/>
          <w:lang w:val="en-IN"/>
        </w:rPr>
        <w:t>29. Caggiano, H., Landau, L. F., Campbell, L. K., Johnson, M. L. &amp; Svendsen, E. S. Civic stewardship and urban climate governance: opportunities for transboundary planning. J. Plan. Educ. Res. 44, 1620–1633 (2022).</w:t>
      </w:r>
    </w:p>
    <w:p w14:paraId="17ED86BE" w14:textId="77777777" w:rsidR="00816E08" w:rsidRDefault="00816E08">
      <w:r>
        <w:rPr>
          <w:rFonts w:ascii="Segoe UI" w:hAnsi="Segoe UI" w:cs="Segoe UI"/>
          <w:sz w:val="22"/>
          <w:szCs w:val="22"/>
          <w:lang w:val="en-IN"/>
        </w:rPr>
        <w:t>30. Fransen, J., Hati, B., Simon, H. K. &amp; van Stapele, N. Adaptive governance by community based organisations: community resilience initiatives during Covid-19 in Mathare, Nairobi. Sustain. Dev. 32, 1471–1482 (2023).</w:t>
      </w:r>
    </w:p>
    <w:p w14:paraId="0E56D542" w14:textId="77777777" w:rsidR="00816E08" w:rsidRDefault="00816E08">
      <w:r>
        <w:rPr>
          <w:rFonts w:ascii="Segoe UI" w:hAnsi="Segoe UI" w:cs="Segoe UI"/>
          <w:sz w:val="22"/>
          <w:szCs w:val="22"/>
          <w:lang w:val="en-IN"/>
        </w:rPr>
        <w:t>31. Koroma, B., Macarthy, J. M., Conteh, A. &amp; Osuteye, E. Sustaining community-based responses to the COVID-19 pandemic: learning platforms at work in Freetown, Sierra Leone. Urbanisation 7, 17–29 (2022).</w:t>
      </w:r>
    </w:p>
    <w:p w14:paraId="343FFB3A" w14:textId="77777777" w:rsidR="00816E08" w:rsidRDefault="00816E08">
      <w:r>
        <w:rPr>
          <w:rFonts w:ascii="Segoe UI" w:hAnsi="Segoe UI" w:cs="Segoe UI"/>
          <w:sz w:val="22"/>
          <w:szCs w:val="22"/>
          <w:lang w:val="en-IN"/>
        </w:rPr>
        <w:t>32. Osuteye, E., Koroma, B., Macarthy, J. M., Kamara, S. F. &amp; Conteh, A. Fighting COVID-19 in Freetown, Sierra Leone: the critical role of community organisations in a growing pandemic. Open Health 1, (2020).</w:t>
      </w:r>
    </w:p>
    <w:p w14:paraId="1595A708" w14:textId="77777777" w:rsidR="00816E08" w:rsidRDefault="00816E08">
      <w:r>
        <w:rPr>
          <w:rFonts w:ascii="Segoe UI" w:hAnsi="Segoe UI" w:cs="Segoe UI"/>
          <w:sz w:val="22"/>
          <w:szCs w:val="22"/>
          <w:lang w:val="en-IN"/>
        </w:rPr>
        <w:t>33. Almansi, F., Costello, M., del Valle, J. &amp; Hardoy, J. Climate justice in informal settlements in Buenos Aires. IIED Briefing (2024).</w:t>
      </w:r>
    </w:p>
    <w:p w14:paraId="293591E9" w14:textId="77777777" w:rsidR="00816E08" w:rsidRDefault="00816E08">
      <w:r>
        <w:rPr>
          <w:rFonts w:ascii="Segoe UI" w:hAnsi="Segoe UI" w:cs="Segoe UI"/>
          <w:sz w:val="22"/>
          <w:szCs w:val="22"/>
          <w:lang w:val="en-IN"/>
        </w:rPr>
        <w:lastRenderedPageBreak/>
        <w:t>34. Muheirwe, F., Kihila, J. M., Kombe, W. J. &amp; Campitelli, A. Solid waste management regulation in the informal settlements: a social-ecological context from Kampala city, Uganda. Front. Sustain. 4, 1010046 (2023).</w:t>
      </w:r>
    </w:p>
    <w:p w14:paraId="072B4D5F" w14:textId="77777777" w:rsidR="00816E08" w:rsidRDefault="00816E08">
      <w:r>
        <w:rPr>
          <w:rFonts w:ascii="Segoe UI" w:hAnsi="Segoe UI" w:cs="Segoe UI"/>
          <w:sz w:val="22"/>
          <w:szCs w:val="22"/>
          <w:lang w:val="en-IN"/>
        </w:rPr>
        <w:t>35. Wungpatcharapon, S. &amp; Pérez-Castro, B. How social infrastructures of care and solidarity cope with the COVID-19 pandemic: a reflection from community networks of the Baan Mankong Programme in Thailand. Urbanisation 7, 111–123 (2022).</w:t>
      </w:r>
    </w:p>
    <w:p w14:paraId="2343F20E" w14:textId="77777777" w:rsidR="00816E08" w:rsidRDefault="00816E08">
      <w:r>
        <w:rPr>
          <w:rFonts w:ascii="Segoe UI" w:hAnsi="Segoe UI" w:cs="Segoe UI"/>
          <w:sz w:val="22"/>
          <w:szCs w:val="22"/>
          <w:lang w:val="en-IN"/>
        </w:rPr>
        <w:t>36. Fransen, J., Hati, B., van Stapele, N., Kiriro, S. &amp; Nyumba, R. Resilience pathways of informal settlements in Nairobi: stasis, decline, adaptation, and transformation. Eur. J. Dev. Res. 36, 355–380 (2024).</w:t>
      </w:r>
    </w:p>
    <w:p w14:paraId="00A9D3F0" w14:textId="77777777" w:rsidR="00816E08" w:rsidRDefault="00816E08">
      <w:r>
        <w:rPr>
          <w:rFonts w:ascii="Segoe UI" w:hAnsi="Segoe UI" w:cs="Segoe UI"/>
          <w:sz w:val="22"/>
          <w:szCs w:val="22"/>
          <w:lang w:val="en-IN"/>
        </w:rPr>
        <w:t>37. Roy, S., Majumder, S., Bose, A. &amp; Chowdhury, I. R. Mapping the vulnerable: a framework for analyzing urban social vulnerability and its societal impact. Soc. Impacts 3, 100049 (2024).</w:t>
      </w:r>
    </w:p>
    <w:p w14:paraId="0E34514B" w14:textId="77777777" w:rsidR="00816E08" w:rsidRDefault="00816E08">
      <w:r>
        <w:rPr>
          <w:rFonts w:ascii="Segoe UI" w:hAnsi="Segoe UI" w:cs="Segoe UI"/>
          <w:sz w:val="22"/>
          <w:szCs w:val="22"/>
          <w:lang w:val="en-IN"/>
        </w:rPr>
        <w:t>38. Zakharova, O. et al. Risk assessment of socio-economic vulnerability to climate change: case study of Tyumen Region. World 6, (2025).</w:t>
      </w:r>
    </w:p>
    <w:p w14:paraId="081F5915" w14:textId="77777777" w:rsidR="00816E08" w:rsidRDefault="00816E08">
      <w:r>
        <w:rPr>
          <w:rFonts w:ascii="Segoe UI" w:hAnsi="Segoe UI" w:cs="Segoe UI"/>
          <w:sz w:val="22"/>
          <w:szCs w:val="22"/>
          <w:lang w:val="en-IN"/>
        </w:rPr>
        <w:t>39. Barilari, S., Villar-Jiménez, Y., Fedele, G., Reder, A. &amp; Ramos-Diez, I. Climate risk and vulnerability assessment in the Province of Almeria (Spain) under different climate change scenarios. Climate 13, 141 (2025).</w:t>
      </w:r>
    </w:p>
    <w:p w14:paraId="35A92766" w14:textId="77777777" w:rsidR="00816E08" w:rsidRDefault="00816E08">
      <w:r>
        <w:rPr>
          <w:rFonts w:ascii="Segoe UI" w:hAnsi="Segoe UI" w:cs="Segoe UI"/>
          <w:sz w:val="22"/>
          <w:szCs w:val="22"/>
          <w:lang w:val="en-IN"/>
        </w:rPr>
        <w:t>40. Menoni, S. Urban planning for disaster risk reduction and climate change adaptation: a review at the crossroads of research and practice. Sustainability 17, 9092 (2025).</w:t>
      </w:r>
    </w:p>
    <w:p w14:paraId="35594F0E" w14:textId="77777777" w:rsidR="00816E08" w:rsidRDefault="00816E08">
      <w:r>
        <w:rPr>
          <w:rFonts w:ascii="Segoe UI" w:hAnsi="Segoe UI" w:cs="Segoe UI"/>
          <w:sz w:val="22"/>
          <w:szCs w:val="22"/>
          <w:lang w:val="en-IN"/>
        </w:rPr>
        <w:t>41. Marks, D. &amp; Connell, J. Unequal and unjust: the political ecology of Bangkok's increasing urban heat island. Urban Stud. 61, 2887–2907 (2024).</w:t>
      </w:r>
    </w:p>
    <w:p w14:paraId="3E3AA9E6" w14:textId="77777777" w:rsidR="00816E08" w:rsidRDefault="00816E08">
      <w:r>
        <w:rPr>
          <w:rFonts w:ascii="Segoe UI" w:hAnsi="Segoe UI" w:cs="Segoe UI"/>
          <w:sz w:val="22"/>
          <w:szCs w:val="22"/>
          <w:lang w:val="en-IN"/>
        </w:rPr>
        <w:t>42. Singh, C. &amp; Nirwan. Effective heat adaptation must engage with unequal heat risk. One Earth 7, 1320–1323 (2024).</w:t>
      </w:r>
    </w:p>
    <w:p w14:paraId="6B949FEA" w14:textId="77777777" w:rsidR="00816E08" w:rsidRDefault="00816E08">
      <w:r>
        <w:rPr>
          <w:rFonts w:ascii="Segoe UI" w:hAnsi="Segoe UI" w:cs="Segoe UI"/>
          <w:sz w:val="22"/>
          <w:szCs w:val="22"/>
          <w:lang w:val="en-IN"/>
        </w:rPr>
        <w:t>43. Bosisio, A. &amp; Moreno-Jiménez, A. Spatially disaggregated assessment of environmental inequalities among vulnerable groups due to urban rainstorm flooding. Appl. Spat. Anal. Policy 15, 1263–1285 (2022).</w:t>
      </w:r>
    </w:p>
    <w:p w14:paraId="3FC7B929" w14:textId="77777777" w:rsidR="00816E08" w:rsidRDefault="00816E08">
      <w:r>
        <w:rPr>
          <w:rFonts w:ascii="Segoe UI" w:hAnsi="Segoe UI" w:cs="Segoe UI"/>
          <w:sz w:val="22"/>
          <w:szCs w:val="22"/>
          <w:lang w:val="en-IN"/>
        </w:rPr>
        <w:t>44. Carvalho, C., González Del Campo, A. &amp; de Carvalho Cabral, D. Scales of inequality: the role of spatial extent in environmental justice analysis. Landsc. Urban Plan. 221, 104369 (2022).</w:t>
      </w:r>
    </w:p>
    <w:p w14:paraId="6C173C20" w14:textId="77777777" w:rsidR="00816E08" w:rsidRDefault="00816E08">
      <w:r>
        <w:rPr>
          <w:rFonts w:ascii="Segoe UI" w:hAnsi="Segoe UI" w:cs="Segoe UI"/>
          <w:sz w:val="22"/>
          <w:szCs w:val="22"/>
          <w:lang w:val="en-IN"/>
        </w:rPr>
        <w:t>45. Alber, G. A novel approach to work towards gender-responsive urban climate policy. Environ. Urban. 36, 133–146 (2024).</w:t>
      </w:r>
    </w:p>
    <w:p w14:paraId="526A767C" w14:textId="77777777" w:rsidR="00816E08" w:rsidRDefault="00816E08">
      <w:r>
        <w:rPr>
          <w:rFonts w:ascii="Segoe UI" w:hAnsi="Segoe UI" w:cs="Segoe UI"/>
          <w:sz w:val="22"/>
          <w:szCs w:val="22"/>
          <w:lang w:val="en-IN"/>
        </w:rPr>
        <w:t>46. Kronenberger, E. J., Mullenbach, L. E. &amp; Wilhelm Stanis, S. A. Examining environmental justice in legacy city climate action planning. Clim. Dev. 17, 791–799 (2025).</w:t>
      </w:r>
    </w:p>
    <w:p w14:paraId="59504B63" w14:textId="77777777" w:rsidR="00816E08" w:rsidRDefault="00816E08">
      <w:r>
        <w:rPr>
          <w:rFonts w:ascii="Segoe UI" w:hAnsi="Segoe UI" w:cs="Segoe UI"/>
          <w:sz w:val="22"/>
          <w:szCs w:val="22"/>
          <w:lang w:val="en-IN"/>
        </w:rPr>
        <w:t>47. Yazar, M., Haarstad, H. &amp; Elfving, J. Cities incorporate equity in their climate policies but overlook procedural justice in decision-making. Nat. Cities 2, 17–27 (2025).</w:t>
      </w:r>
    </w:p>
    <w:p w14:paraId="7868F4B8" w14:textId="77777777" w:rsidR="00816E08" w:rsidRDefault="00816E08">
      <w:r>
        <w:rPr>
          <w:rFonts w:ascii="Segoe UI" w:hAnsi="Segoe UI" w:cs="Segoe UI"/>
          <w:sz w:val="22"/>
          <w:szCs w:val="22"/>
          <w:lang w:val="en-IN"/>
        </w:rPr>
        <w:lastRenderedPageBreak/>
        <w:t>48. Dodman, D., McGranahan, G. &amp; Dalal-Clayton, B. Urban climate justice. in Climate Change 2022: Impacts, Adaptation and Vulnerability (WGII Contribution to AR6) 911 (Cambridge Univ. Press, 2022).</w:t>
      </w:r>
    </w:p>
    <w:p w14:paraId="6D813C4A" w14:textId="77777777" w:rsidR="00816E08" w:rsidRDefault="00816E08">
      <w:r>
        <w:rPr>
          <w:rFonts w:ascii="Segoe UI" w:hAnsi="Segoe UI" w:cs="Segoe UI"/>
          <w:sz w:val="22"/>
          <w:szCs w:val="22"/>
          <w:lang w:val="en-IN"/>
        </w:rPr>
        <w:t>49. Shi, L. From progressive cities to resilient cities: lessons from history for new debates in equitable adaptation to climate change. Urban Aff. Rev. 57, 1442–1479 (2021).</w:t>
      </w:r>
    </w:p>
    <w:p w14:paraId="11F2D00E" w14:textId="77777777" w:rsidR="00816E08" w:rsidRDefault="00816E08">
      <w:r>
        <w:rPr>
          <w:rFonts w:ascii="Segoe UI" w:hAnsi="Segoe UI" w:cs="Segoe UI"/>
          <w:sz w:val="22"/>
          <w:szCs w:val="22"/>
          <w:lang w:val="en-IN"/>
        </w:rPr>
        <w:t>50. Mabon, L., Barkved, L., de Bruin, K. &amp; Shih, W.-Y. Whose knowledge counts in nature-based solutions? Understanding epistemic justice for nature-based solutions through a multi-city comparison across Europe and Asia. Environ. Sci. Policy 136, 652–664 (2022).</w:t>
      </w:r>
    </w:p>
    <w:p w14:paraId="2B247597" w14:textId="77777777" w:rsidR="00816E08" w:rsidRDefault="00816E08">
      <w:r>
        <w:rPr>
          <w:rFonts w:ascii="Segoe UI" w:hAnsi="Segoe UI" w:cs="Segoe UI"/>
          <w:sz w:val="22"/>
          <w:szCs w:val="22"/>
          <w:lang w:val="en-IN"/>
        </w:rPr>
        <w:t>51. Mustonen, T. Indigenous ecological reconstruction after industrial ruin in two iconic Sámi catchments: ethics of comanagement? Am. J. Eval. 42, 254–275 (2021).</w:t>
      </w:r>
    </w:p>
    <w:p w14:paraId="30BFE6CA" w14:textId="77777777" w:rsidR="00816E08" w:rsidRDefault="00816E08">
      <w:r>
        <w:rPr>
          <w:rFonts w:ascii="Segoe UI" w:hAnsi="Segoe UI" w:cs="Segoe UI"/>
          <w:sz w:val="22"/>
          <w:szCs w:val="22"/>
          <w:lang w:val="en-IN"/>
        </w:rPr>
        <w:t>52. Ajitha, S., Reshma, K. J., Geevarathna &amp; Huxley, S. Indigenous knowledge and sustainable development. in Community Climate Justice and Sustainable Development 147–180 (2025).</w:t>
      </w:r>
    </w:p>
    <w:p w14:paraId="4D05B16B" w14:textId="77777777" w:rsidR="00816E08" w:rsidRDefault="00816E08">
      <w:r>
        <w:rPr>
          <w:rFonts w:ascii="Segoe UI" w:hAnsi="Segoe UI" w:cs="Segoe UI"/>
          <w:sz w:val="22"/>
          <w:szCs w:val="22"/>
          <w:lang w:val="en-IN"/>
        </w:rPr>
        <w:t>53. ʻĀina of Kaʻōnohi et al. Urban ʻĀina: an Indigenous, biocultural pathway to transforming urban spaces. Sustainability 15, 9937 (2023).</w:t>
      </w:r>
    </w:p>
    <w:p w14:paraId="6E742E22" w14:textId="77777777" w:rsidR="00816E08" w:rsidRDefault="00816E08">
      <w:r>
        <w:rPr>
          <w:rFonts w:ascii="Segoe UI" w:hAnsi="Segoe UI" w:cs="Segoe UI"/>
          <w:sz w:val="22"/>
          <w:szCs w:val="22"/>
          <w:lang w:val="en-IN"/>
        </w:rPr>
        <w:t>54. Hicks, K. &amp; Murashige, R. Economic resiliency and food security in the Marshall Islands through Polydactylus sexfilis aquaculture. in Climate Change Impacts and Adaptation Strategies for Coastal Communities 283–297 (Springer, 2017).</w:t>
      </w:r>
    </w:p>
    <w:p w14:paraId="7A1ACD80" w14:textId="77777777" w:rsidR="00816E08" w:rsidRDefault="00816E08">
      <w:r>
        <w:rPr>
          <w:rFonts w:ascii="Segoe UI" w:hAnsi="Segoe UI" w:cs="Segoe UI"/>
          <w:sz w:val="22"/>
          <w:szCs w:val="22"/>
          <w:lang w:val="en-IN"/>
        </w:rPr>
        <w:t>55. Saddington, L. The chronopolitics of climate change adaptation: land reclamation in Tuvalu. Territ. Polit. Gov. 13, 448–467 (2025).</w:t>
      </w:r>
    </w:p>
    <w:p w14:paraId="714AB124" w14:textId="77777777" w:rsidR="00816E08" w:rsidRDefault="00816E08">
      <w:r>
        <w:rPr>
          <w:rFonts w:ascii="Segoe UI" w:hAnsi="Segoe UI" w:cs="Segoe UI"/>
          <w:sz w:val="22"/>
          <w:szCs w:val="22"/>
          <w:lang w:val="en-IN"/>
        </w:rPr>
        <w:t>56. Turner, N. J., Cuerrier, A. &amp; Joseph, L. Well grounded: Indigenous Peoples' knowledge, ethnobiology and sustainability. People Nat. 4, 627–651 (2022).</w:t>
      </w:r>
    </w:p>
    <w:p w14:paraId="597AA5D7" w14:textId="77777777" w:rsidR="00816E08" w:rsidRDefault="00816E08">
      <w:r>
        <w:rPr>
          <w:rFonts w:ascii="Segoe UI" w:hAnsi="Segoe UI" w:cs="Segoe UI"/>
          <w:sz w:val="22"/>
          <w:szCs w:val="22"/>
          <w:lang w:val="en-IN"/>
        </w:rPr>
        <w:t>57. Parsons, M. &amp; Mycoo, M. Inclusive urban futures: climate justice in small island developing states. Environ. Res. Clim. (2026) doi:10.1088/2752-5295/ae4059.</w:t>
      </w:r>
    </w:p>
    <w:p w14:paraId="51391B5F" w14:textId="77777777" w:rsidR="00816E08" w:rsidRDefault="00816E08">
      <w:r>
        <w:rPr>
          <w:rFonts w:ascii="Segoe UI" w:hAnsi="Segoe UI" w:cs="Segoe UI"/>
          <w:sz w:val="22"/>
          <w:szCs w:val="22"/>
          <w:lang w:val="en-IN"/>
        </w:rPr>
        <w:t>58. Farbotko, C. &amp; McMichael, C. Voluntary immobility and existential security in a changing climate in the Pacific. Asia Pac. Viewp. 60, 148–162 (2019).</w:t>
      </w:r>
    </w:p>
    <w:p w14:paraId="16DBE56E" w14:textId="77777777" w:rsidR="00816E08" w:rsidRDefault="00816E08">
      <w:r>
        <w:rPr>
          <w:rFonts w:ascii="Segoe UI" w:hAnsi="Segoe UI" w:cs="Segoe UI"/>
          <w:sz w:val="22"/>
          <w:szCs w:val="22"/>
          <w:lang w:val="en-IN"/>
        </w:rPr>
        <w:t>59. Granderson, A. A. The role of traditional knowledge in building adaptive capacity for climate change: perspectives from Vanuatu. Weather Clim. Soc. 9, 545–561 (2017).</w:t>
      </w:r>
    </w:p>
    <w:p w14:paraId="0CFD5F3E" w14:textId="77777777" w:rsidR="00816E08" w:rsidRDefault="00816E08">
      <w:r>
        <w:rPr>
          <w:rFonts w:ascii="Segoe UI" w:hAnsi="Segoe UI" w:cs="Segoe UI"/>
          <w:sz w:val="22"/>
          <w:szCs w:val="22"/>
          <w:lang w:val="en-IN"/>
        </w:rPr>
        <w:t>60. Togo, M. &amp; Gandidzanwa, C. P. The role of Education 5.0 in accelerating the implementation of SDGs and challenges encountered at the University of Zimbabwe. Int. J. Sustain. High. Educ. 22, 1520–1535 (2021).</w:t>
      </w:r>
    </w:p>
    <w:p w14:paraId="6F3B7C6D" w14:textId="77777777" w:rsidR="00816E08" w:rsidRDefault="00816E08">
      <w:r>
        <w:rPr>
          <w:rFonts w:ascii="Segoe UI" w:hAnsi="Segoe UI" w:cs="Segoe UI"/>
          <w:sz w:val="22"/>
          <w:szCs w:val="22"/>
          <w:lang w:val="en-IN"/>
        </w:rPr>
        <w:t>61. Wrangsten, C., Ferlander, S. &amp; Borgström, S. Feminist urban living labs and social sustainability: lessons from Sweden. Urban Transform. 4, (2022) doi:10.1186/s42854-022-00034-8.</w:t>
      </w:r>
    </w:p>
    <w:p w14:paraId="5821568F" w14:textId="77777777" w:rsidR="00816E08" w:rsidRDefault="00816E08">
      <w:r>
        <w:rPr>
          <w:rFonts w:ascii="Segoe UI" w:hAnsi="Segoe UI" w:cs="Segoe UI"/>
          <w:sz w:val="22"/>
          <w:szCs w:val="22"/>
          <w:lang w:val="en-IN"/>
        </w:rPr>
        <w:lastRenderedPageBreak/>
        <w:t>62. Ricci, D., Leiwakabessy, C., Van Wieringen, S., De Koning, P. &amp; Konstantinou, T. Co-creating justice in housing energy transitions through energy living labs. Build. Cities 6, 747–766 (2025).</w:t>
      </w:r>
    </w:p>
    <w:p w14:paraId="12029A9F" w14:textId="77777777" w:rsidR="00816E08" w:rsidRDefault="00816E08">
      <w:r>
        <w:rPr>
          <w:rFonts w:ascii="Segoe UI" w:hAnsi="Segoe UI" w:cs="Segoe UI"/>
          <w:sz w:val="22"/>
          <w:szCs w:val="22"/>
          <w:lang w:val="en-IN"/>
        </w:rPr>
        <w:t>63. Montero, S., Whitney, R. A. &amp; Peñaranda, I. Experimental urban planning: tensions behind the proliferation of urban laboratories in Latin America. Plan. Theory Pract. 24, 473–488 (2023).</w:t>
      </w:r>
    </w:p>
    <w:p w14:paraId="08F2841B" w14:textId="77777777" w:rsidR="00816E08" w:rsidRDefault="00816E08">
      <w:r>
        <w:rPr>
          <w:rFonts w:ascii="Segoe UI" w:hAnsi="Segoe UI" w:cs="Segoe UI"/>
          <w:sz w:val="22"/>
          <w:szCs w:val="22"/>
          <w:lang w:val="en-IN"/>
        </w:rPr>
        <w:t>64. Corburn, J., Njoroge, P., Weru, J. &amp; Musya, M. Urban climate justice, human health, and citizen science in Nairobi's informal settlements. Urban Sci. 6, 36 (2022).</w:t>
      </w:r>
    </w:p>
    <w:p w14:paraId="5AC2B814" w14:textId="77777777" w:rsidR="00816E08" w:rsidRDefault="00816E08">
      <w:r>
        <w:rPr>
          <w:rFonts w:ascii="Segoe UI" w:hAnsi="Segoe UI" w:cs="Segoe UI"/>
          <w:sz w:val="22"/>
          <w:szCs w:val="22"/>
          <w:lang w:val="en-IN"/>
        </w:rPr>
        <w:t>65. Jimenez, A., Hoefsloot, F. I. &amp; Miranda Sara, L. Towards decolonial IS: insights from applying pluriverse and conviviality to analyse a co-production intervention in Peru. Inf. Syst. J. 35, 907–932 (2025).</w:t>
      </w:r>
    </w:p>
    <w:p w14:paraId="7B1CC0E9" w14:textId="77777777" w:rsidR="00816E08" w:rsidRDefault="00816E08">
      <w:r>
        <w:rPr>
          <w:rFonts w:ascii="Segoe UI" w:hAnsi="Segoe UI" w:cs="Segoe UI"/>
          <w:sz w:val="22"/>
          <w:szCs w:val="22"/>
          <w:lang w:val="en-IN"/>
        </w:rPr>
        <w:t>66. Chanial, M., Parison, S., Hendel, M. &amp; Royon, L. Cooling effects of pavement-watering applied to two innovative pavements: case study from the LIFE 'Cool and low noise Asphalt' project. Energy Build. 338, 115706 (2025).</w:t>
      </w:r>
    </w:p>
    <w:p w14:paraId="1921AF32" w14:textId="77777777" w:rsidR="00816E08" w:rsidRDefault="00816E08">
      <w:r>
        <w:rPr>
          <w:rFonts w:ascii="Segoe UI" w:hAnsi="Segoe UI" w:cs="Segoe UI"/>
          <w:sz w:val="22"/>
          <w:szCs w:val="22"/>
          <w:lang w:val="en-IN"/>
        </w:rPr>
        <w:t>67. Díaz-Vázquez, D. et al. Characterization and multicriteria prioritization of water scarcity in sensitive urban areas for the implementation of a rain harvesting program. Urban Clim. 51, 101670 (2023).</w:t>
      </w:r>
    </w:p>
    <w:p w14:paraId="3C4AD114" w14:textId="77777777" w:rsidR="00816E08" w:rsidRDefault="00816E08">
      <w:r>
        <w:rPr>
          <w:rFonts w:ascii="Segoe UI" w:hAnsi="Segoe UI" w:cs="Segoe UI"/>
          <w:sz w:val="22"/>
          <w:szCs w:val="22"/>
          <w:lang w:val="en-IN"/>
        </w:rPr>
        <w:t>68. Monokrousou, K., Makropoulos, C., Eleftheriou, A. et al. From rain to resilience: rainwater harvesting coupled with subsurface storage and recovery as a nature-based solution for arid communities: the case of Mykonos. Urban Water J. 22, 820–832 (2024).</w:t>
      </w:r>
    </w:p>
    <w:p w14:paraId="1D43C3C9" w14:textId="77777777" w:rsidR="00816E08" w:rsidRDefault="00816E08">
      <w:r>
        <w:rPr>
          <w:rFonts w:ascii="Segoe UI" w:hAnsi="Segoe UI" w:cs="Segoe UI"/>
          <w:sz w:val="22"/>
          <w:szCs w:val="22"/>
          <w:lang w:val="en-IN"/>
        </w:rPr>
        <w:t>69. Cecchin, A., Lamour, M., Davis, M. J. M. &amp; Jácome Polit, D. End-of-life product management as a resilience driver for developing countries: a policy experiment for used tires in Ecuador. J. Ind. Ecol. 23, 1292–1310 (2019).</w:t>
      </w:r>
    </w:p>
    <w:p w14:paraId="4BBAAF7D" w14:textId="77777777" w:rsidR="00816E08" w:rsidRDefault="00816E08">
      <w:r>
        <w:rPr>
          <w:rFonts w:ascii="Segoe UI" w:hAnsi="Segoe UI" w:cs="Segoe UI"/>
          <w:sz w:val="22"/>
          <w:szCs w:val="22"/>
          <w:lang w:val="en-IN"/>
        </w:rPr>
        <w:t>70. Gouveia Booth, L., Antunes, P. &amp; De Jesus, A. Circular economy strategies in European capitals. J. Circ. Econ. 4, (2026).</w:t>
      </w:r>
    </w:p>
    <w:p w14:paraId="53EB3476" w14:textId="77777777" w:rsidR="00816E08" w:rsidRDefault="00816E08">
      <w:r>
        <w:rPr>
          <w:rFonts w:ascii="Segoe UI" w:hAnsi="Segoe UI" w:cs="Segoe UI"/>
          <w:sz w:val="22"/>
          <w:szCs w:val="22"/>
          <w:lang w:val="en-IN"/>
        </w:rPr>
        <w:t>71. Orchard, S. &amp; Schiel, D. R. Enabling nature-based solutions for climate change on a peri-urban sandspit in Christchurch, New Zealand. Reg. Environ. Change 21, (2021) doi:10.1007/s10113-021-01791-1.</w:t>
      </w:r>
    </w:p>
    <w:p w14:paraId="01487BD9" w14:textId="77777777" w:rsidR="00816E08" w:rsidRDefault="00816E08">
      <w:r>
        <w:rPr>
          <w:rFonts w:ascii="Segoe UI" w:hAnsi="Segoe UI" w:cs="Segoe UI"/>
          <w:sz w:val="22"/>
          <w:szCs w:val="22"/>
          <w:lang w:val="en-IN"/>
        </w:rPr>
        <w:t>72. Johnson, C., Osuteye, E., Ndezi, T. &amp; Makoba, F. Co-producing knowledge to address disaster risks in informal settlements in Dar es Salaam, Tanzania: pathways toward urban equality? Environ. Urban. 34, 349–371 (2022).</w:t>
      </w:r>
    </w:p>
    <w:sectPr w:rsidR="00816E0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122"/>
    <w:rsid w:val="002B49F0"/>
    <w:rsid w:val="00302510"/>
    <w:rsid w:val="00312122"/>
    <w:rsid w:val="005F3B10"/>
    <w:rsid w:val="00682264"/>
    <w:rsid w:val="006C14EB"/>
    <w:rsid w:val="00816E08"/>
    <w:rsid w:val="00873639"/>
    <w:rsid w:val="00A40054"/>
    <w:rsid w:val="00B012F5"/>
    <w:rsid w:val="00BA7CB6"/>
    <w:rsid w:val="00C066AB"/>
    <w:rsid w:val="00C53D24"/>
    <w:rsid w:val="00CA4372"/>
    <w:rsid w:val="00CC1309"/>
    <w:rsid w:val="00ED57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39E4A"/>
  <w15:chartTrackingRefBased/>
  <w15:docId w15:val="{76AA00DA-DFCA-4446-9A64-07EEC127F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2122"/>
    <w:rPr>
      <w:lang w:val="en-GB"/>
    </w:rPr>
  </w:style>
  <w:style w:type="paragraph" w:styleId="Heading1">
    <w:name w:val="heading 1"/>
    <w:basedOn w:val="Normal"/>
    <w:next w:val="Normal"/>
    <w:link w:val="Heading1Char"/>
    <w:uiPriority w:val="9"/>
    <w:qFormat/>
    <w:rsid w:val="00312122"/>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en-US"/>
    </w:rPr>
  </w:style>
  <w:style w:type="paragraph" w:styleId="Heading2">
    <w:name w:val="heading 2"/>
    <w:basedOn w:val="Normal"/>
    <w:next w:val="Normal"/>
    <w:link w:val="Heading2Char"/>
    <w:uiPriority w:val="9"/>
    <w:semiHidden/>
    <w:unhideWhenUsed/>
    <w:qFormat/>
    <w:rsid w:val="00312122"/>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en-US"/>
    </w:rPr>
  </w:style>
  <w:style w:type="paragraph" w:styleId="Heading3">
    <w:name w:val="heading 3"/>
    <w:basedOn w:val="Normal"/>
    <w:next w:val="Normal"/>
    <w:link w:val="Heading3Char"/>
    <w:uiPriority w:val="9"/>
    <w:semiHidden/>
    <w:unhideWhenUsed/>
    <w:qFormat/>
    <w:rsid w:val="00312122"/>
    <w:pPr>
      <w:keepNext/>
      <w:keepLines/>
      <w:spacing w:before="160" w:after="80" w:line="259" w:lineRule="auto"/>
      <w:outlineLvl w:val="2"/>
    </w:pPr>
    <w:rPr>
      <w:rFonts w:eastAsiaTheme="majorEastAsia" w:cstheme="majorBidi"/>
      <w:color w:val="0F4761" w:themeColor="accent1" w:themeShade="BF"/>
      <w:sz w:val="28"/>
      <w:szCs w:val="28"/>
      <w:lang w:val="en-US"/>
    </w:rPr>
  </w:style>
  <w:style w:type="paragraph" w:styleId="Heading4">
    <w:name w:val="heading 4"/>
    <w:basedOn w:val="Normal"/>
    <w:next w:val="Normal"/>
    <w:link w:val="Heading4Char"/>
    <w:uiPriority w:val="9"/>
    <w:semiHidden/>
    <w:unhideWhenUsed/>
    <w:qFormat/>
    <w:rsid w:val="00312122"/>
    <w:pPr>
      <w:keepNext/>
      <w:keepLines/>
      <w:spacing w:before="80" w:after="40" w:line="259" w:lineRule="auto"/>
      <w:outlineLvl w:val="3"/>
    </w:pPr>
    <w:rPr>
      <w:rFonts w:eastAsiaTheme="majorEastAsia" w:cstheme="majorBidi"/>
      <w:i/>
      <w:iCs/>
      <w:color w:val="0F4761" w:themeColor="accent1" w:themeShade="BF"/>
      <w:szCs w:val="22"/>
      <w:lang w:val="en-US"/>
    </w:rPr>
  </w:style>
  <w:style w:type="paragraph" w:styleId="Heading5">
    <w:name w:val="heading 5"/>
    <w:basedOn w:val="Normal"/>
    <w:next w:val="Normal"/>
    <w:link w:val="Heading5Char"/>
    <w:uiPriority w:val="9"/>
    <w:semiHidden/>
    <w:unhideWhenUsed/>
    <w:qFormat/>
    <w:rsid w:val="00312122"/>
    <w:pPr>
      <w:keepNext/>
      <w:keepLines/>
      <w:spacing w:before="80" w:after="40" w:line="259" w:lineRule="auto"/>
      <w:outlineLvl w:val="4"/>
    </w:pPr>
    <w:rPr>
      <w:rFonts w:eastAsiaTheme="majorEastAsia" w:cstheme="majorBidi"/>
      <w:color w:val="0F4761" w:themeColor="accent1" w:themeShade="BF"/>
      <w:szCs w:val="22"/>
      <w:lang w:val="en-US"/>
    </w:rPr>
  </w:style>
  <w:style w:type="paragraph" w:styleId="Heading6">
    <w:name w:val="heading 6"/>
    <w:basedOn w:val="Normal"/>
    <w:next w:val="Normal"/>
    <w:link w:val="Heading6Char"/>
    <w:uiPriority w:val="9"/>
    <w:semiHidden/>
    <w:unhideWhenUsed/>
    <w:qFormat/>
    <w:rsid w:val="00312122"/>
    <w:pPr>
      <w:keepNext/>
      <w:keepLines/>
      <w:spacing w:before="40" w:after="0" w:line="259" w:lineRule="auto"/>
      <w:outlineLvl w:val="5"/>
    </w:pPr>
    <w:rPr>
      <w:rFonts w:eastAsiaTheme="majorEastAsia" w:cstheme="majorBidi"/>
      <w:i/>
      <w:iCs/>
      <w:color w:val="595959" w:themeColor="text1" w:themeTint="A6"/>
      <w:szCs w:val="22"/>
      <w:lang w:val="en-US"/>
    </w:rPr>
  </w:style>
  <w:style w:type="paragraph" w:styleId="Heading7">
    <w:name w:val="heading 7"/>
    <w:basedOn w:val="Normal"/>
    <w:next w:val="Normal"/>
    <w:link w:val="Heading7Char"/>
    <w:uiPriority w:val="9"/>
    <w:semiHidden/>
    <w:unhideWhenUsed/>
    <w:qFormat/>
    <w:rsid w:val="00312122"/>
    <w:pPr>
      <w:keepNext/>
      <w:keepLines/>
      <w:spacing w:before="40" w:after="0" w:line="259" w:lineRule="auto"/>
      <w:outlineLvl w:val="6"/>
    </w:pPr>
    <w:rPr>
      <w:rFonts w:eastAsiaTheme="majorEastAsia" w:cstheme="majorBidi"/>
      <w:color w:val="595959" w:themeColor="text1" w:themeTint="A6"/>
      <w:szCs w:val="22"/>
      <w:lang w:val="en-US"/>
    </w:rPr>
  </w:style>
  <w:style w:type="paragraph" w:styleId="Heading8">
    <w:name w:val="heading 8"/>
    <w:basedOn w:val="Normal"/>
    <w:next w:val="Normal"/>
    <w:link w:val="Heading8Char"/>
    <w:uiPriority w:val="9"/>
    <w:semiHidden/>
    <w:unhideWhenUsed/>
    <w:qFormat/>
    <w:rsid w:val="00312122"/>
    <w:pPr>
      <w:keepNext/>
      <w:keepLines/>
      <w:spacing w:after="0" w:line="259" w:lineRule="auto"/>
      <w:outlineLvl w:val="7"/>
    </w:pPr>
    <w:rPr>
      <w:rFonts w:eastAsiaTheme="majorEastAsia" w:cstheme="majorBidi"/>
      <w:i/>
      <w:iCs/>
      <w:color w:val="272727" w:themeColor="text1" w:themeTint="D8"/>
      <w:szCs w:val="22"/>
      <w:lang w:val="en-US"/>
    </w:rPr>
  </w:style>
  <w:style w:type="paragraph" w:styleId="Heading9">
    <w:name w:val="heading 9"/>
    <w:basedOn w:val="Normal"/>
    <w:next w:val="Normal"/>
    <w:link w:val="Heading9Char"/>
    <w:uiPriority w:val="9"/>
    <w:semiHidden/>
    <w:unhideWhenUsed/>
    <w:qFormat/>
    <w:rsid w:val="00312122"/>
    <w:pPr>
      <w:keepNext/>
      <w:keepLines/>
      <w:spacing w:after="0" w:line="259" w:lineRule="auto"/>
      <w:outlineLvl w:val="8"/>
    </w:pPr>
    <w:rPr>
      <w:rFonts w:eastAsiaTheme="majorEastAsia" w:cstheme="majorBidi"/>
      <w:color w:val="272727" w:themeColor="text1" w:themeTint="D8"/>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C14EB"/>
    <w:pPr>
      <w:spacing w:after="80" w:line="360" w:lineRule="auto"/>
      <w:contextualSpacing/>
      <w:jc w:val="both"/>
    </w:pPr>
    <w:rPr>
      <w:rFonts w:ascii="Times New Roman" w:eastAsiaTheme="majorEastAsia" w:hAnsi="Times New Roman" w:cstheme="majorBidi"/>
      <w:spacing w:val="-10"/>
      <w:kern w:val="28"/>
      <w:sz w:val="56"/>
      <w:szCs w:val="56"/>
      <w:lang w:val="en-IN"/>
    </w:rPr>
  </w:style>
  <w:style w:type="character" w:customStyle="1" w:styleId="TitleChar">
    <w:name w:val="Title Char"/>
    <w:basedOn w:val="DefaultParagraphFont"/>
    <w:link w:val="Title"/>
    <w:uiPriority w:val="10"/>
    <w:rsid w:val="006C14EB"/>
    <w:rPr>
      <w:rFonts w:ascii="Times New Roman" w:eastAsiaTheme="majorEastAsia" w:hAnsi="Times New Roman" w:cstheme="majorBidi"/>
      <w:spacing w:val="-10"/>
      <w:kern w:val="28"/>
      <w:sz w:val="56"/>
      <w:szCs w:val="56"/>
    </w:rPr>
  </w:style>
  <w:style w:type="character" w:customStyle="1" w:styleId="Heading1Char">
    <w:name w:val="Heading 1 Char"/>
    <w:basedOn w:val="DefaultParagraphFont"/>
    <w:link w:val="Heading1"/>
    <w:uiPriority w:val="9"/>
    <w:rsid w:val="00312122"/>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312122"/>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312122"/>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312122"/>
    <w:rPr>
      <w:rFonts w:eastAsiaTheme="majorEastAsia" w:cstheme="majorBidi"/>
      <w:i/>
      <w:iCs/>
      <w:color w:val="0F4761" w:themeColor="accent1" w:themeShade="BF"/>
      <w:szCs w:val="22"/>
      <w:lang w:val="en-US"/>
    </w:rPr>
  </w:style>
  <w:style w:type="character" w:customStyle="1" w:styleId="Heading5Char">
    <w:name w:val="Heading 5 Char"/>
    <w:basedOn w:val="DefaultParagraphFont"/>
    <w:link w:val="Heading5"/>
    <w:uiPriority w:val="9"/>
    <w:semiHidden/>
    <w:rsid w:val="00312122"/>
    <w:rPr>
      <w:rFonts w:eastAsiaTheme="majorEastAsia" w:cstheme="majorBidi"/>
      <w:color w:val="0F4761" w:themeColor="accent1" w:themeShade="BF"/>
      <w:szCs w:val="22"/>
      <w:lang w:val="en-US"/>
    </w:rPr>
  </w:style>
  <w:style w:type="character" w:customStyle="1" w:styleId="Heading6Char">
    <w:name w:val="Heading 6 Char"/>
    <w:basedOn w:val="DefaultParagraphFont"/>
    <w:link w:val="Heading6"/>
    <w:uiPriority w:val="9"/>
    <w:semiHidden/>
    <w:rsid w:val="00312122"/>
    <w:rPr>
      <w:rFonts w:eastAsiaTheme="majorEastAsia" w:cstheme="majorBidi"/>
      <w:i/>
      <w:iCs/>
      <w:color w:val="595959" w:themeColor="text1" w:themeTint="A6"/>
      <w:szCs w:val="22"/>
      <w:lang w:val="en-US"/>
    </w:rPr>
  </w:style>
  <w:style w:type="character" w:customStyle="1" w:styleId="Heading7Char">
    <w:name w:val="Heading 7 Char"/>
    <w:basedOn w:val="DefaultParagraphFont"/>
    <w:link w:val="Heading7"/>
    <w:uiPriority w:val="9"/>
    <w:semiHidden/>
    <w:rsid w:val="00312122"/>
    <w:rPr>
      <w:rFonts w:eastAsiaTheme="majorEastAsia" w:cstheme="majorBidi"/>
      <w:color w:val="595959" w:themeColor="text1" w:themeTint="A6"/>
      <w:szCs w:val="22"/>
      <w:lang w:val="en-US"/>
    </w:rPr>
  </w:style>
  <w:style w:type="character" w:customStyle="1" w:styleId="Heading8Char">
    <w:name w:val="Heading 8 Char"/>
    <w:basedOn w:val="DefaultParagraphFont"/>
    <w:link w:val="Heading8"/>
    <w:uiPriority w:val="9"/>
    <w:semiHidden/>
    <w:rsid w:val="00312122"/>
    <w:rPr>
      <w:rFonts w:eastAsiaTheme="majorEastAsia" w:cstheme="majorBidi"/>
      <w:i/>
      <w:iCs/>
      <w:color w:val="272727" w:themeColor="text1" w:themeTint="D8"/>
      <w:szCs w:val="22"/>
      <w:lang w:val="en-US"/>
    </w:rPr>
  </w:style>
  <w:style w:type="character" w:customStyle="1" w:styleId="Heading9Char">
    <w:name w:val="Heading 9 Char"/>
    <w:basedOn w:val="DefaultParagraphFont"/>
    <w:link w:val="Heading9"/>
    <w:uiPriority w:val="9"/>
    <w:semiHidden/>
    <w:rsid w:val="00312122"/>
    <w:rPr>
      <w:rFonts w:eastAsiaTheme="majorEastAsia" w:cstheme="majorBidi"/>
      <w:color w:val="272727" w:themeColor="text1" w:themeTint="D8"/>
      <w:szCs w:val="22"/>
      <w:lang w:val="en-US"/>
    </w:rPr>
  </w:style>
  <w:style w:type="paragraph" w:styleId="Subtitle">
    <w:name w:val="Subtitle"/>
    <w:basedOn w:val="Normal"/>
    <w:next w:val="Normal"/>
    <w:link w:val="SubtitleChar"/>
    <w:uiPriority w:val="11"/>
    <w:qFormat/>
    <w:rsid w:val="00312122"/>
    <w:pPr>
      <w:numPr>
        <w:ilvl w:val="1"/>
      </w:numPr>
      <w:spacing w:line="259" w:lineRule="auto"/>
    </w:pPr>
    <w:rPr>
      <w:rFonts w:eastAsiaTheme="majorEastAsia" w:cstheme="majorBidi"/>
      <w:color w:val="595959" w:themeColor="text1" w:themeTint="A6"/>
      <w:spacing w:val="15"/>
      <w:sz w:val="28"/>
      <w:szCs w:val="28"/>
      <w:lang w:val="en-US"/>
    </w:rPr>
  </w:style>
  <w:style w:type="character" w:customStyle="1" w:styleId="SubtitleChar">
    <w:name w:val="Subtitle Char"/>
    <w:basedOn w:val="DefaultParagraphFont"/>
    <w:link w:val="Subtitle"/>
    <w:uiPriority w:val="11"/>
    <w:rsid w:val="00312122"/>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312122"/>
    <w:pPr>
      <w:spacing w:before="160" w:line="259" w:lineRule="auto"/>
      <w:jc w:val="center"/>
    </w:pPr>
    <w:rPr>
      <w:rFonts w:ascii="Times New Roman" w:hAnsi="Times New Roman"/>
      <w:i/>
      <w:iCs/>
      <w:color w:val="404040" w:themeColor="text1" w:themeTint="BF"/>
      <w:szCs w:val="22"/>
      <w:lang w:val="en-US"/>
    </w:rPr>
  </w:style>
  <w:style w:type="character" w:customStyle="1" w:styleId="QuoteChar">
    <w:name w:val="Quote Char"/>
    <w:basedOn w:val="DefaultParagraphFont"/>
    <w:link w:val="Quote"/>
    <w:uiPriority w:val="29"/>
    <w:rsid w:val="00312122"/>
    <w:rPr>
      <w:rFonts w:ascii="Times New Roman" w:hAnsi="Times New Roman"/>
      <w:i/>
      <w:iCs/>
      <w:color w:val="404040" w:themeColor="text1" w:themeTint="BF"/>
      <w:szCs w:val="22"/>
      <w:lang w:val="en-US"/>
    </w:rPr>
  </w:style>
  <w:style w:type="paragraph" w:styleId="ListParagraph">
    <w:name w:val="List Paragraph"/>
    <w:basedOn w:val="Normal"/>
    <w:uiPriority w:val="34"/>
    <w:qFormat/>
    <w:rsid w:val="00312122"/>
    <w:pPr>
      <w:spacing w:line="259" w:lineRule="auto"/>
      <w:ind w:left="720"/>
      <w:contextualSpacing/>
    </w:pPr>
    <w:rPr>
      <w:rFonts w:ascii="Times New Roman" w:hAnsi="Times New Roman"/>
      <w:szCs w:val="22"/>
      <w:lang w:val="en-US"/>
    </w:rPr>
  </w:style>
  <w:style w:type="character" w:styleId="IntenseEmphasis">
    <w:name w:val="Intense Emphasis"/>
    <w:basedOn w:val="DefaultParagraphFont"/>
    <w:uiPriority w:val="21"/>
    <w:qFormat/>
    <w:rsid w:val="00312122"/>
    <w:rPr>
      <w:i/>
      <w:iCs/>
      <w:color w:val="0F4761" w:themeColor="accent1" w:themeShade="BF"/>
    </w:rPr>
  </w:style>
  <w:style w:type="paragraph" w:styleId="IntenseQuote">
    <w:name w:val="Intense Quote"/>
    <w:basedOn w:val="Normal"/>
    <w:next w:val="Normal"/>
    <w:link w:val="IntenseQuoteChar"/>
    <w:uiPriority w:val="30"/>
    <w:qFormat/>
    <w:rsid w:val="0031212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imes New Roman" w:hAnsi="Times New Roman"/>
      <w:i/>
      <w:iCs/>
      <w:color w:val="0F4761" w:themeColor="accent1" w:themeShade="BF"/>
      <w:szCs w:val="22"/>
      <w:lang w:val="en-US"/>
    </w:rPr>
  </w:style>
  <w:style w:type="character" w:customStyle="1" w:styleId="IntenseQuoteChar">
    <w:name w:val="Intense Quote Char"/>
    <w:basedOn w:val="DefaultParagraphFont"/>
    <w:link w:val="IntenseQuote"/>
    <w:uiPriority w:val="30"/>
    <w:rsid w:val="00312122"/>
    <w:rPr>
      <w:rFonts w:ascii="Times New Roman" w:hAnsi="Times New Roman"/>
      <w:i/>
      <w:iCs/>
      <w:color w:val="0F4761" w:themeColor="accent1" w:themeShade="BF"/>
      <w:szCs w:val="22"/>
      <w:lang w:val="en-US"/>
    </w:rPr>
  </w:style>
  <w:style w:type="character" w:styleId="IntenseReference">
    <w:name w:val="Intense Reference"/>
    <w:basedOn w:val="DefaultParagraphFont"/>
    <w:uiPriority w:val="32"/>
    <w:qFormat/>
    <w:rsid w:val="00312122"/>
    <w:rPr>
      <w:b/>
      <w:bCs/>
      <w:smallCaps/>
      <w:color w:val="0F4761" w:themeColor="accent1" w:themeShade="BF"/>
      <w:spacing w:val="5"/>
    </w:rPr>
  </w:style>
  <w:style w:type="table" w:styleId="TableGrid">
    <w:name w:val="Table Grid"/>
    <w:basedOn w:val="TableNormal"/>
    <w:uiPriority w:val="39"/>
    <w:rsid w:val="00312122"/>
    <w:pPr>
      <w:spacing w:after="0" w:line="240" w:lineRule="auto"/>
    </w:pPr>
    <w:rPr>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4159</Words>
  <Characters>23708</Characters>
  <Application>Microsoft Office Word</Application>
  <DocSecurity>0</DocSecurity>
  <Lines>197</Lines>
  <Paragraphs>55</Paragraphs>
  <ScaleCrop>false</ScaleCrop>
  <Company/>
  <LinksUpToDate>false</LinksUpToDate>
  <CharactersWithSpaces>27812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Ritwick George</dc:creator>
  <cp:keywords/>
  <dc:description/>
  <cp:lastModifiedBy>Ritwick George</cp:lastModifiedBy>
  <cp:revision>3</cp:revision>
  <dcterms:created xsi:type="dcterms:W3CDTF">2026-08-04T11:26:00Z</dcterms:created>
  <dcterms:modified xsi:type="dcterms:W3CDTF">2026-08-04T11:26:00Z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35b3175e-12ce-4787-86d5-90c56079cd02</vt:lpwstr>
  </property>
</Properties>
</file>