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46EE8" w14:textId="15F2C38E" w:rsidR="003A3F6C" w:rsidRPr="003A3F6C" w:rsidRDefault="003A3F6C" w:rsidP="003A3F6C">
      <w:pPr>
        <w:jc w:val="center"/>
        <w:rPr>
          <w:b/>
          <w:sz w:val="28"/>
          <w:szCs w:val="24"/>
        </w:rPr>
      </w:pPr>
      <w:bookmarkStart w:id="0" w:name="_Hlk50643574"/>
      <w:bookmarkEnd w:id="0"/>
      <w:r>
        <w:rPr>
          <w:b/>
          <w:sz w:val="28"/>
          <w:szCs w:val="24"/>
        </w:rPr>
        <w:t xml:space="preserve">Supplementary </w:t>
      </w:r>
      <w:r w:rsidR="008E40B7">
        <w:rPr>
          <w:b/>
          <w:sz w:val="28"/>
          <w:szCs w:val="24"/>
        </w:rPr>
        <w:t>N</w:t>
      </w:r>
      <w:r w:rsidR="00D76473">
        <w:rPr>
          <w:b/>
          <w:sz w:val="28"/>
          <w:szCs w:val="24"/>
        </w:rPr>
        <w:t xml:space="preserve">otes </w:t>
      </w:r>
      <w:r w:rsidR="000D72C8">
        <w:rPr>
          <w:b/>
          <w:sz w:val="28"/>
          <w:szCs w:val="24"/>
        </w:rPr>
        <w:t>1</w:t>
      </w:r>
      <w:r>
        <w:rPr>
          <w:b/>
          <w:sz w:val="28"/>
          <w:szCs w:val="24"/>
        </w:rPr>
        <w:t>: Samples and methods</w:t>
      </w:r>
    </w:p>
    <w:p w14:paraId="35002E31" w14:textId="33555EDA" w:rsidR="009658F2" w:rsidRDefault="009658F2" w:rsidP="00E82544">
      <w:r>
        <w:rPr>
          <w:b/>
        </w:rPr>
        <w:t>Samples</w:t>
      </w:r>
      <w:r w:rsidR="00971271">
        <w:rPr>
          <w:b/>
        </w:rPr>
        <w:t xml:space="preserve">: </w:t>
      </w:r>
      <w:r w:rsidR="005F7988" w:rsidRPr="005F7988">
        <w:t>Previously</w:t>
      </w:r>
      <w:r w:rsidR="005F7988">
        <w:rPr>
          <w:b/>
        </w:rPr>
        <w:t xml:space="preserve"> </w:t>
      </w:r>
      <w:r w:rsidR="005F7988">
        <w:t>published l</w:t>
      </w:r>
      <w:r w:rsidR="00183928" w:rsidRPr="00183928">
        <w:t>ow-te</w:t>
      </w:r>
      <w:r w:rsidR="00183928">
        <w:t xml:space="preserve">mperature thermochronological data </w:t>
      </w:r>
      <w:r w:rsidR="00FB43A2">
        <w:t>of</w:t>
      </w:r>
      <w:r w:rsidR="00183928">
        <w:t xml:space="preserve"> </w:t>
      </w:r>
      <w:r w:rsidR="005F7988">
        <w:t>55</w:t>
      </w:r>
      <w:r w:rsidR="00971271">
        <w:t xml:space="preserve"> samples</w:t>
      </w:r>
      <w:r w:rsidR="00DF2EB0">
        <w:t xml:space="preserve"> </w:t>
      </w:r>
      <w:r w:rsidR="00971271">
        <w:t xml:space="preserve">from western and central </w:t>
      </w:r>
      <w:r w:rsidR="00E16E2F">
        <w:t>Dronning Maud Land (</w:t>
      </w:r>
      <w:r w:rsidR="00971271">
        <w:t>DML</w:t>
      </w:r>
      <w:r w:rsidR="00E16E2F">
        <w:t>)</w:t>
      </w:r>
      <w:r w:rsidR="001655C4">
        <w:fldChar w:fldCharType="begin" w:fldLock="1"/>
      </w:r>
      <w:r w:rsidR="00C33FAB">
        <w:instrText>ADDIN CSL_CITATION {"citationItems":[{"id":"ITEM-1","itemData":{"DOI":"10.1016/j.gr.2018.04.017","ISSN":"1342937X","abstract":"The Dronning Maud Land Mountains form a c. 1500 km long, coast-parallel escarpment that possibly formed by flexural uplift during Jurassic rifting between East and West Gondwana. Contemporaneous to the rifting, considerable amounts of continental flood basalts, associated with the Karoo mantle plume, were emplaced at c. 183 Ma. The basalts are still widespread in South Africa, making up elevated topography, but are only preserved as smaller remnants in western Dronning Maud Land. By investigating the paleo-thermal effect of the basalts, we aim to constrain the extent and original thickness, as well as the subsequent erosion history of the Jurassic continental flood basalts. Thus, we have applied low-temperature thermochronological methods to 40 samples from western Dronning Maud Land. This has resulted in 34 new apatite fission track ages, ranging from c. 310 to 90 Ma, 31 apatite (U–Th)/He ages spanning from c. 400 to 50 Ma and, and 9 zircon (U–Th)/He ages between c. 650 and 200 Ma. Thermal modelling of 26 samples indicates variable thickness of the Jurassic basaltic cover. The greatest basaltic thicknesses are recorded in Heimefrontfjella and H.U. Sverdrupfjella, where up to c. 2 km are estimated. Thicknesses at Kirwanveggen, Hochlinfjellet, Midbresrabben and Ahlmannryggen range from c. 100 m to 600 m. Thickness variations are attributed to the proximity to the emplacement zone, possible pre-existing topography and syn-volcanic rift flank uplift. Since the continental flood basalt emplacement, two phases of enhanced cooling have been documented: 1) A Jurassic-Cretaceous cooling phase is attributed to reactivation of the Jutulstraumen–Penckgraben rift, the initial rifting and opening of the South Atlantic and enhanced chemical weathering and deep erosion due to a Jurassic temperate–subtropical climate. 2) Late Paleogene cooling is attributed to the transition from green house to ice-house conditions and ice-sheet initiation at the Eocene-Oligocene boundary. Post-Jurassic denudation of at least 2 km in some places is suggested.","author":[{"dropping-particle":"","family":"Sirevaag","given":"Hallgeir","non-dropping-particle":"","parse-names":false,"suffix":""},{"dropping-particle":"","family":"Jacobs","given":"Joachim","non-dropping-particle":"","parse-names":false,"suffix":""},{"dropping-particle":"","family":"Ksienzyk","given":"Anna K.","non-dropping-particle":"","parse-names":false,"suffix":""},{"dropping-particle":"","family":"Dunkl","given":"István","non-dropping-particle":"","parse-names":false,"suffix":""},{"dropping-particle":"","family":"Marschall","given":"Horst R.","non-dropping-particle":"","parse-names":false,"suffix":""}],"container-title":"Gondwana Research","id":"ITEM-1","issued":{"date-parts":[["2018"]]},"page":"222-243","publisher":"International Association for Gondwana Research","title":"Extent, thickness and erosion of the Jurassic continental flood basalts of Dronning Maud Land, East Antarctica: A low-T thermochronological approach","type":"article-journal","volume":"61"},"uris":["http://www.mendeley.com/documents/?uuid=eb8cf322-8a73-4544-92de-730f1e053ec9"]},{"id":"ITEM-2","itemData":{"DOI":"10.3390/geosciences8110390","abstract":"The lack of preserved Mesozoic–Cenozoic sediments and structures in central Dronning Maud Land has so far limited our understanding of the post-Pan-African evolution of this important part of East Antarctica. In order to investigate the thermal evolution of the basement rocks and place constraints on landscape evolution, we present new low-temperature thermochronological data from 34 samples. Apatite fission track ages range from 280–85 Ma, while single-grain (U-Th)/He ages from apatite and zircon range from 305–15 and 420–340 Ma, respectively. Our preferred thermal history models suggest late Paleozoic–early Mesozoic peneplanation and subsequent burial by 3–6 km of Beacon sediments. The samples experienced no additional burial in the Jurassic, thus the once voluminous continental flood basalts of western Dronning Maud Land did not reach central Dronning Maud Land. Mesozoic–early Cenozoic cooling of the samples was slow. Contrary to western Dronning Maud Land, central Dronning Maud Land lacks a mid-Cretaceous cooling phase. We therefore suggest that the mid-Cretaceous cooling of western Dronning Maud Land should be attributed to the proximity to the collapse of the orogenic plateau at the Panthalassic margin of Gondwana. Cooling rates accelerated considerably with the onset of glaciation at 34 Ma, due to climate deterioration and glacial denudation of up to 2 km.","author":[{"dropping-particle":"","family":"Sirevaag","given":"Hallgeir","non-dropping-particle":"","parse-names":false,"suffix":""},{"dropping-particle":"","family":"Ksienzyk","given":"Anna K.","non-dropping-particle":"","parse-names":false,"suffix":""},{"dropping-particle":"","family":"Jacobs","given":"Joachim","non-dropping-particle":"","parse-names":false,"suffix":""},{"dropping-particle":"","family":"Dunkl","given":"István","non-dropping-particle":"","parse-names":false,"suffix":""},{"dropping-particle":"","family":"Läufer","given":"Andreas","non-dropping-particle":"","parse-names":false,"suffix":""}],"container-title":"Geosciences","id":"ITEM-2","issue":"11","issued":{"date-parts":[["2018"]]},"page":"390","title":"Tectono-thermal evolution and morphodynamics of the Central Dronning Maud Land Mountains, East Antarctica, based on new thermochronological data","type":"article-journal","volume":"8"},"uris":["http://www.mendeley.com/documents/?uuid=b445cd7c-a4ee-443b-8584-96cf13bb5856"]}],"mendeley":{"formattedCitation":"&lt;sup&gt;1,2&lt;/sup&gt;","plainTextFormattedCitation":"1,2","previouslyFormattedCitation":"&lt;sup&gt;1,2&lt;/sup&gt;"},"properties":{"noteIndex":0},"schema":"https://github.com/citation-style-language/schema/raw/master/csl-citation.json"}</w:instrText>
      </w:r>
      <w:r w:rsidR="001655C4">
        <w:fldChar w:fldCharType="separate"/>
      </w:r>
      <w:r w:rsidR="003D1E16" w:rsidRPr="003D1E16">
        <w:rPr>
          <w:noProof/>
          <w:vertAlign w:val="superscript"/>
        </w:rPr>
        <w:t>1,2</w:t>
      </w:r>
      <w:r w:rsidR="001655C4">
        <w:fldChar w:fldCharType="end"/>
      </w:r>
      <w:r w:rsidR="001655C4">
        <w:t xml:space="preserve"> </w:t>
      </w:r>
      <w:r w:rsidR="00F31C1B">
        <w:t xml:space="preserve"> </w:t>
      </w:r>
      <w:r w:rsidR="00971271">
        <w:t xml:space="preserve">are re-evaluated in this study. The samples are mainly derived from the basement within the </w:t>
      </w:r>
      <w:r w:rsidR="00E82544">
        <w:t xml:space="preserve">Archean </w:t>
      </w:r>
      <w:proofErr w:type="spellStart"/>
      <w:r w:rsidR="00971271">
        <w:t>Grunehogna</w:t>
      </w:r>
      <w:proofErr w:type="spellEnd"/>
      <w:r w:rsidR="00971271">
        <w:t xml:space="preserve"> Craton, the </w:t>
      </w:r>
      <w:r w:rsidR="00E82544">
        <w:t xml:space="preserve">Mesoproterozoic </w:t>
      </w:r>
      <w:r w:rsidR="00971271">
        <w:t xml:space="preserve">Maud </w:t>
      </w:r>
      <w:proofErr w:type="gramStart"/>
      <w:r w:rsidR="00971271">
        <w:t>Belt</w:t>
      </w:r>
      <w:proofErr w:type="gramEnd"/>
      <w:r w:rsidR="00971271">
        <w:t xml:space="preserve"> and the </w:t>
      </w:r>
      <w:proofErr w:type="spellStart"/>
      <w:r w:rsidR="00971271">
        <w:t>Tonian</w:t>
      </w:r>
      <w:proofErr w:type="spellEnd"/>
      <w:r w:rsidR="00971271">
        <w:t xml:space="preserve"> Oceanic Arc Super Terrane</w:t>
      </w:r>
      <w:r w:rsidR="00E16E2F">
        <w:t xml:space="preserve"> (TOAST)</w:t>
      </w:r>
      <w:r w:rsidR="00971271">
        <w:t xml:space="preserve"> at elevation</w:t>
      </w:r>
      <w:r w:rsidR="00F31C1B">
        <w:t>s</w:t>
      </w:r>
      <w:r w:rsidR="00971271">
        <w:t xml:space="preserve"> between sea-level and c. 3000 </w:t>
      </w:r>
      <w:proofErr w:type="spellStart"/>
      <w:r w:rsidR="00971271">
        <w:t>masl</w:t>
      </w:r>
      <w:proofErr w:type="spellEnd"/>
      <w:r w:rsidR="0006477F">
        <w:t xml:space="preserve"> (Fig. S</w:t>
      </w:r>
      <w:r w:rsidR="00925994">
        <w:t xml:space="preserve">upplementary Figure </w:t>
      </w:r>
      <w:r w:rsidR="0006477F">
        <w:t>1)</w:t>
      </w:r>
      <w:r w:rsidR="00971271">
        <w:t xml:space="preserve">. </w:t>
      </w:r>
      <w:r w:rsidR="00E82544">
        <w:t xml:space="preserve">Two of the samples from the </w:t>
      </w:r>
      <w:r w:rsidR="00F94701">
        <w:t>southwestern</w:t>
      </w:r>
      <w:r w:rsidR="00E82544">
        <w:t xml:space="preserve"> Maud Belt (Heimefrontfjella) are granitic </w:t>
      </w:r>
      <w:proofErr w:type="spellStart"/>
      <w:r w:rsidR="00E82544">
        <w:t>dropstones</w:t>
      </w:r>
      <w:proofErr w:type="spellEnd"/>
      <w:r w:rsidR="00E82544">
        <w:t xml:space="preserve"> from the lowermost part of the Beacon sediments, obtained few meters</w:t>
      </w:r>
      <w:r w:rsidR="00DF2EB0" w:rsidRPr="00711131">
        <w:t xml:space="preserve"> above the </w:t>
      </w:r>
      <w:r w:rsidR="00711131" w:rsidRPr="00711131">
        <w:t xml:space="preserve">Late Paleozoic </w:t>
      </w:r>
      <w:r w:rsidR="00D74E76">
        <w:t>paleosurface</w:t>
      </w:r>
      <w:r w:rsidR="00DF2EB0" w:rsidRPr="00711131">
        <w:t xml:space="preserve"> in Heimefrontfjella (c. 2100 </w:t>
      </w:r>
      <w:proofErr w:type="spellStart"/>
      <w:r w:rsidR="00DF2EB0" w:rsidRPr="00711131">
        <w:t>masl</w:t>
      </w:r>
      <w:proofErr w:type="spellEnd"/>
      <w:r w:rsidR="00DF2EB0" w:rsidRPr="00711131">
        <w:t>).</w:t>
      </w:r>
    </w:p>
    <w:p w14:paraId="2BACDA24" w14:textId="4E5BF055" w:rsidR="00D74F14" w:rsidRDefault="00D74F14" w:rsidP="00C87C01">
      <w:pPr>
        <w:spacing w:after="0"/>
        <w:rPr>
          <w:b/>
        </w:rPr>
      </w:pPr>
      <w:r>
        <w:rPr>
          <w:noProof/>
        </w:rPr>
        <w:drawing>
          <wp:inline distT="0" distB="0" distL="0" distR="0" wp14:anchorId="1EBAE794" wp14:editId="4739968B">
            <wp:extent cx="5967090" cy="438140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5967090" cy="4381405"/>
                    </a:xfrm>
                    <a:prstGeom prst="rect">
                      <a:avLst/>
                    </a:prstGeom>
                  </pic:spPr>
                </pic:pic>
              </a:graphicData>
            </a:graphic>
          </wp:inline>
        </w:drawing>
      </w:r>
    </w:p>
    <w:p w14:paraId="51F5DDBF" w14:textId="60F2D217" w:rsidR="00FA5C75" w:rsidRPr="00D74F14" w:rsidRDefault="00FA5C75" w:rsidP="00FA5C75">
      <w:pPr>
        <w:spacing w:after="360" w:line="276" w:lineRule="auto"/>
        <w:rPr>
          <w:bCs/>
          <w:i/>
          <w:iCs/>
        </w:rPr>
      </w:pPr>
      <w:r>
        <w:rPr>
          <w:b/>
          <w:i/>
          <w:iCs/>
        </w:rPr>
        <w:t xml:space="preserve">Supplementary Figure 1 – Sample locations. </w:t>
      </w:r>
      <w:r>
        <w:rPr>
          <w:bCs/>
          <w:i/>
          <w:iCs/>
        </w:rPr>
        <w:t>Location of samples from western</w:t>
      </w:r>
      <w:r>
        <w:rPr>
          <w:bCs/>
          <w:i/>
          <w:iCs/>
        </w:rPr>
        <w:fldChar w:fldCharType="begin" w:fldLock="1"/>
      </w:r>
      <w:r>
        <w:rPr>
          <w:bCs/>
          <w:i/>
          <w:iCs/>
        </w:rPr>
        <w:instrText>ADDIN CSL_CITATION {"citationItems":[{"id":"ITEM-1","itemData":{"DOI":"10.1016/j.gr.2018.04.017","ISSN":"1342937X","abstract":"The Dronning Maud Land Mountains form a c. 1500 km long, coast-parallel escarpment that possibly formed by flexural uplift during Jurassic rifting between East and West Gondwana. Contemporaneous to the rifting, considerable amounts of continental flood basalts, associated with the Karoo mantle plume, were emplaced at c. 183 Ma. The basalts are still widespread in South Africa, making up elevated topography, but are only preserved as smaller remnants in western Dronning Maud Land. By investigating the paleo-thermal effect of the basalts, we aim to constrain the extent and original thickness, as well as the subsequent erosion history of the Jurassic continental flood basalts. Thus, we have applied low-temperature thermochronological methods to 40 samples from western Dronning Maud Land. This has resulted in 34 new apatite fission track ages, ranging from c. 310 to 90 Ma, 31 apatite (U–Th)/He ages spanning from c. 400 to 50 Ma and, and 9 zircon (U–Th)/He ages between c. 650 and 200 Ma. Thermal modelling of 26 samples indicates variable thickness of the Jurassic basaltic cover. The greatest basaltic thicknesses are recorded in Heimefrontfjella and H.U. Sverdrupfjella, where up to c. 2 km are estimated. Thicknesses at Kirwanveggen, Hochlinfjellet, Midbresrabben and Ahlmannryggen range from c. 100 m to 600 m. Thickness variations are attributed to the proximity to the emplacement zone, possible pre-existing topography and syn-volcanic rift flank uplift. Since the continental flood basalt emplacement, two phases of enhanced cooling have been documented: 1) A Jurassic-Cretaceous cooling phase is attributed to reactivation of the Jutulstraumen–Penckgraben rift, the initial rifting and opening of the South Atlantic and enhanced chemical weathering and deep erosion due to a Jurassic temperate–subtropical climate. 2) Late Paleogene cooling is attributed to the transition from green house to ice-house conditions and ice-sheet initiation at the Eocene-Oligocene boundary. Post-Jurassic denudation of at least 2 km in some places is suggested.","author":[{"dropping-particle":"","family":"Sirevaag","given":"Hallgeir","non-dropping-particle":"","parse-names":false,"suffix":""},{"dropping-particle":"","family":"Jacobs","given":"Joachim","non-dropping-particle":"","parse-names":false,"suffix":""},{"dropping-particle":"","family":"Ksienzyk","given":"Anna K.","non-dropping-particle":"","parse-names":false,"suffix":""},{"dropping-particle":"","family":"Dunkl","given":"István","non-dropping-particle":"","parse-names":false,"suffix":""},{"dropping-particle":"","family":"Marschall","given":"Horst R.","non-dropping-particle":"","parse-names":false,"suffix":""}],"container-title":"Gondwana Research","id":"ITEM-1","issued":{"date-parts":[["2018"]]},"page":"222-243","publisher":"International Association for Gondwana Research","title":"Extent, thickness and erosion of the Jurassic continental flood basalts of Dronning Maud Land, East Antarctica: A low-T thermochronological approach","type":"article-journal","volume":"61"},"uris":["http://www.mendeley.com/documents/?uuid=eb8cf322-8a73-4544-92de-730f1e053ec9"]}],"mendeley":{"formattedCitation":"&lt;sup&gt;1&lt;/sup&gt;","plainTextFormattedCitation":"1","previouslyFormattedCitation":"&lt;sup&gt;1&lt;/sup&gt;"},"properties":{"noteIndex":0},"schema":"https://github.com/citation-style-language/schema/raw/master/csl-citation.json"}</w:instrText>
      </w:r>
      <w:r>
        <w:rPr>
          <w:bCs/>
          <w:i/>
          <w:iCs/>
        </w:rPr>
        <w:fldChar w:fldCharType="separate"/>
      </w:r>
      <w:r w:rsidRPr="003D1E16">
        <w:rPr>
          <w:bCs/>
          <w:iCs/>
          <w:noProof/>
          <w:vertAlign w:val="superscript"/>
        </w:rPr>
        <w:t>1</w:t>
      </w:r>
      <w:r>
        <w:rPr>
          <w:bCs/>
          <w:i/>
          <w:iCs/>
        </w:rPr>
        <w:fldChar w:fldCharType="end"/>
      </w:r>
      <w:r>
        <w:rPr>
          <w:bCs/>
          <w:i/>
          <w:iCs/>
        </w:rPr>
        <w:t xml:space="preserve"> and central</w:t>
      </w:r>
      <w:r>
        <w:rPr>
          <w:bCs/>
          <w:i/>
          <w:iCs/>
        </w:rPr>
        <w:fldChar w:fldCharType="begin" w:fldLock="1"/>
      </w:r>
      <w:r>
        <w:rPr>
          <w:bCs/>
          <w:i/>
          <w:iCs/>
        </w:rPr>
        <w:instrText>ADDIN CSL_CITATION {"citationItems":[{"id":"ITEM-1","itemData":{"DOI":"10.3390/geosciences8110390","abstract":"The lack of preserved Mesozoic–Cenozoic sediments and structures in central Dronning Maud Land has so far limited our understanding of the post-Pan-African evolution of this important part of East Antarctica. In order to investigate the thermal evolution of the basement rocks and place constraints on landscape evolution, we present new low-temperature thermochronological data from 34 samples. Apatite fission track ages range from 280–85 Ma, while single-grain (U-Th)/He ages from apatite and zircon range from 305–15 and 420–340 Ma, respectively. Our preferred thermal history models suggest late Paleozoic–early Mesozoic peneplanation and subsequent burial by 3–6 km of Beacon sediments. The samples experienced no additional burial in the Jurassic, thus the once voluminous continental flood basalts of western Dronning Maud Land did not reach central Dronning Maud Land. Mesozoic–early Cenozoic cooling of the samples was slow. Contrary to western Dronning Maud Land, central Dronning Maud Land lacks a mid-Cretaceous cooling phase. We therefore suggest that the mid-Cretaceous cooling of western Dronning Maud Land should be attributed to the proximity to the collapse of the orogenic plateau at the Panthalassic margin of Gondwana. Cooling rates accelerated considerably with the onset of glaciation at 34 Ma, due to climate deterioration and glacial denudation of up to 2 km.","author":[{"dropping-particle":"","family":"Sirevaag","given":"Hallgeir","non-dropping-particle":"","parse-names":false,"suffix":""},{"dropping-particle":"","family":"Ksienzyk","given":"Anna K.","non-dropping-particle":"","parse-names":false,"suffix":""},{"dropping-particle":"","family":"Jacobs","given":"Joachim","non-dropping-particle":"","parse-names":false,"suffix":""},{"dropping-particle":"","family":"Dunkl","given":"István","non-dropping-particle":"","parse-names":false,"suffix":""},{"dropping-particle":"","family":"Läufer","given":"Andreas","non-dropping-particle":"","parse-names":false,"suffix":""}],"container-title":"Geosciences","id":"ITEM-1","issue":"11","issued":{"date-parts":[["2018"]]},"page":"390","title":"Tectono-thermal evolution and morphodynamics of the Central Dronning Maud Land Mountains, East Antarctica, based on new thermochronological data","type":"article-journal","volume":"8"},"uris":["http://www.mendeley.com/documents/?uuid=b445cd7c-a4ee-443b-8584-96cf13bb5856"]}],"mendeley":{"formattedCitation":"&lt;sup&gt;2&lt;/sup&gt;","plainTextFormattedCitation":"2","previouslyFormattedCitation":"&lt;sup&gt;2&lt;/sup&gt;"},"properties":{"noteIndex":0},"schema":"https://github.com/citation-style-language/schema/raw/master/csl-citation.json"}</w:instrText>
      </w:r>
      <w:r>
        <w:rPr>
          <w:bCs/>
          <w:i/>
          <w:iCs/>
        </w:rPr>
        <w:fldChar w:fldCharType="separate"/>
      </w:r>
      <w:r w:rsidRPr="003D1E16">
        <w:rPr>
          <w:bCs/>
          <w:iCs/>
          <w:noProof/>
          <w:vertAlign w:val="superscript"/>
        </w:rPr>
        <w:t>2</w:t>
      </w:r>
      <w:r>
        <w:rPr>
          <w:bCs/>
          <w:i/>
          <w:iCs/>
        </w:rPr>
        <w:fldChar w:fldCharType="end"/>
      </w:r>
      <w:r>
        <w:rPr>
          <w:bCs/>
          <w:i/>
          <w:iCs/>
        </w:rPr>
        <w:t xml:space="preserve"> Dronning Maud Land used in this study. The boundary between central DML and western DML is placed at 5 </w:t>
      </w:r>
      <w:r>
        <w:rPr>
          <w:rFonts w:cs="Times New Roman"/>
          <w:bCs/>
          <w:i/>
          <w:iCs/>
        </w:rPr>
        <w:t>°</w:t>
      </w:r>
      <w:r>
        <w:rPr>
          <w:bCs/>
          <w:i/>
          <w:iCs/>
        </w:rPr>
        <w:t xml:space="preserve">E. Base map and inset were obtained from the </w:t>
      </w:r>
      <w:proofErr w:type="spellStart"/>
      <w:r>
        <w:rPr>
          <w:bCs/>
          <w:i/>
          <w:iCs/>
        </w:rPr>
        <w:t>Quantarctica</w:t>
      </w:r>
      <w:proofErr w:type="spellEnd"/>
      <w:r>
        <w:rPr>
          <w:bCs/>
          <w:i/>
          <w:iCs/>
        </w:rPr>
        <w:t xml:space="preserve"> package</w:t>
      </w:r>
      <w:r>
        <w:rPr>
          <w:bCs/>
          <w:i/>
          <w:iCs/>
        </w:rPr>
        <w:fldChar w:fldCharType="begin" w:fldLock="1"/>
      </w:r>
      <w:r>
        <w:rPr>
          <w:bCs/>
          <w:i/>
          <w:iCs/>
        </w:rPr>
        <w:instrText>ADDIN CSL_CITATION {"citationItems":[{"id":"ITEM-1","itemData":{"DOI":"10.21334/npolar.2018.8516e961","author":[{"dropping-particle":"","family":"Matsuoka","given":"Kenichi","non-dropping-particle":"","parse-names":false,"suffix":""},{"dropping-particle":"","family":"Skoglund","given":"Anders","non-dropping-particle":"","parse-names":false,"suffix":""},{"dropping-particle":"","family":"Roth","given":"George","non-dropping-particle":"","parse-names":false,"suffix":""}],"id":"ITEM-1","issued":{"date-parts":[["2018"]]},"title":"Quantarctica [Data Set]","type":"article"},"uris":["http://www.mendeley.com/documents/?uuid=741cb3ce-5fc9-4068-a39d-79b396495c12"]}],"mendeley":{"formattedCitation":"&lt;sup&gt;3&lt;/sup&gt;","plainTextFormattedCitation":"3"},"properties":{"noteIndex":0},"schema":"https://github.com/citation-style-language/schema/raw/master/csl-citation.json"}</w:instrText>
      </w:r>
      <w:r>
        <w:rPr>
          <w:bCs/>
          <w:i/>
          <w:iCs/>
        </w:rPr>
        <w:fldChar w:fldCharType="separate"/>
      </w:r>
      <w:r w:rsidRPr="00C33FAB">
        <w:rPr>
          <w:bCs/>
          <w:iCs/>
          <w:noProof/>
          <w:vertAlign w:val="superscript"/>
        </w:rPr>
        <w:t>3</w:t>
      </w:r>
      <w:r>
        <w:rPr>
          <w:bCs/>
          <w:i/>
          <w:iCs/>
        </w:rPr>
        <w:fldChar w:fldCharType="end"/>
      </w:r>
      <w:r>
        <w:rPr>
          <w:bCs/>
          <w:i/>
          <w:iCs/>
        </w:rPr>
        <w:t xml:space="preserve">. EAAO – East African-Antarctic Orogen; TOAST – </w:t>
      </w:r>
      <w:proofErr w:type="spellStart"/>
      <w:r>
        <w:rPr>
          <w:bCs/>
          <w:i/>
          <w:iCs/>
        </w:rPr>
        <w:t>Tonian</w:t>
      </w:r>
      <w:proofErr w:type="spellEnd"/>
      <w:r>
        <w:rPr>
          <w:bCs/>
          <w:i/>
          <w:iCs/>
        </w:rPr>
        <w:t xml:space="preserve"> Oceanic Arc Super Terrane.</w:t>
      </w:r>
    </w:p>
    <w:p w14:paraId="4EF496F1" w14:textId="1B1495C5" w:rsidR="00E20CEC" w:rsidRPr="005565C6" w:rsidRDefault="009658F2" w:rsidP="00C87C01">
      <w:pPr>
        <w:rPr>
          <w:color w:val="FF0000"/>
        </w:rPr>
      </w:pPr>
      <w:r w:rsidRPr="009658F2">
        <w:rPr>
          <w:b/>
        </w:rPr>
        <w:lastRenderedPageBreak/>
        <w:t>Thermal history modeling</w:t>
      </w:r>
      <w:r>
        <w:rPr>
          <w:b/>
        </w:rPr>
        <w:t xml:space="preserve">: </w:t>
      </w:r>
      <w:r>
        <w:t xml:space="preserve">Thermal history modeling of the 55 samples was done in </w:t>
      </w:r>
      <w:proofErr w:type="spellStart"/>
      <w:r>
        <w:t>HeFTy</w:t>
      </w:r>
      <w:proofErr w:type="spellEnd"/>
      <w:r w:rsidR="00BE7F91">
        <w:t xml:space="preserve"> (v. 1.9.1</w:t>
      </w:r>
      <w:r w:rsidR="003D1E16">
        <w:fldChar w:fldCharType="begin" w:fldLock="1"/>
      </w:r>
      <w:r w:rsidR="00C33FAB">
        <w:instrText>ADDIN CSL_CITATION {"citationItems":[{"id":"ITEM-1","itemData":{"author":[{"dropping-particle":"","family":"Ketcham","given":"Richard A.","non-dropping-particle":"","parse-names":false,"suffix":""}],"id":"ITEM-1","issued":{"date-parts":[["2016"]]},"title":"HeFTy v. 1.9.1","type":"article"},"uris":["http://www.mendeley.com/documents/?uuid=d7ab5f29-4b48-4528-8435-8e013e38ab98"]}],"mendeley":{"formattedCitation":"&lt;sup&gt;4&lt;/sup&gt;","plainTextFormattedCitation":"4","previouslyFormattedCitation":"&lt;sup&gt;3&lt;/sup&gt;"},"properties":{"noteIndex":0},"schema":"https://github.com/citation-style-language/schema/raw/master/csl-citation.json"}</w:instrText>
      </w:r>
      <w:r w:rsidR="003D1E16">
        <w:fldChar w:fldCharType="separate"/>
      </w:r>
      <w:r w:rsidR="00C33FAB" w:rsidRPr="00C33FAB">
        <w:rPr>
          <w:noProof/>
          <w:vertAlign w:val="superscript"/>
        </w:rPr>
        <w:t>4</w:t>
      </w:r>
      <w:r w:rsidR="003D1E16">
        <w:fldChar w:fldCharType="end"/>
      </w:r>
      <w:r w:rsidR="00BE7F91">
        <w:t>)</w:t>
      </w:r>
      <w:r>
        <w:t xml:space="preserve">. For thermal history modeling of apatite </w:t>
      </w:r>
      <w:r w:rsidR="003D1E16">
        <w:t>fission-</w:t>
      </w:r>
      <w:r>
        <w:t xml:space="preserve">track data, </w:t>
      </w:r>
      <w:r w:rsidR="00BE7F91">
        <w:t>confined track lengths were c-axis projected</w:t>
      </w:r>
      <w:r w:rsidR="001655C4">
        <w:fldChar w:fldCharType="begin" w:fldLock="1"/>
      </w:r>
      <w:r w:rsidR="00C33FAB">
        <w:instrText>ADDIN CSL_CITATION {"citationItems":[{"id":"ITEM-1","itemData":{"DOI":"10.2138/am.2007.2280","ISSN":"0003004X","abstract":"Apatite fission-track length data are used extensively for thermal history inversion. However, several studies have documented instances of poor reproducibility of length data. We address this problem by using c-axis projection to normalize track lengths for crystallographic angle in the extensive laboratory annealing data set acquired by Barbarand et al. (2003a, 2003b). A new simplification reduces the c-axis projection model from six to four fitted parameters. Normalizing for track angle using c-axis projection improves every aspect of length measurement reproducibility examined. It accelerates convergence of mean length in single analyses; increases consistency among replicate measurements by a single analyst; enhances consistency of measurements of the same mounts by different analysts; and improves the match between analyses conducted with and without Cf-irradiation. C-axis projection is also shown to enhance the thermal sensitivity of length data. Based on these results, we assert that c-axis projection is a good means of compensating for observer bias, although it does not overcome differences caused by experimental error.","author":[{"dropping-particle":"","family":"Ketcham","given":"Richard A.","non-dropping-particle":"","parse-names":false,"suffix":""},{"dropping-particle":"","family":"Carter","given":"Andrew","non-dropping-particle":"","parse-names":false,"suffix":""},{"dropping-particle":"","family":"Donelick","given":"Raymond A.","non-dropping-particle":"","parse-names":false,"suffix":""},{"dropping-particle":"","family":"Barbarand","given":"Jocelyn","non-dropping-particle":"","parse-names":false,"suffix":""},{"dropping-particle":"","family":"Hurford","given":"Anthony J.","non-dropping-particle":"","parse-names":false,"suffix":""}],"container-title":"American Mineralogist","id":"ITEM-1","issue":"5-6","issued":{"date-parts":[["2007"]]},"page":"789-798","title":"Improved measurement of fission-track annealing in apatite using c-axis projection","type":"article-journal","volume":"92"},"uris":["http://www.mendeley.com/documents/?uuid=441eef24-f111-4ac9-b259-101a36f6e52b"]}],"mendeley":{"formattedCitation":"&lt;sup&gt;5&lt;/sup&gt;","plainTextFormattedCitation":"5","previouslyFormattedCitation":"&lt;sup&gt;4&lt;/sup&gt;"},"properties":{"noteIndex":0},"schema":"https://github.com/citation-style-language/schema/raw/master/csl-citation.json"}</w:instrText>
      </w:r>
      <w:r w:rsidR="001655C4">
        <w:fldChar w:fldCharType="separate"/>
      </w:r>
      <w:r w:rsidR="00C33FAB" w:rsidRPr="00C33FAB">
        <w:rPr>
          <w:noProof/>
          <w:vertAlign w:val="superscript"/>
        </w:rPr>
        <w:t>5</w:t>
      </w:r>
      <w:r w:rsidR="001655C4">
        <w:fldChar w:fldCharType="end"/>
      </w:r>
      <w:r w:rsidR="00BE7F91">
        <w:t xml:space="preserve">, and </w:t>
      </w:r>
      <w:r>
        <w:t>the annealing model of</w:t>
      </w:r>
      <w:r w:rsidR="00BE7F91">
        <w:t xml:space="preserve"> </w:t>
      </w:r>
      <w:r w:rsidR="001655C4">
        <w:t xml:space="preserve"> Ketcham et al.</w:t>
      </w:r>
      <w:r w:rsidR="001655C4">
        <w:fldChar w:fldCharType="begin" w:fldLock="1"/>
      </w:r>
      <w:r w:rsidR="00C33FAB">
        <w:instrText>ADDIN CSL_CITATION {"citationItems":[{"id":"ITEM-1","itemData":{"DOI":"10.2138/am.2007.2281","ISSN":"0003004X","abstract":"Two abiding issues impact the reliability of apatite fission-track analysis and thermal history inversion in particular: reproducibility of track-length measurements and variability of annealing kinetics. In the companion to this paper, we addressed the first by demonstrating that using c-axis projection to normalize track lengths for crystallographic angle improves reproducibility among measurements acquired by Barbarand et al. (2003a, 2003b). We continue here by looking at the effect of c-axis projection on extrapolation of laboratory measurements to geological time scales. We find that c-axis projection improves agreement between predictions of empirical annealing models fit to measurements by Barbarand et al. (2003b) analysts 1 and 3, further corroborating its effectiveness in ameliorating observer bias. Furthermore, these annealing models closely match predictions from the Carlson et al. (1999) annealing data set, which was obtained by a different analyst using a different etching protocol. Normalizing for angle thus allows us to create a single annealing model that encompasses both data sets and etching techniques. By combining the different compositional varieties of apatite in the two data sets, the resulting model provides an improved basis for estimating apatite kinetic properties in unknowns using proxies such as composition, etch-figure dimension, and unit-cell parameters. Predictions from a fanning curvilinear model form accord with conventional expectations of annealing at high and low temperatures, and its use for thermal history inversion will not introduce spurious late cooling events.","author":[{"dropping-particle":"","family":"Ketcham","given":"Richard A.","non-dropping-particle":"","parse-names":false,"suffix":""},{"dropping-particle":"","family":"Carter","given":"Andrew","non-dropping-particle":"","parse-names":false,"suffix":""},{"dropping-particle":"","family":"Donelick","given":"Raymond A.","non-dropping-particle":"","parse-names":false,"suffix":""},{"dropping-particle":"","family":"Barbarand","given":"Jocelyn","non-dropping-particle":"","parse-names":false,"suffix":""},{"dropping-particle":"","family":"Hurford","given":"Anthony J.","non-dropping-particle":"","parse-names":false,"suffix":""}],"container-title":"American Mineralogist","id":"ITEM-1","issue":"5-6","issued":{"date-parts":[["2007"]]},"page":"799-810","title":"Improved modeling of fission-track annealing in apatite","type":"article-journal","volume":"92"},"uris":["http://www.mendeley.com/documents/?uuid=d6c23257-b9f4-454b-9105-d99b6b4c52ae"]}],"mendeley":{"formattedCitation":"&lt;sup&gt;6&lt;/sup&gt;","plainTextFormattedCitation":"6","previouslyFormattedCitation":"&lt;sup&gt;5&lt;/sup&gt;"},"properties":{"noteIndex":0},"schema":"https://github.com/citation-style-language/schema/raw/master/csl-citation.json"}</w:instrText>
      </w:r>
      <w:r w:rsidR="001655C4">
        <w:fldChar w:fldCharType="separate"/>
      </w:r>
      <w:r w:rsidR="00C33FAB" w:rsidRPr="00C33FAB">
        <w:rPr>
          <w:noProof/>
          <w:vertAlign w:val="superscript"/>
        </w:rPr>
        <w:t>6</w:t>
      </w:r>
      <w:r w:rsidR="001655C4">
        <w:fldChar w:fldCharType="end"/>
      </w:r>
      <w:r w:rsidR="001655C4">
        <w:t xml:space="preserve"> </w:t>
      </w:r>
      <w:r>
        <w:t>was applied</w:t>
      </w:r>
      <w:r w:rsidR="004A4E45">
        <w:t>.</w:t>
      </w:r>
      <w:r w:rsidR="00F622FE">
        <w:t xml:space="preserve"> Track lengths were calibrated </w:t>
      </w:r>
      <w:r w:rsidR="003D1E16">
        <w:t xml:space="preserve">against the Durango standard </w:t>
      </w:r>
      <w:r w:rsidR="003D1E16">
        <w:fldChar w:fldCharType="begin" w:fldLock="1"/>
      </w:r>
      <w:r w:rsidR="00C33FAB">
        <w:instrText>ADDIN CSL_CITATION {"citationItems":[{"id":"ITEM-1","itemData":{"DOI":"10.2138/am-2015-5167","ISSN":"19453027","abstract":"Apatite fission-track length and etch figure data are powerful tools for obtaining thermal history information, but both require human analysts making manual measurements and reproducibility is not assured. We report the results of an inter-laboratory study designed to clarify areas of congruence and divergence for these measurements and provide a basis for evaluating best practices to enhance intercompatibility of data sets. Four samples of megacrystic apatite from Durango, Mexico, with induced tracks, one unnannealed and three thermally annealed by varying amounts, were distributed internationally. In all, 55 analysts in 30 laboratory groups participated in the experiment. Relative mean track lengths among the samples were consistent across all analysts, but measurements for each sample showed scatter among labs and analysts considerably in excess of statistical expectation. Normalizing measurements of annealed samples using the unannealed sample improved consistency, as did normalizing for track angle using c-axis projection. Etch figure data also showed variability beyond statistical expectation, and consistency was improved by normalizing. Based on these data we recommend rigorous analyst training for length and etch figure measurement that includes measurement of standards, and that each analyst's data on unknowns be normalized by that analyst's own measurements on standards when using thermal history inverse modeling as part of the interpretation process.","author":[{"dropping-particle":"","family":"Ketcham","given":"Richard A.","non-dropping-particle":"","parse-names":false,"suffix":""},{"dropping-particle":"","family":"Carter","given":"Andrew","non-dropping-particle":"","parse-names":false,"suffix":""},{"dropping-particle":"","family":"Hurford","given":"Anthony J.","non-dropping-particle":"","parse-names":false,"suffix":""}],"container-title":"American Mineralogist","id":"ITEM-1","issue":"7","issued":{"date-parts":[["2015"]]},"page":"1452-1468","title":"Inter-laboratory comparison of fission track confined length and etch figure measurements in apatite","type":"article-journal","volume":"100"},"uris":["http://www.mendeley.com/documents/?uuid=ec6d7f0b-9d54-498d-8de3-fb5b35e6055b"]}],"mendeley":{"formattedCitation":"&lt;sup&gt;7&lt;/sup&gt;","plainTextFormattedCitation":"7","previouslyFormattedCitation":"&lt;sup&gt;6&lt;/sup&gt;"},"properties":{"noteIndex":0},"schema":"https://github.com/citation-style-language/schema/raw/master/csl-citation.json"}</w:instrText>
      </w:r>
      <w:r w:rsidR="003D1E16">
        <w:fldChar w:fldCharType="separate"/>
      </w:r>
      <w:r w:rsidR="00C33FAB" w:rsidRPr="00C33FAB">
        <w:rPr>
          <w:noProof/>
          <w:vertAlign w:val="superscript"/>
        </w:rPr>
        <w:t>7</w:t>
      </w:r>
      <w:r w:rsidR="003D1E16">
        <w:fldChar w:fldCharType="end"/>
      </w:r>
      <w:r w:rsidR="003D1E16">
        <w:t>,</w:t>
      </w:r>
      <w:r w:rsidR="00F622FE">
        <w:t xml:space="preserve"> using a </w:t>
      </w:r>
      <w:r w:rsidR="00FB43A2">
        <w:t xml:space="preserve">calibrated </w:t>
      </w:r>
      <w:r w:rsidR="00F622FE">
        <w:t>track length reduction factor of 0.998</w:t>
      </w:r>
      <w:r w:rsidR="003D1E16">
        <w:t>.</w:t>
      </w:r>
      <w:r w:rsidR="00843F92">
        <w:t xml:space="preserve"> </w:t>
      </w:r>
    </w:p>
    <w:p w14:paraId="7B0E39CA" w14:textId="5797727C" w:rsidR="0057646E" w:rsidRDefault="009658F2" w:rsidP="00C87C01">
      <w:r>
        <w:t>The resulting models (</w:t>
      </w:r>
      <w:r w:rsidR="00232DC7" w:rsidRPr="00232DC7">
        <w:t xml:space="preserve">Supplementary </w:t>
      </w:r>
      <w:r w:rsidR="00BD168B">
        <w:t>Notes</w:t>
      </w:r>
      <w:r w:rsidR="00FE26BF">
        <w:t xml:space="preserve"> </w:t>
      </w:r>
      <w:r w:rsidR="009159B6">
        <w:t>6</w:t>
      </w:r>
      <w:r>
        <w:t>) show good (goodness-of-fit</w:t>
      </w:r>
      <w:r w:rsidR="00AC5242">
        <w:t>s</w:t>
      </w:r>
      <w:r>
        <w:t xml:space="preserve"> </w:t>
      </w:r>
      <w:r>
        <w:rPr>
          <w:rFonts w:cs="Times New Roman"/>
        </w:rPr>
        <w:t>≥</w:t>
      </w:r>
      <w:r>
        <w:t xml:space="preserve"> 0.5) and acceptable (goodness-of-fit</w:t>
      </w:r>
      <w:r w:rsidR="00AC5242">
        <w:t>s</w:t>
      </w:r>
      <w:r>
        <w:t xml:space="preserve"> </w:t>
      </w:r>
      <w:r>
        <w:rPr>
          <w:rFonts w:cs="Times New Roman"/>
        </w:rPr>
        <w:t>≥</w:t>
      </w:r>
      <w:r>
        <w:t xml:space="preserve"> 0.05)</w:t>
      </w:r>
      <w:r w:rsidR="00D379A4">
        <w:t xml:space="preserve"> </w:t>
      </w:r>
      <w:r w:rsidR="00D379A4">
        <w:rPr>
          <w:i/>
          <w:iCs/>
        </w:rPr>
        <w:t xml:space="preserve">t – T </w:t>
      </w:r>
      <w:r w:rsidR="00D379A4" w:rsidRPr="00584BC7">
        <w:t>paths</w:t>
      </w:r>
      <w:r>
        <w:t xml:space="preserve">. The goodness-of-fit is calculated in </w:t>
      </w:r>
      <w:proofErr w:type="spellStart"/>
      <w:r>
        <w:t>HeFTy</w:t>
      </w:r>
      <w:proofErr w:type="spellEnd"/>
      <w:r>
        <w:t>, using Kuiper’s statistics</w:t>
      </w:r>
      <w:r w:rsidR="00E66E3E">
        <w:fldChar w:fldCharType="begin" w:fldLock="1"/>
      </w:r>
      <w:r w:rsidR="00C33FAB">
        <w:instrText>ADDIN CSL_CITATION {"citationItems":[{"id":"ITEM-1","itemData":{"author":[{"dropping-particle":"","family":"Ketcham","given":"Richard A.","non-dropping-particle":"","parse-names":false,"suffix":""}],"id":"ITEM-1","issued":{"date-parts":[["2016"]]},"title":"HeFTy v. 1.9.1","type":"article"},"uris":["http://www.mendeley.com/documents/?uuid=d7ab5f29-4b48-4528-8435-8e013e38ab98","http://www.mendeley.com/documents/?uuid=e14f1d59-a205-462a-82a0-6cc5a4011df5"]}],"mendeley":{"formattedCitation":"&lt;sup&gt;4&lt;/sup&gt;","plainTextFormattedCitation":"4","previouslyFormattedCitation":"&lt;sup&gt;3&lt;/sup&gt;"},"properties":{"noteIndex":0},"schema":"https://github.com/citation-style-language/schema/raw/master/csl-citation.json"}</w:instrText>
      </w:r>
      <w:r w:rsidR="00E66E3E">
        <w:fldChar w:fldCharType="separate"/>
      </w:r>
      <w:r w:rsidR="00C33FAB" w:rsidRPr="00C33FAB">
        <w:rPr>
          <w:noProof/>
          <w:vertAlign w:val="superscript"/>
        </w:rPr>
        <w:t>4</w:t>
      </w:r>
      <w:r w:rsidR="00E66E3E">
        <w:fldChar w:fldCharType="end"/>
      </w:r>
      <w:r w:rsidR="007D5B4E">
        <w:t>.</w:t>
      </w:r>
      <w:r>
        <w:t xml:space="preserve"> The ending condition for all thermal history models was set to 1000 acceptable paths found.</w:t>
      </w:r>
      <w:r w:rsidR="00952D25">
        <w:t xml:space="preserve"> Pre-existing thermochronological and geological data were included in the thermal history models as external </w:t>
      </w:r>
      <w:r w:rsidR="00952D25">
        <w:rPr>
          <w:i/>
        </w:rPr>
        <w:t xml:space="preserve">t – T </w:t>
      </w:r>
      <w:r w:rsidR="00952D25">
        <w:t>constraints</w:t>
      </w:r>
      <w:r w:rsidR="0057646E">
        <w:t xml:space="preserve"> (S</w:t>
      </w:r>
      <w:r w:rsidR="00925994">
        <w:t xml:space="preserve">upplementary Figure </w:t>
      </w:r>
      <w:r w:rsidR="0057646E">
        <w:t>2):</w:t>
      </w:r>
      <w:r w:rsidR="00901812">
        <w:t xml:space="preserve"> </w:t>
      </w:r>
    </w:p>
    <w:p w14:paraId="0CDD2CDC" w14:textId="5E60AD81" w:rsidR="0057646E" w:rsidRDefault="0057646E" w:rsidP="00C87C01">
      <w:r>
        <w:rPr>
          <w:noProof/>
        </w:rPr>
        <w:drawing>
          <wp:inline distT="0" distB="0" distL="0" distR="0" wp14:anchorId="551EDA45" wp14:editId="5C8627D3">
            <wp:extent cx="5654052" cy="3196177"/>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straints - schemati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54052" cy="3196177"/>
                    </a:xfrm>
                    <a:prstGeom prst="rect">
                      <a:avLst/>
                    </a:prstGeom>
                  </pic:spPr>
                </pic:pic>
              </a:graphicData>
            </a:graphic>
          </wp:inline>
        </w:drawing>
      </w:r>
    </w:p>
    <w:p w14:paraId="1A078F0E" w14:textId="44504599" w:rsidR="00FA5C75" w:rsidRDefault="00FA5C75" w:rsidP="00FA5C75">
      <w:pPr>
        <w:spacing w:after="360" w:line="276" w:lineRule="auto"/>
        <w:rPr>
          <w:bCs/>
          <w:i/>
          <w:iCs/>
        </w:rPr>
      </w:pPr>
      <w:r>
        <w:rPr>
          <w:b/>
          <w:i/>
          <w:iCs/>
        </w:rPr>
        <w:t xml:space="preserve">Supplementary Figure 2 – External constraints. </w:t>
      </w:r>
      <w:r>
        <w:rPr>
          <w:bCs/>
          <w:i/>
          <w:iCs/>
        </w:rPr>
        <w:t xml:space="preserve">External constraints used for thermal history modeling in this study. Note that constraint 4 and 5 have only been applied in western DML. See explanation below. </w:t>
      </w:r>
    </w:p>
    <w:p w14:paraId="34E0B920" w14:textId="0D76030C" w:rsidR="00DF3B61" w:rsidRPr="00FE26BF" w:rsidRDefault="0057646E" w:rsidP="00FE26BF">
      <w:pPr>
        <w:pStyle w:val="ListParagraph"/>
        <w:numPr>
          <w:ilvl w:val="0"/>
          <w:numId w:val="4"/>
        </w:numPr>
        <w:spacing w:after="360"/>
        <w:rPr>
          <w:bCs/>
        </w:rPr>
      </w:pPr>
      <w:r w:rsidRPr="00FE26BF">
        <w:rPr>
          <w:bCs/>
          <w:i/>
          <w:iCs/>
          <w:u w:val="single"/>
        </w:rPr>
        <w:t>Start:</w:t>
      </w:r>
      <w:r w:rsidRPr="00FE26BF">
        <w:rPr>
          <w:bCs/>
        </w:rPr>
        <w:t xml:space="preserve"> </w:t>
      </w:r>
      <w:r w:rsidR="00DF3B61" w:rsidRPr="00FE26BF">
        <w:rPr>
          <w:bCs/>
        </w:rPr>
        <w:t xml:space="preserve">In southwestern DML, </w:t>
      </w:r>
      <w:r w:rsidR="005C1888" w:rsidRPr="00FE26BF">
        <w:rPr>
          <w:bCs/>
        </w:rPr>
        <w:t xml:space="preserve">biotite and muscovite K – </w:t>
      </w:r>
      <w:proofErr w:type="spellStart"/>
      <w:r w:rsidR="005C1888" w:rsidRPr="00FE26BF">
        <w:rPr>
          <w:bCs/>
        </w:rPr>
        <w:t>Ar</w:t>
      </w:r>
      <w:proofErr w:type="spellEnd"/>
      <w:r w:rsidR="005C1888" w:rsidRPr="00FE26BF">
        <w:rPr>
          <w:bCs/>
        </w:rPr>
        <w:t xml:space="preserve"> data record temperatures of 300 – 350 </w:t>
      </w:r>
      <w:r w:rsidR="005C1888" w:rsidRPr="00FE26BF">
        <w:rPr>
          <w:rFonts w:cs="Times New Roman"/>
          <w:bCs/>
        </w:rPr>
        <w:t>°</w:t>
      </w:r>
      <w:proofErr w:type="spellStart"/>
      <w:r w:rsidR="005C1888" w:rsidRPr="00FE26BF">
        <w:rPr>
          <w:bCs/>
        </w:rPr>
        <w:t>C at</w:t>
      </w:r>
      <w:proofErr w:type="spellEnd"/>
      <w:r w:rsidR="005C1888" w:rsidRPr="00FE26BF">
        <w:rPr>
          <w:bCs/>
        </w:rPr>
        <w:t xml:space="preserve"> c. 500 Ma for the parts that experienced Pan-African overprint, and c. </w:t>
      </w:r>
      <w:r w:rsidR="005C1888" w:rsidRPr="00FE26BF">
        <w:rPr>
          <w:bCs/>
        </w:rPr>
        <w:lastRenderedPageBreak/>
        <w:t>975 Ma for the remaining areas</w:t>
      </w:r>
      <w:r w:rsidR="005C1888" w:rsidRPr="00FE26BF">
        <w:rPr>
          <w:bCs/>
        </w:rPr>
        <w:fldChar w:fldCharType="begin" w:fldLock="1"/>
      </w:r>
      <w:r w:rsidR="00C33FAB" w:rsidRPr="00FE26BF">
        <w:rPr>
          <w:bCs/>
        </w:rPr>
        <w:instrText xml:space="preserve">ADDIN CSL_CITATION {"citationItems":[{"id":"ITEM-1","itemData":{"DOI":"10.1016/0301-9268(95)80009-7","ISSN":"03019268","abstract":"KAr, 40Ar39Ar and apatite fission-track data reveal two tectono-thermal events in the Heimefrontfjella post-dating the main crust-forming event at </w:instrText>
      </w:r>
      <w:r w:rsidR="00C33FAB" w:rsidRPr="00FE26BF">
        <w:rPr>
          <w:rFonts w:ascii="Cambria Math" w:hAnsi="Cambria Math" w:cs="Cambria Math"/>
          <w:bCs/>
        </w:rPr>
        <w:instrText>∼</w:instrText>
      </w:r>
      <w:r w:rsidR="00C33FAB" w:rsidRPr="00FE26BF">
        <w:rPr>
          <w:bCs/>
        </w:rPr>
        <w:instrText xml:space="preserve"> 1.1 Ga. KAr and 40Ar39Ar mica dates of </w:instrText>
      </w:r>
      <w:r w:rsidR="00C33FAB" w:rsidRPr="00FE26BF">
        <w:rPr>
          <w:rFonts w:ascii="Cambria Math" w:hAnsi="Cambria Math" w:cs="Cambria Math"/>
          <w:bCs/>
        </w:rPr>
        <w:instrText>∼</w:instrText>
      </w:r>
      <w:r w:rsidR="00C33FAB" w:rsidRPr="00FE26BF">
        <w:rPr>
          <w:bCs/>
        </w:rPr>
        <w:instrText xml:space="preserve"> 500 Ma indicate a thermal episode which coincides with the Pan-African orogeny, the postulated time of initial Gondwana amalgamation. It is shown that the Pan-African orogeny of Heimefrontfjella possibly forms part of a foreland belt, with its core located somewhere east of Dronning Maud Land. Apatite fission-track dates of </w:instrText>
      </w:r>
      <w:r w:rsidR="00C33FAB" w:rsidRPr="00FE26BF">
        <w:rPr>
          <w:rFonts w:ascii="Cambria Math" w:hAnsi="Cambria Math" w:cs="Cambria Math"/>
          <w:bCs/>
        </w:rPr>
        <w:instrText>∼</w:instrText>
      </w:r>
      <w:r w:rsidR="00C33FAB" w:rsidRPr="00FE26BF">
        <w:rPr>
          <w:bCs/>
        </w:rPr>
        <w:instrText xml:space="preserve"> 100 Ma indicate a thermal event at the time of Gondwana fragmentation, when continental flood basalts buried and subsequently heated the basement. © 1995.","author":[{"dropping-particle":"","family":"Jacobs","given":"Joachim","non-dropping-particle":"","parse-names":false,"suffix":""},{"dropping-particle":"","family":"Ahrendt","given":"H.","non-dropping-particle":"","parse-names":false,"suffix":""},{"dropping-particle":"","family":"Kreutzer","given":"H.","non-dropping-particle":"","parse-names":false,"suffix":""},{"dropping-particle":"","family":"Weber","given":"K.","non-dropping-particle":"","parse-names":false,"suffix":""}],"container-title":"Precambrian Research","id":"ITEM-1","issue":"3-4","issued":{"date-parts":[["1995"]]},"page":"251-262","title":"K-Ar, 40Ar-39Ar and apatite fission-track evidence for Neoproterozoic and Mesozoic basement rejuvenation events in the Heimefrontfjella and Mannefallknausane (East Antarctica)","type":"article-journal","volume":"75"},"uris":["http://www.mendeley.com/documents/?uuid=ec164caf-59a8-4e83-aaf4-0e784b359c01"]}],"mendeley":{"formattedCitation":"&lt;sup&gt;8&lt;/sup&gt;","plainTextFormattedCitation":"8","previouslyFormattedCitation":"&lt;sup&gt;7&lt;/sup&gt;"},"properties":{"noteIndex":0},"schema":"https://github.com/citation-style-language/schema/raw/master/csl-citation.json"}</w:instrText>
      </w:r>
      <w:r w:rsidR="005C1888" w:rsidRPr="00FE26BF">
        <w:rPr>
          <w:bCs/>
        </w:rPr>
        <w:fldChar w:fldCharType="separate"/>
      </w:r>
      <w:r w:rsidR="00C33FAB" w:rsidRPr="00FE26BF">
        <w:rPr>
          <w:bCs/>
          <w:noProof/>
          <w:vertAlign w:val="superscript"/>
        </w:rPr>
        <w:t>8</w:t>
      </w:r>
      <w:r w:rsidR="005C1888" w:rsidRPr="00FE26BF">
        <w:rPr>
          <w:bCs/>
        </w:rPr>
        <w:fldChar w:fldCharType="end"/>
      </w:r>
      <w:r w:rsidR="00E67428" w:rsidRPr="00FE26BF">
        <w:rPr>
          <w:bCs/>
        </w:rPr>
        <w:t xml:space="preserve">. For the remaining wDML, titanite </w:t>
      </w:r>
      <w:r w:rsidR="003D1E16" w:rsidRPr="00FE26BF">
        <w:rPr>
          <w:bCs/>
        </w:rPr>
        <w:t>fission-</w:t>
      </w:r>
      <w:r w:rsidR="00E67428" w:rsidRPr="00FE26BF">
        <w:rPr>
          <w:bCs/>
        </w:rPr>
        <w:t xml:space="preserve">track ages indicate temperatures of c. 265 – 310 </w:t>
      </w:r>
      <w:r w:rsidR="00E67428" w:rsidRPr="00FE26BF">
        <w:rPr>
          <w:rFonts w:cs="Times New Roman"/>
          <w:bCs/>
        </w:rPr>
        <w:t>°</w:t>
      </w:r>
      <w:r w:rsidR="00E67428" w:rsidRPr="00FE26BF">
        <w:rPr>
          <w:bCs/>
        </w:rPr>
        <w:t>C</w:t>
      </w:r>
      <w:r w:rsidR="00232DC7" w:rsidRPr="00FE26BF">
        <w:rPr>
          <w:bCs/>
        </w:rPr>
        <w:t xml:space="preserve"> </w:t>
      </w:r>
      <w:r w:rsidR="00945478" w:rsidRPr="00FE26BF">
        <w:rPr>
          <w:bCs/>
        </w:rPr>
        <w:fldChar w:fldCharType="begin" w:fldLock="1"/>
      </w:r>
      <w:r w:rsidR="00C33FAB" w:rsidRPr="00FE26BF">
        <w:rPr>
          <w:bCs/>
        </w:rPr>
        <w:instrText>ADDIN CSL_CITATION {"citationItems":[{"id":"ITEM-1","itemData":{"DOI":"10.1016/S0009-2541(98)00041-2","ISSN":"00092541","abstract":"As part of the KTB (Kontinentale Tiefbohrung) programme in Germany, titanite (sphene) fission-track data were acquired for samples to a depth of 9000 m, where the host rock temperature is ~265°C. At this depth, age and confined track length information suggest that the partial annealing zone for the fission tracks in titanite was not reached. By reconstructing the thermal history and 'backstacking' of an uplifted partial annealing zone, it is suggested that the in situ partial annealing zone is likely to be found in the region 265-310°C. This value is more precise than previous estimates of the titanite partial annealing zone, and it is also higher than previous estimates. Microprobe analysis indicates that the chemical composition of the titanites is rather homogeneous throughout the whole drilled section.","author":[{"dropping-particle":"","family":"Coyle","given":"D. A.","non-dropping-particle":"","parse-names":false,"suffix":""},{"dropping-particle":"","family":"Wagner","given":"G. A.","non-dropping-particle":"","parse-names":false,"suffix":""}],"container-title":"Chemical Geology","id":"ITEM-1","issue":"1-2","issued":{"date-parts":[["1998"]]},"page":"117-125","title":"Positioning the titanite fission-track partial annealing zone","type":"article-journal","volume":"149"},"uris":["http://www.mendeley.com/documents/?uuid=b6a7e80c-81ee-4c94-8ecc-ffdd757a60c9"]}],"mendeley":{"formattedCitation":"&lt;sup&gt;9&lt;/sup&gt;","plainTextFormattedCitation":"9","previouslyFormattedCitation":"&lt;sup&gt;8&lt;/sup&gt;"},"properties":{"noteIndex":0},"schema":"https://github.com/citation-style-language/schema/raw/master/csl-citation.json"}</w:instrText>
      </w:r>
      <w:r w:rsidR="00945478" w:rsidRPr="00FE26BF">
        <w:rPr>
          <w:bCs/>
        </w:rPr>
        <w:fldChar w:fldCharType="separate"/>
      </w:r>
      <w:r w:rsidR="00C33FAB" w:rsidRPr="00FE26BF">
        <w:rPr>
          <w:bCs/>
          <w:noProof/>
          <w:vertAlign w:val="superscript"/>
        </w:rPr>
        <w:t>9</w:t>
      </w:r>
      <w:r w:rsidR="00945478" w:rsidRPr="00FE26BF">
        <w:rPr>
          <w:bCs/>
        </w:rPr>
        <w:fldChar w:fldCharType="end"/>
      </w:r>
      <w:r w:rsidR="00E67428" w:rsidRPr="00FE26BF">
        <w:rPr>
          <w:bCs/>
        </w:rPr>
        <w:t xml:space="preserve"> at c. 345 Ma and c. 515 Ma in the western and eastern parts, respectively</w:t>
      </w:r>
      <w:r w:rsidR="00E67428" w:rsidRPr="00FE26BF">
        <w:rPr>
          <w:bCs/>
        </w:rPr>
        <w:fldChar w:fldCharType="begin" w:fldLock="1"/>
      </w:r>
      <w:r w:rsidR="00C33FAB" w:rsidRPr="00FE26BF">
        <w:rPr>
          <w:bCs/>
        </w:rPr>
        <w:instrText>ADDIN CSL_CITATION {"citationItems":[{"id":"ITEM-1","itemData":{"DOI":"10.1144/SP324.21","ISSN":"03058719","abstract":"Titanite and apatite fission-track ages from Gjelsvikfjella and the eastern Mühlig-Hofmann Mountains, East Antarctica, range between 516 ± 50 and 323 ± 30 Ma and 366 ± 16 and 186 ± 9 Ma, respectively. The thermochronological data set indicates differential cooling of two tectonic blocks (Hochlinfjellet-Festninga and Risemedet). Inverse modelled time-temperature paths suggest that the Hochlinfjellet-Festninga block cooled at first below 60 °C during the mid-Palaeozoic, whereas the Risemedet block cooled during the earliest Triassic. Differential cooling is most probably related to physical separation along active faults, which is associated with Gondwana-wide intracontinental rifting. This tectonic activity shaped the land- scape in the study area along structures running perpendicular to the continental margin of Dronning Maud Land. A rift locus was possibly located along the Penck-Jutul graben west of the study area. In contrast to other parts of Dronning Maud Land, Jurassic magmatism and initial break-up between East Africa and East Antarctica did not influence the apatite FT data. Modelled apatite fission-track data indicate the onset of final cooling since the Early Cretaceous, suggesting post-Cretaceous unroofing of the palaeosurfaces in eastern Dronning Maud Land. © Geological Society of London 2009.","author":[{"dropping-particle":"","family":"Emmel","given":"B.","non-dropping-particle":"","parse-names":false,"suffix":""},{"dropping-particle":"","family":"Jacobs","given":"J.","non-dropping-particle":"","parse-names":false,"suffix":""},{"dropping-particle":"","family":"Daszinnies","given":"M. C.","non-dropping-particle":"","parse-names":false,"suffix":""}],"container-title":"Geological Society Special Publication","id":"ITEM-1","issued":{"date-parts":[["2009"]]},"page":"317-330","title":"Combined titanite and apatite fission-track data from Gjelsvikfjella, east antarctica - Another piece of a concealed intracontinental Permo-Triassic Gondwana rift basin?","type":"article-journal","volume":"324"},"uris":["http://www.mendeley.com/documents/?uuid=dcd154fd-20a4-4549-bbba-b892e8f76be5"]}],"mendeley":{"formattedCitation":"&lt;sup&gt;10&lt;/sup&gt;","plainTextFormattedCitation":"10","previouslyFormattedCitation":"&lt;sup&gt;9&lt;/sup&gt;"},"properties":{"noteIndex":0},"schema":"https://github.com/citation-style-language/schema/raw/master/csl-citation.json"}</w:instrText>
      </w:r>
      <w:r w:rsidR="00E67428" w:rsidRPr="00FE26BF">
        <w:rPr>
          <w:bCs/>
        </w:rPr>
        <w:fldChar w:fldCharType="separate"/>
      </w:r>
      <w:r w:rsidR="00C33FAB" w:rsidRPr="00FE26BF">
        <w:rPr>
          <w:bCs/>
          <w:noProof/>
          <w:vertAlign w:val="superscript"/>
        </w:rPr>
        <w:t>10</w:t>
      </w:r>
      <w:r w:rsidR="00E67428" w:rsidRPr="00FE26BF">
        <w:rPr>
          <w:bCs/>
        </w:rPr>
        <w:fldChar w:fldCharType="end"/>
      </w:r>
      <w:r w:rsidR="00E67428" w:rsidRPr="00FE26BF">
        <w:rPr>
          <w:bCs/>
        </w:rPr>
        <w:t xml:space="preserve">. In central DML, we apply </w:t>
      </w:r>
      <w:r w:rsidR="0091263E" w:rsidRPr="00FE26BF">
        <w:rPr>
          <w:bCs/>
        </w:rPr>
        <w:t xml:space="preserve">biotite </w:t>
      </w:r>
      <w:r w:rsidR="0091263E" w:rsidRPr="00FE26BF">
        <w:rPr>
          <w:bCs/>
          <w:vertAlign w:val="superscript"/>
        </w:rPr>
        <w:t>40</w:t>
      </w:r>
      <w:r w:rsidR="0091263E" w:rsidRPr="00FE26BF">
        <w:rPr>
          <w:bCs/>
        </w:rPr>
        <w:t xml:space="preserve">Ar – </w:t>
      </w:r>
      <w:r w:rsidR="0091263E" w:rsidRPr="00FE26BF">
        <w:rPr>
          <w:bCs/>
          <w:vertAlign w:val="superscript"/>
        </w:rPr>
        <w:t>39</w:t>
      </w:r>
      <w:r w:rsidR="0091263E" w:rsidRPr="00FE26BF">
        <w:rPr>
          <w:bCs/>
        </w:rPr>
        <w:t>Ar ages of c. 450 Ma</w:t>
      </w:r>
      <w:r w:rsidR="0091263E" w:rsidRPr="00FE26BF">
        <w:rPr>
          <w:bCs/>
        </w:rPr>
        <w:fldChar w:fldCharType="begin" w:fldLock="1"/>
      </w:r>
      <w:r w:rsidR="00C33FAB" w:rsidRPr="00FE26BF">
        <w:rPr>
          <w:bCs/>
        </w:rPr>
        <w:instrText>ADDIN CSL_CITATION {"citationItems":[{"id":"ITEM-1","itemData":{"DOI":"10.1007/s00710-012-0205-y","ISSN":"09300708","abstract":"40Ar/39Ar geochronological data on hornblende, biotite and K-feldspar provide constraints on the cooling path experienced by a high-grade metamorphic complex from the Mühlig-Hofmannfjella and Filchnerfjella (6-8°E), central Dronning Maud Land, Antarctica, during the late Neoproterozoic-early Palaeozoic Pan-African orogeny. Hornblende ages yield c. 481 Ma, biotite ages range from c. 466 Ma to c. 435 Ma, whereas K-feldspar ages of the gneisses are c. 437 Ma. The 40Ar/39Ar data suggest initial cooling at a rate of ~10 °C/Myr between 481 and 465 Ma, followed by a lower cooling rate of ~6 °C/Myr during the subsequent c. 30 million years. The K-feldspar 40Ar/39Ar ages place a lower time limit on the duration of the exhumation, by the time of thermal relaxation to a stable continental geotherm. The 40Ar/39Ar data reflecting cooling indicate tectonic exhumation related to orogenic collapse during a later phase of the Pan-African orogeny. © 2012 Springer-Verlag.","author":[{"dropping-particle":"","family":"Hendriks","given":"Bart W.H.","non-dropping-particle":"","parse-names":false,"suffix":""},{"dropping-particle":"","family":"Engvik","given":"Ane K.","non-dropping-particle":"","parse-names":false,"suffix":""},{"dropping-particle":"","family":"Elvevold","given":"Synnøve","non-dropping-particle":"","parse-names":false,"suffix":""}],"container-title":"Mineralogy and Petrology","id":"ITEM-1","issue":"5","issued":{"date-parts":[["2013"]]},"page":"665-677","title":"40Ar/39Ar record of late Pan-African exhumation of a granulite facies terrain, central Dronning Maud Land, East Antarctica","type":"article-journal","volume":"107"},"uris":["http://www.mendeley.com/documents/?uuid=cdf330d7-cfa7-4ffd-ae2e-fc57ffd69761"]}],"mendeley":{"formattedCitation":"&lt;sup&gt;11&lt;/sup&gt;","plainTextFormattedCitation":"11","previouslyFormattedCitation":"&lt;sup&gt;10&lt;/sup&gt;"},"properties":{"noteIndex":0},"schema":"https://github.com/citation-style-language/schema/raw/master/csl-citation.json"}</w:instrText>
      </w:r>
      <w:r w:rsidR="0091263E" w:rsidRPr="00FE26BF">
        <w:rPr>
          <w:bCs/>
        </w:rPr>
        <w:fldChar w:fldCharType="separate"/>
      </w:r>
      <w:r w:rsidR="00C33FAB" w:rsidRPr="00FE26BF">
        <w:rPr>
          <w:bCs/>
          <w:noProof/>
          <w:vertAlign w:val="superscript"/>
        </w:rPr>
        <w:t>11</w:t>
      </w:r>
      <w:r w:rsidR="0091263E" w:rsidRPr="00FE26BF">
        <w:rPr>
          <w:bCs/>
        </w:rPr>
        <w:fldChar w:fldCharType="end"/>
      </w:r>
      <w:r w:rsidR="0091263E" w:rsidRPr="00FE26BF">
        <w:rPr>
          <w:bCs/>
        </w:rPr>
        <w:t xml:space="preserve"> as a starting point.</w:t>
      </w:r>
    </w:p>
    <w:p w14:paraId="731EF809" w14:textId="2161BA0C" w:rsidR="00703FE9" w:rsidRDefault="00AF718F" w:rsidP="00C87C01">
      <w:pPr>
        <w:pStyle w:val="ListParagraph"/>
        <w:numPr>
          <w:ilvl w:val="0"/>
          <w:numId w:val="4"/>
        </w:numPr>
        <w:rPr>
          <w:bCs/>
        </w:rPr>
      </w:pPr>
      <w:r w:rsidRPr="00AF718F">
        <w:rPr>
          <w:bCs/>
          <w:i/>
          <w:iCs/>
          <w:u w:val="single"/>
        </w:rPr>
        <w:t>Paleosurface formation</w:t>
      </w:r>
      <w:r w:rsidR="00703FE9" w:rsidRPr="00AF718F">
        <w:rPr>
          <w:bCs/>
          <w:i/>
          <w:iCs/>
          <w:u w:val="single"/>
        </w:rPr>
        <w:t>:</w:t>
      </w:r>
      <w:r w:rsidR="00703FE9" w:rsidRPr="00AF718F">
        <w:rPr>
          <w:bCs/>
          <w:i/>
          <w:iCs/>
        </w:rPr>
        <w:t xml:space="preserve"> </w:t>
      </w:r>
      <w:r w:rsidR="00703FE9">
        <w:rPr>
          <w:bCs/>
        </w:rPr>
        <w:t xml:space="preserve">Late Paleozoic sediments (including </w:t>
      </w:r>
      <w:proofErr w:type="spellStart"/>
      <w:r w:rsidR="00703FE9">
        <w:rPr>
          <w:bCs/>
        </w:rPr>
        <w:t>dropstone</w:t>
      </w:r>
      <w:proofErr w:type="spellEnd"/>
      <w:r w:rsidR="003A5C37">
        <w:rPr>
          <w:bCs/>
        </w:rPr>
        <w:t>-bearing siltstones</w:t>
      </w:r>
      <w:r w:rsidR="00703FE9">
        <w:rPr>
          <w:bCs/>
        </w:rPr>
        <w:t>) unconformably overlying the Mesoproterozoic basement in Heimefrontfjella</w:t>
      </w:r>
      <w:r w:rsidR="00632A10">
        <w:rPr>
          <w:bCs/>
        </w:rPr>
        <w:t xml:space="preserve"> and Kirwanveggen</w:t>
      </w:r>
      <w:r w:rsidR="00703FE9">
        <w:rPr>
          <w:bCs/>
        </w:rPr>
        <w:t xml:space="preserve"> (southwestern DML), indicating Late Paleozoic surface</w:t>
      </w:r>
      <w:r w:rsidR="00632A10">
        <w:rPr>
          <w:bCs/>
        </w:rPr>
        <w:t xml:space="preserve"> exposure at sea-level</w:t>
      </w:r>
      <w:r w:rsidR="00632A10">
        <w:rPr>
          <w:bCs/>
        </w:rPr>
        <w:fldChar w:fldCharType="begin" w:fldLock="1"/>
      </w:r>
      <w:r w:rsidR="00C33FAB">
        <w:rPr>
          <w:bCs/>
        </w:rPr>
        <w:instrText xml:space="preserve">ADDIN CSL_CITATION {"citationItems":[{"id":"ITEM-1","itemData":{"DOI":"10.1016/0301-9268(95)80009-7","ISSN":"03019268","abstract":"KAr, 40Ar39Ar and apatite fission-track data reveal two tectono-thermal events in the Heimefrontfjella post-dating the main crust-forming event at </w:instrText>
      </w:r>
      <w:r w:rsidR="00C33FAB">
        <w:rPr>
          <w:rFonts w:ascii="Cambria Math" w:hAnsi="Cambria Math" w:cs="Cambria Math"/>
          <w:bCs/>
        </w:rPr>
        <w:instrText>∼</w:instrText>
      </w:r>
      <w:r w:rsidR="00C33FAB">
        <w:rPr>
          <w:bCs/>
        </w:rPr>
        <w:instrText xml:space="preserve"> 1.1 Ga. KAr and 40Ar39Ar mica dates of </w:instrText>
      </w:r>
      <w:r w:rsidR="00C33FAB">
        <w:rPr>
          <w:rFonts w:ascii="Cambria Math" w:hAnsi="Cambria Math" w:cs="Cambria Math"/>
          <w:bCs/>
        </w:rPr>
        <w:instrText>∼</w:instrText>
      </w:r>
      <w:r w:rsidR="00C33FAB">
        <w:rPr>
          <w:bCs/>
        </w:rPr>
        <w:instrText xml:space="preserve"> 500 Ma indicate a thermal episode which coincides with the Pan-African orogeny, the postulated time of initial Gondwana amalgamation. It is shown that the Pan-African orogeny of Heimefrontfjella possibly forms part of a foreland belt, with its core located somewhere east of Dronning Maud Land. Apatite fission-track dates of </w:instrText>
      </w:r>
      <w:r w:rsidR="00C33FAB">
        <w:rPr>
          <w:rFonts w:ascii="Cambria Math" w:hAnsi="Cambria Math" w:cs="Cambria Math"/>
          <w:bCs/>
        </w:rPr>
        <w:instrText>∼</w:instrText>
      </w:r>
      <w:r w:rsidR="00C33FAB">
        <w:rPr>
          <w:bCs/>
        </w:rPr>
        <w:instrText xml:space="preserve"> 100 Ma indicate a thermal event at the time of Gondwana fragmentation, when continental flood basalts buried and subsequently heated the basement. © 1995.","author":[{"dropping-particle":"","family":"Jacobs","given":"Joachim","non-dropping-particle":"","parse-names":false,"suffix":""},{"dropping-particle":"","family":"Ahrendt","given":"H.","non-dropping-particle":"","parse-names":false,"suffix":""},{"dropping-particle":"","family":"Kreutzer","given":"H.","non-dropping-particle":"","parse-names":false,"suffix":""},{"dropping-particle":"","family":"Weber","given":"K.","non-dropping-particle":"","parse-names":false,"suffix":""}],"container-title":"Precambrian Research","id":"ITEM-1","issue":"3-4","issued":{"date-parts":[["1995"]]},"page":"251-262","title":"K-Ar, 40Ar-39Ar and apatite fission-track evidence for Neoproterozoic and Mesozoic basement rejuvenation events in the Heimefrontfjella and Mannefallknausane (East Antarctica)","type":"article-journal","volume":"75"},"uris":["http://www.mendeley.com/documents/?uuid=ec164caf-59a8-4e83-aaf4-0e784b359c01"]},{"id":"ITEM-2","itemData":{"DOI":"10.1017/s0954102099000589","ISSN":"0954-1020","abstract":" New apatite fission-track (AFT) ages from Heimefrontfjella and Mannefallknausane indicate that the Mesoproterozoic basement and Permian sedimentary cover rocks were heated to c. 100°C during the Mesozoic. Heating was due to the burial by up to 2000 m of Jurassic lavas at c. 180 Ma, when the area was affected by the Bouvet/Karoo hot spot. Near the developing coastline, the lava pile was quickly eroded and in part deposited on the continental shelf as pebbly and coarse-grained volcaniclastic sandstones. The AFT data indicate that farther inland the lava pile was not eroded until c. 100 Ma, and the Palaeozoic unconformity between the Mesoproterozoic basement and Permo–Carboniferous sedimentary rocks as a reference plane remained at temperatures of c. 80°C. Formation of an up to 800 m b.s.l. deep graben in from Heimefrontfjella as well as flexural uplift and rapid denudational cooling of the not extended crust from Heimefrontfjella southwards occurred at c. 100 Ma. It is speculated that a period of major plate reorganisation and new rifting at c. 100 Ma is responsible for affecting a much wider continental margin as far inland as Heimefrontfjella and producing a total relief in excess of 3500 m. ","author":[{"dropping-particle":"","family":"Jacobs","given":"Joachim","non-dropping-particle":"","parse-names":false,"suffix":""},{"dropping-particle":"","family":"Lisker","given":"Frank","non-dropping-particle":"","parse-names":false,"suffix":""}],"container-title":"Antarctic Science","id":"ITEM-2","issue":"4","issued":{"date-parts":[["1999"]]},"page":"451-460","title":"Post Permian tectono-thermal evolution of western Dronning Maud Land, East Antarctica: an apatite fission-track approach","type":"article-journal","volume":"11"},"uris":["http://www.mendeley.com/documents/?uuid=fe30157e-ea23-4da7-b1e9-93cc13c99c15"]}],"mendeley":{"formattedCitation":"&lt;sup&gt;8,12&lt;/sup&gt;","plainTextFormattedCitation":"8,12","previouslyFormattedCitation":"&lt;sup&gt;7,11&lt;/sup&gt;"},"properties":{"noteIndex":0},"schema":"https://github.com/citation-style-language/schema/raw/master/csl-citation.json"}</w:instrText>
      </w:r>
      <w:r w:rsidR="00632A10">
        <w:rPr>
          <w:bCs/>
        </w:rPr>
        <w:fldChar w:fldCharType="separate"/>
      </w:r>
      <w:r w:rsidR="00C33FAB" w:rsidRPr="00C33FAB">
        <w:rPr>
          <w:bCs/>
          <w:noProof/>
          <w:vertAlign w:val="superscript"/>
        </w:rPr>
        <w:t>8,12</w:t>
      </w:r>
      <w:r w:rsidR="00632A10">
        <w:rPr>
          <w:bCs/>
        </w:rPr>
        <w:fldChar w:fldCharType="end"/>
      </w:r>
      <w:r w:rsidR="00632A10">
        <w:rPr>
          <w:bCs/>
        </w:rPr>
        <w:t xml:space="preserve">. The presence of a similar paleosurface is reported from </w:t>
      </w:r>
      <w:proofErr w:type="spellStart"/>
      <w:r w:rsidR="00C87C01">
        <w:rPr>
          <w:bCs/>
        </w:rPr>
        <w:t>Gjelsvikfjella</w:t>
      </w:r>
      <w:proofErr w:type="spellEnd"/>
      <w:r w:rsidR="00C87C01">
        <w:rPr>
          <w:bCs/>
        </w:rPr>
        <w:t xml:space="preserve"> in </w:t>
      </w:r>
      <w:r w:rsidR="00632A10">
        <w:rPr>
          <w:bCs/>
        </w:rPr>
        <w:t>the eastern parts of wDML</w:t>
      </w:r>
      <w:r w:rsidR="00632A10">
        <w:rPr>
          <w:bCs/>
        </w:rPr>
        <w:fldChar w:fldCharType="begin" w:fldLock="1"/>
      </w:r>
      <w:r w:rsidR="00C33FAB">
        <w:rPr>
          <w:bCs/>
        </w:rPr>
        <w:instrText>ADDIN CSL_CITATION {"citationItems":[{"id":"ITEM-1","itemData":{"DOI":"10.1017/S0954102001000438","ISSN":"09541020","abstract":"Large-scale bedrock morphology and relief of two key areas, the Jutulsessen Nunatak and the Jutulstraumen ice stream are used to discuss glacial history and landscape development in western and central Dronning Maud Land, Antarctica. Two main landform components were identified: well-defined summit plateau surfaces and a typical alpine glacial landscape. The flat, high-elevation plateau surfaces previously were part of one or several continuous regional planation surfaces. In western Dronning Maud Land, overlying cover rocks of late Palaeozoic age show that the planation surface(s) existed in the early Permian, prior to the break-up of Gondwana. A well-developed escarpment, a mega landform typical for passive continental margins, bounds the palaeosurface remnants to the north for a distance of at least 700 km. The Cenozoic glacial landscape, incised in the palaeosurface and escarpment, is exemplified by Jutulsessen Nunatak, where a c. 1.2 km deep glacial valley system is developed. However, the prominent Penck-Jutul Trough represents some of the deepest dissection of the palaeosurface. This originally tectonic feature is today occupied by the Jutulstraumen ice stream. New topographic data show that the bed of the Penck-Jutul Trough is situated 1.9 ± 0.1 km below sea level, and that the total landscape relief is at least 4.2 km. Today's relief is a result of several processes, including tectonic faulting, subaerial weathering, fluvial erosion, and glacial erosion. It is probable that erosion by ice streams has deepened the tectonic troughs of Dronning Maud Land since the onset of ice sheet glaciation in the Oligocene, and continues today. An attempt is made to identify major events in the long-term landscape development of Dronning Maud Land, since the break-up of the Gondwana continent.","author":[{"dropping-particle":"","family":"Näslund","given":"J. O.","non-dropping-particle":"","parse-names":false,"suffix":""}],"container-title":"Antarctic Science","id":"ITEM-1","issue":"3","issued":{"date-parts":[["2001"]]},"page":"302-311","title":"Landscape development in western and central Dronning Maud Land, East Antarctica","type":"article-journal","volume":"13"},"uris":["http://www.mendeley.com/documents/?uuid=49f058d8-229e-41c3-8578-cd5d5fe2b257"]}],"mendeley":{"formattedCitation":"&lt;sup&gt;13&lt;/sup&gt;","plainTextFormattedCitation":"13","previouslyFormattedCitation":"&lt;sup&gt;12&lt;/sup&gt;"},"properties":{"noteIndex":0},"schema":"https://github.com/citation-style-language/schema/raw/master/csl-citation.json"}</w:instrText>
      </w:r>
      <w:r w:rsidR="00632A10">
        <w:rPr>
          <w:bCs/>
        </w:rPr>
        <w:fldChar w:fldCharType="separate"/>
      </w:r>
      <w:r w:rsidR="00C33FAB" w:rsidRPr="00C33FAB">
        <w:rPr>
          <w:bCs/>
          <w:noProof/>
          <w:vertAlign w:val="superscript"/>
        </w:rPr>
        <w:t>13</w:t>
      </w:r>
      <w:r w:rsidR="00632A10">
        <w:rPr>
          <w:bCs/>
        </w:rPr>
        <w:fldChar w:fldCharType="end"/>
      </w:r>
      <w:r w:rsidR="004F2E39">
        <w:rPr>
          <w:bCs/>
        </w:rPr>
        <w:t xml:space="preserve">. However, these surfaces are not presently overlain by </w:t>
      </w:r>
      <w:proofErr w:type="spellStart"/>
      <w:r w:rsidR="004F2E39">
        <w:rPr>
          <w:bCs/>
        </w:rPr>
        <w:t>Permo</w:t>
      </w:r>
      <w:proofErr w:type="spellEnd"/>
      <w:r w:rsidR="004F2E39">
        <w:rPr>
          <w:bCs/>
        </w:rPr>
        <w:t>-Carboniferous sedimentary rocks, and the age of these may therefore be ambiguous</w:t>
      </w:r>
      <w:r w:rsidR="00632A10">
        <w:rPr>
          <w:bCs/>
        </w:rPr>
        <w:t xml:space="preserve">. In cDML, the mountain peaks define a gently southward-dipping enveloping surface, interpreted to represent the remnants of the </w:t>
      </w:r>
      <w:r w:rsidR="00CD2E01">
        <w:rPr>
          <w:bCs/>
        </w:rPr>
        <w:t>paleosurface</w:t>
      </w:r>
      <w:r w:rsidR="00632A10">
        <w:rPr>
          <w:bCs/>
        </w:rPr>
        <w:fldChar w:fldCharType="begin" w:fldLock="1"/>
      </w:r>
      <w:r w:rsidR="00C33FAB">
        <w:rPr>
          <w:bCs/>
        </w:rPr>
        <w:instrText>ADDIN CSL_CITATION {"citationItems":[{"id":"ITEM-1","itemData":{"DOI":"10.3390/geosciences8110390","abstract":"The lack of preserved Mesozoic–Cenozoic sediments and structures in central Dronning Maud Land has so far limited our understanding of the post-Pan-African evolution of this important part of East Antarctica. In order to investigate the thermal evolution of the basement rocks and place constraints on landscape evolution, we present new low-temperature thermochronological data from 34 samples. Apatite fission track ages range from 280–85 Ma, while single-grain (U-Th)/He ages from apatite and zircon range from 305–15 and 420–340 Ma, respectively. Our preferred thermal history models suggest late Paleozoic–early Mesozoic peneplanation and subsequent burial by 3–6 km of Beacon sediments. The samples experienced no additional burial in the Jurassic, thus the once voluminous continental flood basalts of western Dronning Maud Land did not reach central Dronning Maud Land. Mesozoic–early Cenozoic cooling of the samples was slow. Contrary to western Dronning Maud Land, central Dronning Maud Land lacks a mid-Cretaceous cooling phase. We therefore suggest that the mid-Cretaceous cooling of western Dronning Maud Land should be attributed to the proximity to the collapse of the orogenic plateau at the Panthalassic margin of Gondwana. Cooling rates accelerated considerably with the onset of glaciation at 34 Ma, due to climate deterioration and glacial denudation of up to 2 km.","author":[{"dropping-particle":"","family":"Sirevaag","given":"Hallgeir","non-dropping-particle":"","parse-names":false,"suffix":""},{"dropping-particle":"","family":"Ksienzyk","given":"Anna K.","non-dropping-particle":"","parse-names":false,"suffix":""},{"dropping-particle":"","family":"Jacobs","given":"Joachim","non-dropping-particle":"","parse-names":false,"suffix":""},{"dropping-particle":"","family":"Dunkl","given":"István","non-dropping-particle":"","parse-names":false,"suffix":""},{"dropping-particle":"","family":"Läufer","given":"Andreas","non-dropping-particle":"","parse-names":false,"suffix":""}],"container-title":"Geosciences","id":"ITEM-1","issue":"11","issued":{"date-parts":[["2018"]]},"page":"390","title":"Tectono-thermal evolution and morphodynamics of the Central Dronning Maud Land Mountains, East Antarctica, based on new thermochronological data","type":"article-journal","volume":"8"},"uris":["http://www.mendeley.com/documents/?uuid=b445cd7c-a4ee-443b-8584-96cf13bb5856"]}],"mendeley":{"formattedCitation":"&lt;sup&gt;2&lt;/sup&gt;","plainTextFormattedCitation":"2","previouslyFormattedCitation":"&lt;sup&gt;2&lt;/sup&gt;"},"properties":{"noteIndex":0},"schema":"https://github.com/citation-style-language/schema/raw/master/csl-citation.json"}</w:instrText>
      </w:r>
      <w:r w:rsidR="00632A10">
        <w:rPr>
          <w:bCs/>
        </w:rPr>
        <w:fldChar w:fldCharType="separate"/>
      </w:r>
      <w:r w:rsidR="003D1E16" w:rsidRPr="003D1E16">
        <w:rPr>
          <w:bCs/>
          <w:noProof/>
          <w:vertAlign w:val="superscript"/>
        </w:rPr>
        <w:t>2</w:t>
      </w:r>
      <w:r w:rsidR="00632A10">
        <w:rPr>
          <w:bCs/>
        </w:rPr>
        <w:fldChar w:fldCharType="end"/>
      </w:r>
      <w:r w:rsidR="00632A10">
        <w:rPr>
          <w:bCs/>
        </w:rPr>
        <w:t xml:space="preserve">. </w:t>
      </w:r>
      <w:r w:rsidR="00CA523A" w:rsidRPr="00CA523A">
        <w:rPr>
          <w:bCs/>
        </w:rPr>
        <w:t xml:space="preserve">The temperature range for </w:t>
      </w:r>
      <w:r w:rsidR="00C87C01">
        <w:rPr>
          <w:bCs/>
        </w:rPr>
        <w:t>all</w:t>
      </w:r>
      <w:r w:rsidR="00CA523A">
        <w:rPr>
          <w:bCs/>
        </w:rPr>
        <w:t xml:space="preserve"> following</w:t>
      </w:r>
      <w:r w:rsidR="00CA523A" w:rsidRPr="00CA523A">
        <w:rPr>
          <w:bCs/>
        </w:rPr>
        <w:t xml:space="preserve"> constraints</w:t>
      </w:r>
      <w:r w:rsidR="00C87C01">
        <w:rPr>
          <w:bCs/>
        </w:rPr>
        <w:t xml:space="preserve">, </w:t>
      </w:r>
      <w:r w:rsidR="00CA523A">
        <w:rPr>
          <w:bCs/>
        </w:rPr>
        <w:t xml:space="preserve">except </w:t>
      </w:r>
      <w:r w:rsidR="00C87C01">
        <w:rPr>
          <w:bCs/>
        </w:rPr>
        <w:t xml:space="preserve">the </w:t>
      </w:r>
      <w:r w:rsidR="00CA523A">
        <w:rPr>
          <w:bCs/>
        </w:rPr>
        <w:t>end-constraint</w:t>
      </w:r>
      <w:r w:rsidR="00C87C01">
        <w:rPr>
          <w:bCs/>
        </w:rPr>
        <w:t>,</w:t>
      </w:r>
      <w:r w:rsidR="00CA523A" w:rsidRPr="00CA523A">
        <w:rPr>
          <w:bCs/>
        </w:rPr>
        <w:t xml:space="preserve"> have been adjusted according to the </w:t>
      </w:r>
      <w:r w:rsidR="00D76C16">
        <w:rPr>
          <w:bCs/>
        </w:rPr>
        <w:t xml:space="preserve">distance </w:t>
      </w:r>
      <w:r w:rsidR="00CA523A" w:rsidRPr="00CA523A">
        <w:rPr>
          <w:bCs/>
        </w:rPr>
        <w:t xml:space="preserve">of the sample </w:t>
      </w:r>
      <w:r w:rsidR="00D76C16">
        <w:rPr>
          <w:bCs/>
        </w:rPr>
        <w:t xml:space="preserve">at or below </w:t>
      </w:r>
      <w:r w:rsidR="00CA523A" w:rsidRPr="00CA523A">
        <w:rPr>
          <w:bCs/>
        </w:rPr>
        <w:t xml:space="preserve">the </w:t>
      </w:r>
      <w:r w:rsidR="00D76C16">
        <w:rPr>
          <w:bCs/>
        </w:rPr>
        <w:t xml:space="preserve">assumed </w:t>
      </w:r>
      <w:r w:rsidR="00C87C01">
        <w:rPr>
          <w:bCs/>
        </w:rPr>
        <w:t>paleosurface</w:t>
      </w:r>
      <w:r w:rsidR="00D76C16">
        <w:rPr>
          <w:bCs/>
        </w:rPr>
        <w:t>, using a geothermal gradient of</w:t>
      </w:r>
      <w:r w:rsidR="009177CA">
        <w:rPr>
          <w:bCs/>
        </w:rPr>
        <w:t xml:space="preserve"> 25 </w:t>
      </w:r>
      <w:r w:rsidR="009177CA">
        <w:rPr>
          <w:rFonts w:cs="Times New Roman"/>
          <w:bCs/>
        </w:rPr>
        <w:t>°</w:t>
      </w:r>
      <w:r w:rsidR="009177CA">
        <w:rPr>
          <w:bCs/>
        </w:rPr>
        <w:t>C/km.</w:t>
      </w:r>
    </w:p>
    <w:p w14:paraId="2BD5502A" w14:textId="4EE09E85" w:rsidR="00C6362F" w:rsidRDefault="003A5C37" w:rsidP="00C87C01">
      <w:pPr>
        <w:pStyle w:val="ListParagraph"/>
        <w:numPr>
          <w:ilvl w:val="0"/>
          <w:numId w:val="4"/>
        </w:numPr>
        <w:rPr>
          <w:bCs/>
        </w:rPr>
      </w:pPr>
      <w:r w:rsidRPr="00AF718F">
        <w:rPr>
          <w:bCs/>
          <w:i/>
          <w:iCs/>
          <w:u w:val="single"/>
        </w:rPr>
        <w:t>Beacon sedimentation:</w:t>
      </w:r>
      <w:r>
        <w:rPr>
          <w:bCs/>
        </w:rPr>
        <w:t xml:space="preserve"> Up to c. 160 m of </w:t>
      </w:r>
      <w:r w:rsidR="001D268E">
        <w:rPr>
          <w:bCs/>
        </w:rPr>
        <w:t>L</w:t>
      </w:r>
      <w:r>
        <w:rPr>
          <w:bCs/>
        </w:rPr>
        <w:t xml:space="preserve">ate Carboniferous – </w:t>
      </w:r>
      <w:r w:rsidR="00015F2D">
        <w:rPr>
          <w:bCs/>
        </w:rPr>
        <w:t>Early</w:t>
      </w:r>
      <w:r>
        <w:rPr>
          <w:bCs/>
        </w:rPr>
        <w:t xml:space="preserve"> Permian Beacon sediments are present in southwestern DML</w:t>
      </w:r>
      <w:r w:rsidR="00477BBF">
        <w:rPr>
          <w:bCs/>
        </w:rPr>
        <w:fldChar w:fldCharType="begin" w:fldLock="1"/>
      </w:r>
      <w:r w:rsidR="00C33FAB">
        <w:rPr>
          <w:bCs/>
        </w:rPr>
        <w:instrText>ADDIN CSL_CITATION {"citationItems":[{"id":"ITEM-1","itemData":{"author":[{"dropping-particle":"","family":"Plumstead","given":"Edna P.","non-dropping-particle":"","parse-names":false,"suffix":""}],"container-title":"British Antarctic Survey Scientific Reports","id":"ITEM-1","issued":{"date-parts":[["1975"]]},"page":"1-61","title":"A new assemblage of plant fossils from Milorgfjella, Dronning Maud Land","type":"article-journal","volume":"83"},"uris":["http://www.mendeley.com/documents/?uuid=2ad2ccb9-1078-464b-846a-4f9180596dcd"]},{"id":"ITEM-2","itemData":{"author":[{"dropping-particle":"","family":"Olaussen","given":"Snorre","non-dropping-particle":"","parse-names":false,"suffix":""}],"container-title":"Report of the Norwegian Antarctic Reasearch Expedition (NARE) 1984/85","id":"ITEM-2","issued":{"date-parts":[["1985"]]},"page":"75-88","title":"Sedimentological research in northwestern part of Dronning Maud Land","type":"article-journal","volume":"22"},"uris":["http://www.mendeley.com/documents/?uuid=6f39fecb-5319-469e-b560-c5b2e8ff456a"]},{"id":"ITEM-3","itemData":{"author":[{"dropping-particle":"","family":"Lindstrom","given":"Sofie","non-dropping-particle":"","parse-names":false,"suffix":""}],"container-title":"Review of Palaeobotany and Palynology","id":"ITEM-3","issued":{"date-parts":[["1995"]]},"page":"359-415","title":"Early Permian palynostratigraphy of the northern Heimefrontfjella mountain-range, Dronning Maud Land, Antarctica","type":"article-journal","volume":"89"},"uris":["http://www.mendeley.com/documents/?uuid=197ae057-dc67-4da8-a067-d0bd2aab61bf"]},{"id":"ITEM-4","itemData":{"author":[{"dropping-particle":"","family":"Bauer","given":"Wilfried","non-dropping-particle":"","parse-names":false,"suffix":""}],"container-title":"Polarforschung","id":"ITEM-4","issued":{"date-parts":[["2009"]]},"page":"39-42","title":"Permian Sedimentary Cover , Heimefrontfjella , Western Dronning Maud Land (East Antarctica)","type":"article-journal","volume":"79"},"uris":["http://www.mendeley.com/documents/?uuid=02e8c9b4-b87b-4bc0-9b6b-0b56bfda746f"]}],"mendeley":{"formattedCitation":"&lt;sup&gt;14–17&lt;/sup&gt;","plainTextFormattedCitation":"14–17","previouslyFormattedCitation":"&lt;sup&gt;13–16&lt;/sup&gt;"},"properties":{"noteIndex":0},"schema":"https://github.com/citation-style-language/schema/raw/master/csl-citation.json"}</w:instrText>
      </w:r>
      <w:r w:rsidR="00477BBF">
        <w:rPr>
          <w:bCs/>
        </w:rPr>
        <w:fldChar w:fldCharType="separate"/>
      </w:r>
      <w:r w:rsidR="00C33FAB" w:rsidRPr="00C33FAB">
        <w:rPr>
          <w:bCs/>
          <w:noProof/>
          <w:vertAlign w:val="superscript"/>
        </w:rPr>
        <w:t>14–17</w:t>
      </w:r>
      <w:r w:rsidR="00477BBF">
        <w:rPr>
          <w:bCs/>
        </w:rPr>
        <w:fldChar w:fldCharType="end"/>
      </w:r>
      <w:r w:rsidR="00C6362F">
        <w:rPr>
          <w:bCs/>
        </w:rPr>
        <w:t>. Correspondingly, up to c. 3 km of Devonian – Triassic Beacon sediments are present in the Transantarctic Mountains</w:t>
      </w:r>
      <w:r w:rsidR="00232DC7">
        <w:rPr>
          <w:bCs/>
        </w:rPr>
        <w:t xml:space="preserve"> </w:t>
      </w:r>
      <w:r w:rsidR="00C6362F">
        <w:rPr>
          <w:bCs/>
        </w:rPr>
        <w:fldChar w:fldCharType="begin" w:fldLock="1"/>
      </w:r>
      <w:r w:rsidR="00C33FAB">
        <w:rPr>
          <w:bCs/>
        </w:rPr>
        <w:instrText>ADDIN CSL_CITATION {"citationItems":[{"id":"ITEM-1","itemData":{"DOI":"10.1017/s0954102099000292","ISSN":"0954-1020","abstract":"Much of Antarctica's Devonian to Jurassic geological history is interpreted from the study of the Beacon Supergroup in the central Transantarctic Mountains. The upper part of the succession has been extensively investigated, although, few studies focus on the basal rocks. Deposition occurred within a Transantarctic basin believed to have extended along the edge of the East Antarctic Craton in early Beacon time, either as a marginal, passive margin, or a cratonic basin. Early basinal deposits include the Devonian Taylor Group and Upper Carboniferous–Lower Permian glacial sediments. Previous studies concluded that the Taylor Group in CTM was deposited as a continuous sheet across the low-relief Kukri Erosion Surface that developed on the planed Ross orogenic belt. These interpretations also concluded that late Palaeozoic glaciation truncated the Devonian sheet. New data suggest that this view, and current models for the early Beacon basin, maybe incorrect. Lithofacies, palaeocurrent orientations, sandstone composition, and stratigraphical relationships of central Transantarctic Mountains rocks suggest that deposition occurred within two intermontane or successor basins following post-orogenic uplift of the Ross terrain. Segregation of lithofacies and onlap of Taylor Group rocks onto an undulating Kukri Erosion Surface show that a basement high separated non-marine deposits between the Byrd and Ramsey glaciers from marine sediment in the Ohio Range. Onlap of glacial rocks and palaeocurrent data suggest intermontane conditions continued until the Early Permian.","author":[{"dropping-particle":"","family":"Isbell","given":"John L.","non-dropping-particle":"","parse-names":false,"suffix":""}],"container-title":"Antarctic Science","id":"ITEM-1","issue":"2","issued":{"date-parts":[["1999"]]},"page":"228-238","title":"The Kukri Erosion Surface; a reassessment of its relationship to rocks of the Beacon Supergroup in the central Transantarctic Mountains, Antarctica","type":"article-journal","volume":"11"},"uris":["http://www.mendeley.com/documents/?uuid=78affff7-6436-4f44-9c82-57d336b6726f"]}],"mendeley":{"formattedCitation":"&lt;sup&gt;18&lt;/sup&gt;","plainTextFormattedCitation":"18","previouslyFormattedCitation":"&lt;sup&gt;17&lt;/sup&gt;"},"properties":{"noteIndex":0},"schema":"https://github.com/citation-style-language/schema/raw/master/csl-citation.json"}</w:instrText>
      </w:r>
      <w:r w:rsidR="00C6362F">
        <w:rPr>
          <w:bCs/>
        </w:rPr>
        <w:fldChar w:fldCharType="separate"/>
      </w:r>
      <w:r w:rsidR="00C33FAB" w:rsidRPr="00C33FAB">
        <w:rPr>
          <w:bCs/>
          <w:noProof/>
          <w:vertAlign w:val="superscript"/>
        </w:rPr>
        <w:t>18</w:t>
      </w:r>
      <w:r w:rsidR="00C6362F">
        <w:rPr>
          <w:bCs/>
        </w:rPr>
        <w:fldChar w:fldCharType="end"/>
      </w:r>
      <w:r w:rsidR="00C6362F">
        <w:rPr>
          <w:bCs/>
        </w:rPr>
        <w:t xml:space="preserve"> and up to c. 12 km of </w:t>
      </w:r>
      <w:r w:rsidR="00CD2E01">
        <w:rPr>
          <w:bCs/>
        </w:rPr>
        <w:t xml:space="preserve">the </w:t>
      </w:r>
      <w:r w:rsidR="00C6362F">
        <w:rPr>
          <w:bCs/>
        </w:rPr>
        <w:t>equivalent Karoo Supergroup sediments are widespread on the conjugate margin in southeastern Africa</w:t>
      </w:r>
      <w:r w:rsidR="00C6362F">
        <w:rPr>
          <w:bCs/>
        </w:rPr>
        <w:fldChar w:fldCharType="begin" w:fldLock="1"/>
      </w:r>
      <w:r w:rsidR="00C33FAB">
        <w:rPr>
          <w:bCs/>
        </w:rPr>
        <w:instrText>ADDIN CSL_CITATION {"citationItems":[{"id":"ITEM-1","itemData":{"author":[{"dropping-particle":"","family":"Johnson","given":"Michael Richard","non-dropping-particle":"","parse-names":false,"suffix":""}],"id":"ITEM-1","issued":{"date-parts":[["1976"]]},"title":"Stratigraphy and sedimentology of the Cape and Karoo sequences in the eastern Capr province","type":"thesis"},"uris":["http://www.mendeley.com/documents/?uuid=e6b06375-1e3b-465e-8574-bd7cde86d733"]}],"mendeley":{"formattedCitation":"&lt;sup&gt;19&lt;/sup&gt;","plainTextFormattedCitation":"19","previouslyFormattedCitation":"&lt;sup&gt;18&lt;/sup&gt;"},"properties":{"noteIndex":0},"schema":"https://github.com/citation-style-language/schema/raw/master/csl-citation.json"}</w:instrText>
      </w:r>
      <w:r w:rsidR="00C6362F">
        <w:rPr>
          <w:bCs/>
        </w:rPr>
        <w:fldChar w:fldCharType="separate"/>
      </w:r>
      <w:r w:rsidR="00C33FAB" w:rsidRPr="00C33FAB">
        <w:rPr>
          <w:bCs/>
          <w:noProof/>
          <w:vertAlign w:val="superscript"/>
        </w:rPr>
        <w:t>19</w:t>
      </w:r>
      <w:r w:rsidR="00C6362F">
        <w:rPr>
          <w:bCs/>
        </w:rPr>
        <w:fldChar w:fldCharType="end"/>
      </w:r>
      <w:r w:rsidR="00C6362F">
        <w:rPr>
          <w:bCs/>
        </w:rPr>
        <w:t>.</w:t>
      </w:r>
      <w:r w:rsidR="007E54A6">
        <w:rPr>
          <w:bCs/>
        </w:rPr>
        <w:t xml:space="preserve"> </w:t>
      </w:r>
      <w:r w:rsidR="0077215F">
        <w:rPr>
          <w:bCs/>
        </w:rPr>
        <w:t xml:space="preserve">Triassic surface temperatures of c. 25 </w:t>
      </w:r>
      <w:r w:rsidR="0077215F">
        <w:rPr>
          <w:rFonts w:cs="Times New Roman"/>
          <w:bCs/>
        </w:rPr>
        <w:t>°</w:t>
      </w:r>
      <w:r w:rsidR="0077215F">
        <w:rPr>
          <w:bCs/>
        </w:rPr>
        <w:t>C have been used</w:t>
      </w:r>
      <w:r w:rsidR="0077215F">
        <w:rPr>
          <w:bCs/>
        </w:rPr>
        <w:fldChar w:fldCharType="begin" w:fldLock="1"/>
      </w:r>
      <w:r w:rsidR="00C33FAB">
        <w:rPr>
          <w:bCs/>
        </w:rPr>
        <w:instrText>ADDIN CSL_CITATION {"citationItems":[{"id":"ITEM-1","itemData":{"DOI":"https://doi.org/10.1130/SPE288","ISBN":"9780813722887","author":[{"dropping-particle":"","family":"Wilson","given":"Kevin M.","non-dropping-particle":"","parse-names":false,"suffix":""},{"dropping-particle":"","family":"Pollard","given":"David","non-dropping-particle":"","parse-names":false,"suffix":""},{"dropping-particle":"","family":"Hay","given":"William W.","non-dropping-particle":"","parse-names":false,"suffix":""},{"dropping-particle":"","family":"Thompson","given":"Starley L.","non-dropping-particle":"","parse-names":false,"suffix":""},{"dropping-particle":"","family":"Wold","given":"Christopher N.","non-dropping-particle":"","parse-names":false,"suffix":""}],"container-title":"Pangea: Paleoclimate, tectonics, and sedimentation during accretion, zenith, and breakup of a supercontinent","edition":"288","editor":[{"dropping-particle":"","family":"Klein","given":"George O.","non-dropping-particle":"","parse-names":false,"suffix":""}],"id":"ITEM-1","issued":{"date-parts":[["1994"]]},"publisher":"Geological Society of America","title":"General circulation model simulations of Triassic climates: preliminary results","type":"chapter"},"uris":["http://www.mendeley.com/documents/?uuid=09ba2200-a81a-4ebc-a838-1ff88dac785b"]}],"mendeley":{"formattedCitation":"&lt;sup&gt;20&lt;/sup&gt;","plainTextFormattedCitation":"20","previouslyFormattedCitation":"&lt;sup&gt;19&lt;/sup&gt;"},"properties":{"noteIndex":0},"schema":"https://github.com/citation-style-language/schema/raw/master/csl-citation.json"}</w:instrText>
      </w:r>
      <w:r w:rsidR="0077215F">
        <w:rPr>
          <w:bCs/>
        </w:rPr>
        <w:fldChar w:fldCharType="separate"/>
      </w:r>
      <w:r w:rsidR="00C33FAB" w:rsidRPr="00C33FAB">
        <w:rPr>
          <w:bCs/>
          <w:noProof/>
          <w:vertAlign w:val="superscript"/>
        </w:rPr>
        <w:t>20</w:t>
      </w:r>
      <w:r w:rsidR="0077215F">
        <w:rPr>
          <w:bCs/>
        </w:rPr>
        <w:fldChar w:fldCharType="end"/>
      </w:r>
      <w:r w:rsidR="0077215F">
        <w:rPr>
          <w:bCs/>
        </w:rPr>
        <w:t>. Th</w:t>
      </w:r>
      <w:r w:rsidR="00D76C16">
        <w:rPr>
          <w:bCs/>
        </w:rPr>
        <w:t>e same surface temperatures were assumed</w:t>
      </w:r>
      <w:r w:rsidR="0077215F">
        <w:rPr>
          <w:bCs/>
        </w:rPr>
        <w:t xml:space="preserve"> for Jurassic constraints.</w:t>
      </w:r>
    </w:p>
    <w:p w14:paraId="53B367CD" w14:textId="1A2E3FEB" w:rsidR="0077215F" w:rsidRDefault="001D268E" w:rsidP="00C87C01">
      <w:pPr>
        <w:pStyle w:val="ListParagraph"/>
        <w:numPr>
          <w:ilvl w:val="0"/>
          <w:numId w:val="4"/>
        </w:numPr>
        <w:rPr>
          <w:bCs/>
        </w:rPr>
      </w:pPr>
      <w:r w:rsidRPr="00AF718F">
        <w:rPr>
          <w:bCs/>
          <w:i/>
          <w:iCs/>
          <w:u w:val="single"/>
        </w:rPr>
        <w:t>Early Jurassic s</w:t>
      </w:r>
      <w:r w:rsidR="0071678B" w:rsidRPr="00AF718F">
        <w:rPr>
          <w:bCs/>
          <w:i/>
          <w:iCs/>
          <w:u w:val="single"/>
        </w:rPr>
        <w:t>urface exposure:</w:t>
      </w:r>
      <w:r w:rsidR="0071678B">
        <w:rPr>
          <w:bCs/>
          <w:i/>
          <w:iCs/>
        </w:rPr>
        <w:t xml:space="preserve"> </w:t>
      </w:r>
      <w:r>
        <w:rPr>
          <w:bCs/>
        </w:rPr>
        <w:t>In o</w:t>
      </w:r>
      <w:r w:rsidRPr="001D268E">
        <w:rPr>
          <w:bCs/>
        </w:rPr>
        <w:t>utcrops</w:t>
      </w:r>
      <w:r>
        <w:rPr>
          <w:bCs/>
          <w:i/>
          <w:iCs/>
        </w:rPr>
        <w:t xml:space="preserve"> </w:t>
      </w:r>
      <w:r>
        <w:rPr>
          <w:bCs/>
        </w:rPr>
        <w:t>in southwestern DML, the Mesoproterozoic basement is unconformably overlain by few meters of Beacon sediments, which again are covered by Jurassic continental flood basalts</w:t>
      </w:r>
      <w:r>
        <w:rPr>
          <w:bCs/>
        </w:rPr>
        <w:fldChar w:fldCharType="begin" w:fldLock="1"/>
      </w:r>
      <w:r w:rsidR="00C33FAB">
        <w:rPr>
          <w:bCs/>
        </w:rPr>
        <w:instrText>ADDIN CSL_CITATION {"citationItems":[{"id":"ITEM-1","itemData":{"author":[{"dropping-particle":"","family":"Juckes","given":"L. M.","non-dropping-particle":"","parse-names":false,"suffix":""}],"container-title":"British Antarctic Survey Scientific Reports","id":"ITEM-1","issued":{"date-parts":[["1972"]]},"page":"1-66","title":"The geology of north-eastern Heimefrontfjella, Dronning Maud Land","type":"article-journal","volume":"65"},"uris":["http://www.mendeley.com/documents/?uuid=c3dca0dc-26c6-491d-bacc-23e5ef647f33"]},{"id":"ITEM-2","itemData":{"author":[{"dropping-particle":"","family":"Bauer","given":"Wilfried","non-dropping-particle":"","parse-names":false,"suffix":""}],"container-title":"Polarforschung","id":"ITEM-2","issued":{"date-parts":[["2009"]]},"page":"39-42","title":"Permian Sedimentary Cover , Heimefrontfjella , Western Dronning Maud Land (East Antarctica)","type":"article-journal","volume":"79"},"uris":["http://www.mendeley.com/documents/?uuid=02e8c9b4-b87b-4bc0-9b6b-0b56bfda746f"]}],"mendeley":{"formattedCitation":"&lt;sup&gt;17,21&lt;/sup&gt;","plainTextFormattedCitation":"17,21","previouslyFormattedCitation":"&lt;sup&gt;16,20&lt;/sup&gt;"},"properties":{"noteIndex":0},"schema":"https://github.com/citation-style-language/schema/raw/master/csl-citation.json"}</w:instrText>
      </w:r>
      <w:r>
        <w:rPr>
          <w:bCs/>
        </w:rPr>
        <w:fldChar w:fldCharType="separate"/>
      </w:r>
      <w:r w:rsidR="00C33FAB" w:rsidRPr="00C33FAB">
        <w:rPr>
          <w:bCs/>
          <w:noProof/>
          <w:vertAlign w:val="superscript"/>
        </w:rPr>
        <w:t>17,21</w:t>
      </w:r>
      <w:r>
        <w:rPr>
          <w:bCs/>
        </w:rPr>
        <w:fldChar w:fldCharType="end"/>
      </w:r>
      <w:r>
        <w:rPr>
          <w:bCs/>
        </w:rPr>
        <w:t xml:space="preserve">. This documents significant pre-Jurassic erosion of Beacon sediments, and that the peneplain </w:t>
      </w:r>
      <w:r>
        <w:rPr>
          <w:bCs/>
        </w:rPr>
        <w:lastRenderedPageBreak/>
        <w:t xml:space="preserve">once again was located close to the surface during Early Jurassic times. </w:t>
      </w:r>
      <w:r w:rsidR="00CA523A">
        <w:rPr>
          <w:bCs/>
        </w:rPr>
        <w:t xml:space="preserve">This constraint has only been applied for wDML samples, as there </w:t>
      </w:r>
      <w:r w:rsidR="00D76C16">
        <w:rPr>
          <w:bCs/>
        </w:rPr>
        <w:t xml:space="preserve">is </w:t>
      </w:r>
      <w:r w:rsidR="00CA523A">
        <w:rPr>
          <w:bCs/>
        </w:rPr>
        <w:t xml:space="preserve">no </w:t>
      </w:r>
      <w:r w:rsidR="00D76C16">
        <w:rPr>
          <w:bCs/>
        </w:rPr>
        <w:t xml:space="preserve">comparable </w:t>
      </w:r>
      <w:r w:rsidR="00CA523A">
        <w:rPr>
          <w:bCs/>
        </w:rPr>
        <w:t>evidence</w:t>
      </w:r>
      <w:r w:rsidR="00D76C16">
        <w:rPr>
          <w:bCs/>
        </w:rPr>
        <w:t xml:space="preserve"> of </w:t>
      </w:r>
      <w:r w:rsidR="001C541E">
        <w:rPr>
          <w:bCs/>
        </w:rPr>
        <w:t xml:space="preserve">pre-Jurassic </w:t>
      </w:r>
      <w:r w:rsidR="00D76C16">
        <w:rPr>
          <w:bCs/>
        </w:rPr>
        <w:t>erosion</w:t>
      </w:r>
      <w:r w:rsidR="00CA523A">
        <w:rPr>
          <w:bCs/>
        </w:rPr>
        <w:t xml:space="preserve"> for cDML.</w:t>
      </w:r>
      <w:r w:rsidR="009177CA">
        <w:rPr>
          <w:bCs/>
        </w:rPr>
        <w:t xml:space="preserve"> The models from cDML have therefore been given more freedom with respect to post-Permian cooling.</w:t>
      </w:r>
    </w:p>
    <w:p w14:paraId="5E58CC42" w14:textId="65C1A296" w:rsidR="001D268E" w:rsidRDefault="0071678B" w:rsidP="00C87C01">
      <w:pPr>
        <w:pStyle w:val="ListParagraph"/>
        <w:numPr>
          <w:ilvl w:val="0"/>
          <w:numId w:val="4"/>
        </w:numPr>
        <w:rPr>
          <w:bCs/>
        </w:rPr>
      </w:pPr>
      <w:r w:rsidRPr="00AF718F">
        <w:rPr>
          <w:bCs/>
          <w:i/>
          <w:iCs/>
          <w:u w:val="single"/>
        </w:rPr>
        <w:t>Jurassic continental flood basalts</w:t>
      </w:r>
      <w:r>
        <w:rPr>
          <w:bCs/>
          <w:i/>
          <w:iCs/>
        </w:rPr>
        <w:t>:</w:t>
      </w:r>
      <w:r>
        <w:rPr>
          <w:bCs/>
        </w:rPr>
        <w:t xml:space="preserve"> </w:t>
      </w:r>
      <w:r w:rsidR="001D268E">
        <w:rPr>
          <w:bCs/>
        </w:rPr>
        <w:t xml:space="preserve">Jurassic continental flood basalts are exposed in thicknesses of c. 400 – &gt;1000 m in </w:t>
      </w:r>
      <w:proofErr w:type="spellStart"/>
      <w:r w:rsidR="001D268E">
        <w:rPr>
          <w:bCs/>
        </w:rPr>
        <w:t>Vestfjella</w:t>
      </w:r>
      <w:proofErr w:type="spellEnd"/>
      <w:r w:rsidR="001C541E">
        <w:rPr>
          <w:bCs/>
        </w:rPr>
        <w:t>, wDML</w:t>
      </w:r>
      <w:r w:rsidR="001D268E">
        <w:rPr>
          <w:bCs/>
        </w:rPr>
        <w:fldChar w:fldCharType="begin" w:fldLock="1"/>
      </w:r>
      <w:r w:rsidR="00C33FAB">
        <w:rPr>
          <w:bCs/>
        </w:rPr>
        <w:instrText>ADDIN CSL_CITATION {"citationItems":[{"id":"ITEM-1","itemData":{"DOI":"10.1093/petrology/41.8.1271","ISSN":"00223530","abstract":"Continental flood basalts (CFBs) of Jurassic age make up the Vestfjella mountains of western Dronning Maud Land and demonstrate an Antarctic extension of the Karoo large igneous province. A detailed geochemical study of the 120-km-long Vestfjella range shows the CFB suite to consist mainly of three intercalated basaltic rock types designated CT1, CT2 and CT3 (chemical types 1, 2 and 3) that exhibit different incompatible trace element ratios. CT1 and CT2 of north Vestfjella record wide ranges of Nd and Sr isotopic compositions with initial ε(Nd) and ε(Sr) ranging from + 7.6 to - 16.0 and - 16 to + 65, respectively. The southern Vestfjella is dominated by CT3 with near-chondritic ε(Nd) (+ 2.0 to - 4.1) and ε(Sr) (- 11 to + 19). A volumetrically minor suite of ocean island basalt (OIB-)like CT4 dykes (ε(Nd) + 3.6, ε(Sr) + 1) cuts the lava sequence in north Vestfjella. The pronounced isotopic differences suggest different magmatic plumbing systems for the heterogeneous CT1 and CT2 suites and the relatively homogeneous CT3 lavas. This is further supported by the palaeoflow directions, which point to major source regions to the north (CT1 and CT2) and east (CT3) of Vestfjella. These source regions can be associated with two contemporaneous major lithospheric thinning zones that permitted magma emplacement and controlled the melting of upper-mantle sources in the Jurassic Dronning Maud Land. The CT1 and CT2 magmas utilized the northern zone of thinning and were emplaced into the 3 Ga Grunehogna craton, whereas the CT3 magmas were emplaced through thinned Proterozoic Maud Belt lithosphere. Trace element and isotopic studies of the identified magma types reveal a complex history of fractionation and contamination at different lithospheric levels. All extrusive rock types show evidence of crustal contamination but this had rather small impact on their diagnostic trace element ratios. Much stronger overprint, in the CT1 and CT2 suites, resulted from contamination with veined Archaean lithospheric mantle, which produced wide ranges of isotopic and highly incompatible element ratios. CT3, in turn, does not show evidence of interaction with the Proterozoic lithospheric mantle. The high-ε(Nd) endmembers of CT1, CT2 and CT3 probably closely resemble uncontaminated mantle-derived magmas and indicate three different mantle sources. The CT2 primary magmas were derived from light rare earth element (LREE)-depleted, slightly large ion lithophile element (LILE)-enriched sou…","author":[{"dropping-particle":"V.","family":"Luttinen","given":"Arto","non-dropping-particle":"","parse-names":false,"suffix":""},{"dropping-particle":"","family":"Furnes","given":"Harald","non-dropping-particle":"","parse-names":false,"suffix":""}],"container-title":"Journal of Petrology","id":"ITEM-1","issue":"8","issued":{"date-parts":[["2000"]]},"page":"1271-1305","title":"Flood basalts of Vestfjella: Jurassic magmatism across an Archaean-Proterozoic lithospheric boundary in Dronning Maud Land, Antarctica","type":"article-journal","volume":"41"},"uris":["http://www.mendeley.com/documents/?uuid=bcc203b9-a8e3-44b5-a14e-eaf738add827"]},{"id":"ITEM-2","itemData":{"DOI":"10.1093/petrology/egv022","ISSN":"14602415","abstract":"The Jurassic Vestfjella dyke swarm at the volcanic rifted margin of western Dronning Maud Land represents magmatism related to the incipient Africa-Antarctica rift zone; that is, rift-assemblage magmatism of the Karoo continental flood basalt (CFB) province. Geochemical and Nd-Sr isotopic data for basaltic and picritic dyke samples indicate diverse low-Ti and high-Ti tholeiitic compositions with ε&lt;inf&gt;Nd&lt;/inf&gt;(180 Ma) ranging from +8 to -17. Combined with previously reported data on a subcategory of ferropicritic dykes, our new data facilitate grouping of the Vestfjella dyke swarm into seven geochemically distinct types. The majority of the dykes exhibit geochemical affinity to continental lithosphere and can be correlated with two previously identified chemical types (CT) of the wall-rock CFB lavas and are accordingly referred to as the CT1 and CT3 dykes. The less abundant Low-Nb and High-Nb dykes, a relatively enriched subtype of CT3 (CT3-E) dykes, and dykes belonging to the depleted and enriched ferropicrite suites represent magma types found only as intrusions. The chemically mid-ocean ridge basalt (MORB)-like Low-Nb and the depleted ferropicrite suite dykes represent, respectively, relatively high- and low-degree partial melting of the same overall depleted mantle (DM)-affinity source in the sublithospheric mantle. In contrast, we ascribe the chemically ocean island basalt (OIB)-like High-Nb dykes and the enriched ferropicrite suite dykes to melting of enriched components in the sublithospheric mantle. Geochemical modelling suggests that the low-Ti affinity CT1 and CT3, and high-Ti affinity CT3-E magma types of Vestfjella dyke may predominantly result from mixing of DM-sourced Low-Nb type magmas with &lt; 10 wt % of crust- and lithospheric mantle-derived melts. U/Pb zircon dating confirms synchronous emplacement of CT1 dykes and Karoo main-stage CFBs at 182·2 ± 0·9 and 182·2 ± 0·8 Ma, whereas two &lt;sup&gt;40&lt;/sup&gt;Ar/&lt;sup&gt;39&lt;/sup&gt;Ar plagioclase plateau ages of 189·2 ± 2·3 Ma (CT1) and 185·5 ± 1·8 Ma (depleted ferropicrite suite), and a mini-plateau age of 186·9 ± 2·8 Ma (CT3-E) for the Vestfjella dykes raise the question of whether the onset of rift-zone magmatism could predate the province-wide c. 179-183 Ma main stage of Karoo magmatism. Notably variable Ca/K spectra suggest that younger &lt;sup&gt;40&lt;/sup&gt;Ar/&lt;sup&gt;39&lt;/sup&gt;Ar plagioclase plateau ages of 173, 170, 164, and 154 Ma are related to crystallization of secondary minerals during the late-stage tectono-…","author":[{"dropping-particle":"V.","family":"Luttinen","given":"Arto","non-dropping-particle":"","parse-names":false,"suffix":""},{"dropping-particle":"","family":"Heinonen","given":"Jussi S.","non-dropping-particle":"","parse-names":false,"suffix":""},{"dropping-particle":"","family":"Kurhila","given":"Matti","non-dropping-particle":"","parse-names":false,"suffix":""},{"dropping-particle":"","family":"Jourdan","given":"Fred","non-dropping-particle":"","parse-names":false,"suffix":""},{"dropping-particle":"","family":"Mänttäri","given":"Irmeli","non-dropping-particle":"","parse-names":false,"suffix":""},{"dropping-particle":"","family":"Vuori","given":"Saku K.","non-dropping-particle":"","parse-names":false,"suffix":""},{"dropping-particle":"","family":"Huhma","given":"Hannu","non-dropping-particle":"","parse-names":false,"suffix":""}],"container-title":"Journal of Petrology","id":"ITEM-2","issue":"5","issued":{"date-parts":[["2015"]]},"page":"919-952","title":"Depleted mantle-sourced CFB magmatism in the Jurassic Africa-Antarctica rift: Petrology and &lt;sup&gt;40&lt;/sup&gt;Ar/&lt;sup&gt;39&lt;/sup&gt;Ar and U/Pb chronology of the Vestfjella dyke swarm, Dronning Maud Land, Antarctica","type":"article-journal","volume":"56"},"uris":["http://www.mendeley.com/documents/?uuid=9c9e17a3-e610-4321-8055-1b97882d3d11"]}],"mendeley":{"formattedCitation":"&lt;sup&gt;22,23&lt;/sup&gt;","plainTextFormattedCitation":"22,23","previouslyFormattedCitation":"&lt;sup&gt;21,22&lt;/sup&gt;"},"properties":{"noteIndex":0},"schema":"https://github.com/citation-style-language/schema/raw/master/csl-citation.json"}</w:instrText>
      </w:r>
      <w:r w:rsidR="001D268E">
        <w:rPr>
          <w:bCs/>
        </w:rPr>
        <w:fldChar w:fldCharType="separate"/>
      </w:r>
      <w:r w:rsidR="00C33FAB" w:rsidRPr="00C33FAB">
        <w:rPr>
          <w:bCs/>
          <w:noProof/>
          <w:vertAlign w:val="superscript"/>
        </w:rPr>
        <w:t>22,23</w:t>
      </w:r>
      <w:r w:rsidR="001D268E">
        <w:rPr>
          <w:bCs/>
        </w:rPr>
        <w:fldChar w:fldCharType="end"/>
      </w:r>
      <w:r w:rsidR="001D268E">
        <w:rPr>
          <w:bCs/>
        </w:rPr>
        <w:t xml:space="preserve">, and up to c. 5 km of the equivalent </w:t>
      </w:r>
      <w:proofErr w:type="spellStart"/>
      <w:r w:rsidR="001D268E">
        <w:rPr>
          <w:bCs/>
        </w:rPr>
        <w:t>Sabie</w:t>
      </w:r>
      <w:proofErr w:type="spellEnd"/>
      <w:r w:rsidR="001D268E">
        <w:rPr>
          <w:bCs/>
        </w:rPr>
        <w:t xml:space="preserve"> River Basalt Formation is preserved in the Lebombo Monocline in southern Africa</w:t>
      </w:r>
      <w:r w:rsidR="001D268E">
        <w:rPr>
          <w:bCs/>
        </w:rPr>
        <w:fldChar w:fldCharType="begin" w:fldLock="1"/>
      </w:r>
      <w:r w:rsidR="00C33FAB">
        <w:rPr>
          <w:bCs/>
        </w:rPr>
        <w:instrText>ADDIN CSL_CITATION {"citationItems":[{"id":"ITEM-1","itemData":{"author":[{"dropping-particle":"","family":"Cleverly","given":"R W","non-dropping-particle":"","parse-names":false,"suffix":""},{"dropping-particle":"","family":"Bristow","given":"J W","non-dropping-particle":"","parse-names":false,"suffix":""}],"container-title":"Trans.geol.Soc.S.Afr.","id":"ITEM-1","issued":{"date-parts":[["1979"]]},"page":"227-230","title":"Revised volcanic stratigraphy of the Lebombo Monocline","type":"article-journal","volume":"82"},"uris":["http://www.mendeley.com/documents/?uuid=50fd0329-7554-4d20-841d-7accf1bcbb5f"]}],"mendeley":{"formattedCitation":"&lt;sup&gt;24&lt;/sup&gt;","plainTextFormattedCitation":"24","previouslyFormattedCitation":"&lt;sup&gt;23&lt;/sup&gt;"},"properties":{"noteIndex":0},"schema":"https://github.com/citation-style-language/schema/raw/master/csl-citation.json"}</w:instrText>
      </w:r>
      <w:r w:rsidR="001D268E">
        <w:rPr>
          <w:bCs/>
        </w:rPr>
        <w:fldChar w:fldCharType="separate"/>
      </w:r>
      <w:r w:rsidR="00C33FAB" w:rsidRPr="00C33FAB">
        <w:rPr>
          <w:bCs/>
          <w:noProof/>
          <w:vertAlign w:val="superscript"/>
        </w:rPr>
        <w:t>24</w:t>
      </w:r>
      <w:r w:rsidR="001D268E">
        <w:rPr>
          <w:bCs/>
        </w:rPr>
        <w:fldChar w:fldCharType="end"/>
      </w:r>
      <w:r w:rsidR="001D268E">
        <w:rPr>
          <w:bCs/>
        </w:rPr>
        <w:t xml:space="preserve">. </w:t>
      </w:r>
      <w:r w:rsidR="00CA523A">
        <w:rPr>
          <w:bCs/>
        </w:rPr>
        <w:t xml:space="preserve">In DML, the eastern boundary of the basalts was probably located between 4 </w:t>
      </w:r>
      <w:r w:rsidR="00CA523A">
        <w:rPr>
          <w:rFonts w:cs="Times New Roman"/>
          <w:bCs/>
        </w:rPr>
        <w:t>°</w:t>
      </w:r>
      <w:r w:rsidR="00CA523A">
        <w:rPr>
          <w:bCs/>
        </w:rPr>
        <w:t xml:space="preserve">E and 7 </w:t>
      </w:r>
      <w:r w:rsidR="00CA523A">
        <w:rPr>
          <w:rFonts w:cs="Times New Roman"/>
          <w:bCs/>
        </w:rPr>
        <w:t>°</w:t>
      </w:r>
      <w:r w:rsidR="00CA523A">
        <w:rPr>
          <w:bCs/>
        </w:rPr>
        <w:t>C</w:t>
      </w:r>
      <w:r w:rsidR="00CA523A">
        <w:rPr>
          <w:bCs/>
        </w:rPr>
        <w:fldChar w:fldCharType="begin" w:fldLock="1"/>
      </w:r>
      <w:r w:rsidR="00C33FAB">
        <w:rPr>
          <w:bCs/>
        </w:rPr>
        <w:instrText>ADDIN CSL_CITATION {"citationItems":[{"id":"ITEM-1","itemData":{"DOI":"10.3390/geosciences8110390","abstract":"The lack of preserved Mesozoic–Cenozoic sediments and structures in central Dronning Maud Land has so far limited our understanding of the post-Pan-African evolution of this important part of East Antarctica. In order to investigate the thermal evolution of the basement rocks and place constraints on landscape evolution, we present new low-temperature thermochronological data from 34 samples. Apatite fission track ages range from 280–85 Ma, while single-grain (U-Th)/He ages from apatite and zircon range from 305–15 and 420–340 Ma, respectively. Our preferred thermal history models suggest late Paleozoic–early Mesozoic peneplanation and subsequent burial by 3–6 km of Beacon sediments. The samples experienced no additional burial in the Jurassic, thus the once voluminous continental flood basalts of western Dronning Maud Land did not reach central Dronning Maud Land. Mesozoic–early Cenozoic cooling of the samples was slow. Contrary to western Dronning Maud Land, central Dronning Maud Land lacks a mid-Cretaceous cooling phase. We therefore suggest that the mid-Cretaceous cooling of western Dronning Maud Land should be attributed to the proximity to the collapse of the orogenic plateau at the Panthalassic margin of Gondwana. Cooling rates accelerated considerably with the onset of glaciation at 34 Ma, due to climate deterioration and glacial denudation of up to 2 km.","author":[{"dropping-particle":"","family":"Sirevaag","given":"Hallgeir","non-dropping-particle":"","parse-names":false,"suffix":""},{"dropping-particle":"","family":"Ksienzyk","given":"Anna K.","non-dropping-particle":"","parse-names":false,"suffix":""},{"dropping-particle":"","family":"Jacobs","given":"Joachim","non-dropping-particle":"","parse-names":false,"suffix":""},{"dropping-particle":"","family":"Dunkl","given":"István","non-dropping-particle":"","parse-names":false,"suffix":""},{"dropping-particle":"","family":"Läufer","given":"Andreas","non-dropping-particle":"","parse-names":false,"suffix":""}],"container-title":"Geosciences","id":"ITEM-1","issue":"11","issued":{"date-parts":[["2018"]]},"page":"390","title":"Tectono-thermal evolution and morphodynamics of the Central Dronning Maud Land Mountains, East Antarctica, based on new thermochronological data","type":"article-journal","volume":"8"},"uris":["http://www.mendeley.com/documents/?uuid=b445cd7c-a4ee-443b-8584-96cf13bb5856"]}],"mendeley":{"formattedCitation":"&lt;sup&gt;2&lt;/sup&gt;","plainTextFormattedCitation":"2","previouslyFormattedCitation":"&lt;sup&gt;2&lt;/sup&gt;"},"properties":{"noteIndex":0},"schema":"https://github.com/citation-style-language/schema/raw/master/csl-citation.json"}</w:instrText>
      </w:r>
      <w:r w:rsidR="00CA523A">
        <w:rPr>
          <w:bCs/>
        </w:rPr>
        <w:fldChar w:fldCharType="separate"/>
      </w:r>
      <w:r w:rsidR="003D1E16" w:rsidRPr="003D1E16">
        <w:rPr>
          <w:bCs/>
          <w:noProof/>
          <w:vertAlign w:val="superscript"/>
        </w:rPr>
        <w:t>2</w:t>
      </w:r>
      <w:r w:rsidR="00CA523A">
        <w:rPr>
          <w:bCs/>
        </w:rPr>
        <w:fldChar w:fldCharType="end"/>
      </w:r>
      <w:r w:rsidR="00E16E2F">
        <w:rPr>
          <w:bCs/>
        </w:rPr>
        <w:t xml:space="preserve"> (S</w:t>
      </w:r>
      <w:r w:rsidR="00925994">
        <w:rPr>
          <w:bCs/>
        </w:rPr>
        <w:t xml:space="preserve">upplementary Figure </w:t>
      </w:r>
      <w:r w:rsidR="00E16E2F">
        <w:rPr>
          <w:bCs/>
        </w:rPr>
        <w:t>1)</w:t>
      </w:r>
      <w:r w:rsidR="00CA523A">
        <w:rPr>
          <w:bCs/>
        </w:rPr>
        <w:t xml:space="preserve">. Thus, we only allow for reheating for samples located to the west of this boundary. As published titanite </w:t>
      </w:r>
      <w:r w:rsidR="003D1E16">
        <w:rPr>
          <w:bCs/>
        </w:rPr>
        <w:t>fission-</w:t>
      </w:r>
      <w:r w:rsidR="00CA523A">
        <w:rPr>
          <w:bCs/>
        </w:rPr>
        <w:t xml:space="preserve">track and mica K – </w:t>
      </w:r>
      <w:proofErr w:type="spellStart"/>
      <w:r w:rsidR="00CA523A">
        <w:rPr>
          <w:bCs/>
        </w:rPr>
        <w:t>Ar</w:t>
      </w:r>
      <w:proofErr w:type="spellEnd"/>
      <w:r w:rsidR="00CA523A">
        <w:rPr>
          <w:bCs/>
        </w:rPr>
        <w:t xml:space="preserve"> ages predate the Jurassic continental flood basalts, temperature did not exceed 300 </w:t>
      </w:r>
      <w:r w:rsidR="00CA523A">
        <w:rPr>
          <w:rFonts w:cs="Times New Roman"/>
          <w:bCs/>
        </w:rPr>
        <w:t>°</w:t>
      </w:r>
      <w:r w:rsidR="00CA523A">
        <w:rPr>
          <w:bCs/>
        </w:rPr>
        <w:t xml:space="preserve">C during the Jurassic. The maximum temperature has therefore been limited to 300 </w:t>
      </w:r>
      <w:r w:rsidR="00CA523A">
        <w:rPr>
          <w:rFonts w:cs="Times New Roman"/>
          <w:bCs/>
        </w:rPr>
        <w:t>°</w:t>
      </w:r>
      <w:r w:rsidR="00CA523A">
        <w:rPr>
          <w:bCs/>
        </w:rPr>
        <w:t>C.</w:t>
      </w:r>
      <w:r w:rsidR="001D268E">
        <w:rPr>
          <w:bCs/>
        </w:rPr>
        <w:t xml:space="preserve"> </w:t>
      </w:r>
    </w:p>
    <w:p w14:paraId="7FCFFE25" w14:textId="0706EA3A" w:rsidR="00DF3B61" w:rsidRDefault="00DF3B61" w:rsidP="00C87C01">
      <w:pPr>
        <w:pStyle w:val="ListParagraph"/>
        <w:numPr>
          <w:ilvl w:val="0"/>
          <w:numId w:val="4"/>
        </w:numPr>
        <w:rPr>
          <w:bCs/>
        </w:rPr>
      </w:pPr>
      <w:r w:rsidRPr="00AF718F">
        <w:rPr>
          <w:bCs/>
          <w:i/>
          <w:iCs/>
          <w:u w:val="single"/>
        </w:rPr>
        <w:t>End:</w:t>
      </w:r>
      <w:r>
        <w:rPr>
          <w:bCs/>
        </w:rPr>
        <w:t xml:space="preserve"> </w:t>
      </w:r>
      <w:r w:rsidR="004F2E39">
        <w:rPr>
          <w:bCs/>
        </w:rPr>
        <w:t>A s</w:t>
      </w:r>
      <w:r>
        <w:rPr>
          <w:bCs/>
        </w:rPr>
        <w:t xml:space="preserve">urface temperature of </w:t>
      </w:r>
      <w:r w:rsidR="00907460">
        <w:rPr>
          <w:bCs/>
        </w:rPr>
        <w:t xml:space="preserve">– </w:t>
      </w:r>
      <w:r>
        <w:rPr>
          <w:bCs/>
        </w:rPr>
        <w:t xml:space="preserve">25 </w:t>
      </w:r>
      <w:r>
        <w:rPr>
          <w:rFonts w:cs="Times New Roman"/>
          <w:bCs/>
        </w:rPr>
        <w:t>°</w:t>
      </w:r>
      <w:r>
        <w:rPr>
          <w:bCs/>
        </w:rPr>
        <w:t>C is applied for all samples.</w:t>
      </w:r>
    </w:p>
    <w:p w14:paraId="4674A9EE" w14:textId="1ADA8D4B" w:rsidR="008C7966" w:rsidRDefault="001C541E" w:rsidP="00C87C01">
      <w:r>
        <w:t xml:space="preserve">The </w:t>
      </w:r>
      <w:proofErr w:type="gramStart"/>
      <w:r>
        <w:t>main</w:t>
      </w:r>
      <w:r w:rsidR="001234B3">
        <w:t xml:space="preserve"> </w:t>
      </w:r>
      <w:r>
        <w:t>focus</w:t>
      </w:r>
      <w:proofErr w:type="gramEnd"/>
      <w:r>
        <w:t xml:space="preserve"> of thermochronological modeling in this study was to extract paleotemperatures at 34 Ma.</w:t>
      </w:r>
      <w:r w:rsidR="007F10CE">
        <w:t xml:space="preserve"> </w:t>
      </w:r>
      <w:r w:rsidR="00584BC7">
        <w:rPr>
          <w:i/>
          <w:iCs/>
        </w:rPr>
        <w:t>t</w:t>
      </w:r>
      <w:r w:rsidR="007F10CE">
        <w:rPr>
          <w:i/>
          <w:iCs/>
        </w:rPr>
        <w:t xml:space="preserve"> – T </w:t>
      </w:r>
      <w:r w:rsidR="007F10CE">
        <w:t>paths were exported</w:t>
      </w:r>
      <w:r w:rsidR="00584BC7">
        <w:t xml:space="preserve"> from </w:t>
      </w:r>
      <w:proofErr w:type="spellStart"/>
      <w:r w:rsidR="00584BC7">
        <w:t>HeFTy</w:t>
      </w:r>
      <w:proofErr w:type="spellEnd"/>
      <w:r w:rsidR="00584BC7">
        <w:t xml:space="preserve"> as txt-files const</w:t>
      </w:r>
      <w:r w:rsidR="00796F4F">
        <w:t>r</w:t>
      </w:r>
      <w:r w:rsidR="00584BC7">
        <w:t xml:space="preserve">aining variably spaced </w:t>
      </w:r>
      <w:r w:rsidR="00584BC7">
        <w:rPr>
          <w:i/>
          <w:iCs/>
        </w:rPr>
        <w:t xml:space="preserve">t – T </w:t>
      </w:r>
      <w:r w:rsidR="00584BC7">
        <w:t>points. An in-house-developed Python script was then used to interpolate</w:t>
      </w:r>
      <w:r w:rsidR="007F10CE">
        <w:t xml:space="preserve"> </w:t>
      </w:r>
      <w:r w:rsidR="00584BC7">
        <w:t xml:space="preserve">between these points, and to extract the temperature at 34 Ma for all individual modeling paths. Furthermore, the unweighted mean temperature was calculated based on all good (goodness-of-fit </w:t>
      </w:r>
      <w:r w:rsidR="00584BC7">
        <w:rPr>
          <w:rFonts w:cs="Times New Roman"/>
        </w:rPr>
        <w:t>≥ 0.5)</w:t>
      </w:r>
      <w:r w:rsidR="00584BC7">
        <w:t xml:space="preserve"> and acceptable (goodness-of-fit </w:t>
      </w:r>
      <w:r w:rsidR="00584BC7">
        <w:rPr>
          <w:rFonts w:cs="Times New Roman"/>
        </w:rPr>
        <w:t>≥</w:t>
      </w:r>
      <w:r w:rsidR="00584BC7">
        <w:t xml:space="preserve"> 0.05) paths. </w:t>
      </w:r>
      <w:r>
        <w:t>T</w:t>
      </w:r>
      <w:r w:rsidR="007F10CE">
        <w:t xml:space="preserve">he temperatures </w:t>
      </w:r>
      <w:r>
        <w:t xml:space="preserve">for </w:t>
      </w:r>
      <w:r w:rsidR="00584BC7">
        <w:t>all</w:t>
      </w:r>
      <w:r>
        <w:t xml:space="preserve"> individual modeled cooling path are plotted as kernel density </w:t>
      </w:r>
      <w:r w:rsidRPr="009A638E">
        <w:t>distributions in S</w:t>
      </w:r>
      <w:r w:rsidR="00BD168B">
        <w:t xml:space="preserve">upplementary Notes </w:t>
      </w:r>
      <w:r w:rsidRPr="009A638E">
        <w:t>4</w:t>
      </w:r>
      <w:r w:rsidR="009A638E" w:rsidRPr="009A638E">
        <w:t xml:space="preserve"> and S</w:t>
      </w:r>
      <w:r w:rsidR="00BD168B">
        <w:t xml:space="preserve">upplementary Notes </w:t>
      </w:r>
      <w:r w:rsidRPr="009A638E">
        <w:t>5</w:t>
      </w:r>
      <w:r w:rsidR="002520B5" w:rsidRPr="009A638E">
        <w:t>.</w:t>
      </w:r>
      <w:r>
        <w:t xml:space="preserve"> </w:t>
      </w:r>
      <w:r w:rsidR="0028213A" w:rsidRPr="00F5616A">
        <w:t xml:space="preserve">Each sample has been modeled </w:t>
      </w:r>
      <w:r w:rsidR="00C52F5B" w:rsidRPr="00F5616A">
        <w:t>twice</w:t>
      </w:r>
      <w:r w:rsidR="0028213A" w:rsidRPr="00F5616A">
        <w:t xml:space="preserve"> in order to evaluate </w:t>
      </w:r>
      <w:r>
        <w:t>a potential</w:t>
      </w:r>
      <w:r w:rsidR="0028213A" w:rsidRPr="00F5616A">
        <w:t xml:space="preserve"> bias on the temperature distribution</w:t>
      </w:r>
      <w:r w:rsidR="002520B5">
        <w:t xml:space="preserve"> that might have been introduced by the external constraints that were used</w:t>
      </w:r>
      <w:r w:rsidR="00547983">
        <w:t xml:space="preserve">: One </w:t>
      </w:r>
      <w:r w:rsidR="002520B5">
        <w:t>unconstrained</w:t>
      </w:r>
      <w:r w:rsidR="00547983">
        <w:t xml:space="preserve"> model allowing for monotonic cooling (with only start and end </w:t>
      </w:r>
      <w:r w:rsidR="002520B5">
        <w:t>temperature</w:t>
      </w:r>
      <w:r w:rsidR="009177CA">
        <w:t xml:space="preserve"> range</w:t>
      </w:r>
      <w:r w:rsidR="002520B5">
        <w:t>s given</w:t>
      </w:r>
      <w:r w:rsidR="00547983">
        <w:t xml:space="preserve">), and one </w:t>
      </w:r>
      <w:r w:rsidR="002520B5">
        <w:t xml:space="preserve">constrained </w:t>
      </w:r>
      <w:r w:rsidR="00547983">
        <w:t xml:space="preserve">model using the previously published </w:t>
      </w:r>
      <w:r w:rsidR="00547983">
        <w:lastRenderedPageBreak/>
        <w:t>constraints from western</w:t>
      </w:r>
      <w:r w:rsidR="00547983">
        <w:fldChar w:fldCharType="begin" w:fldLock="1"/>
      </w:r>
      <w:r w:rsidR="003D1E16">
        <w:instrText>ADDIN CSL_CITATION {"citationItems":[{"id":"ITEM-1","itemData":{"DOI":"10.1016/j.gr.2018.04.017","ISSN":"1342937X","abstract":"The Dronning Maud Land Mountains form a c. 1500 km long, coast-parallel escarpment that possibly formed by flexural uplift during Jurassic rifting between East and West Gondwana. Contemporaneous to the rifting, considerable amounts of continental flood basalts, associated with the Karoo mantle plume, were emplaced at c. 183 Ma. The basalts are still widespread in South Africa, making up elevated topography, but are only preserved as smaller remnants in western Dronning Maud Land. By investigating the paleo-thermal effect of the basalts, we aim to constrain the extent and original thickness, as well as the subsequent erosion history of the Jurassic continental flood basalts. Thus, we have applied low-temperature thermochronological methods to 40 samples from western Dronning Maud Land. This has resulted in 34 new apatite fission track ages, ranging from c. 310 to 90 Ma, 31 apatite (U–Th)/He ages spanning from c. 400 to 50 Ma and, and 9 zircon (U–Th)/He ages between c. 650 and 200 Ma. Thermal modelling of 26 samples indicates variable thickness of the Jurassic basaltic cover. The greatest basaltic thicknesses are recorded in Heimefrontfjella and H.U. Sverdrupfjella, where up to c. 2 km are estimated. Thicknesses at Kirwanveggen, Hochlinfjellet, Midbresrabben and Ahlmannryggen range from c. 100 m to 600 m. Thickness variations are attributed to the proximity to the emplacement zone, possible pre-existing topography and syn-volcanic rift flank uplift. Since the continental flood basalt emplacement, two phases of enhanced cooling have been documented: 1) A Jurassic-Cretaceous cooling phase is attributed to reactivation of the Jutulstraumen–Penckgraben rift, the initial rifting and opening of the South Atlantic and enhanced chemical weathering and deep erosion due to a Jurassic temperate–subtropical climate. 2) Late Paleogene cooling is attributed to the transition from green house to ice-house conditions and ice-sheet initiation at the Eocene-Oligocene boundary. Post-Jurassic denudation of at least 2 km in some places is suggested.","author":[{"dropping-particle":"","family":"Sirevaag","given":"Hallgeir","non-dropping-particle":"","parse-names":false,"suffix":""},{"dropping-particle":"","family":"Jacobs","given":"Joachim","non-dropping-particle":"","parse-names":false,"suffix":""},{"dropping-particle":"","family":"Ksienzyk","given":"Anna K.","non-dropping-particle":"","parse-names":false,"suffix":""},{"dropping-particle":"","family":"Dunkl","given":"István","non-dropping-particle":"","parse-names":false,"suffix":""},{"dropping-particle":"","family":"Marschall","given":"Horst R.","non-dropping-particle":"","parse-names":false,"suffix":""}],"container-title":"Gondwana Research","id":"ITEM-1","issued":{"date-parts":[["2018"]]},"page":"222-243","publisher":"International Association for Gondwana Research","title":"Extent, thickness and erosion of the Jurassic continental flood basalts of Dronning Maud Land, East Antarctica: A low-T thermochronological approach","type":"article-journal","volume":"61"},"uris":["http://www.mendeley.com/documents/?uuid=eb8cf322-8a73-4544-92de-730f1e053ec9"]}],"mendeley":{"formattedCitation":"&lt;sup&gt;1&lt;/sup&gt;","plainTextFormattedCitation":"1","previouslyFormattedCitation":"&lt;sup&gt;1&lt;/sup&gt;"},"properties":{"noteIndex":0},"schema":"https://github.com/citation-style-language/schema/raw/master/csl-citation.json"}</w:instrText>
      </w:r>
      <w:r w:rsidR="00547983">
        <w:fldChar w:fldCharType="separate"/>
      </w:r>
      <w:r w:rsidR="003D1E16" w:rsidRPr="003D1E16">
        <w:rPr>
          <w:noProof/>
          <w:vertAlign w:val="superscript"/>
        </w:rPr>
        <w:t>1</w:t>
      </w:r>
      <w:r w:rsidR="00547983">
        <w:fldChar w:fldCharType="end"/>
      </w:r>
      <w:r w:rsidR="00547983">
        <w:t xml:space="preserve"> and central</w:t>
      </w:r>
      <w:r w:rsidR="00547983">
        <w:fldChar w:fldCharType="begin" w:fldLock="1"/>
      </w:r>
      <w:r w:rsidR="00C33FAB">
        <w:instrText>ADDIN CSL_CITATION {"citationItems":[{"id":"ITEM-1","itemData":{"DOI":"10.3390/geosciences8110390","abstract":"The lack of preserved Mesozoic–Cenozoic sediments and structures in central Dronning Maud Land has so far limited our understanding of the post-Pan-African evolution of this important part of East Antarctica. In order to investigate the thermal evolution of the basement rocks and place constraints on landscape evolution, we present new low-temperature thermochronological data from 34 samples. Apatite fission track ages range from 280–85 Ma, while single-grain (U-Th)/He ages from apatite and zircon range from 305–15 and 420–340 Ma, respectively. Our preferred thermal history models suggest late Paleozoic–early Mesozoic peneplanation and subsequent burial by 3–6 km of Beacon sediments. The samples experienced no additional burial in the Jurassic, thus the once voluminous continental flood basalts of western Dronning Maud Land did not reach central Dronning Maud Land. Mesozoic–early Cenozoic cooling of the samples was slow. Contrary to western Dronning Maud Land, central Dronning Maud Land lacks a mid-Cretaceous cooling phase. We therefore suggest that the mid-Cretaceous cooling of western Dronning Maud Land should be attributed to the proximity to the collapse of the orogenic plateau at the Panthalassic margin of Gondwana. Cooling rates accelerated considerably with the onset of glaciation at 34 Ma, due to climate deterioration and glacial denudation of up to 2 km.","author":[{"dropping-particle":"","family":"Sirevaag","given":"Hallgeir","non-dropping-particle":"","parse-names":false,"suffix":""},{"dropping-particle":"","family":"Ksienzyk","given":"Anna K.","non-dropping-particle":"","parse-names":false,"suffix":""},{"dropping-particle":"","family":"Jacobs","given":"Joachim","non-dropping-particle":"","parse-names":false,"suffix":""},{"dropping-particle":"","family":"Dunkl","given":"István","non-dropping-particle":"","parse-names":false,"suffix":""},{"dropping-particle":"","family":"Läufer","given":"Andreas","non-dropping-particle":"","parse-names":false,"suffix":""}],"container-title":"Geosciences","id":"ITEM-1","issue":"11","issued":{"date-parts":[["2018"]]},"page":"390","title":"Tectono-thermal evolution and morphodynamics of the Central Dronning Maud Land Mountains, East Antarctica, based on new thermochronological data","type":"article-journal","volume":"8"},"uris":["http://www.mendeley.com/documents/?uuid=b445cd7c-a4ee-443b-8584-96cf13bb5856"]}],"mendeley":{"formattedCitation":"&lt;sup&gt;2&lt;/sup&gt;","plainTextFormattedCitation":"2","previouslyFormattedCitation":"&lt;sup&gt;2&lt;/sup&gt;"},"properties":{"noteIndex":0},"schema":"https://github.com/citation-style-language/schema/raw/master/csl-citation.json"}</w:instrText>
      </w:r>
      <w:r w:rsidR="00547983">
        <w:fldChar w:fldCharType="separate"/>
      </w:r>
      <w:r w:rsidR="003D1E16" w:rsidRPr="003D1E16">
        <w:rPr>
          <w:noProof/>
          <w:vertAlign w:val="superscript"/>
        </w:rPr>
        <w:t>2</w:t>
      </w:r>
      <w:r w:rsidR="00547983">
        <w:fldChar w:fldCharType="end"/>
      </w:r>
      <w:r w:rsidR="00547983">
        <w:t xml:space="preserve"> DML</w:t>
      </w:r>
      <w:r w:rsidR="00394179">
        <w:t xml:space="preserve"> (Supplementary </w:t>
      </w:r>
      <w:r w:rsidR="00925994">
        <w:t>Notes</w:t>
      </w:r>
      <w:r w:rsidR="001864C0">
        <w:t xml:space="preserve"> </w:t>
      </w:r>
      <w:r w:rsidR="00394179">
        <w:t>5, S</w:t>
      </w:r>
      <w:r w:rsidR="00925994">
        <w:t xml:space="preserve">upplementary Figure </w:t>
      </w:r>
      <w:r w:rsidR="00394179">
        <w:t>3</w:t>
      </w:r>
      <w:r w:rsidR="00925994">
        <w:t xml:space="preserve">a </w:t>
      </w:r>
      <w:r w:rsidR="00394179">
        <w:t xml:space="preserve">and </w:t>
      </w:r>
      <w:r w:rsidR="00BD168B">
        <w:t>3</w:t>
      </w:r>
      <w:r w:rsidR="00925994">
        <w:t>b</w:t>
      </w:r>
      <w:r w:rsidR="00394179">
        <w:t>)</w:t>
      </w:r>
      <w:r w:rsidR="00547983">
        <w:t xml:space="preserve">. </w:t>
      </w:r>
      <w:r w:rsidR="008C7966" w:rsidRPr="00A51E56">
        <w:t>T</w:t>
      </w:r>
      <w:r w:rsidR="008C7966">
        <w:t xml:space="preserve">emperatures at 34 Ma </w:t>
      </w:r>
      <w:r w:rsidR="008C7966" w:rsidRPr="00A51E56">
        <w:t>generally reproduce well for the unconstrained and constrained model runs (</w:t>
      </w:r>
      <w:r w:rsidR="008C7966">
        <w:t>S</w:t>
      </w:r>
      <w:r w:rsidR="00BD168B">
        <w:t xml:space="preserve">upplementary Notes </w:t>
      </w:r>
      <w:r w:rsidR="008C7966">
        <w:t>5</w:t>
      </w:r>
      <w:r w:rsidR="008C7966" w:rsidRPr="00A51E56">
        <w:t xml:space="preserve">), although some samples show a slight shift in </w:t>
      </w:r>
      <w:r w:rsidR="008C7966">
        <w:t>the</w:t>
      </w:r>
      <w:r w:rsidR="008C7966" w:rsidRPr="00A51E56">
        <w:t xml:space="preserve"> temperature distribution (e.g.</w:t>
      </w:r>
      <w:r w:rsidR="002F15EC">
        <w:t>,</w:t>
      </w:r>
      <w:r w:rsidR="008C7966" w:rsidRPr="00A51E56">
        <w:t xml:space="preserve"> sample JJ1890). </w:t>
      </w:r>
      <w:r w:rsidR="008C7966">
        <w:t xml:space="preserve">For </w:t>
      </w:r>
      <w:r w:rsidR="002F15EC">
        <w:t>most</w:t>
      </w:r>
      <w:r w:rsidR="008C7966">
        <w:t xml:space="preserve"> samples, no significant bias was observed, and we </w:t>
      </w:r>
      <w:r w:rsidR="008C7966" w:rsidRPr="00A51E56">
        <w:t>prefer the models with additional external constraints</w:t>
      </w:r>
      <w:r w:rsidR="00F51FD8">
        <w:t>,</w:t>
      </w:r>
      <w:r w:rsidR="008C7966" w:rsidRPr="00A51E56">
        <w:t xml:space="preserve"> </w:t>
      </w:r>
      <w:r w:rsidR="008C7966">
        <w:t xml:space="preserve">since these </w:t>
      </w:r>
      <w:proofErr w:type="gramStart"/>
      <w:r w:rsidR="008C7966">
        <w:t>take into account</w:t>
      </w:r>
      <w:proofErr w:type="gramEnd"/>
      <w:r w:rsidR="008C7966">
        <w:t xml:space="preserve"> known geological events and are considered to be</w:t>
      </w:r>
      <w:r w:rsidR="008C7966" w:rsidRPr="00A51E56">
        <w:t xml:space="preserve"> more realistic.</w:t>
      </w:r>
    </w:p>
    <w:p w14:paraId="64D3603D" w14:textId="18AB348F" w:rsidR="005565C6" w:rsidRDefault="005565C6" w:rsidP="00C87C01">
      <w:r>
        <w:t xml:space="preserve">In order to test the effect of helium diffusion models for samples including (U – Th)/He data, three different helium diffusion models were tested for the </w:t>
      </w:r>
      <w:r w:rsidR="00230095">
        <w:t>constrained</w:t>
      </w:r>
      <w:r>
        <w:t xml:space="preserve"> models: the Farley</w:t>
      </w:r>
      <w:r>
        <w:fldChar w:fldCharType="begin" w:fldLock="1"/>
      </w:r>
      <w:r w:rsidR="00C33FAB">
        <w:instrText>ADDIN CSL_CITATION {"citationItems":[{"id":"ITEM-1","itemData":{"DOI":"10.1029/1999jb900348","ISSN":"2169-9356","abstract":"High-precision stepped-heating experiments were performed to better characterize helium diffusion from apatite using Durango fluorapatite as a model system. At temperatures below 265øC, helium diffusion from this apatite is a simple, thermally activated process that is independent of the cumulative fraction of helium released and also of the heating schedule used. Across a factor of -4 in grain size, helium diffusivity scales with the inverse square of grain radius, implying that the physical grain is the diffusion domain. Measurements on crystallographically oriented thick sections indicate that helium diffusivity in Durango apatite is nearly isotropic. The best estimate of the activation energy for He diffusion from this apatite is E a = 33 _+ 0.5 kcal/mol, with log(D0) = 1.5 +_ 0.6 cm2/s. The implied He closure temperature for a grain of 100 •m radius is 68øC assuming a 10øC/Myr cooling rate; this figure varies by _5øC for grains ranging from 50 to 150 •m radius. When this apatite is heated to temperatures from 265 to 400øC, a progressive and irreversible change in He diffusion behavior occurs: Both the activation energy and frequency factor are reduced. This transition in behavior coincides closely with progressive annealing of radiation damage in Durango apatite, suggesting that defects and defect annealing play a role in the diffusivity of helium through apatite.","author":[{"dropping-particle":"","family":"Farley","given":"K. A.","non-dropping-particle":"","parse-names":false,"suffix":""}],"container-title":"Journal of Geophysical Research: Solid Earth","id":"ITEM-1","issue":"B2","issued":{"date-parts":[["2000"]]},"page":"2903-2914","title":"Helium diffusion from apatite: General behavior as illustrated by Durango fluorapatite","type":"article-journal","volume":"105"},"suppress-author":1,"uris":["http://www.mendeley.com/documents/?uuid=3d64c05b-711a-49d1-aaae-0ed5557b108d"]}],"mendeley":{"formattedCitation":"&lt;sup&gt;25&lt;/sup&gt;","plainTextFormattedCitation":"25","previouslyFormattedCitation":"&lt;sup&gt;24&lt;/sup&gt;"},"properties":{"noteIndex":0},"schema":"https://github.com/citation-style-language/schema/raw/master/csl-citation.json"}</w:instrText>
      </w:r>
      <w:r>
        <w:fldChar w:fldCharType="separate"/>
      </w:r>
      <w:r w:rsidR="00C33FAB" w:rsidRPr="00C33FAB">
        <w:rPr>
          <w:noProof/>
          <w:vertAlign w:val="superscript"/>
        </w:rPr>
        <w:t>25</w:t>
      </w:r>
      <w:r>
        <w:fldChar w:fldCharType="end"/>
      </w:r>
      <w:r>
        <w:t xml:space="preserve"> model, the Helium Trapping Model (HETM</w:t>
      </w:r>
      <w:r w:rsidR="003D1E16">
        <w:fldChar w:fldCharType="begin" w:fldLock="1"/>
      </w:r>
      <w:r w:rsidR="00C33FAB">
        <w:instrText xml:space="preserve">ADDIN CSL_CITATION {"citationItems":[{"id":"ITEM-1","itemData":{"DOI":"10.1016/j.epsl.2006.07.028","ISSN":"0012821X","abstract":"Stepwise degassing diffusion experiments on 39 different apatite samples using radiogenic 4 He and proton-induced 3 He reveal a range in closure temperature (T c ) from </w:instrText>
      </w:r>
      <w:r w:rsidR="00C33FAB">
        <w:rPr>
          <w:rFonts w:ascii="Cambria Math" w:hAnsi="Cambria Math" w:cs="Cambria Math"/>
        </w:rPr>
        <w:instrText>∼</w:instrText>
      </w:r>
      <w:r w:rsidR="00C33FAB">
        <w:rPr>
          <w:rFonts w:cs="Times New Roman"/>
        </w:rPr>
        <w:instrText> </w:instrText>
      </w:r>
      <w:r w:rsidR="00C33FAB">
        <w:instrText>50 to 115</w:instrText>
      </w:r>
      <w:r w:rsidR="00C33FAB">
        <w:rPr>
          <w:rFonts w:cs="Times New Roman"/>
        </w:rPr>
        <w:instrText> °</w:instrText>
      </w:r>
      <w:r w:rsidR="00C33FAB">
        <w:instrText>C, for a cooling rate of 10 °C/Myr. There is no correlation between helium diffusion and apatite chemistry including F/Cl ratio, but the closure temperature is positively correlated with the radiogenic 4 He concentration ([ 4 He]) in each sample. We argue that [ 4 He] is a proxy for a sample's natural exposure to actinide radioactivity below the closure temperature, and that helium diffusion in apatite is impeded by radiation-induced damage to the apatite structure. The kinetics must therefore be an evolving function of time; measured diffusivities thus reflect a snapshot in time and cannot alone be applied to the thermochronometric interpretation of a given sample. The effect of radiation damage on helium diffusion appears to far exceed other known controls on helium diffusivity, including grain size. Our diffusion data are well described by a previously proposed, quantitative model that consists of two Arrhenius relations, one for volume diffusion through undamaged mineral structure and one for release of helium from radiation damage \"traps.\" The unknown parameters in this \"trapping model\" were determined from the diffusion experiments, and allow us to develop a tentative mathematical function that relates diffusivity to temperature and [ 4 He]. By inserting this function into a 4 He production-diffusion model we have explored how these results affect the interpretation of apatite (U-Th)/He thermochronometry. The model predicts that the effective 4 He closure temperature of apatite will vary with cooling rate and effective U concentration (eU) and may differ from the commonly assumed T c of 70 °C by up to ± 15 °C. The 4 He partial retention zone will look similar to previous expectations, but its depth will depend on accumulation time and on eU. Most notably, samples subjected to reheating after accumulation of substantial radiation damage will be more retentive than previously expected. These predictions are consistent with recent observations of unexpected apatite (U-Th)/He ages in some settings. © 2006 Elsevier B.V. All rights reserved.","author":[{"dropping-particle":"","family":"Shuster","given":"David L.","non-dropping-particle":"","parse-names":false,"suffix":""},{"dropping-particle":"","family":"Flowers","given":"Rebecca M.","non-dropping-particle":"","parse-names":false,"suffix":""},{"dropping-particle":"","family":"Farley","given":"Kenneth A.","non-dropping-particle":"","parse-names":false,"suffix":""}],"container-title":"Earth and Planetary Science Letters","id":"ITEM-1","issue":"3-4","issued":{"date-parts":[["2006"]]},"page":"148-161","title":"The influence of natural radiation damage on helium diffusion kinetics in apatite","type":"article-journal","volume":"249"},"uris":["http://www.mendeley.com/documents/?uuid=5857ba99-1e6a-45a2-9e46-7218c2ea62dc"]}],"mendeley":{"formattedCitation":"&lt;sup&gt;26&lt;/sup&gt;","plainTextFormattedCitation":"26","previouslyFormattedCitation":"&lt;sup&gt;25&lt;/sup&gt;"},"properties":{"noteIndex":0},"schema":"https://github.com/citation-style-language/schema/raw/master/csl-citation.json"}</w:instrText>
      </w:r>
      <w:r w:rsidR="003D1E16">
        <w:fldChar w:fldCharType="separate"/>
      </w:r>
      <w:r w:rsidR="00C33FAB" w:rsidRPr="00C33FAB">
        <w:rPr>
          <w:noProof/>
          <w:vertAlign w:val="superscript"/>
        </w:rPr>
        <w:t>26</w:t>
      </w:r>
      <w:r w:rsidR="003D1E16">
        <w:fldChar w:fldCharType="end"/>
      </w:r>
      <w:r>
        <w:t>) and the Radiation Damage Accumulation and Annealing Model (RDAAM</w:t>
      </w:r>
      <w:r w:rsidR="003D1E16">
        <w:fldChar w:fldCharType="begin" w:fldLock="1"/>
      </w:r>
      <w:r w:rsidR="00C33FAB">
        <w:instrText>ADDIN CSL_CITATION {"citationItems":[{"id":"ITEM-1","itemData":{"DOI":"10.1016/j.gca.2009.01.015","ISSN":"00167037","abstract":"Helium diffusion from apatite is a sensitive function of the volume fraction of radiation damage to the crystal, a quantity that varies over the lifetime of the apatite. Using recently published laboratory data we develop and investigate a new kinetic model, the radiation damage accumulation and annealing model (RDAAM), that adopts the effective fission-track density as a proxy for accumulated radiation damage. This proxy incorporates creation of crystal damage proportional to α-production from U and Th decay, and the elimination of that damage governed by the kinetics of fission-track annealing. The RDAAM is a version of the helium trapping model (HeTM; Shuster D. L., Flowers R. M. and Farley K. A. (2006) The influence of natural radiation damage on helium diffusion kinetics in apatite. Earth Planet. Sci. Lett. 249, 148-161), calibrated by helium diffusion data in natural and partially annealed apatites. The chief limitation of the HeTM, now addressed by RDAAM, is its use of He concentration as the radiation damage proxy for circumstances in which radiation damage and He are not accumulated and lost proportionately from the crystal. By incorporating the RDAAM into the HeFTy computer program, we explore its implications for apatite (U-Th)/He thermochronometry. We show how (U-Th)/He dates predicted from the model are sensitive to both effective U concentration (eU) and details of the temperature history. The RDAAM predicts an effective He closure temperature of 62 °C for a 28 ppm eU apatite of 60 μm radius that experienced a 10 °C/Ma monotonic cooling rate; this is 8 °C lower than the 70 °C effective closure temperature predicted using commonly assumed Durango diffusion kinetics. Use of the RDAAM is most important for accurate interpretation of (U-Th)/He data for apatite suites that experienced moderate to slow monotonic cooling (1-0.1 °C/Ma), prolonged residence in the helium partial retention zone, or a duration at temperatures appropriate for radiation damage accumulation followed by reheating and partial helium loss. Under common circumstances the RDAAM predicts (U-Th)/He dates that are older, sometimes much older, than corresponding fission-track dates. Nonlinear positive correlations between apatite (U-Th)/He date and eU in apatites subjected to the same temperature history are a diagnostic signature of the RDAAM for many but not all thermal histories. Observed date-eU correlations in four different localities can be explained with the RDAAM using …","author":[{"dropping-particle":"","family":"Flowers","given":"Rebecca M.","non-dropping-particle":"","parse-names":false,"suffix":""},{"dropping-particle":"","family":"Ketcham","given":"Richard A.","non-dropping-particle":"","parse-names":false,"suffix":""},{"dropping-particle":"","family":"Shuster","given":"David L.","non-dropping-particle":"","parse-names":false,"suffix":""},{"dropping-particle":"","family":"Farley","given":"Kenneth A.","non-dropping-particle":"","parse-names":false,"suffix":""}],"container-title":"Geochimica et Cosmochimica Acta","id":"ITEM-1","issue":"8","issued":{"date-parts":[["2009"]]},"page":"2347-2365","publisher":"Elsevier Ltd","title":"Apatite (U-Th)/He thermochronometry using a radiation damage accumulation and annealing model","type":"article-journal","volume":"73"},"uris":["http://www.mendeley.com/documents/?uuid=acee396a-5a2b-49db-87a0-522281199703"]}],"mendeley":{"formattedCitation":"&lt;sup&gt;27&lt;/sup&gt;","plainTextFormattedCitation":"27","previouslyFormattedCitation":"&lt;sup&gt;26&lt;/sup&gt;"},"properties":{"noteIndex":0},"schema":"https://github.com/citation-style-language/schema/raw/master/csl-citation.json"}</w:instrText>
      </w:r>
      <w:r w:rsidR="003D1E16">
        <w:fldChar w:fldCharType="separate"/>
      </w:r>
      <w:r w:rsidR="00C33FAB" w:rsidRPr="00C33FAB">
        <w:rPr>
          <w:noProof/>
          <w:vertAlign w:val="superscript"/>
        </w:rPr>
        <w:t>27</w:t>
      </w:r>
      <w:r w:rsidR="003D1E16">
        <w:fldChar w:fldCharType="end"/>
      </w:r>
      <w:r>
        <w:t>). A comparison of the temperature distri</w:t>
      </w:r>
      <w:r w:rsidR="00EE3A4F">
        <w:t xml:space="preserve">bution </w:t>
      </w:r>
      <w:r w:rsidR="00230095">
        <w:t xml:space="preserve">at 34 Ma </w:t>
      </w:r>
      <w:r w:rsidR="00EE3A4F">
        <w:t xml:space="preserve">for the three diffusion models </w:t>
      </w:r>
      <w:r w:rsidR="00230095">
        <w:t xml:space="preserve">is </w:t>
      </w:r>
      <w:r w:rsidR="00EE3A4F">
        <w:t xml:space="preserve">shown in Supplementary </w:t>
      </w:r>
      <w:r w:rsidR="00BD168B">
        <w:t>Notes 4</w:t>
      </w:r>
      <w:r w:rsidR="00EE3A4F">
        <w:t xml:space="preserve">. </w:t>
      </w:r>
      <w:r w:rsidR="00230095">
        <w:t xml:space="preserve">For most samples, the temperature distributions are very similar for all three diffusion models. However, </w:t>
      </w:r>
      <w:r w:rsidR="00EE3A4F">
        <w:t>the RDAAM</w:t>
      </w:r>
      <w:r w:rsidR="00EE3A4F">
        <w:fldChar w:fldCharType="begin" w:fldLock="1"/>
      </w:r>
      <w:r w:rsidR="00C33FAB">
        <w:instrText>ADDIN CSL_CITATION {"citationItems":[{"id":"ITEM-1","itemData":{"DOI":"10.1016/j.gca.2009.01.015","ISSN":"00167037","abstract":"Helium diffusion from apatite is a sensitive function of the volume fraction of radiation damage to the crystal, a quantity that varies over the lifetime of the apatite. Using recently published laboratory data we develop and investigate a new kinetic model, the radiation damage accumulation and annealing model (RDAAM), that adopts the effective fission-track density as a proxy for accumulated radiation damage. This proxy incorporates creation of crystal damage proportional to α-production from U and Th decay, and the elimination of that damage governed by the kinetics of fission-track annealing. The RDAAM is a version of the helium trapping model (HeTM; Shuster D. L., Flowers R. M. and Farley K. A. (2006) The influence of natural radiation damage on helium diffusion kinetics in apatite. Earth Planet. Sci. Lett. 249, 148-161), calibrated by helium diffusion data in natural and partially annealed apatites. The chief limitation of the HeTM, now addressed by RDAAM, is its use of He concentration as the radiation damage proxy for circumstances in which radiation damage and He are not accumulated and lost proportionately from the crystal. By incorporating the RDAAM into the HeFTy computer program, we explore its implications for apatite (U-Th)/He thermochronometry. We show how (U-Th)/He dates predicted from the model are sensitive to both effective U concentration (eU) and details of the temperature history. The RDAAM predicts an effective He closure temperature of 62 °C for a 28 ppm eU apatite of 60 μm radius that experienced a 10 °C/Ma monotonic cooling rate; this is 8 °C lower than the 70 °C effective closure temperature predicted using commonly assumed Durango diffusion kinetics. Use of the RDAAM is most important for accurate interpretation of (U-Th)/He data for apatite suites that experienced moderate to slow monotonic cooling (1-0.1 °C/Ma), prolonged residence in the helium partial retention zone, or a duration at temperatures appropriate for radiation damage accumulation followed by reheating and partial helium loss. Under common circumstances the RDAAM predicts (U-Th)/He dates that are older, sometimes much older, than corresponding fission-track dates. Nonlinear positive correlations between apatite (U-Th)/He date and eU in apatites subjected to the same temperature history are a diagnostic signature of the RDAAM for many but not all thermal histories. Observed date-eU correlations in four different localities can be explained with the RDAAM using …","author":[{"dropping-particle":"","family":"Flowers","given":"Rebecca M.","non-dropping-particle":"","parse-names":false,"suffix":""},{"dropping-particle":"","family":"Ketcham","given":"Richard A.","non-dropping-particle":"","parse-names":false,"suffix":""},{"dropping-particle":"","family":"Shuster","given":"David L.","non-dropping-particle":"","parse-names":false,"suffix":""},{"dropping-particle":"","family":"Farley","given":"Kenneth A.","non-dropping-particle":"","parse-names":false,"suffix":""}],"container-title":"Geochimica et Cosmochimica Acta","id":"ITEM-1","issue":"8","issued":{"date-parts":[["2009"]]},"page":"2347-2365","publisher":"Elsevier Ltd","title":"Apatite (U-Th)/He thermochronometry using a radiation damage accumulation and annealing model","type":"article-journal","volume":"73"},"uris":["http://www.mendeley.com/documents/?uuid=acee396a-5a2b-49db-87a0-522281199703"]}],"mendeley":{"formattedCitation":"&lt;sup&gt;27&lt;/sup&gt;","plainTextFormattedCitation":"27","previouslyFormattedCitation":"&lt;sup&gt;26&lt;/sup&gt;"},"properties":{"noteIndex":0},"schema":"https://github.com/citation-style-language/schema/raw/master/csl-citation.json"}</w:instrText>
      </w:r>
      <w:r w:rsidR="00EE3A4F">
        <w:fldChar w:fldCharType="separate"/>
      </w:r>
      <w:r w:rsidR="00C33FAB" w:rsidRPr="00C33FAB">
        <w:rPr>
          <w:noProof/>
          <w:vertAlign w:val="superscript"/>
        </w:rPr>
        <w:t>27</w:t>
      </w:r>
      <w:r w:rsidR="00EE3A4F">
        <w:fldChar w:fldCharType="end"/>
      </w:r>
      <w:r w:rsidR="00EE3A4F">
        <w:t xml:space="preserve"> </w:t>
      </w:r>
      <w:r w:rsidR="00F51FD8">
        <w:t xml:space="preserve">was the only model to produce results for all samples and </w:t>
      </w:r>
      <w:r w:rsidR="00EE3A4F">
        <w:t xml:space="preserve">has been </w:t>
      </w:r>
      <w:r w:rsidR="00F51FD8">
        <w:t xml:space="preserve">used </w:t>
      </w:r>
      <w:r w:rsidR="00EE3A4F">
        <w:t xml:space="preserve">for </w:t>
      </w:r>
      <w:r w:rsidR="00F51FD8">
        <w:t xml:space="preserve">the final modeling of </w:t>
      </w:r>
      <w:r w:rsidR="00EE3A4F">
        <w:t>all samples</w:t>
      </w:r>
      <w:r w:rsidR="004F2E39">
        <w:t>.</w:t>
      </w:r>
    </w:p>
    <w:p w14:paraId="6C950390" w14:textId="4D6B3E1A" w:rsidR="00FD6BA1" w:rsidRDefault="00FD6BA1" w:rsidP="00C87C01">
      <w:r w:rsidRPr="00A51E56">
        <w:t xml:space="preserve">The obtained temperature distributions </w:t>
      </w:r>
      <w:r w:rsidR="00F51FD8">
        <w:t>at 34 Ma</w:t>
      </w:r>
      <w:r w:rsidRPr="00A51E56">
        <w:t xml:space="preserve"> show some variation with respect to skewness and kurtosis</w:t>
      </w:r>
      <w:r w:rsidR="00F51FD8">
        <w:t>, reflecting the scatter of t-T paths at 34 Ma</w:t>
      </w:r>
      <w:r w:rsidRPr="00A51E56">
        <w:t xml:space="preserve">. The </w:t>
      </w:r>
      <w:r w:rsidR="00F51FD8">
        <w:t>precision</w:t>
      </w:r>
      <w:r w:rsidR="00F51FD8" w:rsidRPr="00A51E56">
        <w:t xml:space="preserve"> </w:t>
      </w:r>
      <w:r w:rsidRPr="00A51E56">
        <w:t xml:space="preserve">of </w:t>
      </w:r>
      <w:r>
        <w:t xml:space="preserve">the temperature </w:t>
      </w:r>
      <w:r w:rsidRPr="00A51E56">
        <w:t>estimates therefore varies, with one standard deviation (1σ) of modeled temperatures ranging from c. 2.5</w:t>
      </w:r>
      <w:r w:rsidR="00FE26BF">
        <w:t xml:space="preserve"> </w:t>
      </w:r>
      <w:r w:rsidR="00FE26BF" w:rsidRPr="00A51E56">
        <w:t>°C</w:t>
      </w:r>
      <w:r w:rsidRPr="00A51E56">
        <w:t xml:space="preserve"> to c. 18 °C. </w:t>
      </w:r>
      <w:r w:rsidR="00045812">
        <w:t>The samples with the lowest mean temperatures at 34 Ma generally have the highest standard deviations</w:t>
      </w:r>
      <w:r w:rsidR="00AF0C41">
        <w:t xml:space="preserve"> (S</w:t>
      </w:r>
      <w:r w:rsidR="00BD168B">
        <w:t xml:space="preserve">upplementary Figure </w:t>
      </w:r>
      <w:r w:rsidR="00AF0C41">
        <w:t>3b)</w:t>
      </w:r>
      <w:r w:rsidR="00045812">
        <w:t xml:space="preserve">. This correlation was expected, since the sensitivity of the methods decreases at </w:t>
      </w:r>
      <w:r w:rsidRPr="00A51E56">
        <w:t xml:space="preserve">temperatures below the PAZ and PRZ, </w:t>
      </w:r>
      <w:r w:rsidR="00AF0C41">
        <w:t>resulting in more poorly constrained models at lower temperatures</w:t>
      </w:r>
      <w:r w:rsidRPr="00A963A9">
        <w:t>.</w:t>
      </w:r>
    </w:p>
    <w:p w14:paraId="34B892EF" w14:textId="33A5781F" w:rsidR="00E2504C" w:rsidRDefault="00E2504C" w:rsidP="00E2504C">
      <w:pPr>
        <w:keepNext/>
      </w:pPr>
      <w:r>
        <w:rPr>
          <w:noProof/>
        </w:rPr>
        <w:lastRenderedPageBreak/>
        <w:drawing>
          <wp:inline distT="0" distB="0" distL="0" distR="0" wp14:anchorId="60FE4D6A" wp14:editId="0E687820">
            <wp:extent cx="5747894" cy="2620395"/>
            <wp:effectExtent l="0" t="0" r="571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a:fillRect/>
                    </a:stretch>
                  </pic:blipFill>
                  <pic:spPr>
                    <a:xfrm>
                      <a:off x="0" y="0"/>
                      <a:ext cx="5747894" cy="2620395"/>
                    </a:xfrm>
                    <a:prstGeom prst="rect">
                      <a:avLst/>
                    </a:prstGeom>
                  </pic:spPr>
                </pic:pic>
              </a:graphicData>
            </a:graphic>
          </wp:inline>
        </w:drawing>
      </w:r>
    </w:p>
    <w:p w14:paraId="4F429743" w14:textId="77777777" w:rsidR="00FA5C75" w:rsidRDefault="00FA5C75" w:rsidP="00FA5C75">
      <w:pPr>
        <w:spacing w:after="360" w:line="276" w:lineRule="auto"/>
        <w:rPr>
          <w:bCs/>
          <w:i/>
          <w:iCs/>
        </w:rPr>
      </w:pPr>
      <w:r>
        <w:rPr>
          <w:b/>
          <w:i/>
          <w:iCs/>
        </w:rPr>
        <w:t xml:space="preserve">Supplementary Figure 3 – Modeled paleotemperatures. </w:t>
      </w:r>
      <w:r>
        <w:rPr>
          <w:bCs/>
          <w:i/>
          <w:iCs/>
        </w:rPr>
        <w:t>a</w:t>
      </w:r>
      <w:r w:rsidRPr="00E2504C">
        <w:rPr>
          <w:bCs/>
          <w:i/>
          <w:iCs/>
        </w:rPr>
        <w:t xml:space="preserve">) Comparison of unweighted mean temperatures between unconstrained and constrained thermal history models. All obtained mean temperatures from the </w:t>
      </w:r>
      <w:r>
        <w:rPr>
          <w:bCs/>
          <w:i/>
          <w:iCs/>
        </w:rPr>
        <w:t>constrained</w:t>
      </w:r>
      <w:r w:rsidRPr="00E2504C">
        <w:rPr>
          <w:bCs/>
          <w:i/>
          <w:iCs/>
        </w:rPr>
        <w:t xml:space="preserve"> thermal history models overlap within 1σ with the corresponding mean temperatures from the </w:t>
      </w:r>
      <w:r>
        <w:rPr>
          <w:bCs/>
          <w:i/>
          <w:iCs/>
        </w:rPr>
        <w:t>unconstrained</w:t>
      </w:r>
      <w:r w:rsidRPr="00E2504C">
        <w:rPr>
          <w:bCs/>
          <w:i/>
          <w:iCs/>
        </w:rPr>
        <w:t xml:space="preserve"> thermal history models. Error bars on the figure are 1σ. </w:t>
      </w:r>
      <w:r>
        <w:rPr>
          <w:bCs/>
          <w:i/>
          <w:iCs/>
        </w:rPr>
        <w:t>b</w:t>
      </w:r>
      <w:r w:rsidRPr="00E2504C">
        <w:rPr>
          <w:bCs/>
          <w:i/>
          <w:iCs/>
        </w:rPr>
        <w:t xml:space="preserve">) 1σ standard deviation of temperature distribution from </w:t>
      </w:r>
      <w:r>
        <w:rPr>
          <w:bCs/>
          <w:i/>
          <w:iCs/>
        </w:rPr>
        <w:t>constrained</w:t>
      </w:r>
      <w:r w:rsidRPr="00E2504C">
        <w:rPr>
          <w:bCs/>
          <w:i/>
          <w:iCs/>
        </w:rPr>
        <w:t xml:space="preserve"> models. The uncertainty generally decreases with increasing mean temperature.</w:t>
      </w:r>
    </w:p>
    <w:p w14:paraId="02874407" w14:textId="28A4AAA8" w:rsidR="00094F04" w:rsidRDefault="0081503D" w:rsidP="00754A4F">
      <w:r>
        <w:rPr>
          <w:b/>
        </w:rPr>
        <w:t xml:space="preserve">Calculation of pre-glacial overburden: </w:t>
      </w:r>
      <w:proofErr w:type="gramStart"/>
      <w:r w:rsidR="00C83BC9">
        <w:t>Pre-glacial</w:t>
      </w:r>
      <w:proofErr w:type="gramEnd"/>
      <w:r w:rsidR="00C83BC9">
        <w:t xml:space="preserve"> overburden thicknesses are calculated </w:t>
      </w:r>
      <w:r w:rsidR="00EE3A4F">
        <w:t>from</w:t>
      </w:r>
      <w:r w:rsidR="00C83BC9">
        <w:t xml:space="preserve"> the unweighted mean temperature</w:t>
      </w:r>
      <w:r w:rsidR="00EE3A4F">
        <w:t>s, based on interpolations</w:t>
      </w:r>
      <w:r w:rsidR="00C83BC9">
        <w:t xml:space="preserve"> </w:t>
      </w:r>
      <w:r w:rsidR="00EE3A4F">
        <w:t>from all</w:t>
      </w:r>
      <w:r w:rsidR="00C83BC9">
        <w:t xml:space="preserve"> individual paths </w:t>
      </w:r>
      <w:r w:rsidR="00EE3A4F">
        <w:t xml:space="preserve">(good and acceptable fits) </w:t>
      </w:r>
      <w:r w:rsidR="00C83BC9">
        <w:t xml:space="preserve">at c. 34 Ma. </w:t>
      </w:r>
      <w:r w:rsidR="00E438DB">
        <w:t xml:space="preserve">Temperature distributions from good and acceptable paths for each sample </w:t>
      </w:r>
      <w:r w:rsidR="00AC5242">
        <w:t>are</w:t>
      </w:r>
      <w:r w:rsidR="00E438DB">
        <w:t xml:space="preserve"> reported in </w:t>
      </w:r>
      <w:r w:rsidR="00BD168B">
        <w:t xml:space="preserve">Supplementary Notes </w:t>
      </w:r>
      <w:r w:rsidR="00EE3A4F">
        <w:t>5</w:t>
      </w:r>
      <w:r w:rsidR="00E438DB">
        <w:t xml:space="preserve">. </w:t>
      </w:r>
      <w:r w:rsidR="000A0F59">
        <w:t>Different geothermal gradients have been applied for the different areas, depending on the type of overburden expected (</w:t>
      </w:r>
      <w:r w:rsidR="007F10CE">
        <w:t>i.e.,</w:t>
      </w:r>
      <w:r w:rsidR="000A0F59">
        <w:t xml:space="preserve"> basement, </w:t>
      </w:r>
      <w:proofErr w:type="gramStart"/>
      <w:r w:rsidR="000A0F59">
        <w:t>sediment</w:t>
      </w:r>
      <w:proofErr w:type="gramEnd"/>
      <w:r w:rsidR="000A0F59">
        <w:t xml:space="preserve"> or basalt). For continental flood basalts, a geothermal gradient of 50 </w:t>
      </w:r>
      <w:r w:rsidR="000A0F59">
        <w:rPr>
          <w:rFonts w:cs="Times New Roman"/>
        </w:rPr>
        <w:t>°</w:t>
      </w:r>
      <w:r w:rsidR="000A0F59">
        <w:t xml:space="preserve">C/km is applied, based on the range of calculated geothermal gradients for the Deccan continental flood basalts (c. 35 – 80 </w:t>
      </w:r>
      <w:r w:rsidR="000A0F59">
        <w:rPr>
          <w:rFonts w:cs="Times New Roman"/>
        </w:rPr>
        <w:t>°</w:t>
      </w:r>
      <w:r w:rsidR="000A0F59">
        <w:t>C/km</w:t>
      </w:r>
      <w:r w:rsidR="003D1E16">
        <w:fldChar w:fldCharType="begin" w:fldLock="1"/>
      </w:r>
      <w:r w:rsidR="00C33FAB">
        <w:instrText>ADDIN CSL_CITATION {"citationItems":[{"id":"ITEM-1","itemData":{"DOI":"10.1016/0031-9201(93)90011-W","ISSN":"00319201","abstract":"The temporal coincidence of a major biological mass extinction (including dinosaurs), the well-known iridium excess anomaly at the Cretaceous-Tertiary (K-T) boundary and the eruption of Deccan flood basalts at about 65 Ma has aroused global interest among geologists and biologists. It is widely debated whether the mass extinction and iridium anomaly are due to an asteroid impact or the massive outpouring of extensive Deccan volcanism. An oval shaped unusual positive gravity anomaly (10 000 km2 in area) near Bombay has attracted our attention during a search for an impact site near Deccan basalts. A detailed gravity interpretation indicates the presence of a fossil conduit structure of 12 km height extending from a shallow crust-mantle boundary (at 18 km) to an approximate depth of 6 km from the surface. The conduit structure, with a maximum diameter of about 35 km at its base, may originate from cracking of a weak pre-Deccan trap shallow upwarped mantle. The structure may have been caused by a bolide impact which triggered the eruption of massive flood basalts (Deccan traps) on the western margin of the fast-moving Indian plate. An impact in this locality can explain the sudden detachment of the arcuate Seychelles block from India as well as the large-scale reorganisation of plate boundaries in the Indian Ocean. Our hypothesis of impact-triggered volcanism at 65 Ma advocates a bimodal cause for the mass extinction at the K-T boundary. Extraordinary geothermal and structural conditions of the nearby region are also discussed as circumstantial evidence to support the twin-cause mechanism by weakened features and the presence of partial melt at subcrustal depth. © 1993.","author":[{"dropping-particle":"","family":"Negi","given":"J. G.","non-dropping-particle":"","parse-names":false,"suffix":""},{"dropping-particle":"","family":"Agrawal","given":"P. K.","non-dropping-particle":"","parse-names":false,"suffix":""},{"dropping-particle":"","family":"Pandey","given":"O. P.","non-dropping-particle":"","parse-names":false,"suffix":""},{"dropping-particle":"","family":"Singh","given":"A. P.","non-dropping-particle":"","parse-names":false,"suffix":""}],"container-title":"Physics of the Earth and Planetary Interiors","id":"ITEM-1","issue":"3-4","issued":{"date-parts":[["1993"]]},"page":"189-197","title":"A possible K-T boundary bolide impact site offshore near Bombay and triggering of rapid Deccan volcanism","type":"article-journal","volume":"76"},"uris":["http://www.mendeley.com/documents/?uuid=96842834-1c98-4908-8c23-16c2a9adf26c"]}],"mendeley":{"formattedCitation":"&lt;sup&gt;28&lt;/sup&gt;","plainTextFormattedCitation":"28","previouslyFormattedCitation":"&lt;sup&gt;27&lt;/sup&gt;"},"properties":{"noteIndex":0},"schema":"https://github.com/citation-style-language/schema/raw/master/csl-citation.json"}</w:instrText>
      </w:r>
      <w:r w:rsidR="003D1E16">
        <w:fldChar w:fldCharType="separate"/>
      </w:r>
      <w:r w:rsidR="00C33FAB" w:rsidRPr="00C33FAB">
        <w:rPr>
          <w:noProof/>
          <w:vertAlign w:val="superscript"/>
        </w:rPr>
        <w:t>28</w:t>
      </w:r>
      <w:r w:rsidR="003D1E16">
        <w:fldChar w:fldCharType="end"/>
      </w:r>
      <w:r w:rsidR="000A0F59">
        <w:t xml:space="preserve">). </w:t>
      </w:r>
      <w:r w:rsidR="007717DD">
        <w:t xml:space="preserve">For the basement and sedimentary rocks, we apply a geothermal gradient of 25 </w:t>
      </w:r>
      <w:r w:rsidR="007717DD">
        <w:rPr>
          <w:rFonts w:cs="Times New Roman"/>
        </w:rPr>
        <w:t>°</w:t>
      </w:r>
      <w:r w:rsidR="007717DD">
        <w:t xml:space="preserve">C/km, based on previously calculated and applied geothermal gradients for Mesoproterozoic basement in DML (c. 23 – 28 </w:t>
      </w:r>
      <w:r w:rsidR="007717DD">
        <w:rPr>
          <w:rFonts w:cs="Times New Roman"/>
        </w:rPr>
        <w:t>°</w:t>
      </w:r>
      <w:r w:rsidR="007717DD">
        <w:t>C/km</w:t>
      </w:r>
      <w:r w:rsidR="003D1E16">
        <w:fldChar w:fldCharType="begin" w:fldLock="1"/>
      </w:r>
      <w:r w:rsidR="00C33FAB">
        <w:instrText>ADDIN CSL_CITATION {"citationItems":[{"id":"ITEM-1","itemData":{"DOI":"10.1038/srep26359","ISSN":"20452322","abstract":"The evolution and the growth of the continental crust is inextricably linked to the evolution of Earthâ €™ s geodynamic processes. The detrital zircon record within the continental crust, as well as the isotopic composition of this crust, indicates that the amount of juvenile felsic material decreased with time and that in geologically recent times, the generation of new crust is balanced by recycling of the crust back into the mantle within subduction zones. However it cannot always have been so; yet the nature of the crust and the processes of crustal reworking in the Precambrian Earth are not well constrained. Here we use both detrital zircon ages and metamorphic pressure-temperature-time (P-T-t) information from metasedimentary units deposited in proposed convergent settings from Archaean, Proterozoic and Phanerozoic terrains to characterize the evolution of minimum estimates of burial rate (km.Ma â 1450'1) as a function of the age of the rocks. The demonstrated decrease in burial rate correlates positively with a progressive decrease in the production of juvenile felsic crust in the Archaean and Proterozoic. Burial rates are also more diverse in the Archaean than in modern times. We interpret these features to reflect a progressive decrease in the diversity of tectonic processes from Archaean to present, coupled with the emergence of the uniquely Phanerozoic modern-style collision.","author":[{"dropping-particle":"","family":"Nicoli","given":"Gautier","non-dropping-particle":"","parse-names":false,"suffix":""},{"dropping-particle":"","family":"Moyen","given":"Jean François","non-dropping-particle":"","parse-names":false,"suffix":""},{"dropping-particle":"","family":"Stevens","given":"Gary","non-dropping-particle":"","parse-names":false,"suffix":""}],"container-title":"Scientific Reports","id":"ITEM-1","issue":"April","issued":{"date-parts":[["2016"]]},"page":"1-10","publisher":"Nature Publishing Group","title":"Diversity of burial rates in convergent settings decreased as Earth aged","type":"article-journal","volume":"6"},"uris":["http://www.mendeley.com/documents/?uuid=c44b3c51-2208-408d-87d0-b58769563c5f"]}],"mendeley":{"formattedCitation":"&lt;sup&gt;29&lt;/sup&gt;","plainTextFormattedCitation":"29","previouslyFormattedCitation":"&lt;sup&gt;28&lt;/sup&gt;"},"properties":{"noteIndex":0},"schema":"https://github.com/citation-style-language/schema/raw/master/csl-citation.json"}</w:instrText>
      </w:r>
      <w:r w:rsidR="003D1E16">
        <w:fldChar w:fldCharType="separate"/>
      </w:r>
      <w:r w:rsidR="00C33FAB" w:rsidRPr="00C33FAB">
        <w:rPr>
          <w:noProof/>
          <w:vertAlign w:val="superscript"/>
        </w:rPr>
        <w:t>29</w:t>
      </w:r>
      <w:r w:rsidR="003D1E16">
        <w:fldChar w:fldCharType="end"/>
      </w:r>
      <w:r w:rsidR="007717DD">
        <w:t xml:space="preserve">), Pan-African overprinted basement in Madagascar (c. 18 – 24 </w:t>
      </w:r>
      <w:r w:rsidR="007717DD">
        <w:rPr>
          <w:rFonts w:cs="Times New Roman"/>
        </w:rPr>
        <w:t>°</w:t>
      </w:r>
      <w:r w:rsidR="007717DD">
        <w:t>C/km</w:t>
      </w:r>
      <w:r w:rsidR="003D1E16">
        <w:fldChar w:fldCharType="begin" w:fldLock="1"/>
      </w:r>
      <w:r w:rsidR="00C33FAB">
        <w:instrText>ADDIN CSL_CITATION {"citationItems":[{"id":"ITEM-1","itemData":{"DOI":"10.1038/srep26359","ISSN":"20452322","abstract":"The evolution and the growth of the continental crust is inextricably linked to the evolution of Earthâ €™ s geodynamic processes. The detrital zircon record within the continental crust, as well as the isotopic composition of this crust, indicates that the amount of juvenile felsic material decreased with time and that in geologically recent times, the generation of new crust is balanced by recycling of the crust back into the mantle within subduction zones. However it cannot always have been so; yet the nature of the crust and the processes of crustal reworking in the Precambrian Earth are not well constrained. Here we use both detrital zircon ages and metamorphic pressure-temperature-time (P-T-t) information from metasedimentary units deposited in proposed convergent settings from Archaean, Proterozoic and Phanerozoic terrains to characterize the evolution of minimum estimates of burial rate (km.Ma â 1450'1) as a function of the age of the rocks. The demonstrated decrease in burial rate correlates positively with a progressive decrease in the production of juvenile felsic crust in the Archaean and Proterozoic. Burial rates are also more diverse in the Archaean than in modern times. We interpret these features to reflect a progressive decrease in the diversity of tectonic processes from Archaean to present, coupled with the emergence of the uniquely Phanerozoic modern-style collision.","author":[{"dropping-particle":"","family":"Nicoli","given":"Gautier","non-dropping-particle":"","parse-names":false,"suffix":""},{"dropping-particle":"","family":"Moyen","given":"Jean François","non-dropping-particle":"","parse-names":false,"suffix":""},{"dropping-particle":"","family":"Stevens","given":"Gary","non-dropping-particle":"","parse-names":false,"suffix":""}],"container-title":"Scientific Reports","id":"ITEM-1","issue":"April","issued":{"date-parts":[["2016"]]},"page":"1-10","publisher":"Nature Publishing Group","title":"Diversity of burial rates in convergent settings decreased as Earth aged","type":"article-journal","volume":"6"},"uris":["http://www.mendeley.com/documents/?uuid=c44b3c51-2208-408d-87d0-b58769563c5f"]}],"mendeley":{"formattedCitation":"&lt;sup&gt;29&lt;/sup&gt;","plainTextFormattedCitation":"29","previouslyFormattedCitation":"&lt;sup&gt;28&lt;/sup&gt;"},"properties":{"noteIndex":0},"schema":"https://github.com/citation-style-language/schema/raw/master/csl-citation.json"}</w:instrText>
      </w:r>
      <w:r w:rsidR="003D1E16">
        <w:fldChar w:fldCharType="separate"/>
      </w:r>
      <w:r w:rsidR="00C33FAB" w:rsidRPr="00C33FAB">
        <w:rPr>
          <w:noProof/>
          <w:vertAlign w:val="superscript"/>
        </w:rPr>
        <w:t>29</w:t>
      </w:r>
      <w:r w:rsidR="003D1E16">
        <w:fldChar w:fldCharType="end"/>
      </w:r>
      <w:r w:rsidR="007717DD">
        <w:t xml:space="preserve">) and Beacon sediments in the Victoria Basin in the Transantarctic Mountains (25 </w:t>
      </w:r>
      <w:r w:rsidR="007717DD">
        <w:rPr>
          <w:rFonts w:cs="Times New Roman"/>
        </w:rPr>
        <w:t>°</w:t>
      </w:r>
      <w:r w:rsidR="007717DD">
        <w:t>C/</w:t>
      </w:r>
      <w:r w:rsidR="007717DD" w:rsidRPr="00D74E76">
        <w:t>km</w:t>
      </w:r>
      <w:r w:rsidR="003D1E16">
        <w:fldChar w:fldCharType="begin" w:fldLock="1"/>
      </w:r>
      <w:r w:rsidR="00C33FAB">
        <w:instrText>ADDIN CSL_CITATION {"citationItems":[{"id":"ITEM-1","itemData":{"DOI":"10.1130/G33409.1","ISSN":"00917613","abstract":"The Transantarctic Mountains (TAM) are the largest non-compressional mountain belt in the world. Their origin is traditionally related to crustal thickening during the Jurassic Ferrar magmatic event that was followed by episodic uplift in the Early and Late Cretaceous and since the Paleocene. This concept of a long-lived morphological high constitutes a base of virtually all Gondwana reconstructions and global climate models. Here we demonstrate that crossover age relationships between thermochronological (apatite fission track) data and stratigraphic information contradict this established interpretation. Instead these data, together with a wealth of independent thermal indicators and geological evidence require the existence of a vast intra-Gondwana basin between at least Late Triassic and Late Cretaceous times, including during the Ferrar magmatic event. Referred to here as the Mesozoic Victoria Basin (MVB), this basin formed during crustal extension across the paleo-Pacific margin of Antarctica and Australia. Uplift of the TAM with associated basin inversion commenced only with the development of the West Antarctic Rift System in Paleogene times. The recognition of the long-lived MVB has primary consequences for the general understanding of the landscape of Gondwana and the breakup between Antarctica and Australia, West Antarctic rifting and uplift of the TAM, and global long-term climate evolution and faunal radiation. © 2013 Geological Society of America.","author":[{"dropping-particle":"","family":"Lisker","given":"Frank","non-dropping-particle":"","parse-names":false,"suffix":""},{"dropping-particle":"","family":"Läufer","given":"Andreas L.","non-dropping-particle":"","parse-names":false,"suffix":""}],"container-title":"Geology","id":"ITEM-1","issue":"10","issued":{"date-parts":[["2013"]]},"page":"1043-1046","title":"The Mesozoic Victoria Basin: Vanished link between Antarctica and Australia","type":"article-journal","volume":"41"},"uris":["http://www.mendeley.com/documents/?uuid=728882ac-afff-4f21-b67e-2dea5facaa08"]}],"mendeley":{"formattedCitation":"&lt;sup&gt;30&lt;/sup&gt;","plainTextFormattedCitation":"30","previouslyFormattedCitation":"&lt;sup&gt;29&lt;/sup&gt;"},"properties":{"noteIndex":0},"schema":"https://github.com/citation-style-language/schema/raw/master/csl-citation.json"}</w:instrText>
      </w:r>
      <w:r w:rsidR="003D1E16">
        <w:fldChar w:fldCharType="separate"/>
      </w:r>
      <w:r w:rsidR="00C33FAB" w:rsidRPr="00C33FAB">
        <w:rPr>
          <w:noProof/>
          <w:vertAlign w:val="superscript"/>
        </w:rPr>
        <w:t>30</w:t>
      </w:r>
      <w:r w:rsidR="003D1E16">
        <w:fldChar w:fldCharType="end"/>
      </w:r>
      <w:r w:rsidR="007717DD" w:rsidRPr="00D74E76">
        <w:t xml:space="preserve">). The paleosurface is used as a reference surface, </w:t>
      </w:r>
      <w:proofErr w:type="gramStart"/>
      <w:r w:rsidR="007717DD" w:rsidRPr="00D74E76">
        <w:t>assuming that</w:t>
      </w:r>
      <w:proofErr w:type="gramEnd"/>
      <w:r w:rsidR="007717DD" w:rsidRPr="00D74E76">
        <w:t xml:space="preserve"> the maximum thickness of additional basement rock (compared to today) </w:t>
      </w:r>
      <w:r w:rsidR="007717DD" w:rsidRPr="00D74E76">
        <w:lastRenderedPageBreak/>
        <w:t>correspond</w:t>
      </w:r>
      <w:r w:rsidR="00AC5242" w:rsidRPr="00D74E76">
        <w:t>s</w:t>
      </w:r>
      <w:r w:rsidR="007717DD" w:rsidRPr="00D74E76">
        <w:t xml:space="preserve"> to the vertical distance between the samples and the observed (western DML) and inferred (central DML) paleosurface. Overburden thicknesses </w:t>
      </w:r>
      <w:r w:rsidR="007717DD">
        <w:t>exceeding the maximum thickness of basement rocks are attributed to continental flood basalts (western DML) or Beacon sediments (central DML)</w:t>
      </w:r>
      <w:r w:rsidR="00D87AB7">
        <w:t>.</w:t>
      </w:r>
      <w:r w:rsidR="00C76D2C">
        <w:t xml:space="preserve"> </w:t>
      </w:r>
      <w:proofErr w:type="gramStart"/>
      <w:r w:rsidR="00094F04">
        <w:t>In order to</w:t>
      </w:r>
      <w:proofErr w:type="gramEnd"/>
      <w:r w:rsidR="00094F04">
        <w:t xml:space="preserve"> test the calculations, the estimated overburden thicknesses to the sample elevations in two vertical profiles in Heimefrontfjella (wDML) and Gruberfjella (cDML). In both profiles, the total elevation of the pre-glacial surface reproduces within 200 m (no isostatic relaxation).</w:t>
      </w:r>
    </w:p>
    <w:p w14:paraId="50C45C2D" w14:textId="77777777" w:rsidR="007F10CE" w:rsidRDefault="007F10CE">
      <w:pPr>
        <w:spacing w:after="160" w:line="259" w:lineRule="auto"/>
        <w:jc w:val="left"/>
        <w:rPr>
          <w:b/>
          <w:sz w:val="28"/>
          <w:szCs w:val="24"/>
        </w:rPr>
      </w:pPr>
      <w:r>
        <w:rPr>
          <w:b/>
          <w:sz w:val="28"/>
          <w:szCs w:val="24"/>
        </w:rPr>
        <w:br w:type="page"/>
      </w:r>
    </w:p>
    <w:p w14:paraId="65A8B43C" w14:textId="59270624" w:rsidR="000D72C8" w:rsidRPr="003A3F6C" w:rsidRDefault="000D72C8" w:rsidP="000D72C8">
      <w:pPr>
        <w:jc w:val="center"/>
        <w:rPr>
          <w:b/>
          <w:sz w:val="28"/>
          <w:szCs w:val="24"/>
        </w:rPr>
      </w:pPr>
      <w:r>
        <w:rPr>
          <w:b/>
          <w:sz w:val="28"/>
          <w:szCs w:val="24"/>
        </w:rPr>
        <w:lastRenderedPageBreak/>
        <w:t xml:space="preserve">Supplementary </w:t>
      </w:r>
      <w:r w:rsidR="008E40B7">
        <w:rPr>
          <w:b/>
          <w:sz w:val="28"/>
          <w:szCs w:val="24"/>
        </w:rPr>
        <w:t>N</w:t>
      </w:r>
      <w:r w:rsidR="00D76473">
        <w:rPr>
          <w:b/>
          <w:sz w:val="28"/>
          <w:szCs w:val="24"/>
        </w:rPr>
        <w:t xml:space="preserve">otes </w:t>
      </w:r>
      <w:r w:rsidR="00432EC3">
        <w:rPr>
          <w:b/>
          <w:sz w:val="28"/>
          <w:szCs w:val="24"/>
        </w:rPr>
        <w:t>2</w:t>
      </w:r>
      <w:r>
        <w:rPr>
          <w:b/>
          <w:sz w:val="28"/>
          <w:szCs w:val="24"/>
        </w:rPr>
        <w:t xml:space="preserve">: </w:t>
      </w:r>
      <w:r w:rsidR="00432EC3">
        <w:rPr>
          <w:b/>
          <w:sz w:val="28"/>
          <w:szCs w:val="24"/>
        </w:rPr>
        <w:t xml:space="preserve">Apatite </w:t>
      </w:r>
      <w:r w:rsidR="003D1E16">
        <w:rPr>
          <w:b/>
          <w:sz w:val="28"/>
          <w:szCs w:val="24"/>
        </w:rPr>
        <w:t>fission-track</w:t>
      </w:r>
      <w:r w:rsidR="00432EC3">
        <w:rPr>
          <w:b/>
          <w:sz w:val="28"/>
          <w:szCs w:val="24"/>
        </w:rPr>
        <w:t xml:space="preserve"> data</w:t>
      </w:r>
    </w:p>
    <w:p w14:paraId="33886762" w14:textId="040A93D1" w:rsidR="000D72C8" w:rsidRDefault="00432EC3" w:rsidP="00C87C01">
      <w:r>
        <w:rPr>
          <w:noProof/>
        </w:rPr>
        <w:drawing>
          <wp:inline distT="0" distB="0" distL="0" distR="0" wp14:anchorId="4904B4F3" wp14:editId="4292A934">
            <wp:extent cx="5801926" cy="350613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l="8289" t="3300" r="7584" b="28916"/>
                    <a:stretch/>
                  </pic:blipFill>
                  <pic:spPr bwMode="auto">
                    <a:xfrm>
                      <a:off x="0" y="0"/>
                      <a:ext cx="5830396" cy="3523339"/>
                    </a:xfrm>
                    <a:prstGeom prst="rect">
                      <a:avLst/>
                    </a:prstGeom>
                    <a:ln>
                      <a:noFill/>
                    </a:ln>
                    <a:extLst>
                      <a:ext uri="{53640926-AAD7-44D8-BBD7-CCE9431645EC}">
                        <a14:shadowObscured xmlns:a14="http://schemas.microsoft.com/office/drawing/2010/main"/>
                      </a:ext>
                    </a:extLst>
                  </pic:spPr>
                </pic:pic>
              </a:graphicData>
            </a:graphic>
          </wp:inline>
        </w:drawing>
      </w:r>
    </w:p>
    <w:p w14:paraId="5D8A9D47" w14:textId="7CC4681A" w:rsidR="00F633B7" w:rsidRPr="002E065C" w:rsidRDefault="00F633B7" w:rsidP="00F633B7">
      <w:pPr>
        <w:spacing w:after="360" w:line="276" w:lineRule="auto"/>
        <w:rPr>
          <w:bCs/>
          <w:i/>
          <w:iCs/>
        </w:rPr>
      </w:pPr>
      <w:r>
        <w:rPr>
          <w:b/>
          <w:i/>
          <w:iCs/>
        </w:rPr>
        <w:t xml:space="preserve">Supplementary Figure 4 – Apatite fission-track data. </w:t>
      </w:r>
      <w:r w:rsidRPr="002E065C">
        <w:rPr>
          <w:bCs/>
          <w:i/>
          <w:iCs/>
        </w:rPr>
        <w:t>AFT ages from the 55 samples used</w:t>
      </w:r>
      <w:r>
        <w:rPr>
          <w:bCs/>
          <w:i/>
          <w:iCs/>
        </w:rPr>
        <w:t xml:space="preserve"> in this study. Error bars on ages are 1</w:t>
      </w:r>
      <w:r>
        <w:rPr>
          <w:rFonts w:cs="Times New Roman"/>
          <w:bCs/>
          <w:i/>
          <w:iCs/>
        </w:rPr>
        <w:t>σ</w:t>
      </w:r>
      <w:r>
        <w:rPr>
          <w:bCs/>
          <w:i/>
          <w:iCs/>
        </w:rPr>
        <w:t xml:space="preserve">, while error bars on mean track lengths (MTL) are 1SE. a) Most of the samples pre-dating the Jurassic continental flood basalts are from elevation </w:t>
      </w:r>
      <w:r>
        <w:rPr>
          <w:rFonts w:cs="Times New Roman"/>
          <w:bCs/>
          <w:i/>
          <w:iCs/>
        </w:rPr>
        <w:t>≥</w:t>
      </w:r>
      <w:r>
        <w:rPr>
          <w:bCs/>
          <w:i/>
          <w:iCs/>
        </w:rPr>
        <w:t xml:space="preserve"> 1400 </w:t>
      </w:r>
      <w:proofErr w:type="spellStart"/>
      <w:r>
        <w:rPr>
          <w:bCs/>
          <w:i/>
          <w:iCs/>
        </w:rPr>
        <w:t>masl</w:t>
      </w:r>
      <w:proofErr w:type="spellEnd"/>
      <w:r>
        <w:rPr>
          <w:bCs/>
          <w:i/>
          <w:iCs/>
        </w:rPr>
        <w:t xml:space="preserve">. The younger ages show a steep age-elevation relationship, indicative of rapid exhumation. b) AFT ages up to c. 165 Ma are found at elevations </w:t>
      </w:r>
      <w:r>
        <w:rPr>
          <w:rFonts w:cs="Times New Roman"/>
          <w:bCs/>
          <w:i/>
          <w:iCs/>
        </w:rPr>
        <w:t>≤</w:t>
      </w:r>
      <w:r>
        <w:rPr>
          <w:bCs/>
          <w:i/>
          <w:iCs/>
        </w:rPr>
        <w:t xml:space="preserve"> 1500 </w:t>
      </w:r>
      <w:proofErr w:type="spellStart"/>
      <w:r>
        <w:rPr>
          <w:bCs/>
          <w:i/>
          <w:iCs/>
        </w:rPr>
        <w:t>masl</w:t>
      </w:r>
      <w:proofErr w:type="spellEnd"/>
      <w:r>
        <w:rPr>
          <w:bCs/>
          <w:i/>
          <w:iCs/>
        </w:rPr>
        <w:t xml:space="preserve">, while the older ages are found at higher elevations. Apart from the samples from </w:t>
      </w:r>
      <w:proofErr w:type="spellStart"/>
      <w:r>
        <w:rPr>
          <w:bCs/>
          <w:i/>
          <w:iCs/>
        </w:rPr>
        <w:t>Schirmacheroasen</w:t>
      </w:r>
      <w:proofErr w:type="spellEnd"/>
      <w:r>
        <w:rPr>
          <w:bCs/>
          <w:i/>
          <w:iCs/>
        </w:rPr>
        <w:t xml:space="preserve"> (elevations of 50 – 150 </w:t>
      </w:r>
      <w:proofErr w:type="spellStart"/>
      <w:r>
        <w:rPr>
          <w:bCs/>
          <w:i/>
          <w:iCs/>
        </w:rPr>
        <w:t>masl</w:t>
      </w:r>
      <w:proofErr w:type="spellEnd"/>
      <w:r>
        <w:rPr>
          <w:bCs/>
          <w:i/>
          <w:iCs/>
        </w:rPr>
        <w:t>), they show a moderate age-elevation relationship. c) The age – MTL resembles the left end of a boomerang plo</w:t>
      </w:r>
      <w:r w:rsidR="00FE26BF">
        <w:rPr>
          <w:bCs/>
          <w:i/>
          <w:iCs/>
        </w:rPr>
        <w:t>t</w:t>
      </w:r>
      <w:r>
        <w:rPr>
          <w:bCs/>
          <w:i/>
          <w:iCs/>
        </w:rPr>
        <w:fldChar w:fldCharType="begin" w:fldLock="1"/>
      </w:r>
      <w:r>
        <w:rPr>
          <w:bCs/>
          <w:i/>
          <w:iCs/>
        </w:rPr>
        <w:instrText>ADDIN CSL_CITATION {"citationItems":[{"id":"ITEM-1","itemData":{"DOI":"doi:10.1017/S0016756800035081","ISSN":"0016-7568","abstract":"&lt;p&gt;The limited amount of fission track data previously available in Northern Britain has shown unexplained Cretaceous ages in the Southern Uplands and Lake District. Apatite fission track analysis has been applied to 23 samples from Caledonian intrusive bodies, to further investigate these ages. Fission track data of sphene has been carried out on seven samples and zircon in one sample.&lt;/p&gt;","author":[{"dropping-particle":"","family":"Green","given":"Paul F.","non-dropping-particle":"","parse-names":false,"suffix":""}],"container-title":"Geological Magazine","id":"ITEM-1","issue":"5","issued":{"date-parts":[["1986","9","1"]]},"page":"493-506","publisher":"Cambridge University Press","title":"On the thermo-tectonic evolution of Northern England: Evidence from fission track analysis","type":"article-journal","volume":"123"},"uris":["http://www.mendeley.com/documents/?uuid=6153033b-6472-414c-822b-125c4d52a625"]}],"mendeley":{"formattedCitation":"&lt;sup&gt;31&lt;/sup&gt;","plainTextFormattedCitation":"31","previouslyFormattedCitation":"&lt;sup&gt;30&lt;/sup&gt;"},"properties":{"noteIndex":0},"schema":"https://github.com/citation-style-language/schema/raw/master/csl-citation.json"}</w:instrText>
      </w:r>
      <w:r>
        <w:rPr>
          <w:bCs/>
          <w:i/>
          <w:iCs/>
        </w:rPr>
        <w:fldChar w:fldCharType="separate"/>
      </w:r>
      <w:r w:rsidRPr="00C33FAB">
        <w:rPr>
          <w:bCs/>
          <w:iCs/>
          <w:noProof/>
          <w:vertAlign w:val="superscript"/>
        </w:rPr>
        <w:t>31</w:t>
      </w:r>
      <w:r>
        <w:rPr>
          <w:bCs/>
          <w:i/>
          <w:iCs/>
        </w:rPr>
        <w:fldChar w:fldCharType="end"/>
      </w:r>
      <w:r>
        <w:rPr>
          <w:bCs/>
          <w:i/>
          <w:iCs/>
        </w:rPr>
        <w:t>, indicating partial annealing of fission-tracks for samples that pre-date the Jurassic continental flood basalts. d) MTL below 11.3 µm are recorded in ages between c. 135 and 190 Ma. Longer track lengths are measured in the entire age range. e</w:t>
      </w:r>
      <w:r w:rsidRPr="002E065C">
        <w:rPr>
          <w:bCs/>
          <w:i/>
          <w:iCs/>
        </w:rPr>
        <w:t xml:space="preserve">) AFT ages of wDML show an eastward increase, possibly related to diminishing thermal influence from the Jurassic continental flood basalts. </w:t>
      </w:r>
      <w:r>
        <w:rPr>
          <w:bCs/>
          <w:i/>
          <w:iCs/>
        </w:rPr>
        <w:t>f</w:t>
      </w:r>
      <w:r w:rsidRPr="002E065C">
        <w:rPr>
          <w:bCs/>
          <w:i/>
          <w:iCs/>
        </w:rPr>
        <w:t>) The AFT ages of cDML show an age signature that is typical for retreating escarpments, with the oldest ages towards the highest elevation of the escarpmen</w:t>
      </w:r>
      <w:r w:rsidR="00FE26BF">
        <w:rPr>
          <w:bCs/>
          <w:i/>
          <w:iCs/>
        </w:rPr>
        <w:t>t</w:t>
      </w:r>
      <w:r w:rsidRPr="002E065C">
        <w:rPr>
          <w:bCs/>
          <w:i/>
          <w:iCs/>
        </w:rPr>
        <w:fldChar w:fldCharType="begin" w:fldLock="1"/>
      </w:r>
      <w:r>
        <w:rPr>
          <w:bCs/>
          <w:i/>
          <w:iCs/>
        </w:rPr>
        <w:instrText>ADDIN CSL_CITATION {"citationItems":[{"id":"ITEM-1","itemData":{"DOI":"10.1098/rsta.1999.0354","ISSN":"1364503X","abstract":"The onshore region of a passive margin forms an integral part of the geological evolution from continental break-up to later sedimentation in the offshore basins. The dominant surface process in the onshore region is denudation, which acts to remove any direct evidence of surface uplift. However, denudation can be constrained on geological time-scales through low temperature thermochronological data, such as that obtained through apatite fission track analysis. Here, we present a suite of such data from the Atlantic Margin of southern Africa. The data have been modelled in terms of their temperature histories since the Jurassic. These temperature histories have been combined with heat-flow data to estimate the equivalent depth of denudation over these time-scales. Average denudation rates are of the order of a few tens of metres per million years, but show considerable variations both temporally and spatially. These results demonstrate that passive margins experience complex patterns of denudation. Three landscape-evolution models are considered. Our results imply the downwarping model is inappropriate. The other two models, scarp retreat and pinned drainage divide, predict trends similar to those observed but the complexities inherent in the data and the evolution of passive margin topography do not allow us to resolve one from the other. In practice, both models probably operate to some extent as a margin evolves. Estimates of palaeotopography have been made, assuming simple isostatic response models to denudational unloading. Flexural models with effective elastic thickness (EET) of 25 km predict elevations 2 km and more above the present-day values, while models with EET of 0 km predict elevations up to 750 m higher than the present day. These models ignore any post-break-up tectonic uplift and need independent constraints on surface elevation to assess their validity.","author":[{"dropping-particle":"","family":"Gallagher","given":"Kerry","non-dropping-particle":"","parse-names":false,"suffix":""},{"dropping-particle":"","family":"Brown","given":"Roderick","non-dropping-particle":"","parse-names":false,"suffix":""}],"container-title":"Philosophical Transactions of the Royal Society A: Mathematical, Physical and Engineering Sciences","id":"ITEM-1","issue":"1753","issued":{"date-parts":[["1999"]]},"page":"835-859","title":"Denudation and uplift at passive margins: The record on the Atlantic Margin of southern Africa","type":"article-journal","volume":"357"},"uris":["http://www.mendeley.com/documents/?uuid=a1fc8853-2b40-406f-9120-84fa28a9ae6a"]}],"mendeley":{"formattedCitation":"&lt;sup&gt;32&lt;/sup&gt;","plainTextFormattedCitation":"32","previouslyFormattedCitation":"&lt;sup&gt;31&lt;/sup&gt;"},"properties":{"noteIndex":0},"schema":"https://github.com/citation-style-language/schema/raw/master/csl-citation.json"}</w:instrText>
      </w:r>
      <w:r w:rsidRPr="002E065C">
        <w:rPr>
          <w:bCs/>
          <w:i/>
          <w:iCs/>
        </w:rPr>
        <w:fldChar w:fldCharType="separate"/>
      </w:r>
      <w:r w:rsidRPr="00C33FAB">
        <w:rPr>
          <w:bCs/>
          <w:iCs/>
          <w:noProof/>
          <w:vertAlign w:val="superscript"/>
        </w:rPr>
        <w:t>32</w:t>
      </w:r>
      <w:r w:rsidRPr="002E065C">
        <w:rPr>
          <w:bCs/>
          <w:i/>
          <w:iCs/>
        </w:rPr>
        <w:fldChar w:fldCharType="end"/>
      </w:r>
      <w:r w:rsidRPr="002E065C">
        <w:rPr>
          <w:bCs/>
          <w:i/>
          <w:iCs/>
        </w:rPr>
        <w:t xml:space="preserve">. </w:t>
      </w:r>
    </w:p>
    <w:p w14:paraId="2E0B35CA" w14:textId="77777777" w:rsidR="00B01DC4" w:rsidRDefault="00B01DC4">
      <w:pPr>
        <w:spacing w:after="160" w:line="259" w:lineRule="auto"/>
        <w:jc w:val="left"/>
        <w:rPr>
          <w:b/>
          <w:sz w:val="28"/>
          <w:szCs w:val="24"/>
        </w:rPr>
      </w:pPr>
      <w:r>
        <w:rPr>
          <w:b/>
          <w:sz w:val="28"/>
          <w:szCs w:val="24"/>
        </w:rPr>
        <w:br w:type="page"/>
      </w:r>
    </w:p>
    <w:p w14:paraId="6F46BC7F" w14:textId="2080F7AB" w:rsidR="00913E9A" w:rsidRPr="003A3F6C" w:rsidRDefault="00913E9A" w:rsidP="00913E9A">
      <w:pPr>
        <w:jc w:val="center"/>
        <w:rPr>
          <w:b/>
          <w:sz w:val="28"/>
          <w:szCs w:val="24"/>
        </w:rPr>
      </w:pPr>
      <w:r>
        <w:rPr>
          <w:b/>
          <w:sz w:val="28"/>
          <w:szCs w:val="24"/>
        </w:rPr>
        <w:lastRenderedPageBreak/>
        <w:t xml:space="preserve">Supplementary </w:t>
      </w:r>
      <w:r w:rsidR="008E40B7">
        <w:rPr>
          <w:b/>
          <w:sz w:val="28"/>
          <w:szCs w:val="24"/>
        </w:rPr>
        <w:t>N</w:t>
      </w:r>
      <w:r w:rsidR="00D76473">
        <w:rPr>
          <w:b/>
          <w:sz w:val="28"/>
          <w:szCs w:val="24"/>
        </w:rPr>
        <w:t xml:space="preserve">otes </w:t>
      </w:r>
      <w:r>
        <w:rPr>
          <w:b/>
          <w:sz w:val="28"/>
          <w:szCs w:val="24"/>
        </w:rPr>
        <w:t>3: Apatite (U – Th)/He data</w:t>
      </w:r>
    </w:p>
    <w:p w14:paraId="0910C8B8" w14:textId="11D444B6" w:rsidR="00913E9A" w:rsidRDefault="00913E9A" w:rsidP="00913E9A">
      <w:r>
        <w:rPr>
          <w:noProof/>
        </w:rPr>
        <w:drawing>
          <wp:inline distT="0" distB="0" distL="0" distR="0" wp14:anchorId="175CB65D" wp14:editId="3A23CEE9">
            <wp:extent cx="5615425" cy="4416733"/>
            <wp:effectExtent l="0" t="0" r="444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cstate="print">
                      <a:extLst>
                        <a:ext uri="{28A0092B-C50C-407E-A947-70E740481C1C}">
                          <a14:useLocalDpi xmlns:a14="http://schemas.microsoft.com/office/drawing/2010/main" val="0"/>
                        </a:ext>
                      </a:extLst>
                    </a:blip>
                    <a:srcRect l="7986" t="3637" r="8072" b="8332"/>
                    <a:stretch/>
                  </pic:blipFill>
                  <pic:spPr bwMode="auto">
                    <a:xfrm>
                      <a:off x="0" y="0"/>
                      <a:ext cx="5629413" cy="4427735"/>
                    </a:xfrm>
                    <a:prstGeom prst="rect">
                      <a:avLst/>
                    </a:prstGeom>
                    <a:ln>
                      <a:noFill/>
                    </a:ln>
                    <a:extLst>
                      <a:ext uri="{53640926-AAD7-44D8-BBD7-CCE9431645EC}">
                        <a14:shadowObscured xmlns:a14="http://schemas.microsoft.com/office/drawing/2010/main"/>
                      </a:ext>
                    </a:extLst>
                  </pic:spPr>
                </pic:pic>
              </a:graphicData>
            </a:graphic>
          </wp:inline>
        </w:drawing>
      </w:r>
    </w:p>
    <w:p w14:paraId="14008FB1" w14:textId="7B0BFEFA" w:rsidR="00F633B7" w:rsidRDefault="00F633B7" w:rsidP="00F633B7">
      <w:pPr>
        <w:spacing w:after="360" w:line="276" w:lineRule="auto"/>
        <w:rPr>
          <w:bCs/>
          <w:i/>
          <w:iCs/>
        </w:rPr>
      </w:pPr>
      <w:bookmarkStart w:id="1" w:name="_Hlk86602998"/>
      <w:r>
        <w:rPr>
          <w:b/>
          <w:i/>
          <w:iCs/>
        </w:rPr>
        <w:t xml:space="preserve">Supplementary Figure 5 – Apatite (U – Th)/He data. </w:t>
      </w:r>
      <w:r>
        <w:rPr>
          <w:bCs/>
          <w:i/>
          <w:iCs/>
        </w:rPr>
        <w:t>AHe data for the 34 samples used for modeling. Error bars are 1</w:t>
      </w:r>
      <w:r>
        <w:rPr>
          <w:rFonts w:cs="Times New Roman"/>
          <w:bCs/>
          <w:i/>
          <w:iCs/>
        </w:rPr>
        <w:t xml:space="preserve">σ. a) AHe single-grain ages in wDML range from the late Ordovician to the Eocene. A strong age-elevation relationship, with a break-in-slope at c. 1800 </w:t>
      </w:r>
      <w:proofErr w:type="spellStart"/>
      <w:r>
        <w:rPr>
          <w:rFonts w:cs="Times New Roman"/>
          <w:bCs/>
          <w:i/>
          <w:iCs/>
        </w:rPr>
        <w:t>masl</w:t>
      </w:r>
      <w:proofErr w:type="spellEnd"/>
      <w:r>
        <w:rPr>
          <w:rFonts w:cs="Times New Roman"/>
          <w:bCs/>
          <w:i/>
          <w:iCs/>
        </w:rPr>
        <w:t xml:space="preserve"> is recorded. b) AHe single-grain ages from cDML range from the middle Permian to the </w:t>
      </w:r>
      <w:bookmarkEnd w:id="1"/>
      <w:r>
        <w:rPr>
          <w:rFonts w:cs="Times New Roman"/>
          <w:bCs/>
          <w:i/>
          <w:iCs/>
        </w:rPr>
        <w:t xml:space="preserve">Eocene. These ages show a good correlation between AHe age and elevation. c) The AHe ages of wDML show a similar correlation to longitude as the AFT ages. The oldest ages are generally found in the easternmost part of wDML. d) Similar to the AFT data of cDML, the AHe single-grain ages increase from the coast and towards the inland. e and f) In both regions, effective uranium (eU) concentrations range from c. 1 to c. 130 ppm. There is no overall systematic relationship between age and eU concentrations. g and h) Grain sizes (sphere radii) range from c. 30 to c. 105 µm for both regions. No systematic relationship between age and grain size is recorded. </w:t>
      </w:r>
    </w:p>
    <w:p w14:paraId="24D5776B" w14:textId="1EDB1984" w:rsidR="00204486" w:rsidRDefault="00204486">
      <w:pPr>
        <w:spacing w:after="160" w:line="259" w:lineRule="auto"/>
        <w:jc w:val="left"/>
      </w:pPr>
      <w:r>
        <w:br w:type="page"/>
      </w:r>
    </w:p>
    <w:p w14:paraId="35A3D012" w14:textId="008BF87E" w:rsidR="00204486" w:rsidRDefault="00204486" w:rsidP="00204486">
      <w:pPr>
        <w:jc w:val="center"/>
        <w:rPr>
          <w:b/>
          <w:sz w:val="28"/>
          <w:szCs w:val="24"/>
        </w:rPr>
      </w:pPr>
      <w:r>
        <w:rPr>
          <w:b/>
          <w:sz w:val="28"/>
          <w:szCs w:val="24"/>
        </w:rPr>
        <w:lastRenderedPageBreak/>
        <w:t xml:space="preserve">Supplementary </w:t>
      </w:r>
      <w:r w:rsidR="008E40B7">
        <w:rPr>
          <w:b/>
          <w:sz w:val="28"/>
          <w:szCs w:val="24"/>
        </w:rPr>
        <w:t>N</w:t>
      </w:r>
      <w:r w:rsidR="00D76473">
        <w:rPr>
          <w:b/>
          <w:sz w:val="28"/>
          <w:szCs w:val="24"/>
        </w:rPr>
        <w:t xml:space="preserve">otes </w:t>
      </w:r>
      <w:r w:rsidR="00962FED">
        <w:rPr>
          <w:b/>
          <w:sz w:val="28"/>
          <w:szCs w:val="24"/>
        </w:rPr>
        <w:t>4</w:t>
      </w:r>
      <w:r>
        <w:rPr>
          <w:b/>
          <w:sz w:val="28"/>
          <w:szCs w:val="24"/>
        </w:rPr>
        <w:t>: Temperature distributions – different diffusion models</w:t>
      </w:r>
    </w:p>
    <w:p w14:paraId="2DFD99F4" w14:textId="14948A97" w:rsidR="00204486" w:rsidRDefault="00204486" w:rsidP="00204486">
      <w:pPr>
        <w:jc w:val="center"/>
        <w:rPr>
          <w:b/>
          <w:sz w:val="28"/>
          <w:szCs w:val="24"/>
        </w:rPr>
      </w:pPr>
      <w:r>
        <w:rPr>
          <w:b/>
          <w:noProof/>
          <w:sz w:val="28"/>
          <w:szCs w:val="24"/>
        </w:rPr>
        <w:drawing>
          <wp:inline distT="0" distB="0" distL="0" distR="0" wp14:anchorId="3BAC5DED" wp14:editId="16ED5DA3">
            <wp:extent cx="5760720" cy="5089585"/>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map&#10;&#10;Description automatically generated"/>
                    <pic:cNvPicPr/>
                  </pic:nvPicPr>
                  <pic:blipFill rotWithShape="1">
                    <a:blip r:embed="rId13" cstate="print">
                      <a:extLst>
                        <a:ext uri="{28A0092B-C50C-407E-A947-70E740481C1C}">
                          <a14:useLocalDpi xmlns:a14="http://schemas.microsoft.com/office/drawing/2010/main" val="0"/>
                        </a:ext>
                      </a:extLst>
                    </a:blip>
                    <a:srcRect b="16735"/>
                    <a:stretch/>
                  </pic:blipFill>
                  <pic:spPr bwMode="auto">
                    <a:xfrm>
                      <a:off x="0" y="0"/>
                      <a:ext cx="5760720" cy="5089585"/>
                    </a:xfrm>
                    <a:prstGeom prst="rect">
                      <a:avLst/>
                    </a:prstGeom>
                    <a:ln>
                      <a:noFill/>
                    </a:ln>
                    <a:extLst>
                      <a:ext uri="{53640926-AAD7-44D8-BBD7-CCE9431645EC}">
                        <a14:shadowObscured xmlns:a14="http://schemas.microsoft.com/office/drawing/2010/main"/>
                      </a:ext>
                    </a:extLst>
                  </pic:spPr>
                </pic:pic>
              </a:graphicData>
            </a:graphic>
          </wp:inline>
        </w:drawing>
      </w:r>
    </w:p>
    <w:p w14:paraId="219578CE" w14:textId="1229F882" w:rsidR="00204486" w:rsidRDefault="00204486" w:rsidP="00204486">
      <w:pPr>
        <w:jc w:val="center"/>
        <w:rPr>
          <w:b/>
          <w:sz w:val="28"/>
          <w:szCs w:val="24"/>
        </w:rPr>
      </w:pPr>
      <w:r>
        <w:rPr>
          <w:b/>
          <w:noProof/>
          <w:sz w:val="28"/>
          <w:szCs w:val="24"/>
        </w:rPr>
        <w:lastRenderedPageBreak/>
        <w:drawing>
          <wp:inline distT="0" distB="0" distL="0" distR="0" wp14:anchorId="6F2F5769" wp14:editId="09298999">
            <wp:extent cx="5760720" cy="6247130"/>
            <wp:effectExtent l="0" t="0" r="0" b="127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6247130"/>
                    </a:xfrm>
                    <a:prstGeom prst="rect">
                      <a:avLst/>
                    </a:prstGeom>
                  </pic:spPr>
                </pic:pic>
              </a:graphicData>
            </a:graphic>
          </wp:inline>
        </w:drawing>
      </w:r>
    </w:p>
    <w:p w14:paraId="2CC259FB" w14:textId="1641C365" w:rsidR="00F633B7" w:rsidRDefault="00F633B7" w:rsidP="00F633B7">
      <w:pPr>
        <w:spacing w:after="160" w:line="259" w:lineRule="auto"/>
      </w:pPr>
      <w:r>
        <w:rPr>
          <w:b/>
          <w:i/>
          <w:iCs/>
        </w:rPr>
        <w:t xml:space="preserve">Supplementary Figure 6 – Modeled temperature distributions with different diffusion models. </w:t>
      </w:r>
      <w:r w:rsidRPr="0057570F">
        <w:rPr>
          <w:i/>
          <w:iCs/>
        </w:rPr>
        <w:t>The plots show temperature distributions of individual modeled t-T paths at 34 Ma, comparing the different He diffusion models tested</w:t>
      </w:r>
      <w:r w:rsidRPr="0057570F">
        <w:rPr>
          <w:i/>
          <w:iCs/>
        </w:rPr>
        <w:fldChar w:fldCharType="begin" w:fldLock="1"/>
      </w:r>
      <w:r w:rsidRPr="0057570F">
        <w:rPr>
          <w:i/>
          <w:iCs/>
        </w:rPr>
        <w:instrText xml:space="preserve">ADDIN CSL_CITATION {"citationItems":[{"id":"ITEM-1","itemData":{"DOI":"10.1029/1999jb900348","ISSN":"2169-9356","abstract":"High-precision stepped-heating experiments were performed to better characterize helium diffusion from apatite using Durango fluorapatite as a model system. At temperatures below 265øC, helium diffusion from this apatite is a simple, thermally activated process that is independent of the cumulative fraction of helium released and also of the heating schedule used. Across a factor of -4 in grain size, helium diffusivity scales with the inverse square of grain radius, implying that the physical grain is the diffusion domain. Measurements on crystallographically oriented thick sections indicate that helium diffusivity in Durango apatite is nearly isotropic. The best estimate of the activation energy for He diffusion from this apatite is E a = 33 _+ 0.5 kcal/mol, with log(D0) = 1.5 +_ 0.6 cm2/s. The implied He closure temperature for a grain of 100 •m radius is 68øC assuming a 10øC/Myr cooling rate; this figure varies by _5øC for grains ranging from 50 to 150 •m radius. When this apatite is heated to temperatures from 265 to 400øC, a progressive and irreversible change in He diffusion behavior occurs: Both the activation energy and frequency factor are reduced. This transition in behavior coincides closely with progressive annealing of radiation damage in Durango apatite, suggesting that defects and defect annealing play a role in the diffusivity of helium through apatite.","author":[{"dropping-particle":"","family":"Farley","given":"K. A.","non-dropping-particle":"","parse-names":false,"suffix":""}],"container-title":"Journal of Geophysical Research: Solid Earth","id":"ITEM-1","issue":"B2","issued":{"date-parts":[["2000"]]},"page":"2903-2914","title":"Helium diffusion from apatite: General behavior as illustrated by Durango fluorapatite","type":"article-journal","volume":"105"},"uris":["http://www.mendeley.com/documents/?uuid=3d64c05b-711a-49d1-aaae-0ed5557b108d"]},{"id":"ITEM-2","itemData":{"DOI":"10.1016/j.epsl.2006.07.028","ISSN":"0012821X","abstract":"Stepwise degassing diffusion experiments on 39 different apatite samples using radiogenic 4 He and proton-induced 3 He reveal a range in closure temperature (T c ) from </w:instrText>
      </w:r>
      <w:r w:rsidRPr="0057570F">
        <w:rPr>
          <w:rFonts w:ascii="Cambria Math" w:hAnsi="Cambria Math" w:cs="Cambria Math"/>
          <w:i/>
          <w:iCs/>
        </w:rPr>
        <w:instrText>∼</w:instrText>
      </w:r>
      <w:r w:rsidRPr="0057570F">
        <w:rPr>
          <w:rFonts w:cs="Times New Roman"/>
          <w:i/>
          <w:iCs/>
        </w:rPr>
        <w:instrText> </w:instrText>
      </w:r>
      <w:r w:rsidRPr="0057570F">
        <w:rPr>
          <w:i/>
          <w:iCs/>
        </w:rPr>
        <w:instrText>50 to 115</w:instrText>
      </w:r>
      <w:r w:rsidRPr="0057570F">
        <w:rPr>
          <w:rFonts w:cs="Times New Roman"/>
          <w:i/>
          <w:iCs/>
        </w:rPr>
        <w:instrText> °</w:instrText>
      </w:r>
      <w:r w:rsidRPr="0057570F">
        <w:rPr>
          <w:i/>
          <w:iCs/>
        </w:rPr>
        <w:instrText>C, for a cooling rate of 10</w:instrText>
      </w:r>
      <w:r w:rsidRPr="0057570F">
        <w:rPr>
          <w:rFonts w:cs="Times New Roman"/>
          <w:i/>
          <w:iCs/>
        </w:rPr>
        <w:instrText> °</w:instrText>
      </w:r>
      <w:r w:rsidRPr="0057570F">
        <w:rPr>
          <w:i/>
          <w:iCs/>
        </w:rPr>
        <w:instrText>C/Myr. There is no correlation between helium diffusion and apatite chemistry including F/Cl ratio, but the closure temperature is positively correlated with the radiogenic 4 He concentration ([ 4 He]) in each sample. We argue that [ 4 He] is a proxy for a sample's natural exposure to actinide radioactivity below the closure temperature, and that helium diffusion in apatite is impeded by radiation-induced damage to the apatite structure. The kinetics must therefore be an evolving function of time; measured diffusivities thus reflect a snapshot in time and cannot alone be applied to the thermochronometric interpretation of a given sample. The effect of radiation damage on helium diffusion appears to far exceed other known controls on helium diffusivity, including grain size. Our diffusion data are well described by a previously proposed, quantitative model that consists of two Arrhenius relations, one for volume diffusion through undamaged mineral structure and one for release of helium from radiation damage \"traps.\" The unknown parameters in this \"trapping model\" were determined from the diffusion experiments, and allow us to develop a tentative mathematical function that relates diffusivity to temperature and [ 4 He]. By inserting this function into a 4 He production-diffusion model we have explored how these results affect the interpretation of apatite (U-Th)/He thermochronometry. The model predicts that the effective 4 He closure temperature of apatite will vary with cooling rate and effective U concentration (eU) and may differ from the commonly assumed T c of 70 °C by up to ± 15 °C. The 4 He partial retention zone will look similar to previous expectations, but its depth will depend on accumulation time and on eU. Most notably, samples subjected to reheating after accumulation of substantial radiation damage will be more retentive than previously expected. These predictions are consistent with recent observations of unexpected apatite (U-Th)/He ages in some settings. © 2006 Elsevier B.V. All rights reserved.","author":[{"dropping-particle":"","family":"Shuster","given":"David L.","non-dropping-particle":"","parse-names":false,"suffix":""},{"dropping-particle":"","family":"Flowers","given":"Rebecca M.","non-dropping-particle":"","parse-names":false,"suffix":""},{"dropping-particle":"","family":"Farley","given":"Kenneth A.","non-dropping-particle":"","parse-names":false,"suffix":""}],"container-title":"Earth and Planetary Science Letters","id":"ITEM-2","issue":"3-4","issued":{"date-parts":[["2006"]]},"page":"148-161","title":"The influence of natural radiation damage on helium diffusion kinetics in apatite","type":"article-journal","volume":"249"},"uris":["http://www.mendeley.com/documents/?uuid=5857ba99-1e6a-45a2-9e46-7218c2ea62dc"]},{"id":"ITEM-3","itemData":{"DOI":"10.1016/j.gca.2009.01.015","ISSN":"00167037","abstract":"Helium diffusion from apatite is a sensitive function of the volume fraction of radiation damage to the crystal, a quantity that varies over the lifetime of the apatite. Using recently published laboratory data we develop and investigate a new kinetic model, the radiation damage accumulation and annealing model (RDAAM), that adopts the effective fission-track density as a proxy for accumulated radiation damage. This proxy incorporates creation of crystal damage proportional to α-production from U and Th decay, and the elimination of that damage governed by the kinetics of fission-track annealing. The RDAAM is a version of the helium trapping model (HeTM; Shuster D. L., Flowers R. M. and Farley K. A. (2006) The influence of natural radiation damage on helium diffusion kinetics in apatite. Earth Planet. Sci. Lett. 249, 148-161), calibrated by helium diffusion data in natural and partially annealed apatites. The chief limitation of the HeTM, now addressed by RDAAM, is its use of He concentration as the radiation damage proxy for circumstances in which radiation damage and He are not accumulated and lost proportionately from the crystal. By incorporating the RDAAM into the HeFTy computer program, we explore its implications for apatite (U-Th)/He thermochronometry. We show how (U-Th)/He dates predicted from the model are sensitive to both effective U concentration (eU) and details of the temperature history. The RDAAM predicts an effective He closure temperature of 62 °C for a 28 ppm eU apatite of 60 μm radius that experienced a 10 °C/Ma monotonic cooling rate; this is 8 °C lower than the 70 °C effective closure temperature predicted using commonly assumed Durango diffusion kinetics. Use of the RDAAM is most important for accurate interpretation of (U-Th)/He data for apatite suites that experienced moderate to slow monotonic cooling (1-0.1 °C/Ma), prolonged residence in the helium partial retention zone, or a duration at temperatures appropriate for radiation damage accumulation followed by reheating and partial helium loss. Under common circumstances the RDAAM predicts (U-Th)/He dates that are older, sometimes much older, than corresponding fission-track dates. Nonlinear positive correlations between apatite (U-Th)/He date and eU in apatites subjected to the same temperature history are a diagnostic signature of the RDAAM for many but not all thermal histories. Observed date-eU correlations in four different localities can be explained with the RDAAM using …","author":[{"dropping-particle":"","family":"Flowers","given":"Rebecca M.","non-dropping-particle":"","parse-names":false,"suffix":""},{"dropping-particle":"","family":"Ketcham","given":"Richard A.","non-dropping-particle":"","parse-names":false,"suffix":""},{"dropping-particle":"","family":"Shuster","given":"David L.","non-dropping-particle":"","parse-names":false,"suffix":""},{"dropping-particle":"","family":"Farley","given":"Kenneth A.","non-dropping-particle":"","parse-names":false,"suffix":""}],"container-title":"Geochimica et Cosmochimica Acta","id":"ITEM-3","issue":"8","issued":{"date-parts":[["2009"]]},"page":"2347-2365","publisher":"Elsevier Ltd","title":"Apatite (U-Th)/He thermochronometry using a radiation damage accumulation and annealing model","type":"article-journal","volume":"73"},"uris":["http://www.mendeley.com/documents/?uuid=acee396a-5a2b-49db-87a0-522281199703"]}],"mendeley":{"formattedCitation":"&lt;sup&gt;25–27&lt;/sup&gt;","plainTextFormattedCitation":"25–27","previouslyFormattedCitation":"&lt;sup&gt;24–26&lt;/sup&gt;"},"properties":{"noteIndex":0},"schema":"https://github.com/citation-style-language/schema/raw/master/csl-citation.json"}</w:instrText>
      </w:r>
      <w:r w:rsidRPr="0057570F">
        <w:rPr>
          <w:i/>
          <w:iCs/>
        </w:rPr>
        <w:fldChar w:fldCharType="separate"/>
      </w:r>
      <w:r w:rsidRPr="0057570F">
        <w:rPr>
          <w:i/>
          <w:iCs/>
          <w:noProof/>
          <w:vertAlign w:val="superscript"/>
        </w:rPr>
        <w:t>25–27</w:t>
      </w:r>
      <w:r w:rsidRPr="0057570F">
        <w:rPr>
          <w:i/>
          <w:iCs/>
        </w:rPr>
        <w:fldChar w:fldCharType="end"/>
      </w:r>
      <w:r w:rsidRPr="0057570F">
        <w:rPr>
          <w:i/>
          <w:iCs/>
        </w:rPr>
        <w:t>.</w:t>
      </w:r>
    </w:p>
    <w:p w14:paraId="47BF0E88" w14:textId="684C1EB8" w:rsidR="00962FED" w:rsidRDefault="00204486">
      <w:pPr>
        <w:spacing w:after="160" w:line="259" w:lineRule="auto"/>
        <w:jc w:val="left"/>
        <w:rPr>
          <w:b/>
          <w:sz w:val="28"/>
          <w:szCs w:val="24"/>
        </w:rPr>
      </w:pPr>
      <w:r>
        <w:rPr>
          <w:b/>
          <w:sz w:val="28"/>
          <w:szCs w:val="24"/>
        </w:rPr>
        <w:br w:type="page"/>
      </w:r>
    </w:p>
    <w:p w14:paraId="066149B7" w14:textId="1E804777" w:rsidR="00962FED" w:rsidRDefault="00962FED" w:rsidP="00962FED">
      <w:pPr>
        <w:jc w:val="center"/>
        <w:rPr>
          <w:b/>
          <w:sz w:val="28"/>
          <w:szCs w:val="24"/>
        </w:rPr>
      </w:pPr>
      <w:r>
        <w:rPr>
          <w:b/>
          <w:sz w:val="28"/>
          <w:szCs w:val="24"/>
        </w:rPr>
        <w:lastRenderedPageBreak/>
        <w:t xml:space="preserve">Supplementary </w:t>
      </w:r>
      <w:r w:rsidR="008E40B7">
        <w:rPr>
          <w:b/>
          <w:sz w:val="28"/>
          <w:szCs w:val="24"/>
        </w:rPr>
        <w:t>N</w:t>
      </w:r>
      <w:r w:rsidR="00D76473">
        <w:rPr>
          <w:b/>
          <w:sz w:val="28"/>
          <w:szCs w:val="24"/>
        </w:rPr>
        <w:t xml:space="preserve">otes </w:t>
      </w:r>
      <w:r>
        <w:rPr>
          <w:b/>
          <w:sz w:val="28"/>
          <w:szCs w:val="24"/>
        </w:rPr>
        <w:t>5: Temperature distributions – different constraints</w:t>
      </w:r>
    </w:p>
    <w:p w14:paraId="399D7D10" w14:textId="77777777" w:rsidR="00962FED" w:rsidRDefault="00962FED" w:rsidP="00962FED">
      <w:pPr>
        <w:jc w:val="center"/>
        <w:rPr>
          <w:b/>
          <w:sz w:val="28"/>
          <w:szCs w:val="24"/>
        </w:rPr>
      </w:pPr>
      <w:r>
        <w:rPr>
          <w:b/>
          <w:noProof/>
          <w:sz w:val="28"/>
          <w:szCs w:val="24"/>
        </w:rPr>
        <w:drawing>
          <wp:inline distT="0" distB="0" distL="0" distR="0" wp14:anchorId="5D41F3B5" wp14:editId="737DDCEF">
            <wp:extent cx="5760720" cy="62323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6232306"/>
                    </a:xfrm>
                    <a:prstGeom prst="rect">
                      <a:avLst/>
                    </a:prstGeom>
                  </pic:spPr>
                </pic:pic>
              </a:graphicData>
            </a:graphic>
          </wp:inline>
        </w:drawing>
      </w:r>
    </w:p>
    <w:p w14:paraId="69D3B490" w14:textId="77777777" w:rsidR="00962FED" w:rsidRDefault="00962FED" w:rsidP="00962FED">
      <w:pPr>
        <w:jc w:val="center"/>
        <w:rPr>
          <w:b/>
          <w:sz w:val="28"/>
          <w:szCs w:val="24"/>
        </w:rPr>
      </w:pPr>
      <w:r>
        <w:rPr>
          <w:b/>
          <w:noProof/>
          <w:sz w:val="28"/>
          <w:szCs w:val="24"/>
        </w:rPr>
        <w:lastRenderedPageBreak/>
        <w:drawing>
          <wp:inline distT="0" distB="0" distL="0" distR="0" wp14:anchorId="1F2C891D" wp14:editId="1DBF232B">
            <wp:extent cx="5760085" cy="51068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6" cstate="print">
                      <a:extLst>
                        <a:ext uri="{28A0092B-C50C-407E-A947-70E740481C1C}">
                          <a14:useLocalDpi xmlns:a14="http://schemas.microsoft.com/office/drawing/2010/main" val="0"/>
                        </a:ext>
                      </a:extLst>
                    </a:blip>
                    <a:srcRect t="-16" b="16719"/>
                    <a:stretch/>
                  </pic:blipFill>
                  <pic:spPr bwMode="auto">
                    <a:xfrm>
                      <a:off x="0" y="0"/>
                      <a:ext cx="5760720" cy="5107401"/>
                    </a:xfrm>
                    <a:prstGeom prst="rect">
                      <a:avLst/>
                    </a:prstGeom>
                    <a:ln>
                      <a:noFill/>
                    </a:ln>
                    <a:extLst>
                      <a:ext uri="{53640926-AAD7-44D8-BBD7-CCE9431645EC}">
                        <a14:shadowObscured xmlns:a14="http://schemas.microsoft.com/office/drawing/2010/main"/>
                      </a:ext>
                    </a:extLst>
                  </pic:spPr>
                </pic:pic>
              </a:graphicData>
            </a:graphic>
          </wp:inline>
        </w:drawing>
      </w:r>
    </w:p>
    <w:p w14:paraId="79C2EBC6" w14:textId="77777777" w:rsidR="00962FED" w:rsidRDefault="00962FED" w:rsidP="00962FED">
      <w:pPr>
        <w:jc w:val="center"/>
        <w:rPr>
          <w:b/>
          <w:sz w:val="28"/>
          <w:szCs w:val="24"/>
        </w:rPr>
      </w:pPr>
      <w:r>
        <w:rPr>
          <w:b/>
          <w:noProof/>
          <w:sz w:val="28"/>
          <w:szCs w:val="24"/>
        </w:rPr>
        <w:lastRenderedPageBreak/>
        <w:drawing>
          <wp:inline distT="0" distB="0" distL="0" distR="0" wp14:anchorId="0F36774F" wp14:editId="4505C7D2">
            <wp:extent cx="5760720" cy="62323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6232306"/>
                    </a:xfrm>
                    <a:prstGeom prst="rect">
                      <a:avLst/>
                    </a:prstGeom>
                  </pic:spPr>
                </pic:pic>
              </a:graphicData>
            </a:graphic>
          </wp:inline>
        </w:drawing>
      </w:r>
    </w:p>
    <w:p w14:paraId="45DC079C" w14:textId="77777777" w:rsidR="00962FED" w:rsidRPr="003A3F6C" w:rsidRDefault="00962FED" w:rsidP="00962FED">
      <w:pPr>
        <w:jc w:val="center"/>
        <w:rPr>
          <w:b/>
          <w:sz w:val="28"/>
          <w:szCs w:val="24"/>
        </w:rPr>
      </w:pPr>
      <w:r>
        <w:rPr>
          <w:b/>
          <w:noProof/>
          <w:sz w:val="28"/>
          <w:szCs w:val="24"/>
        </w:rPr>
        <w:lastRenderedPageBreak/>
        <w:drawing>
          <wp:inline distT="0" distB="0" distL="0" distR="0" wp14:anchorId="0A964450" wp14:editId="2FA7A17C">
            <wp:extent cx="5760720" cy="62323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6232306"/>
                    </a:xfrm>
                    <a:prstGeom prst="rect">
                      <a:avLst/>
                    </a:prstGeom>
                  </pic:spPr>
                </pic:pic>
              </a:graphicData>
            </a:graphic>
          </wp:inline>
        </w:drawing>
      </w:r>
    </w:p>
    <w:p w14:paraId="2D9D3FE1" w14:textId="77777777" w:rsidR="00F633B7" w:rsidRDefault="00F633B7" w:rsidP="00F633B7">
      <w:pPr>
        <w:spacing w:after="160" w:line="259" w:lineRule="auto"/>
      </w:pPr>
      <w:r>
        <w:rPr>
          <w:b/>
          <w:i/>
          <w:iCs/>
        </w:rPr>
        <w:t xml:space="preserve">Supplementary Figure 7 – Modeled temperature distributions with different external constraints. </w:t>
      </w:r>
      <w:r w:rsidRPr="003016E5">
        <w:rPr>
          <w:i/>
          <w:iCs/>
        </w:rPr>
        <w:t>The plots show the distribution of interpolated temperatures at 34 Ma. The dashed lines correspond to the unconstrained model, while the histograms and the solid lines represent the temperature distributions of the preferred, constrained models.</w:t>
      </w:r>
    </w:p>
    <w:p w14:paraId="251CCF1B" w14:textId="77777777" w:rsidR="00962FED" w:rsidRDefault="00962FED" w:rsidP="00962FED">
      <w:pPr>
        <w:spacing w:after="160" w:line="259" w:lineRule="auto"/>
        <w:jc w:val="left"/>
      </w:pPr>
      <w:r>
        <w:br w:type="page"/>
      </w:r>
    </w:p>
    <w:p w14:paraId="62C03B72" w14:textId="6AA9FDD6" w:rsidR="00204486" w:rsidRDefault="00204486" w:rsidP="00204486">
      <w:pPr>
        <w:jc w:val="center"/>
        <w:rPr>
          <w:b/>
          <w:sz w:val="28"/>
          <w:szCs w:val="24"/>
        </w:rPr>
      </w:pPr>
      <w:r>
        <w:rPr>
          <w:b/>
          <w:sz w:val="28"/>
          <w:szCs w:val="24"/>
        </w:rPr>
        <w:lastRenderedPageBreak/>
        <w:t xml:space="preserve">Supplementary </w:t>
      </w:r>
      <w:r w:rsidR="008E40B7">
        <w:rPr>
          <w:b/>
          <w:sz w:val="28"/>
          <w:szCs w:val="24"/>
        </w:rPr>
        <w:t>N</w:t>
      </w:r>
      <w:r w:rsidR="00D76473">
        <w:rPr>
          <w:b/>
          <w:sz w:val="28"/>
          <w:szCs w:val="24"/>
        </w:rPr>
        <w:t>ote</w:t>
      </w:r>
      <w:r w:rsidR="008E40B7">
        <w:rPr>
          <w:b/>
          <w:sz w:val="28"/>
          <w:szCs w:val="24"/>
        </w:rPr>
        <w:t>s</w:t>
      </w:r>
      <w:r w:rsidR="00D76473">
        <w:rPr>
          <w:b/>
          <w:sz w:val="28"/>
          <w:szCs w:val="24"/>
        </w:rPr>
        <w:t xml:space="preserve"> </w:t>
      </w:r>
      <w:r>
        <w:rPr>
          <w:b/>
          <w:sz w:val="28"/>
          <w:szCs w:val="24"/>
        </w:rPr>
        <w:t>6: Thermal history models</w:t>
      </w:r>
    </w:p>
    <w:p w14:paraId="334FCC8A" w14:textId="7E30CA99" w:rsidR="00204486" w:rsidRDefault="007F1A32" w:rsidP="00C87C01">
      <w:r>
        <w:rPr>
          <w:noProof/>
        </w:rPr>
        <w:drawing>
          <wp:inline distT="0" distB="0" distL="0" distR="0" wp14:anchorId="5B58810A" wp14:editId="451441B4">
            <wp:extent cx="5760720" cy="6595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6595975"/>
                    </a:xfrm>
                    <a:prstGeom prst="rect">
                      <a:avLst/>
                    </a:prstGeom>
                  </pic:spPr>
                </pic:pic>
              </a:graphicData>
            </a:graphic>
          </wp:inline>
        </w:drawing>
      </w:r>
    </w:p>
    <w:p w14:paraId="30D9527C" w14:textId="21AB0688" w:rsidR="007F1A32" w:rsidRDefault="007F1A32" w:rsidP="00C87C01">
      <w:r>
        <w:rPr>
          <w:noProof/>
        </w:rPr>
        <w:lastRenderedPageBreak/>
        <w:drawing>
          <wp:inline distT="0" distB="0" distL="0" distR="0" wp14:anchorId="1575BADD" wp14:editId="2E5EF786">
            <wp:extent cx="5760085" cy="52962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0" cstate="print">
                      <a:extLst>
                        <a:ext uri="{28A0092B-C50C-407E-A947-70E740481C1C}">
                          <a14:useLocalDpi xmlns:a14="http://schemas.microsoft.com/office/drawing/2010/main" val="0"/>
                        </a:ext>
                      </a:extLst>
                    </a:blip>
                    <a:srcRect t="-46" b="19743"/>
                    <a:stretch/>
                  </pic:blipFill>
                  <pic:spPr bwMode="auto">
                    <a:xfrm>
                      <a:off x="0" y="0"/>
                      <a:ext cx="5760720" cy="5296788"/>
                    </a:xfrm>
                    <a:prstGeom prst="rect">
                      <a:avLst/>
                    </a:prstGeom>
                    <a:ln>
                      <a:noFill/>
                    </a:ln>
                    <a:extLst>
                      <a:ext uri="{53640926-AAD7-44D8-BBD7-CCE9431645EC}">
                        <a14:shadowObscured xmlns:a14="http://schemas.microsoft.com/office/drawing/2010/main"/>
                      </a:ext>
                    </a:extLst>
                  </pic:spPr>
                </pic:pic>
              </a:graphicData>
            </a:graphic>
          </wp:inline>
        </w:drawing>
      </w:r>
    </w:p>
    <w:p w14:paraId="6B13B973" w14:textId="77777777" w:rsidR="007F1A32" w:rsidRDefault="007F1A32" w:rsidP="00C87C01">
      <w:pPr>
        <w:rPr>
          <w:noProof/>
        </w:rPr>
      </w:pPr>
    </w:p>
    <w:p w14:paraId="392657CA" w14:textId="1B69C4EB" w:rsidR="007F1A32" w:rsidRDefault="007F1A32" w:rsidP="00C87C01">
      <w:r>
        <w:rPr>
          <w:noProof/>
        </w:rPr>
        <w:lastRenderedPageBreak/>
        <w:drawing>
          <wp:inline distT="0" distB="0" distL="0" distR="0" wp14:anchorId="59D97085" wp14:editId="5AC67F99">
            <wp:extent cx="5760720" cy="6595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6595975"/>
                    </a:xfrm>
                    <a:prstGeom prst="rect">
                      <a:avLst/>
                    </a:prstGeom>
                  </pic:spPr>
                </pic:pic>
              </a:graphicData>
            </a:graphic>
          </wp:inline>
        </w:drawing>
      </w:r>
      <w:r>
        <w:rPr>
          <w:noProof/>
        </w:rPr>
        <w:lastRenderedPageBreak/>
        <w:drawing>
          <wp:inline distT="0" distB="0" distL="0" distR="0" wp14:anchorId="43B41FF9" wp14:editId="6FCB9348">
            <wp:extent cx="5760720" cy="6595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6595975"/>
                    </a:xfrm>
                    <a:prstGeom prst="rect">
                      <a:avLst/>
                    </a:prstGeom>
                  </pic:spPr>
                </pic:pic>
              </a:graphicData>
            </a:graphic>
          </wp:inline>
        </w:drawing>
      </w:r>
    </w:p>
    <w:p w14:paraId="6BE27B70" w14:textId="77777777" w:rsidR="00F633B7" w:rsidRDefault="00F633B7" w:rsidP="00F633B7">
      <w:pPr>
        <w:spacing w:after="160" w:line="259" w:lineRule="auto"/>
      </w:pPr>
      <w:r>
        <w:rPr>
          <w:b/>
          <w:i/>
          <w:iCs/>
        </w:rPr>
        <w:t xml:space="preserve">Supplementary Figure 8 – Thermal history models. </w:t>
      </w:r>
      <w:r w:rsidRPr="003016E5">
        <w:rPr>
          <w:i/>
          <w:iCs/>
        </w:rPr>
        <w:t>The constrained thermal history models for all samples used in this study. See Supplementary Figure 2 for specification of the external constraints. n-values of 1000 include only acceptable-fit paths, while n-values &gt; 1000 also include good-fit paths.</w:t>
      </w:r>
    </w:p>
    <w:p w14:paraId="72175BA2" w14:textId="77777777" w:rsidR="004F0C7B" w:rsidRDefault="004F0C7B">
      <w:pPr>
        <w:spacing w:after="160" w:line="259" w:lineRule="auto"/>
        <w:jc w:val="left"/>
        <w:rPr>
          <w:b/>
          <w:bCs/>
        </w:rPr>
      </w:pPr>
      <w:r>
        <w:rPr>
          <w:b/>
          <w:bCs/>
        </w:rPr>
        <w:br w:type="page"/>
      </w:r>
    </w:p>
    <w:p w14:paraId="40F3E791" w14:textId="4EC44ECA" w:rsidR="00547983" w:rsidRPr="00547983" w:rsidRDefault="00D76473" w:rsidP="00C87C01">
      <w:pPr>
        <w:rPr>
          <w:b/>
          <w:bCs/>
        </w:rPr>
      </w:pPr>
      <w:r>
        <w:rPr>
          <w:b/>
          <w:bCs/>
        </w:rPr>
        <w:lastRenderedPageBreak/>
        <w:t xml:space="preserve">Supplementary </w:t>
      </w:r>
      <w:r w:rsidR="00547983">
        <w:rPr>
          <w:b/>
          <w:bCs/>
        </w:rPr>
        <w:t>References:</w:t>
      </w:r>
    </w:p>
    <w:p w14:paraId="3964DBB8" w14:textId="75F25BB0" w:rsidR="00C33FAB" w:rsidRPr="00C33FAB" w:rsidRDefault="001655C4" w:rsidP="00C33FAB">
      <w:pPr>
        <w:widowControl w:val="0"/>
        <w:autoSpaceDE w:val="0"/>
        <w:autoSpaceDN w:val="0"/>
        <w:adjustRightInd w:val="0"/>
        <w:spacing w:after="0"/>
        <w:ind w:left="640" w:hanging="640"/>
        <w:rPr>
          <w:rFonts w:cs="Times New Roman"/>
          <w:noProof/>
          <w:szCs w:val="24"/>
        </w:rPr>
      </w:pPr>
      <w:r>
        <w:fldChar w:fldCharType="begin" w:fldLock="1"/>
      </w:r>
      <w:r>
        <w:instrText xml:space="preserve">ADDIN Mendeley Bibliography CSL_BIBLIOGRAPHY </w:instrText>
      </w:r>
      <w:r>
        <w:fldChar w:fldCharType="separate"/>
      </w:r>
      <w:r w:rsidR="00C33FAB" w:rsidRPr="00C33FAB">
        <w:rPr>
          <w:rFonts w:cs="Times New Roman"/>
          <w:noProof/>
          <w:szCs w:val="24"/>
        </w:rPr>
        <w:t>1.</w:t>
      </w:r>
      <w:r w:rsidR="00C33FAB" w:rsidRPr="00C33FAB">
        <w:rPr>
          <w:rFonts w:cs="Times New Roman"/>
          <w:noProof/>
          <w:szCs w:val="24"/>
        </w:rPr>
        <w:tab/>
        <w:t xml:space="preserve">Sirevaag, H., Jacobs, J., Ksienzyk, A. K., Dunkl, I. &amp; Marschall, H. R. Extent, thickness and erosion of the Jurassic continental flood basalts of Dronning Maud Land, East Antarctica: A low-T thermochronological approach. </w:t>
      </w:r>
      <w:r w:rsidR="00C33FAB" w:rsidRPr="00C33FAB">
        <w:rPr>
          <w:rFonts w:cs="Times New Roman"/>
          <w:i/>
          <w:iCs/>
          <w:noProof/>
          <w:szCs w:val="24"/>
        </w:rPr>
        <w:t>Gondwana Res.</w:t>
      </w:r>
      <w:r w:rsidR="00C33FAB" w:rsidRPr="00C33FAB">
        <w:rPr>
          <w:rFonts w:cs="Times New Roman"/>
          <w:noProof/>
          <w:szCs w:val="24"/>
        </w:rPr>
        <w:t xml:space="preserve"> </w:t>
      </w:r>
      <w:r w:rsidR="00C33FAB" w:rsidRPr="00C33FAB">
        <w:rPr>
          <w:rFonts w:cs="Times New Roman"/>
          <w:b/>
          <w:bCs/>
          <w:noProof/>
          <w:szCs w:val="24"/>
        </w:rPr>
        <w:t>61</w:t>
      </w:r>
      <w:r w:rsidR="00C33FAB" w:rsidRPr="00C33FAB">
        <w:rPr>
          <w:rFonts w:cs="Times New Roman"/>
          <w:noProof/>
          <w:szCs w:val="24"/>
        </w:rPr>
        <w:t>, 222–243 (2018).</w:t>
      </w:r>
    </w:p>
    <w:p w14:paraId="6D4E01AD"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w:t>
      </w:r>
      <w:r w:rsidRPr="00C33FAB">
        <w:rPr>
          <w:rFonts w:cs="Times New Roman"/>
          <w:noProof/>
          <w:szCs w:val="24"/>
        </w:rPr>
        <w:tab/>
        <w:t xml:space="preserve">Sirevaag, H., Ksienzyk, A. K., Jacobs, J., Dunkl, I. &amp; Läufer, A. Tectono-thermal evolution and morphodynamics of the Central Dronning Maud Land Mountains, East Antarctica, based on new thermochronological data. </w:t>
      </w:r>
      <w:r w:rsidRPr="00C33FAB">
        <w:rPr>
          <w:rFonts w:cs="Times New Roman"/>
          <w:i/>
          <w:iCs/>
          <w:noProof/>
          <w:szCs w:val="24"/>
        </w:rPr>
        <w:t>Geosciences</w:t>
      </w:r>
      <w:r w:rsidRPr="00C33FAB">
        <w:rPr>
          <w:rFonts w:cs="Times New Roman"/>
          <w:noProof/>
          <w:szCs w:val="24"/>
        </w:rPr>
        <w:t xml:space="preserve"> </w:t>
      </w:r>
      <w:r w:rsidRPr="00C33FAB">
        <w:rPr>
          <w:rFonts w:cs="Times New Roman"/>
          <w:b/>
          <w:bCs/>
          <w:noProof/>
          <w:szCs w:val="24"/>
        </w:rPr>
        <w:t>8</w:t>
      </w:r>
      <w:r w:rsidRPr="00C33FAB">
        <w:rPr>
          <w:rFonts w:cs="Times New Roman"/>
          <w:noProof/>
          <w:szCs w:val="24"/>
        </w:rPr>
        <w:t>, 390 (2018).</w:t>
      </w:r>
    </w:p>
    <w:p w14:paraId="64A32FE6"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3.</w:t>
      </w:r>
      <w:r w:rsidRPr="00C33FAB">
        <w:rPr>
          <w:rFonts w:cs="Times New Roman"/>
          <w:noProof/>
          <w:szCs w:val="24"/>
        </w:rPr>
        <w:tab/>
        <w:t>Matsuoka, K., Skoglund, A. &amp; Roth, G. Quantarctica [Data Set]. (2018). doi:10.21334/npolar.2018.8516e961</w:t>
      </w:r>
    </w:p>
    <w:p w14:paraId="637173AD"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4.</w:t>
      </w:r>
      <w:r w:rsidRPr="00C33FAB">
        <w:rPr>
          <w:rFonts w:cs="Times New Roman"/>
          <w:noProof/>
          <w:szCs w:val="24"/>
        </w:rPr>
        <w:tab/>
        <w:t>Ketcham, R. A. HeFTy v. 1.9.1. (2016).</w:t>
      </w:r>
    </w:p>
    <w:p w14:paraId="126FADFC"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5.</w:t>
      </w:r>
      <w:r w:rsidRPr="00C33FAB">
        <w:rPr>
          <w:rFonts w:cs="Times New Roman"/>
          <w:noProof/>
          <w:szCs w:val="24"/>
        </w:rPr>
        <w:tab/>
        <w:t xml:space="preserve">Ketcham, R. A., Carter, A., Donelick, R. A., Barbarand, J. &amp; Hurford, A. J. Improved measurement of fission-track annealing in apatite using c-axis projection. </w:t>
      </w:r>
      <w:r w:rsidRPr="00C33FAB">
        <w:rPr>
          <w:rFonts w:cs="Times New Roman"/>
          <w:i/>
          <w:iCs/>
          <w:noProof/>
          <w:szCs w:val="24"/>
        </w:rPr>
        <w:t>Am. Mineral.</w:t>
      </w:r>
      <w:r w:rsidRPr="00C33FAB">
        <w:rPr>
          <w:rFonts w:cs="Times New Roman"/>
          <w:noProof/>
          <w:szCs w:val="24"/>
        </w:rPr>
        <w:t xml:space="preserve"> </w:t>
      </w:r>
      <w:r w:rsidRPr="00C33FAB">
        <w:rPr>
          <w:rFonts w:cs="Times New Roman"/>
          <w:b/>
          <w:bCs/>
          <w:noProof/>
          <w:szCs w:val="24"/>
        </w:rPr>
        <w:t>92</w:t>
      </w:r>
      <w:r w:rsidRPr="00C33FAB">
        <w:rPr>
          <w:rFonts w:cs="Times New Roman"/>
          <w:noProof/>
          <w:szCs w:val="24"/>
        </w:rPr>
        <w:t>, 789–798 (2007).</w:t>
      </w:r>
    </w:p>
    <w:p w14:paraId="617252DE"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6.</w:t>
      </w:r>
      <w:r w:rsidRPr="00C33FAB">
        <w:rPr>
          <w:rFonts w:cs="Times New Roman"/>
          <w:noProof/>
          <w:szCs w:val="24"/>
        </w:rPr>
        <w:tab/>
        <w:t xml:space="preserve">Ketcham, R. A., Carter, A., Donelick, R. A., Barbarand, J. &amp; Hurford, A. J. Improved modeling of fission-track annealing in apatite. </w:t>
      </w:r>
      <w:r w:rsidRPr="00C33FAB">
        <w:rPr>
          <w:rFonts w:cs="Times New Roman"/>
          <w:i/>
          <w:iCs/>
          <w:noProof/>
          <w:szCs w:val="24"/>
        </w:rPr>
        <w:t>Am. Mineral.</w:t>
      </w:r>
      <w:r w:rsidRPr="00C33FAB">
        <w:rPr>
          <w:rFonts w:cs="Times New Roman"/>
          <w:noProof/>
          <w:szCs w:val="24"/>
        </w:rPr>
        <w:t xml:space="preserve"> </w:t>
      </w:r>
      <w:r w:rsidRPr="00C33FAB">
        <w:rPr>
          <w:rFonts w:cs="Times New Roman"/>
          <w:b/>
          <w:bCs/>
          <w:noProof/>
          <w:szCs w:val="24"/>
        </w:rPr>
        <w:t>92</w:t>
      </w:r>
      <w:r w:rsidRPr="00C33FAB">
        <w:rPr>
          <w:rFonts w:cs="Times New Roman"/>
          <w:noProof/>
          <w:szCs w:val="24"/>
        </w:rPr>
        <w:t>, 799–810 (2007).</w:t>
      </w:r>
    </w:p>
    <w:p w14:paraId="79E202EF"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7.</w:t>
      </w:r>
      <w:r w:rsidRPr="00C33FAB">
        <w:rPr>
          <w:rFonts w:cs="Times New Roman"/>
          <w:noProof/>
          <w:szCs w:val="24"/>
        </w:rPr>
        <w:tab/>
        <w:t xml:space="preserve">Ketcham, R. A., Carter, A. &amp; Hurford, A. J. Inter-laboratory comparison of fission track confined length and etch figure measurements in apatite. </w:t>
      </w:r>
      <w:r w:rsidRPr="00C33FAB">
        <w:rPr>
          <w:rFonts w:cs="Times New Roman"/>
          <w:i/>
          <w:iCs/>
          <w:noProof/>
          <w:szCs w:val="24"/>
        </w:rPr>
        <w:t>Am. Mineral.</w:t>
      </w:r>
      <w:r w:rsidRPr="00C33FAB">
        <w:rPr>
          <w:rFonts w:cs="Times New Roman"/>
          <w:noProof/>
          <w:szCs w:val="24"/>
        </w:rPr>
        <w:t xml:space="preserve"> </w:t>
      </w:r>
      <w:r w:rsidRPr="00C33FAB">
        <w:rPr>
          <w:rFonts w:cs="Times New Roman"/>
          <w:b/>
          <w:bCs/>
          <w:noProof/>
          <w:szCs w:val="24"/>
        </w:rPr>
        <w:t>100</w:t>
      </w:r>
      <w:r w:rsidRPr="00C33FAB">
        <w:rPr>
          <w:rFonts w:cs="Times New Roman"/>
          <w:noProof/>
          <w:szCs w:val="24"/>
        </w:rPr>
        <w:t>, 1452–1468 (2015).</w:t>
      </w:r>
    </w:p>
    <w:p w14:paraId="6E97876D"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8.</w:t>
      </w:r>
      <w:r w:rsidRPr="00C33FAB">
        <w:rPr>
          <w:rFonts w:cs="Times New Roman"/>
          <w:noProof/>
          <w:szCs w:val="24"/>
        </w:rPr>
        <w:tab/>
        <w:t xml:space="preserve">Jacobs, J., Ahrendt, H., Kreutzer, H. &amp; Weber, K. K-Ar, 40Ar-39Ar and apatite fission-track evidence for Neoproterozoic and Mesozoic basement rejuvenation events in the Heimefrontfjella and Mannefallknausane (East Antarctica). </w:t>
      </w:r>
      <w:r w:rsidRPr="00C33FAB">
        <w:rPr>
          <w:rFonts w:cs="Times New Roman"/>
          <w:i/>
          <w:iCs/>
          <w:noProof/>
          <w:szCs w:val="24"/>
        </w:rPr>
        <w:t>Precambrian Res.</w:t>
      </w:r>
      <w:r w:rsidRPr="00C33FAB">
        <w:rPr>
          <w:rFonts w:cs="Times New Roman"/>
          <w:noProof/>
          <w:szCs w:val="24"/>
        </w:rPr>
        <w:t xml:space="preserve"> </w:t>
      </w:r>
      <w:r w:rsidRPr="00C33FAB">
        <w:rPr>
          <w:rFonts w:cs="Times New Roman"/>
          <w:b/>
          <w:bCs/>
          <w:noProof/>
          <w:szCs w:val="24"/>
        </w:rPr>
        <w:t>75</w:t>
      </w:r>
      <w:r w:rsidRPr="00C33FAB">
        <w:rPr>
          <w:rFonts w:cs="Times New Roman"/>
          <w:noProof/>
          <w:szCs w:val="24"/>
        </w:rPr>
        <w:t>, 251–262 (1995).</w:t>
      </w:r>
    </w:p>
    <w:p w14:paraId="4633637F"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9.</w:t>
      </w:r>
      <w:r w:rsidRPr="00C33FAB">
        <w:rPr>
          <w:rFonts w:cs="Times New Roman"/>
          <w:noProof/>
          <w:szCs w:val="24"/>
        </w:rPr>
        <w:tab/>
        <w:t xml:space="preserve">Coyle, D. A. &amp; Wagner, G. A. Positioning the titanite fission-track partial annealing zone. </w:t>
      </w:r>
      <w:r w:rsidRPr="00C33FAB">
        <w:rPr>
          <w:rFonts w:cs="Times New Roman"/>
          <w:i/>
          <w:iCs/>
          <w:noProof/>
          <w:szCs w:val="24"/>
        </w:rPr>
        <w:t>Chem. Geol.</w:t>
      </w:r>
      <w:r w:rsidRPr="00C33FAB">
        <w:rPr>
          <w:rFonts w:cs="Times New Roman"/>
          <w:noProof/>
          <w:szCs w:val="24"/>
        </w:rPr>
        <w:t xml:space="preserve"> </w:t>
      </w:r>
      <w:r w:rsidRPr="00C33FAB">
        <w:rPr>
          <w:rFonts w:cs="Times New Roman"/>
          <w:b/>
          <w:bCs/>
          <w:noProof/>
          <w:szCs w:val="24"/>
        </w:rPr>
        <w:t>149</w:t>
      </w:r>
      <w:r w:rsidRPr="00C33FAB">
        <w:rPr>
          <w:rFonts w:cs="Times New Roman"/>
          <w:noProof/>
          <w:szCs w:val="24"/>
        </w:rPr>
        <w:t>, 117–125 (1998).</w:t>
      </w:r>
    </w:p>
    <w:p w14:paraId="3C7CE590"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lastRenderedPageBreak/>
        <w:t>10.</w:t>
      </w:r>
      <w:r w:rsidRPr="00C33FAB">
        <w:rPr>
          <w:rFonts w:cs="Times New Roman"/>
          <w:noProof/>
          <w:szCs w:val="24"/>
        </w:rPr>
        <w:tab/>
        <w:t xml:space="preserve">Emmel, B., Jacobs, J. &amp; Daszinnies, M. C. Combined titanite and apatite fission-track data from Gjelsvikfjella, east antarctica - Another piece of a concealed intracontinental Permo-Triassic Gondwana rift basin? </w:t>
      </w:r>
      <w:r w:rsidRPr="00C33FAB">
        <w:rPr>
          <w:rFonts w:cs="Times New Roman"/>
          <w:i/>
          <w:iCs/>
          <w:noProof/>
          <w:szCs w:val="24"/>
        </w:rPr>
        <w:t>Geol. Soc. Spec. Publ.</w:t>
      </w:r>
      <w:r w:rsidRPr="00C33FAB">
        <w:rPr>
          <w:rFonts w:cs="Times New Roman"/>
          <w:noProof/>
          <w:szCs w:val="24"/>
        </w:rPr>
        <w:t xml:space="preserve"> </w:t>
      </w:r>
      <w:r w:rsidRPr="00C33FAB">
        <w:rPr>
          <w:rFonts w:cs="Times New Roman"/>
          <w:b/>
          <w:bCs/>
          <w:noProof/>
          <w:szCs w:val="24"/>
        </w:rPr>
        <w:t>324</w:t>
      </w:r>
      <w:r w:rsidRPr="00C33FAB">
        <w:rPr>
          <w:rFonts w:cs="Times New Roman"/>
          <w:noProof/>
          <w:szCs w:val="24"/>
        </w:rPr>
        <w:t>, 317–330 (2009).</w:t>
      </w:r>
    </w:p>
    <w:p w14:paraId="1E7FAAC5"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11.</w:t>
      </w:r>
      <w:r w:rsidRPr="00C33FAB">
        <w:rPr>
          <w:rFonts w:cs="Times New Roman"/>
          <w:noProof/>
          <w:szCs w:val="24"/>
        </w:rPr>
        <w:tab/>
        <w:t xml:space="preserve">Hendriks, B. W. H., Engvik, A. K. &amp; Elvevold, S. 40Ar/39Ar record of late Pan-African exhumation of a granulite facies terrain, central Dronning Maud Land, East Antarctica. </w:t>
      </w:r>
      <w:r w:rsidRPr="00C33FAB">
        <w:rPr>
          <w:rFonts w:cs="Times New Roman"/>
          <w:i/>
          <w:iCs/>
          <w:noProof/>
          <w:szCs w:val="24"/>
        </w:rPr>
        <w:t>Mineral. Petrol.</w:t>
      </w:r>
      <w:r w:rsidRPr="00C33FAB">
        <w:rPr>
          <w:rFonts w:cs="Times New Roman"/>
          <w:noProof/>
          <w:szCs w:val="24"/>
        </w:rPr>
        <w:t xml:space="preserve"> </w:t>
      </w:r>
      <w:r w:rsidRPr="00C33FAB">
        <w:rPr>
          <w:rFonts w:cs="Times New Roman"/>
          <w:b/>
          <w:bCs/>
          <w:noProof/>
          <w:szCs w:val="24"/>
        </w:rPr>
        <w:t>107</w:t>
      </w:r>
      <w:r w:rsidRPr="00C33FAB">
        <w:rPr>
          <w:rFonts w:cs="Times New Roman"/>
          <w:noProof/>
          <w:szCs w:val="24"/>
        </w:rPr>
        <w:t>, 665–677 (2013).</w:t>
      </w:r>
    </w:p>
    <w:p w14:paraId="22C6F8CC"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12.</w:t>
      </w:r>
      <w:r w:rsidRPr="00C33FAB">
        <w:rPr>
          <w:rFonts w:cs="Times New Roman"/>
          <w:noProof/>
          <w:szCs w:val="24"/>
        </w:rPr>
        <w:tab/>
        <w:t xml:space="preserve">Jacobs, J. &amp; Lisker, F. Post Permian tectono-thermal evolution of western Dronning Maud Land, East Antarctica: an apatite fission-track approach. </w:t>
      </w:r>
      <w:r w:rsidRPr="00C33FAB">
        <w:rPr>
          <w:rFonts w:cs="Times New Roman"/>
          <w:i/>
          <w:iCs/>
          <w:noProof/>
          <w:szCs w:val="24"/>
        </w:rPr>
        <w:t>Antarct. Sci.</w:t>
      </w:r>
      <w:r w:rsidRPr="00C33FAB">
        <w:rPr>
          <w:rFonts w:cs="Times New Roman"/>
          <w:noProof/>
          <w:szCs w:val="24"/>
        </w:rPr>
        <w:t xml:space="preserve"> </w:t>
      </w:r>
      <w:r w:rsidRPr="00C33FAB">
        <w:rPr>
          <w:rFonts w:cs="Times New Roman"/>
          <w:b/>
          <w:bCs/>
          <w:noProof/>
          <w:szCs w:val="24"/>
        </w:rPr>
        <w:t>11</w:t>
      </w:r>
      <w:r w:rsidRPr="00C33FAB">
        <w:rPr>
          <w:rFonts w:cs="Times New Roman"/>
          <w:noProof/>
          <w:szCs w:val="24"/>
        </w:rPr>
        <w:t>, 451–460 (1999).</w:t>
      </w:r>
    </w:p>
    <w:p w14:paraId="46436A8C"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13.</w:t>
      </w:r>
      <w:r w:rsidRPr="00C33FAB">
        <w:rPr>
          <w:rFonts w:cs="Times New Roman"/>
          <w:noProof/>
          <w:szCs w:val="24"/>
        </w:rPr>
        <w:tab/>
        <w:t xml:space="preserve">Näslund, J. O. Landscape development in western and central Dronning Maud Land, East Antarctica. </w:t>
      </w:r>
      <w:r w:rsidRPr="00C33FAB">
        <w:rPr>
          <w:rFonts w:cs="Times New Roman"/>
          <w:i/>
          <w:iCs/>
          <w:noProof/>
          <w:szCs w:val="24"/>
        </w:rPr>
        <w:t>Antarct. Sci.</w:t>
      </w:r>
      <w:r w:rsidRPr="00C33FAB">
        <w:rPr>
          <w:rFonts w:cs="Times New Roman"/>
          <w:noProof/>
          <w:szCs w:val="24"/>
        </w:rPr>
        <w:t xml:space="preserve"> </w:t>
      </w:r>
      <w:r w:rsidRPr="00C33FAB">
        <w:rPr>
          <w:rFonts w:cs="Times New Roman"/>
          <w:b/>
          <w:bCs/>
          <w:noProof/>
          <w:szCs w:val="24"/>
        </w:rPr>
        <w:t>13</w:t>
      </w:r>
      <w:r w:rsidRPr="00C33FAB">
        <w:rPr>
          <w:rFonts w:cs="Times New Roman"/>
          <w:noProof/>
          <w:szCs w:val="24"/>
        </w:rPr>
        <w:t>, 302–311 (2001).</w:t>
      </w:r>
    </w:p>
    <w:p w14:paraId="235B5ECB"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14.</w:t>
      </w:r>
      <w:r w:rsidRPr="00C33FAB">
        <w:rPr>
          <w:rFonts w:cs="Times New Roman"/>
          <w:noProof/>
          <w:szCs w:val="24"/>
        </w:rPr>
        <w:tab/>
        <w:t xml:space="preserve">Plumstead, E. P. A new assemblage of plant fossils from Milorgfjella, Dronning Maud Land. </w:t>
      </w:r>
      <w:r w:rsidRPr="00C33FAB">
        <w:rPr>
          <w:rFonts w:cs="Times New Roman"/>
          <w:i/>
          <w:iCs/>
          <w:noProof/>
          <w:szCs w:val="24"/>
        </w:rPr>
        <w:t>Br. Antarct. Surv. Sci. Reports</w:t>
      </w:r>
      <w:r w:rsidRPr="00C33FAB">
        <w:rPr>
          <w:rFonts w:cs="Times New Roman"/>
          <w:noProof/>
          <w:szCs w:val="24"/>
        </w:rPr>
        <w:t xml:space="preserve"> </w:t>
      </w:r>
      <w:r w:rsidRPr="00C33FAB">
        <w:rPr>
          <w:rFonts w:cs="Times New Roman"/>
          <w:b/>
          <w:bCs/>
          <w:noProof/>
          <w:szCs w:val="24"/>
        </w:rPr>
        <w:t>83</w:t>
      </w:r>
      <w:r w:rsidRPr="00C33FAB">
        <w:rPr>
          <w:rFonts w:cs="Times New Roman"/>
          <w:noProof/>
          <w:szCs w:val="24"/>
        </w:rPr>
        <w:t>, 1–61 (1975).</w:t>
      </w:r>
    </w:p>
    <w:p w14:paraId="035054BC"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15.</w:t>
      </w:r>
      <w:r w:rsidRPr="00C33FAB">
        <w:rPr>
          <w:rFonts w:cs="Times New Roman"/>
          <w:noProof/>
          <w:szCs w:val="24"/>
        </w:rPr>
        <w:tab/>
        <w:t xml:space="preserve">Olaussen, S. Sedimentological research in northwestern part of Dronning Maud Land. </w:t>
      </w:r>
      <w:r w:rsidRPr="00C33FAB">
        <w:rPr>
          <w:rFonts w:cs="Times New Roman"/>
          <w:i/>
          <w:iCs/>
          <w:noProof/>
          <w:szCs w:val="24"/>
        </w:rPr>
        <w:t>Rep. Nor. Antarct. Reasearch Exped. 1984/85</w:t>
      </w:r>
      <w:r w:rsidRPr="00C33FAB">
        <w:rPr>
          <w:rFonts w:cs="Times New Roman"/>
          <w:noProof/>
          <w:szCs w:val="24"/>
        </w:rPr>
        <w:t xml:space="preserve"> </w:t>
      </w:r>
      <w:r w:rsidRPr="00C33FAB">
        <w:rPr>
          <w:rFonts w:cs="Times New Roman"/>
          <w:b/>
          <w:bCs/>
          <w:noProof/>
          <w:szCs w:val="24"/>
        </w:rPr>
        <w:t>22</w:t>
      </w:r>
      <w:r w:rsidRPr="00C33FAB">
        <w:rPr>
          <w:rFonts w:cs="Times New Roman"/>
          <w:noProof/>
          <w:szCs w:val="24"/>
        </w:rPr>
        <w:t>, 75–88 (1985).</w:t>
      </w:r>
    </w:p>
    <w:p w14:paraId="3BCF729C"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16.</w:t>
      </w:r>
      <w:r w:rsidRPr="00C33FAB">
        <w:rPr>
          <w:rFonts w:cs="Times New Roman"/>
          <w:noProof/>
          <w:szCs w:val="24"/>
        </w:rPr>
        <w:tab/>
        <w:t xml:space="preserve">Lindstrom, S. Early Permian palynostratigraphy of the northern Heimefrontfjella mountain-range, Dronning Maud Land, Antarctica. </w:t>
      </w:r>
      <w:r w:rsidRPr="00C33FAB">
        <w:rPr>
          <w:rFonts w:cs="Times New Roman"/>
          <w:i/>
          <w:iCs/>
          <w:noProof/>
          <w:szCs w:val="24"/>
        </w:rPr>
        <w:t>Rev. Palaeobot. Palynol.</w:t>
      </w:r>
      <w:r w:rsidRPr="00C33FAB">
        <w:rPr>
          <w:rFonts w:cs="Times New Roman"/>
          <w:noProof/>
          <w:szCs w:val="24"/>
        </w:rPr>
        <w:t xml:space="preserve"> </w:t>
      </w:r>
      <w:r w:rsidRPr="00C33FAB">
        <w:rPr>
          <w:rFonts w:cs="Times New Roman"/>
          <w:b/>
          <w:bCs/>
          <w:noProof/>
          <w:szCs w:val="24"/>
        </w:rPr>
        <w:t>89</w:t>
      </w:r>
      <w:r w:rsidRPr="00C33FAB">
        <w:rPr>
          <w:rFonts w:cs="Times New Roman"/>
          <w:noProof/>
          <w:szCs w:val="24"/>
        </w:rPr>
        <w:t>, 359–415 (1995).</w:t>
      </w:r>
    </w:p>
    <w:p w14:paraId="206C9B00"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17.</w:t>
      </w:r>
      <w:r w:rsidRPr="00C33FAB">
        <w:rPr>
          <w:rFonts w:cs="Times New Roman"/>
          <w:noProof/>
          <w:szCs w:val="24"/>
        </w:rPr>
        <w:tab/>
        <w:t xml:space="preserve">Bauer, W. Permian Sedimentary Cover , Heimefrontfjella , Western Dronning Maud Land (East Antarctica). </w:t>
      </w:r>
      <w:r w:rsidRPr="00C33FAB">
        <w:rPr>
          <w:rFonts w:cs="Times New Roman"/>
          <w:i/>
          <w:iCs/>
          <w:noProof/>
          <w:szCs w:val="24"/>
        </w:rPr>
        <w:t>Polarforschung</w:t>
      </w:r>
      <w:r w:rsidRPr="00C33FAB">
        <w:rPr>
          <w:rFonts w:cs="Times New Roman"/>
          <w:noProof/>
          <w:szCs w:val="24"/>
        </w:rPr>
        <w:t xml:space="preserve"> </w:t>
      </w:r>
      <w:r w:rsidRPr="00C33FAB">
        <w:rPr>
          <w:rFonts w:cs="Times New Roman"/>
          <w:b/>
          <w:bCs/>
          <w:noProof/>
          <w:szCs w:val="24"/>
        </w:rPr>
        <w:t>79</w:t>
      </w:r>
      <w:r w:rsidRPr="00C33FAB">
        <w:rPr>
          <w:rFonts w:cs="Times New Roman"/>
          <w:noProof/>
          <w:szCs w:val="24"/>
        </w:rPr>
        <w:t>, 39–42 (2009).</w:t>
      </w:r>
    </w:p>
    <w:p w14:paraId="01830EB1"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18.</w:t>
      </w:r>
      <w:r w:rsidRPr="00C33FAB">
        <w:rPr>
          <w:rFonts w:cs="Times New Roman"/>
          <w:noProof/>
          <w:szCs w:val="24"/>
        </w:rPr>
        <w:tab/>
        <w:t xml:space="preserve">Isbell, J. L. The Kukri Erosion Surface; a reassessment of its relationship to rocks of the Beacon Supergroup in the central Transantarctic Mountains, Antarctica. </w:t>
      </w:r>
      <w:r w:rsidRPr="00C33FAB">
        <w:rPr>
          <w:rFonts w:cs="Times New Roman"/>
          <w:i/>
          <w:iCs/>
          <w:noProof/>
          <w:szCs w:val="24"/>
        </w:rPr>
        <w:t>Antarct. Sci.</w:t>
      </w:r>
      <w:r w:rsidRPr="00C33FAB">
        <w:rPr>
          <w:rFonts w:cs="Times New Roman"/>
          <w:noProof/>
          <w:szCs w:val="24"/>
        </w:rPr>
        <w:t xml:space="preserve"> </w:t>
      </w:r>
      <w:r w:rsidRPr="00C33FAB">
        <w:rPr>
          <w:rFonts w:cs="Times New Roman"/>
          <w:b/>
          <w:bCs/>
          <w:noProof/>
          <w:szCs w:val="24"/>
        </w:rPr>
        <w:t>11</w:t>
      </w:r>
      <w:r w:rsidRPr="00C33FAB">
        <w:rPr>
          <w:rFonts w:cs="Times New Roman"/>
          <w:noProof/>
          <w:szCs w:val="24"/>
        </w:rPr>
        <w:t>, 228–238 (1999).</w:t>
      </w:r>
    </w:p>
    <w:p w14:paraId="1BD75EEA"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19.</w:t>
      </w:r>
      <w:r w:rsidRPr="00C33FAB">
        <w:rPr>
          <w:rFonts w:cs="Times New Roman"/>
          <w:noProof/>
          <w:szCs w:val="24"/>
        </w:rPr>
        <w:tab/>
        <w:t>Johnson, M. R. Stratigraphy and sedimentology of the Cape and Karoo sequences in the eastern Capr province. (1976).</w:t>
      </w:r>
    </w:p>
    <w:p w14:paraId="3060FCD8"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lastRenderedPageBreak/>
        <w:t>20.</w:t>
      </w:r>
      <w:r w:rsidRPr="00C33FAB">
        <w:rPr>
          <w:rFonts w:cs="Times New Roman"/>
          <w:noProof/>
          <w:szCs w:val="24"/>
        </w:rPr>
        <w:tab/>
        <w:t xml:space="preserve">Wilson, K. M., Pollard, D., Hay, W. W., Thompson, S. L. &amp; Wold, C. N. General circulation model simulations of Triassic climates: preliminary results. in </w:t>
      </w:r>
      <w:r w:rsidRPr="00C33FAB">
        <w:rPr>
          <w:rFonts w:cs="Times New Roman"/>
          <w:i/>
          <w:iCs/>
          <w:noProof/>
          <w:szCs w:val="24"/>
        </w:rPr>
        <w:t>Pangea: Paleoclimate, tectonics, and sedimentation during accretion, zenith, and breakup of a supercontinent</w:t>
      </w:r>
      <w:r w:rsidRPr="00C33FAB">
        <w:rPr>
          <w:rFonts w:cs="Times New Roman"/>
          <w:noProof/>
          <w:szCs w:val="24"/>
        </w:rPr>
        <w:t xml:space="preserve"> (ed. Klein, G. O.) (Geological Society of America, 1994). doi:https://doi.org/10.1130/SPE288</w:t>
      </w:r>
    </w:p>
    <w:p w14:paraId="13D0B48A"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21.</w:t>
      </w:r>
      <w:r w:rsidRPr="00C33FAB">
        <w:rPr>
          <w:rFonts w:cs="Times New Roman"/>
          <w:noProof/>
          <w:szCs w:val="24"/>
        </w:rPr>
        <w:tab/>
        <w:t xml:space="preserve">Juckes, L. M. The geology of north-eastern Heimefrontfjella, Dronning Maud Land. </w:t>
      </w:r>
      <w:r w:rsidRPr="00C33FAB">
        <w:rPr>
          <w:rFonts w:cs="Times New Roman"/>
          <w:i/>
          <w:iCs/>
          <w:noProof/>
          <w:szCs w:val="24"/>
        </w:rPr>
        <w:t>Br. Antarct. Surv. Sci. Reports</w:t>
      </w:r>
      <w:r w:rsidRPr="00C33FAB">
        <w:rPr>
          <w:rFonts w:cs="Times New Roman"/>
          <w:noProof/>
          <w:szCs w:val="24"/>
        </w:rPr>
        <w:t xml:space="preserve"> </w:t>
      </w:r>
      <w:r w:rsidRPr="00C33FAB">
        <w:rPr>
          <w:rFonts w:cs="Times New Roman"/>
          <w:b/>
          <w:bCs/>
          <w:noProof/>
          <w:szCs w:val="24"/>
        </w:rPr>
        <w:t>65</w:t>
      </w:r>
      <w:r w:rsidRPr="00C33FAB">
        <w:rPr>
          <w:rFonts w:cs="Times New Roman"/>
          <w:noProof/>
          <w:szCs w:val="24"/>
        </w:rPr>
        <w:t>, 1–66 (1972).</w:t>
      </w:r>
    </w:p>
    <w:p w14:paraId="48AAC798"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22.</w:t>
      </w:r>
      <w:r w:rsidRPr="00C33FAB">
        <w:rPr>
          <w:rFonts w:cs="Times New Roman"/>
          <w:noProof/>
          <w:szCs w:val="24"/>
        </w:rPr>
        <w:tab/>
        <w:t xml:space="preserve">Luttinen, A. V. &amp; Furnes, H. Flood basalts of Vestfjella: Jurassic magmatism across an Archaean-Proterozoic lithospheric boundary in Dronning Maud Land, Antarctica. </w:t>
      </w:r>
      <w:r w:rsidRPr="00C33FAB">
        <w:rPr>
          <w:rFonts w:cs="Times New Roman"/>
          <w:i/>
          <w:iCs/>
          <w:noProof/>
          <w:szCs w:val="24"/>
        </w:rPr>
        <w:t>J. Petrol.</w:t>
      </w:r>
      <w:r w:rsidRPr="00C33FAB">
        <w:rPr>
          <w:rFonts w:cs="Times New Roman"/>
          <w:noProof/>
          <w:szCs w:val="24"/>
        </w:rPr>
        <w:t xml:space="preserve"> </w:t>
      </w:r>
      <w:r w:rsidRPr="00C33FAB">
        <w:rPr>
          <w:rFonts w:cs="Times New Roman"/>
          <w:b/>
          <w:bCs/>
          <w:noProof/>
          <w:szCs w:val="24"/>
        </w:rPr>
        <w:t>41</w:t>
      </w:r>
      <w:r w:rsidRPr="00C33FAB">
        <w:rPr>
          <w:rFonts w:cs="Times New Roman"/>
          <w:noProof/>
          <w:szCs w:val="24"/>
        </w:rPr>
        <w:t>, 1271–1305 (2000).</w:t>
      </w:r>
    </w:p>
    <w:p w14:paraId="5AB7EFEA"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23.</w:t>
      </w:r>
      <w:r w:rsidRPr="00C33FAB">
        <w:rPr>
          <w:rFonts w:cs="Times New Roman"/>
          <w:noProof/>
          <w:szCs w:val="24"/>
        </w:rPr>
        <w:tab/>
        <w:t xml:space="preserve">Luttinen, A. V. </w:t>
      </w:r>
      <w:r w:rsidRPr="00C33FAB">
        <w:rPr>
          <w:rFonts w:cs="Times New Roman"/>
          <w:i/>
          <w:iCs/>
          <w:noProof/>
          <w:szCs w:val="24"/>
        </w:rPr>
        <w:t>et al.</w:t>
      </w:r>
      <w:r w:rsidRPr="00C33FAB">
        <w:rPr>
          <w:rFonts w:cs="Times New Roman"/>
          <w:noProof/>
          <w:szCs w:val="24"/>
        </w:rPr>
        <w:t xml:space="preserve"> Depleted mantle-sourced CFB magmatism in the Jurassic Africa-Antarctica rift: Petrology and </w:t>
      </w:r>
      <w:r w:rsidRPr="00C33FAB">
        <w:rPr>
          <w:rFonts w:cs="Times New Roman"/>
          <w:noProof/>
          <w:szCs w:val="24"/>
          <w:vertAlign w:val="superscript"/>
        </w:rPr>
        <w:t>40</w:t>
      </w:r>
      <w:r w:rsidRPr="00C33FAB">
        <w:rPr>
          <w:rFonts w:cs="Times New Roman"/>
          <w:noProof/>
          <w:szCs w:val="24"/>
        </w:rPr>
        <w:t>Ar/</w:t>
      </w:r>
      <w:r w:rsidRPr="00C33FAB">
        <w:rPr>
          <w:rFonts w:cs="Times New Roman"/>
          <w:noProof/>
          <w:szCs w:val="24"/>
          <w:vertAlign w:val="superscript"/>
        </w:rPr>
        <w:t>39</w:t>
      </w:r>
      <w:r w:rsidRPr="00C33FAB">
        <w:rPr>
          <w:rFonts w:cs="Times New Roman"/>
          <w:noProof/>
          <w:szCs w:val="24"/>
        </w:rPr>
        <w:t xml:space="preserve">Ar and U/Pb chronology of the Vestfjella dyke swarm, Dronning Maud Land, Antarctica. </w:t>
      </w:r>
      <w:r w:rsidRPr="00C33FAB">
        <w:rPr>
          <w:rFonts w:cs="Times New Roman"/>
          <w:i/>
          <w:iCs/>
          <w:noProof/>
          <w:szCs w:val="24"/>
        </w:rPr>
        <w:t>J. Petrol.</w:t>
      </w:r>
      <w:r w:rsidRPr="00C33FAB">
        <w:rPr>
          <w:rFonts w:cs="Times New Roman"/>
          <w:noProof/>
          <w:szCs w:val="24"/>
        </w:rPr>
        <w:t xml:space="preserve"> </w:t>
      </w:r>
      <w:r w:rsidRPr="00C33FAB">
        <w:rPr>
          <w:rFonts w:cs="Times New Roman"/>
          <w:b/>
          <w:bCs/>
          <w:noProof/>
          <w:szCs w:val="24"/>
        </w:rPr>
        <w:t>56</w:t>
      </w:r>
      <w:r w:rsidRPr="00C33FAB">
        <w:rPr>
          <w:rFonts w:cs="Times New Roman"/>
          <w:noProof/>
          <w:szCs w:val="24"/>
        </w:rPr>
        <w:t>, 919–952 (2015).</w:t>
      </w:r>
    </w:p>
    <w:p w14:paraId="5D7BD67F"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24.</w:t>
      </w:r>
      <w:r w:rsidRPr="00C33FAB">
        <w:rPr>
          <w:rFonts w:cs="Times New Roman"/>
          <w:noProof/>
          <w:szCs w:val="24"/>
        </w:rPr>
        <w:tab/>
        <w:t xml:space="preserve">Cleverly, R. W. &amp; Bristow, J. W. Revised volcanic stratigraphy of the Lebombo Monocline. </w:t>
      </w:r>
      <w:r w:rsidRPr="00C33FAB">
        <w:rPr>
          <w:rFonts w:cs="Times New Roman"/>
          <w:i/>
          <w:iCs/>
          <w:noProof/>
          <w:szCs w:val="24"/>
        </w:rPr>
        <w:t>Trans.geol.Soc.S.Afr.</w:t>
      </w:r>
      <w:r w:rsidRPr="00C33FAB">
        <w:rPr>
          <w:rFonts w:cs="Times New Roman"/>
          <w:noProof/>
          <w:szCs w:val="24"/>
        </w:rPr>
        <w:t xml:space="preserve"> </w:t>
      </w:r>
      <w:r w:rsidRPr="00C33FAB">
        <w:rPr>
          <w:rFonts w:cs="Times New Roman"/>
          <w:b/>
          <w:bCs/>
          <w:noProof/>
          <w:szCs w:val="24"/>
        </w:rPr>
        <w:t>82</w:t>
      </w:r>
      <w:r w:rsidRPr="00C33FAB">
        <w:rPr>
          <w:rFonts w:cs="Times New Roman"/>
          <w:noProof/>
          <w:szCs w:val="24"/>
        </w:rPr>
        <w:t>, 227–230 (1979).</w:t>
      </w:r>
    </w:p>
    <w:p w14:paraId="72E0B4F4"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25.</w:t>
      </w:r>
      <w:r w:rsidRPr="00C33FAB">
        <w:rPr>
          <w:rFonts w:cs="Times New Roman"/>
          <w:noProof/>
          <w:szCs w:val="24"/>
        </w:rPr>
        <w:tab/>
        <w:t xml:space="preserve">Farley, K. A. Helium diffusion from apatite: General behavior as illustrated by Durango fluorapatite. </w:t>
      </w:r>
      <w:r w:rsidRPr="00C33FAB">
        <w:rPr>
          <w:rFonts w:cs="Times New Roman"/>
          <w:i/>
          <w:iCs/>
          <w:noProof/>
          <w:szCs w:val="24"/>
        </w:rPr>
        <w:t>J. Geophys. Res. Solid Earth</w:t>
      </w:r>
      <w:r w:rsidRPr="00C33FAB">
        <w:rPr>
          <w:rFonts w:cs="Times New Roman"/>
          <w:noProof/>
          <w:szCs w:val="24"/>
        </w:rPr>
        <w:t xml:space="preserve"> </w:t>
      </w:r>
      <w:r w:rsidRPr="00C33FAB">
        <w:rPr>
          <w:rFonts w:cs="Times New Roman"/>
          <w:b/>
          <w:bCs/>
          <w:noProof/>
          <w:szCs w:val="24"/>
        </w:rPr>
        <w:t>105</w:t>
      </w:r>
      <w:r w:rsidRPr="00C33FAB">
        <w:rPr>
          <w:rFonts w:cs="Times New Roman"/>
          <w:noProof/>
          <w:szCs w:val="24"/>
        </w:rPr>
        <w:t>, 2903–2914 (2000).</w:t>
      </w:r>
    </w:p>
    <w:p w14:paraId="318AE748"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26.</w:t>
      </w:r>
      <w:r w:rsidRPr="00C33FAB">
        <w:rPr>
          <w:rFonts w:cs="Times New Roman"/>
          <w:noProof/>
          <w:szCs w:val="24"/>
        </w:rPr>
        <w:tab/>
        <w:t xml:space="preserve">Shuster, D. L., Flowers, R. M. &amp; Farley, K. A. The influence of natural radiation damage on helium diffusion kinetics in apatite. </w:t>
      </w:r>
      <w:r w:rsidRPr="00C33FAB">
        <w:rPr>
          <w:rFonts w:cs="Times New Roman"/>
          <w:i/>
          <w:iCs/>
          <w:noProof/>
          <w:szCs w:val="24"/>
        </w:rPr>
        <w:t>Earth Planet. Sci. Lett.</w:t>
      </w:r>
      <w:r w:rsidRPr="00C33FAB">
        <w:rPr>
          <w:rFonts w:cs="Times New Roman"/>
          <w:noProof/>
          <w:szCs w:val="24"/>
        </w:rPr>
        <w:t xml:space="preserve"> </w:t>
      </w:r>
      <w:r w:rsidRPr="00C33FAB">
        <w:rPr>
          <w:rFonts w:cs="Times New Roman"/>
          <w:b/>
          <w:bCs/>
          <w:noProof/>
          <w:szCs w:val="24"/>
        </w:rPr>
        <w:t>249</w:t>
      </w:r>
      <w:r w:rsidRPr="00C33FAB">
        <w:rPr>
          <w:rFonts w:cs="Times New Roman"/>
          <w:noProof/>
          <w:szCs w:val="24"/>
        </w:rPr>
        <w:t>, 148–161 (2006).</w:t>
      </w:r>
    </w:p>
    <w:p w14:paraId="38D78BB3"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27.</w:t>
      </w:r>
      <w:r w:rsidRPr="00C33FAB">
        <w:rPr>
          <w:rFonts w:cs="Times New Roman"/>
          <w:noProof/>
          <w:szCs w:val="24"/>
        </w:rPr>
        <w:tab/>
        <w:t xml:space="preserve">Flowers, R. M., Ketcham, R. A., Shuster, D. L. &amp; Farley, K. A. Apatite (U-Th)/He thermochronometry using a radiation damage accumulation and annealing model. </w:t>
      </w:r>
      <w:r w:rsidRPr="00C33FAB">
        <w:rPr>
          <w:rFonts w:cs="Times New Roman"/>
          <w:i/>
          <w:iCs/>
          <w:noProof/>
          <w:szCs w:val="24"/>
        </w:rPr>
        <w:t>Geochim. Cosmochim. Acta</w:t>
      </w:r>
      <w:r w:rsidRPr="00C33FAB">
        <w:rPr>
          <w:rFonts w:cs="Times New Roman"/>
          <w:noProof/>
          <w:szCs w:val="24"/>
        </w:rPr>
        <w:t xml:space="preserve"> </w:t>
      </w:r>
      <w:r w:rsidRPr="00C33FAB">
        <w:rPr>
          <w:rFonts w:cs="Times New Roman"/>
          <w:b/>
          <w:bCs/>
          <w:noProof/>
          <w:szCs w:val="24"/>
        </w:rPr>
        <w:t>73</w:t>
      </w:r>
      <w:r w:rsidRPr="00C33FAB">
        <w:rPr>
          <w:rFonts w:cs="Times New Roman"/>
          <w:noProof/>
          <w:szCs w:val="24"/>
        </w:rPr>
        <w:t>, 2347–2365 (2009).</w:t>
      </w:r>
    </w:p>
    <w:p w14:paraId="40172400"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28.</w:t>
      </w:r>
      <w:r w:rsidRPr="00C33FAB">
        <w:rPr>
          <w:rFonts w:cs="Times New Roman"/>
          <w:noProof/>
          <w:szCs w:val="24"/>
        </w:rPr>
        <w:tab/>
        <w:t xml:space="preserve">Negi, J. G., Agrawal, P. K., Pandey, O. P. &amp; Singh, A. P. A possible K-T boundary bolide impact site offshore near Bombay and triggering of rapid Deccan volcanism. </w:t>
      </w:r>
      <w:r w:rsidRPr="00C33FAB">
        <w:rPr>
          <w:rFonts w:cs="Times New Roman"/>
          <w:i/>
          <w:iCs/>
          <w:noProof/>
          <w:szCs w:val="24"/>
        </w:rPr>
        <w:t>Phys. Earth Planet. Inter.</w:t>
      </w:r>
      <w:r w:rsidRPr="00C33FAB">
        <w:rPr>
          <w:rFonts w:cs="Times New Roman"/>
          <w:noProof/>
          <w:szCs w:val="24"/>
        </w:rPr>
        <w:t xml:space="preserve"> </w:t>
      </w:r>
      <w:r w:rsidRPr="00C33FAB">
        <w:rPr>
          <w:rFonts w:cs="Times New Roman"/>
          <w:b/>
          <w:bCs/>
          <w:noProof/>
          <w:szCs w:val="24"/>
        </w:rPr>
        <w:t>76</w:t>
      </w:r>
      <w:r w:rsidRPr="00C33FAB">
        <w:rPr>
          <w:rFonts w:cs="Times New Roman"/>
          <w:noProof/>
          <w:szCs w:val="24"/>
        </w:rPr>
        <w:t>, 189–197 (1993).</w:t>
      </w:r>
    </w:p>
    <w:p w14:paraId="52CCE2E6"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lastRenderedPageBreak/>
        <w:t>29.</w:t>
      </w:r>
      <w:r w:rsidRPr="00C33FAB">
        <w:rPr>
          <w:rFonts w:cs="Times New Roman"/>
          <w:noProof/>
          <w:szCs w:val="24"/>
        </w:rPr>
        <w:tab/>
        <w:t xml:space="preserve">Nicoli, G., Moyen, J. F. &amp; Stevens, G. Diversity of burial rates in convergent settings decreased as Earth aged. </w:t>
      </w:r>
      <w:r w:rsidRPr="00C33FAB">
        <w:rPr>
          <w:rFonts w:cs="Times New Roman"/>
          <w:i/>
          <w:iCs/>
          <w:noProof/>
          <w:szCs w:val="24"/>
        </w:rPr>
        <w:t>Sci. Rep.</w:t>
      </w:r>
      <w:r w:rsidRPr="00C33FAB">
        <w:rPr>
          <w:rFonts w:cs="Times New Roman"/>
          <w:noProof/>
          <w:szCs w:val="24"/>
        </w:rPr>
        <w:t xml:space="preserve"> </w:t>
      </w:r>
      <w:r w:rsidRPr="00C33FAB">
        <w:rPr>
          <w:rFonts w:cs="Times New Roman"/>
          <w:b/>
          <w:bCs/>
          <w:noProof/>
          <w:szCs w:val="24"/>
        </w:rPr>
        <w:t>6</w:t>
      </w:r>
      <w:r w:rsidRPr="00C33FAB">
        <w:rPr>
          <w:rFonts w:cs="Times New Roman"/>
          <w:noProof/>
          <w:szCs w:val="24"/>
        </w:rPr>
        <w:t>, 1–10 (2016).</w:t>
      </w:r>
    </w:p>
    <w:p w14:paraId="192975A9"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30.</w:t>
      </w:r>
      <w:r w:rsidRPr="00C33FAB">
        <w:rPr>
          <w:rFonts w:cs="Times New Roman"/>
          <w:noProof/>
          <w:szCs w:val="24"/>
        </w:rPr>
        <w:tab/>
        <w:t xml:space="preserve">Lisker, F. &amp; Läufer, A. L. The Mesozoic Victoria Basin: Vanished link between Antarctica and Australia. </w:t>
      </w:r>
      <w:r w:rsidRPr="00C33FAB">
        <w:rPr>
          <w:rFonts w:cs="Times New Roman"/>
          <w:i/>
          <w:iCs/>
          <w:noProof/>
          <w:szCs w:val="24"/>
        </w:rPr>
        <w:t>Geology</w:t>
      </w:r>
      <w:r w:rsidRPr="00C33FAB">
        <w:rPr>
          <w:rFonts w:cs="Times New Roman"/>
          <w:noProof/>
          <w:szCs w:val="24"/>
        </w:rPr>
        <w:t xml:space="preserve"> </w:t>
      </w:r>
      <w:r w:rsidRPr="00C33FAB">
        <w:rPr>
          <w:rFonts w:cs="Times New Roman"/>
          <w:b/>
          <w:bCs/>
          <w:noProof/>
          <w:szCs w:val="24"/>
        </w:rPr>
        <w:t>41</w:t>
      </w:r>
      <w:r w:rsidRPr="00C33FAB">
        <w:rPr>
          <w:rFonts w:cs="Times New Roman"/>
          <w:noProof/>
          <w:szCs w:val="24"/>
        </w:rPr>
        <w:t>, 1043–1046 (2013).</w:t>
      </w:r>
    </w:p>
    <w:p w14:paraId="6693A1A5" w14:textId="77777777" w:rsidR="00C33FAB" w:rsidRPr="00C33FAB" w:rsidRDefault="00C33FAB" w:rsidP="00C33FAB">
      <w:pPr>
        <w:widowControl w:val="0"/>
        <w:autoSpaceDE w:val="0"/>
        <w:autoSpaceDN w:val="0"/>
        <w:adjustRightInd w:val="0"/>
        <w:spacing w:after="0"/>
        <w:ind w:left="640" w:hanging="640"/>
        <w:rPr>
          <w:rFonts w:cs="Times New Roman"/>
          <w:noProof/>
          <w:szCs w:val="24"/>
        </w:rPr>
      </w:pPr>
      <w:r w:rsidRPr="00C33FAB">
        <w:rPr>
          <w:rFonts w:cs="Times New Roman"/>
          <w:noProof/>
          <w:szCs w:val="24"/>
        </w:rPr>
        <w:t>31.</w:t>
      </w:r>
      <w:r w:rsidRPr="00C33FAB">
        <w:rPr>
          <w:rFonts w:cs="Times New Roman"/>
          <w:noProof/>
          <w:szCs w:val="24"/>
        </w:rPr>
        <w:tab/>
        <w:t xml:space="preserve">Green, P. F. On the thermo-tectonic evolution of Northern England: Evidence from fission track analysis. </w:t>
      </w:r>
      <w:r w:rsidRPr="00C33FAB">
        <w:rPr>
          <w:rFonts w:cs="Times New Roman"/>
          <w:i/>
          <w:iCs/>
          <w:noProof/>
          <w:szCs w:val="24"/>
        </w:rPr>
        <w:t>Geol. Mag.</w:t>
      </w:r>
      <w:r w:rsidRPr="00C33FAB">
        <w:rPr>
          <w:rFonts w:cs="Times New Roman"/>
          <w:noProof/>
          <w:szCs w:val="24"/>
        </w:rPr>
        <w:t xml:space="preserve"> </w:t>
      </w:r>
      <w:r w:rsidRPr="00C33FAB">
        <w:rPr>
          <w:rFonts w:cs="Times New Roman"/>
          <w:b/>
          <w:bCs/>
          <w:noProof/>
          <w:szCs w:val="24"/>
        </w:rPr>
        <w:t>123</w:t>
      </w:r>
      <w:r w:rsidRPr="00C33FAB">
        <w:rPr>
          <w:rFonts w:cs="Times New Roman"/>
          <w:noProof/>
          <w:szCs w:val="24"/>
        </w:rPr>
        <w:t>, 493–506 (1986).</w:t>
      </w:r>
    </w:p>
    <w:p w14:paraId="48AD1B32" w14:textId="77777777" w:rsidR="00C33FAB" w:rsidRPr="00C33FAB" w:rsidRDefault="00C33FAB" w:rsidP="00C33FAB">
      <w:pPr>
        <w:widowControl w:val="0"/>
        <w:autoSpaceDE w:val="0"/>
        <w:autoSpaceDN w:val="0"/>
        <w:adjustRightInd w:val="0"/>
        <w:spacing w:after="0"/>
        <w:ind w:left="640" w:hanging="640"/>
        <w:rPr>
          <w:rFonts w:cs="Times New Roman"/>
          <w:noProof/>
        </w:rPr>
      </w:pPr>
      <w:r w:rsidRPr="00C33FAB">
        <w:rPr>
          <w:rFonts w:cs="Times New Roman"/>
          <w:noProof/>
          <w:szCs w:val="24"/>
        </w:rPr>
        <w:t>32.</w:t>
      </w:r>
      <w:r w:rsidRPr="00C33FAB">
        <w:rPr>
          <w:rFonts w:cs="Times New Roman"/>
          <w:noProof/>
          <w:szCs w:val="24"/>
        </w:rPr>
        <w:tab/>
        <w:t xml:space="preserve">Gallagher, K. &amp; Brown, R. Denudation and uplift at passive margins: The record on the Atlantic Margin of southern Africa. </w:t>
      </w:r>
      <w:r w:rsidRPr="00C33FAB">
        <w:rPr>
          <w:rFonts w:cs="Times New Roman"/>
          <w:i/>
          <w:iCs/>
          <w:noProof/>
          <w:szCs w:val="24"/>
        </w:rPr>
        <w:t>Philos. Trans. R. Soc. A Math. Phys. Eng. Sci.</w:t>
      </w:r>
      <w:r w:rsidRPr="00C33FAB">
        <w:rPr>
          <w:rFonts w:cs="Times New Roman"/>
          <w:noProof/>
          <w:szCs w:val="24"/>
        </w:rPr>
        <w:t xml:space="preserve"> </w:t>
      </w:r>
      <w:r w:rsidRPr="00C33FAB">
        <w:rPr>
          <w:rFonts w:cs="Times New Roman"/>
          <w:b/>
          <w:bCs/>
          <w:noProof/>
          <w:szCs w:val="24"/>
        </w:rPr>
        <w:t>357</w:t>
      </w:r>
      <w:r w:rsidRPr="00C33FAB">
        <w:rPr>
          <w:rFonts w:cs="Times New Roman"/>
          <w:noProof/>
          <w:szCs w:val="24"/>
        </w:rPr>
        <w:t>, 835–859 (1999).</w:t>
      </w:r>
    </w:p>
    <w:p w14:paraId="7C483D00" w14:textId="3AA16610" w:rsidR="00BE7F91" w:rsidRDefault="001655C4" w:rsidP="00C87C01">
      <w:pPr>
        <w:widowControl w:val="0"/>
        <w:autoSpaceDE w:val="0"/>
        <w:autoSpaceDN w:val="0"/>
        <w:adjustRightInd w:val="0"/>
        <w:spacing w:after="0"/>
        <w:ind w:left="640" w:hanging="640"/>
      </w:pPr>
      <w:r>
        <w:fldChar w:fldCharType="end"/>
      </w:r>
    </w:p>
    <w:sectPr w:rsidR="00BE7F91" w:rsidSect="0051054C">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14C8" w14:textId="77777777" w:rsidR="006972AE" w:rsidRDefault="006972AE" w:rsidP="00FE26BF">
      <w:pPr>
        <w:spacing w:after="0" w:line="240" w:lineRule="auto"/>
      </w:pPr>
      <w:r>
        <w:separator/>
      </w:r>
    </w:p>
  </w:endnote>
  <w:endnote w:type="continuationSeparator" w:id="0">
    <w:p w14:paraId="4FB55B6E" w14:textId="77777777" w:rsidR="006972AE" w:rsidRDefault="006972AE" w:rsidP="00FE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295496"/>
      <w:docPartObj>
        <w:docPartGallery w:val="Page Numbers (Bottom of Page)"/>
        <w:docPartUnique/>
      </w:docPartObj>
    </w:sdtPr>
    <w:sdtContent>
      <w:p w14:paraId="53E0D38C" w14:textId="3EB52507" w:rsidR="00FE26BF" w:rsidRDefault="00FE26BF">
        <w:pPr>
          <w:pStyle w:val="Footer"/>
          <w:jc w:val="center"/>
        </w:pPr>
        <w:r>
          <w:fldChar w:fldCharType="begin"/>
        </w:r>
        <w:r>
          <w:instrText>PAGE   \* MERGEFORMAT</w:instrText>
        </w:r>
        <w:r>
          <w:fldChar w:fldCharType="separate"/>
        </w:r>
        <w:r>
          <w:rPr>
            <w:lang w:val="nb-NO"/>
          </w:rPr>
          <w:t>2</w:t>
        </w:r>
        <w:r>
          <w:fldChar w:fldCharType="end"/>
        </w:r>
      </w:p>
    </w:sdtContent>
  </w:sdt>
  <w:p w14:paraId="6E17F62B" w14:textId="77777777" w:rsidR="00FE26BF" w:rsidRDefault="00FE2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4136A" w14:textId="77777777" w:rsidR="006972AE" w:rsidRDefault="006972AE" w:rsidP="00FE26BF">
      <w:pPr>
        <w:spacing w:after="0" w:line="240" w:lineRule="auto"/>
      </w:pPr>
      <w:r>
        <w:separator/>
      </w:r>
    </w:p>
  </w:footnote>
  <w:footnote w:type="continuationSeparator" w:id="0">
    <w:p w14:paraId="37A84A50" w14:textId="77777777" w:rsidR="006972AE" w:rsidRDefault="006972AE" w:rsidP="00FE2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0B0B"/>
    <w:multiLevelType w:val="hybridMultilevel"/>
    <w:tmpl w:val="91D2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900E9"/>
    <w:multiLevelType w:val="hybridMultilevel"/>
    <w:tmpl w:val="1286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644F7"/>
    <w:multiLevelType w:val="hybridMultilevel"/>
    <w:tmpl w:val="A3E6363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A8E76AD"/>
    <w:multiLevelType w:val="hybridMultilevel"/>
    <w:tmpl w:val="248C74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D340A37"/>
    <w:multiLevelType w:val="hybridMultilevel"/>
    <w:tmpl w:val="12A0D87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8C64DF4"/>
    <w:multiLevelType w:val="hybridMultilevel"/>
    <w:tmpl w:val="80A22AF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vtvs59t95w5mea9phprrpwexf25vf5e0v9&quot;&gt;Antarctica&lt;record-ids&gt;&lt;item&gt;80&lt;/item&gt;&lt;item&gt;123&lt;/item&gt;&lt;item&gt;126&lt;/item&gt;&lt;item&gt;127&lt;/item&gt;&lt;item&gt;128&lt;/item&gt;&lt;item&gt;214&lt;/item&gt;&lt;item&gt;275&lt;/item&gt;&lt;item&gt;290&lt;/item&gt;&lt;item&gt;419&lt;/item&gt;&lt;item&gt;441&lt;/item&gt;&lt;/record-ids&gt;&lt;/item&gt;&lt;/Libraries&gt;"/>
  </w:docVars>
  <w:rsids>
    <w:rsidRoot w:val="0076362F"/>
    <w:rsid w:val="00010725"/>
    <w:rsid w:val="00015F2D"/>
    <w:rsid w:val="00025A79"/>
    <w:rsid w:val="00045812"/>
    <w:rsid w:val="0006477F"/>
    <w:rsid w:val="0008789E"/>
    <w:rsid w:val="00094F04"/>
    <w:rsid w:val="000A0F59"/>
    <w:rsid w:val="000B424A"/>
    <w:rsid w:val="000D72C8"/>
    <w:rsid w:val="000F6EA1"/>
    <w:rsid w:val="00120FCD"/>
    <w:rsid w:val="001234B3"/>
    <w:rsid w:val="001356D6"/>
    <w:rsid w:val="001655C4"/>
    <w:rsid w:val="00173F9C"/>
    <w:rsid w:val="00183928"/>
    <w:rsid w:val="001864C0"/>
    <w:rsid w:val="001B3109"/>
    <w:rsid w:val="001C541E"/>
    <w:rsid w:val="001D268E"/>
    <w:rsid w:val="001E719E"/>
    <w:rsid w:val="00204486"/>
    <w:rsid w:val="00230095"/>
    <w:rsid w:val="00232DC7"/>
    <w:rsid w:val="002520B5"/>
    <w:rsid w:val="0028213A"/>
    <w:rsid w:val="002A69A2"/>
    <w:rsid w:val="002B6BAD"/>
    <w:rsid w:val="002E065C"/>
    <w:rsid w:val="002F0D50"/>
    <w:rsid w:val="002F15EC"/>
    <w:rsid w:val="00311385"/>
    <w:rsid w:val="00315C07"/>
    <w:rsid w:val="00343235"/>
    <w:rsid w:val="0037406C"/>
    <w:rsid w:val="00394179"/>
    <w:rsid w:val="003A3F6C"/>
    <w:rsid w:val="003A5C37"/>
    <w:rsid w:val="003D1E16"/>
    <w:rsid w:val="003D271D"/>
    <w:rsid w:val="003D58EB"/>
    <w:rsid w:val="00426E3E"/>
    <w:rsid w:val="00432EC3"/>
    <w:rsid w:val="0043745C"/>
    <w:rsid w:val="00464928"/>
    <w:rsid w:val="00477BBF"/>
    <w:rsid w:val="00493929"/>
    <w:rsid w:val="004A4E45"/>
    <w:rsid w:val="004B67C7"/>
    <w:rsid w:val="004F0C7B"/>
    <w:rsid w:val="004F2E39"/>
    <w:rsid w:val="004F64F4"/>
    <w:rsid w:val="0051054C"/>
    <w:rsid w:val="00517E28"/>
    <w:rsid w:val="0054713B"/>
    <w:rsid w:val="00547983"/>
    <w:rsid w:val="005565C6"/>
    <w:rsid w:val="00557777"/>
    <w:rsid w:val="0057646E"/>
    <w:rsid w:val="005830C6"/>
    <w:rsid w:val="00584BC7"/>
    <w:rsid w:val="005C1888"/>
    <w:rsid w:val="005C2D91"/>
    <w:rsid w:val="005E05E0"/>
    <w:rsid w:val="005E4586"/>
    <w:rsid w:val="005F7988"/>
    <w:rsid w:val="00632A10"/>
    <w:rsid w:val="00686777"/>
    <w:rsid w:val="006972AE"/>
    <w:rsid w:val="006C10B3"/>
    <w:rsid w:val="00700610"/>
    <w:rsid w:val="00703E8D"/>
    <w:rsid w:val="00703FE9"/>
    <w:rsid w:val="00711131"/>
    <w:rsid w:val="0071678B"/>
    <w:rsid w:val="00753F6F"/>
    <w:rsid w:val="00754A4F"/>
    <w:rsid w:val="0076362F"/>
    <w:rsid w:val="007717DD"/>
    <w:rsid w:val="0077215F"/>
    <w:rsid w:val="0077230E"/>
    <w:rsid w:val="0078774E"/>
    <w:rsid w:val="00796F4F"/>
    <w:rsid w:val="007C1209"/>
    <w:rsid w:val="007D5B4E"/>
    <w:rsid w:val="007E54A6"/>
    <w:rsid w:val="007F10CE"/>
    <w:rsid w:val="007F1A32"/>
    <w:rsid w:val="00805344"/>
    <w:rsid w:val="0081503D"/>
    <w:rsid w:val="00843F92"/>
    <w:rsid w:val="00853CFA"/>
    <w:rsid w:val="00874376"/>
    <w:rsid w:val="008C7966"/>
    <w:rsid w:val="008D2A1E"/>
    <w:rsid w:val="008D3C57"/>
    <w:rsid w:val="008E40B7"/>
    <w:rsid w:val="008F6D05"/>
    <w:rsid w:val="00901812"/>
    <w:rsid w:val="00907460"/>
    <w:rsid w:val="0091263E"/>
    <w:rsid w:val="00913E9A"/>
    <w:rsid w:val="009159B6"/>
    <w:rsid w:val="009177CA"/>
    <w:rsid w:val="00925994"/>
    <w:rsid w:val="009429EA"/>
    <w:rsid w:val="00945478"/>
    <w:rsid w:val="00952D25"/>
    <w:rsid w:val="00962FED"/>
    <w:rsid w:val="009658F2"/>
    <w:rsid w:val="00971271"/>
    <w:rsid w:val="009A638E"/>
    <w:rsid w:val="009D229D"/>
    <w:rsid w:val="009F556F"/>
    <w:rsid w:val="00A05C34"/>
    <w:rsid w:val="00A06380"/>
    <w:rsid w:val="00A070C8"/>
    <w:rsid w:val="00A62128"/>
    <w:rsid w:val="00A963A9"/>
    <w:rsid w:val="00AA1E9F"/>
    <w:rsid w:val="00AC5242"/>
    <w:rsid w:val="00AF0C41"/>
    <w:rsid w:val="00AF718F"/>
    <w:rsid w:val="00AF79FE"/>
    <w:rsid w:val="00B01DC4"/>
    <w:rsid w:val="00B1147E"/>
    <w:rsid w:val="00B24F6E"/>
    <w:rsid w:val="00B34359"/>
    <w:rsid w:val="00B47A5F"/>
    <w:rsid w:val="00B61900"/>
    <w:rsid w:val="00BB76D6"/>
    <w:rsid w:val="00BC1C24"/>
    <w:rsid w:val="00BC1D1F"/>
    <w:rsid w:val="00BD168B"/>
    <w:rsid w:val="00BE7F91"/>
    <w:rsid w:val="00BF2D7B"/>
    <w:rsid w:val="00C33FAB"/>
    <w:rsid w:val="00C36109"/>
    <w:rsid w:val="00C52F5B"/>
    <w:rsid w:val="00C547EA"/>
    <w:rsid w:val="00C6362F"/>
    <w:rsid w:val="00C76D2C"/>
    <w:rsid w:val="00C83BC9"/>
    <w:rsid w:val="00C87C01"/>
    <w:rsid w:val="00C95822"/>
    <w:rsid w:val="00CA523A"/>
    <w:rsid w:val="00CB534E"/>
    <w:rsid w:val="00CC051B"/>
    <w:rsid w:val="00CD2E01"/>
    <w:rsid w:val="00CE3BAD"/>
    <w:rsid w:val="00CF61F5"/>
    <w:rsid w:val="00D14A5F"/>
    <w:rsid w:val="00D379A4"/>
    <w:rsid w:val="00D51ECC"/>
    <w:rsid w:val="00D74E76"/>
    <w:rsid w:val="00D74F14"/>
    <w:rsid w:val="00D76473"/>
    <w:rsid w:val="00D76C16"/>
    <w:rsid w:val="00D87AB7"/>
    <w:rsid w:val="00D97822"/>
    <w:rsid w:val="00DF2EB0"/>
    <w:rsid w:val="00DF3B61"/>
    <w:rsid w:val="00E16E2F"/>
    <w:rsid w:val="00E17381"/>
    <w:rsid w:val="00E20CEC"/>
    <w:rsid w:val="00E2504C"/>
    <w:rsid w:val="00E438DB"/>
    <w:rsid w:val="00E441CE"/>
    <w:rsid w:val="00E66E3E"/>
    <w:rsid w:val="00E67428"/>
    <w:rsid w:val="00E731D3"/>
    <w:rsid w:val="00E82544"/>
    <w:rsid w:val="00EC2364"/>
    <w:rsid w:val="00EC2EAA"/>
    <w:rsid w:val="00EC753D"/>
    <w:rsid w:val="00EE3A4F"/>
    <w:rsid w:val="00F12B9A"/>
    <w:rsid w:val="00F17823"/>
    <w:rsid w:val="00F31C1B"/>
    <w:rsid w:val="00F343E8"/>
    <w:rsid w:val="00F40BBE"/>
    <w:rsid w:val="00F51A1C"/>
    <w:rsid w:val="00F51FD8"/>
    <w:rsid w:val="00F5616A"/>
    <w:rsid w:val="00F622FE"/>
    <w:rsid w:val="00F633B7"/>
    <w:rsid w:val="00F85986"/>
    <w:rsid w:val="00F94701"/>
    <w:rsid w:val="00FA3CAE"/>
    <w:rsid w:val="00FA5C75"/>
    <w:rsid w:val="00FB43A2"/>
    <w:rsid w:val="00FC033B"/>
    <w:rsid w:val="00FD06BD"/>
    <w:rsid w:val="00FD5149"/>
    <w:rsid w:val="00FD6BA1"/>
    <w:rsid w:val="00FE26BF"/>
  </w:rsids>
  <m:mathPr>
    <m:mathFont m:val="Cambria Math"/>
    <m:brkBin m:val="before"/>
    <m:brkBinSub m:val="--"/>
    <m:smallFrac m:val="0"/>
    <m:dispDef/>
    <m:lMargin m:val="0"/>
    <m:rMargin m:val="0"/>
    <m:defJc m:val="centerGroup"/>
    <m:wrapIndent m:val="1440"/>
    <m:intLim m:val="subSup"/>
    <m:naryLim m:val="undOvr"/>
  </m:mathPr>
  <w:themeFontLang w:val="nb-NO" w:eastAsia="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63751"/>
  <w14:defaultImageDpi w14:val="32767"/>
  <w15:chartTrackingRefBased/>
  <w15:docId w15:val="{037C2F0C-3A79-4C2F-8BC1-37AE5276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05"/>
    <w:pPr>
      <w:spacing w:after="200" w:line="480" w:lineRule="auto"/>
      <w:jc w:val="both"/>
    </w:pPr>
    <w:rPr>
      <w:rFonts w:ascii="Times New Roman" w:cstheme="minorBidi"/>
      <w:sz w:val="24"/>
    </w:rPr>
  </w:style>
  <w:style w:type="paragraph" w:styleId="Heading1">
    <w:name w:val="heading 1"/>
    <w:basedOn w:val="Normal"/>
    <w:next w:val="Normal"/>
    <w:link w:val="Heading1Char"/>
    <w:uiPriority w:val="9"/>
    <w:qFormat/>
    <w:rsid w:val="00FC03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papers">
    <w:name w:val="Heading - papers"/>
    <w:basedOn w:val="Heading1"/>
    <w:next w:val="Normal"/>
    <w:link w:val="Heading-papersTegn"/>
    <w:qFormat/>
    <w:rsid w:val="00FC033B"/>
    <w:pPr>
      <w:ind w:firstLine="709"/>
    </w:pPr>
    <w:rPr>
      <w:rFonts w:ascii="Times New Roman" w:hAnsi="Times New Roman" w:cs="Times New Roman"/>
      <w:b/>
      <w:sz w:val="24"/>
      <w:szCs w:val="24"/>
    </w:rPr>
  </w:style>
  <w:style w:type="character" w:customStyle="1" w:styleId="Heading-papersTegn">
    <w:name w:val="Heading - papers Tegn"/>
    <w:basedOn w:val="Heading1Char"/>
    <w:link w:val="Heading-papers"/>
    <w:rsid w:val="00FC033B"/>
    <w:rPr>
      <w:rFonts w:ascii="Times New Roman" w:eastAsiaTheme="majorEastAsia" w:hAnsiTheme="majorHAnsi" w:cstheme="majorBidi"/>
      <w:b/>
      <w:color w:val="2F5496" w:themeColor="accent1" w:themeShade="BF"/>
      <w:sz w:val="24"/>
      <w:szCs w:val="24"/>
    </w:rPr>
  </w:style>
  <w:style w:type="character" w:customStyle="1" w:styleId="Heading1Char">
    <w:name w:val="Heading 1 Char"/>
    <w:basedOn w:val="DefaultParagraphFont"/>
    <w:link w:val="Heading1"/>
    <w:uiPriority w:val="9"/>
    <w:rsid w:val="00FC033B"/>
    <w:rPr>
      <w:rFonts w:asciiTheme="majorHAnsi" w:eastAsiaTheme="majorEastAsia" w:hAnsiTheme="majorHAnsi" w:cstheme="majorBidi"/>
      <w:color w:val="2F5496" w:themeColor="accent1" w:themeShade="BF"/>
      <w:sz w:val="32"/>
      <w:szCs w:val="32"/>
    </w:rPr>
  </w:style>
  <w:style w:type="paragraph" w:customStyle="1" w:styleId="Underkapittel">
    <w:name w:val="Underkapittel"/>
    <w:basedOn w:val="Heading-papers"/>
    <w:autoRedefine/>
    <w:qFormat/>
    <w:rsid w:val="00D97822"/>
    <w:rPr>
      <w:b w:val="0"/>
      <w:i/>
      <w:color w:val="auto"/>
    </w:rPr>
  </w:style>
  <w:style w:type="paragraph" w:styleId="ListParagraph">
    <w:name w:val="List Paragraph"/>
    <w:basedOn w:val="Normal"/>
    <w:uiPriority w:val="34"/>
    <w:qFormat/>
    <w:rsid w:val="009658F2"/>
    <w:pPr>
      <w:ind w:left="720"/>
      <w:contextualSpacing/>
    </w:pPr>
  </w:style>
  <w:style w:type="paragraph" w:customStyle="1" w:styleId="EndNoteBibliographyTitle">
    <w:name w:val="EndNote Bibliography Title"/>
    <w:basedOn w:val="Normal"/>
    <w:link w:val="EndNoteBibliographyTitleTegn"/>
    <w:rsid w:val="00BE7F91"/>
    <w:pPr>
      <w:spacing w:after="0"/>
      <w:jc w:val="center"/>
    </w:pPr>
    <w:rPr>
      <w:rFonts w:cs="Times New Roman"/>
      <w:noProof/>
    </w:rPr>
  </w:style>
  <w:style w:type="character" w:customStyle="1" w:styleId="EndNoteBibliographyTitleTegn">
    <w:name w:val="EndNote Bibliography Title Tegn"/>
    <w:basedOn w:val="DefaultParagraphFont"/>
    <w:link w:val="EndNoteBibliographyTitle"/>
    <w:rsid w:val="00BE7F91"/>
    <w:rPr>
      <w:rFonts w:ascii="Times New Roman"/>
      <w:noProof/>
      <w:sz w:val="24"/>
    </w:rPr>
  </w:style>
  <w:style w:type="paragraph" w:customStyle="1" w:styleId="EndNoteBibliography">
    <w:name w:val="EndNote Bibliography"/>
    <w:basedOn w:val="Normal"/>
    <w:link w:val="EndNoteBibliographyTegn"/>
    <w:rsid w:val="00BE7F91"/>
    <w:pPr>
      <w:spacing w:line="240" w:lineRule="auto"/>
    </w:pPr>
    <w:rPr>
      <w:rFonts w:cs="Times New Roman"/>
      <w:noProof/>
    </w:rPr>
  </w:style>
  <w:style w:type="character" w:customStyle="1" w:styleId="EndNoteBibliographyTegn">
    <w:name w:val="EndNote Bibliography Tegn"/>
    <w:basedOn w:val="DefaultParagraphFont"/>
    <w:link w:val="EndNoteBibliography"/>
    <w:rsid w:val="00BE7F91"/>
    <w:rPr>
      <w:rFonts w:ascii="Times New Roman"/>
      <w:noProof/>
      <w:sz w:val="24"/>
    </w:rPr>
  </w:style>
  <w:style w:type="character" w:styleId="Hyperlink">
    <w:name w:val="Hyperlink"/>
    <w:basedOn w:val="DefaultParagraphFont"/>
    <w:uiPriority w:val="99"/>
    <w:unhideWhenUsed/>
    <w:rsid w:val="00BE7F91"/>
    <w:rPr>
      <w:color w:val="0563C1" w:themeColor="hyperlink"/>
      <w:u w:val="single"/>
    </w:rPr>
  </w:style>
  <w:style w:type="character" w:styleId="UnresolvedMention">
    <w:name w:val="Unresolved Mention"/>
    <w:basedOn w:val="DefaultParagraphFont"/>
    <w:uiPriority w:val="99"/>
    <w:semiHidden/>
    <w:unhideWhenUsed/>
    <w:rsid w:val="00BE7F91"/>
    <w:rPr>
      <w:color w:val="605E5C"/>
      <w:shd w:val="clear" w:color="auto" w:fill="E1DFDD"/>
    </w:rPr>
  </w:style>
  <w:style w:type="character" w:styleId="CommentReference">
    <w:name w:val="annotation reference"/>
    <w:basedOn w:val="DefaultParagraphFont"/>
    <w:uiPriority w:val="99"/>
    <w:semiHidden/>
    <w:unhideWhenUsed/>
    <w:rsid w:val="00F5616A"/>
    <w:rPr>
      <w:sz w:val="16"/>
      <w:szCs w:val="16"/>
    </w:rPr>
  </w:style>
  <w:style w:type="paragraph" w:styleId="CommentText">
    <w:name w:val="annotation text"/>
    <w:basedOn w:val="Normal"/>
    <w:link w:val="CommentTextChar"/>
    <w:uiPriority w:val="99"/>
    <w:unhideWhenUsed/>
    <w:rsid w:val="00F5616A"/>
    <w:pPr>
      <w:spacing w:line="240" w:lineRule="auto"/>
    </w:pPr>
    <w:rPr>
      <w:sz w:val="20"/>
      <w:szCs w:val="20"/>
    </w:rPr>
  </w:style>
  <w:style w:type="character" w:customStyle="1" w:styleId="CommentTextChar">
    <w:name w:val="Comment Text Char"/>
    <w:basedOn w:val="DefaultParagraphFont"/>
    <w:link w:val="CommentText"/>
    <w:uiPriority w:val="99"/>
    <w:rsid w:val="00F5616A"/>
    <w:rPr>
      <w:rFonts w:ascii="Times New Roman" w:cstheme="minorBidi"/>
      <w:sz w:val="20"/>
      <w:szCs w:val="20"/>
    </w:rPr>
  </w:style>
  <w:style w:type="paragraph" w:styleId="CommentSubject">
    <w:name w:val="annotation subject"/>
    <w:basedOn w:val="CommentText"/>
    <w:next w:val="CommentText"/>
    <w:link w:val="CommentSubjectChar"/>
    <w:uiPriority w:val="99"/>
    <w:semiHidden/>
    <w:unhideWhenUsed/>
    <w:rsid w:val="00F5616A"/>
    <w:rPr>
      <w:b/>
      <w:bCs/>
    </w:rPr>
  </w:style>
  <w:style w:type="character" w:customStyle="1" w:styleId="CommentSubjectChar">
    <w:name w:val="Comment Subject Char"/>
    <w:basedOn w:val="CommentTextChar"/>
    <w:link w:val="CommentSubject"/>
    <w:uiPriority w:val="99"/>
    <w:semiHidden/>
    <w:rsid w:val="00F5616A"/>
    <w:rPr>
      <w:rFonts w:ascii="Times New Roman" w:cstheme="minorBidi"/>
      <w:b/>
      <w:bCs/>
      <w:sz w:val="20"/>
      <w:szCs w:val="20"/>
    </w:rPr>
  </w:style>
  <w:style w:type="paragraph" w:styleId="BalloonText">
    <w:name w:val="Balloon Text"/>
    <w:basedOn w:val="Normal"/>
    <w:link w:val="BalloonTextChar"/>
    <w:uiPriority w:val="99"/>
    <w:semiHidden/>
    <w:unhideWhenUsed/>
    <w:rsid w:val="00F561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16A"/>
    <w:rPr>
      <w:rFonts w:ascii="Segoe UI" w:hAnsi="Segoe UI" w:cs="Segoe UI"/>
      <w:sz w:val="18"/>
      <w:szCs w:val="18"/>
    </w:rPr>
  </w:style>
  <w:style w:type="character" w:styleId="LineNumber">
    <w:name w:val="line number"/>
    <w:basedOn w:val="DefaultParagraphFont"/>
    <w:uiPriority w:val="99"/>
    <w:semiHidden/>
    <w:unhideWhenUsed/>
    <w:rsid w:val="00FD5149"/>
  </w:style>
  <w:style w:type="paragraph" w:styleId="Caption">
    <w:name w:val="caption"/>
    <w:basedOn w:val="Normal"/>
    <w:next w:val="Normal"/>
    <w:uiPriority w:val="35"/>
    <w:unhideWhenUsed/>
    <w:qFormat/>
    <w:rsid w:val="00E2504C"/>
    <w:pPr>
      <w:spacing w:line="240" w:lineRule="auto"/>
    </w:pPr>
    <w:rPr>
      <w:i/>
      <w:iCs/>
      <w:color w:val="44546A" w:themeColor="text2"/>
      <w:sz w:val="18"/>
      <w:szCs w:val="18"/>
    </w:rPr>
  </w:style>
  <w:style w:type="paragraph" w:styleId="Revision">
    <w:name w:val="Revision"/>
    <w:hidden/>
    <w:uiPriority w:val="99"/>
    <w:semiHidden/>
    <w:rsid w:val="009177CA"/>
    <w:pPr>
      <w:spacing w:after="0" w:line="240" w:lineRule="auto"/>
    </w:pPr>
    <w:rPr>
      <w:rFonts w:ascii="Times New Roman" w:cstheme="minorBidi"/>
      <w:sz w:val="24"/>
    </w:rPr>
  </w:style>
  <w:style w:type="paragraph" w:styleId="Header">
    <w:name w:val="header"/>
    <w:basedOn w:val="Normal"/>
    <w:link w:val="HeaderChar"/>
    <w:uiPriority w:val="99"/>
    <w:unhideWhenUsed/>
    <w:rsid w:val="00FE26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FE26BF"/>
    <w:rPr>
      <w:rFonts w:ascii="Times New Roman" w:cstheme="minorBidi"/>
      <w:sz w:val="24"/>
    </w:rPr>
  </w:style>
  <w:style w:type="paragraph" w:styleId="Footer">
    <w:name w:val="footer"/>
    <w:basedOn w:val="Normal"/>
    <w:link w:val="FooterChar"/>
    <w:uiPriority w:val="99"/>
    <w:unhideWhenUsed/>
    <w:rsid w:val="00FE26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26BF"/>
    <w:rPr>
      <w:rFonts w:ascii="Times New Roman"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61D4-43F6-41D3-83D4-29682177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19419</Words>
  <Characters>102924</Characters>
  <Application>Microsoft Office Word</Application>
  <DocSecurity>0</DocSecurity>
  <Lines>857</Lines>
  <Paragraphs>244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122099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Hallgeir</dc:creator>
  <cp:keywords/>
  <dc:description/>
  <cp:lastModifiedBy>Hallgeir Sirevaag</cp:lastModifiedBy>
  <cp:revision>2</cp:revision>
  <dcterms:created xsi:type="dcterms:W3CDTF">2021-11-16T18:10:00Z</dcterms:created>
  <dcterms:modified xsi:type="dcterms:W3CDTF">2021-11-16T18:10:00Z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http://www.zotero.org/styles/gondwana-research</vt:lpwstr>
  </property>
  <property fmtid="{D5CDD505-2E9C-101B-9397-08002B2CF9AE}" pid="13" name="Mendeley Recent Style Name 5_1">
    <vt:lpwstr>Gondwana Research</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http://www.zotero.org/styles/sedimentology</vt:lpwstr>
  </property>
  <property fmtid="{D5CDD505-2E9C-101B-9397-08002B2CF9AE}" pid="21" name="Mendeley Recent Style Name 9_1">
    <vt:lpwstr>Sedimentology</vt:lpwstr>
  </property>
  <property fmtid="{D5CDD505-2E9C-101B-9397-08002B2CF9AE}" pid="22" name="Mendeley Document_1">
    <vt:lpwstr>True</vt:lpwstr>
  </property>
  <property fmtid="{D5CDD505-2E9C-101B-9397-08002B2CF9AE}" pid="23" name="Mendeley Unique User Id_1">
    <vt:lpwstr>562d6cb0-03c3-3b50-96bf-928bf0ec81c1</vt:lpwstr>
  </property>
  <property fmtid="{D5CDD505-2E9C-101B-9397-08002B2CF9AE}" pid="24" name="Mendeley Citation Style_1">
    <vt:lpwstr>http://www.zotero.org/styles/nature</vt:lpwstr>
  </property>
</Properties>
</file>