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A0E88" w14:textId="77777777" w:rsidR="00A22B58" w:rsidRDefault="00A22B58" w:rsidP="00A22B58">
      <w:pPr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5E14360F">
        <w:rPr>
          <w:rFonts w:ascii="Arial" w:eastAsia="Arial" w:hAnsi="Arial" w:cs="Arial"/>
          <w:b/>
          <w:bCs/>
          <w:color w:val="000000" w:themeColor="text1"/>
        </w:rPr>
        <w:t xml:space="preserve">Concurrent atmospheric </w:t>
      </w:r>
      <w:r w:rsidRPr="62487AF7">
        <w:rPr>
          <w:rFonts w:ascii="Arial" w:eastAsia="Arial" w:hAnsi="Arial" w:cs="Arial"/>
          <w:b/>
          <w:bCs/>
          <w:color w:val="000000" w:themeColor="text1"/>
        </w:rPr>
        <w:t>heatwaves</w:t>
      </w:r>
      <w:r w:rsidRPr="5E14360F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62487AF7">
        <w:rPr>
          <w:rFonts w:ascii="Arial" w:eastAsia="Arial" w:hAnsi="Arial" w:cs="Arial"/>
          <w:b/>
          <w:bCs/>
          <w:color w:val="000000" w:themeColor="text1"/>
        </w:rPr>
        <w:t>intensify marine heatwaves</w:t>
      </w:r>
      <w:r w:rsidRPr="5E14360F">
        <w:rPr>
          <w:rFonts w:ascii="Arial" w:eastAsia="Arial" w:hAnsi="Arial" w:cs="Arial"/>
          <w:b/>
          <w:bCs/>
          <w:color w:val="000000" w:themeColor="text1"/>
        </w:rPr>
        <w:t xml:space="preserve"> through air-sea heat flux change</w:t>
      </w:r>
      <w:r w:rsidRPr="62487AF7">
        <w:rPr>
          <w:rFonts w:ascii="Arial" w:eastAsia="Arial" w:hAnsi="Arial" w:cs="Arial"/>
          <w:b/>
          <w:bCs/>
          <w:color w:val="000000" w:themeColor="text1"/>
        </w:rPr>
        <w:t xml:space="preserve"> in the Mediterranean Sea </w:t>
      </w:r>
    </w:p>
    <w:p w14:paraId="2F751618" w14:textId="77777777" w:rsidR="00A22B58" w:rsidRPr="00584E44" w:rsidRDefault="00A22B58" w:rsidP="116F1E9D">
      <w:pPr>
        <w:jc w:val="both"/>
        <w:rPr>
          <w:rFonts w:ascii="Arial" w:eastAsia="Arial" w:hAnsi="Arial" w:cs="Arial"/>
          <w:b/>
          <w:bCs/>
        </w:rPr>
      </w:pPr>
    </w:p>
    <w:p w14:paraId="42756E0B" w14:textId="17799C7D" w:rsidR="00EC6E5F" w:rsidRDefault="1D5F6F29" w:rsidP="116F1E9D">
      <w:pPr>
        <w:jc w:val="both"/>
        <w:rPr>
          <w:rFonts w:ascii="Arial" w:eastAsia="Arial" w:hAnsi="Arial" w:cs="Arial"/>
        </w:rPr>
      </w:pPr>
      <w:r w:rsidRPr="116F1E9D">
        <w:rPr>
          <w:rFonts w:ascii="Arial" w:eastAsia="Arial" w:hAnsi="Arial" w:cs="Arial"/>
          <w:b/>
          <w:bCs/>
          <w:lang w:val="en-GB"/>
        </w:rPr>
        <w:t>Supplementary material</w:t>
      </w:r>
    </w:p>
    <w:p w14:paraId="1381C66C" w14:textId="5093F17D" w:rsidR="00C97160" w:rsidRDefault="004831E4" w:rsidP="116F1E9D">
      <w:pPr>
        <w:jc w:val="both"/>
        <w:rPr>
          <w:rFonts w:ascii="Arial" w:eastAsia="Arial" w:hAnsi="Arial" w:cs="Arial"/>
          <w:b/>
          <w:bCs/>
          <w:lang w:val="en-GB"/>
        </w:rPr>
      </w:pPr>
      <w:r>
        <w:rPr>
          <w:noProof/>
        </w:rPr>
        <w:drawing>
          <wp:inline distT="0" distB="0" distL="0" distR="0" wp14:anchorId="2E174253" wp14:editId="0519AC0F">
            <wp:extent cx="5731510" cy="3002280"/>
            <wp:effectExtent l="0" t="0" r="0" b="0"/>
            <wp:docPr id="1755876491" name="Picture 1" descr="A diagram of a heat wa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876491" name="Picture 1" descr="A diagram of a heat wav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DE293" w14:textId="070A112E" w:rsidR="00EC6E5F" w:rsidRDefault="1D5F6F29" w:rsidP="116F1E9D">
      <w:pPr>
        <w:jc w:val="both"/>
        <w:rPr>
          <w:rFonts w:ascii="Arial" w:eastAsia="Arial" w:hAnsi="Arial" w:cs="Arial"/>
        </w:rPr>
      </w:pPr>
      <w:r w:rsidRPr="116F1E9D">
        <w:rPr>
          <w:rFonts w:ascii="Arial" w:eastAsia="Arial" w:hAnsi="Arial" w:cs="Arial"/>
          <w:b/>
          <w:bCs/>
          <w:lang w:val="en-GB"/>
        </w:rPr>
        <w:t>Figure S1. Qnet flux on concurrent AHW-MHW points at the transitions between concurrent days and before/after-concurrence phases.</w:t>
      </w:r>
      <w:r w:rsidRPr="116F1E9D">
        <w:rPr>
          <w:rFonts w:ascii="Arial" w:eastAsia="Arial" w:hAnsi="Arial" w:cs="Arial"/>
          <w:lang w:val="en-GB"/>
        </w:rPr>
        <w:t xml:space="preserve">  Qnet flux (W/m²) around </w:t>
      </w:r>
      <w:r w:rsidR="003B60E7">
        <w:rPr>
          <w:rFonts w:ascii="Arial" w:eastAsia="Arial" w:hAnsi="Arial" w:cs="Arial"/>
          <w:lang w:val="en-GB"/>
        </w:rPr>
        <w:t xml:space="preserve">a) </w:t>
      </w:r>
      <w:r w:rsidRPr="116F1E9D">
        <w:rPr>
          <w:rFonts w:ascii="Arial" w:eastAsia="Arial" w:hAnsi="Arial" w:cs="Arial"/>
          <w:lang w:val="en-GB"/>
        </w:rPr>
        <w:t xml:space="preserve">the concurrence onset (from the five prior days to concurrence onset to the first five concurrent days) and </w:t>
      </w:r>
      <w:r w:rsidR="003B60E7">
        <w:rPr>
          <w:rFonts w:ascii="Arial" w:eastAsia="Arial" w:hAnsi="Arial" w:cs="Arial"/>
          <w:lang w:val="en-GB"/>
        </w:rPr>
        <w:t xml:space="preserve">b) </w:t>
      </w:r>
      <w:r w:rsidRPr="116F1E9D">
        <w:rPr>
          <w:rFonts w:ascii="Arial" w:eastAsia="Arial" w:hAnsi="Arial" w:cs="Arial"/>
          <w:lang w:val="en-GB"/>
        </w:rPr>
        <w:t>the concurrence end (from the five last concurrent days and the five days after concurrence end) on concurrent points of concurrent AHW-MHWs from May to September 1940 to 2022. The coloured area represents the daily probability distribution of the Qnet flux (percentage of concurrent MHW points with a given Qnet flux). The dotted black line shows the daily mean, and the shadowed area between thin black lines depicts the daily standard deviation.</w:t>
      </w:r>
    </w:p>
    <w:p w14:paraId="5B0351BE" w14:textId="5DF87F0E" w:rsidR="00EC6E5F" w:rsidRDefault="00EC6E5F" w:rsidP="116F1E9D">
      <w:pPr>
        <w:jc w:val="both"/>
        <w:rPr>
          <w:rFonts w:ascii="Arial" w:eastAsia="Arial" w:hAnsi="Arial" w:cs="Arial"/>
          <w:lang w:val="en-GB"/>
        </w:rPr>
      </w:pPr>
    </w:p>
    <w:p w14:paraId="72652922" w14:textId="404E6ED3" w:rsidR="00EC6E5F" w:rsidRDefault="00EC6E5F" w:rsidP="116F1E9D">
      <w:pPr>
        <w:jc w:val="both"/>
        <w:rPr>
          <w:rFonts w:ascii="Arial" w:eastAsia="Arial" w:hAnsi="Arial" w:cs="Arial"/>
        </w:rPr>
      </w:pPr>
    </w:p>
    <w:p w14:paraId="0465D678" w14:textId="36C631FD" w:rsidR="004831E4" w:rsidRDefault="00E8389D" w:rsidP="116F1E9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lastRenderedPageBreak/>
        <w:drawing>
          <wp:inline distT="0" distB="0" distL="0" distR="0" wp14:anchorId="6C7878C5" wp14:editId="624B7D7A">
            <wp:extent cx="5731510" cy="3002280"/>
            <wp:effectExtent l="0" t="0" r="0" b="0"/>
            <wp:docPr id="280624460" name="Picture 3" descr="A comparison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624460" name="Picture 3" descr="A comparison of different colored line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F2155" w14:textId="77777777" w:rsidR="004831E4" w:rsidRDefault="004831E4" w:rsidP="116F1E9D">
      <w:pPr>
        <w:jc w:val="both"/>
        <w:rPr>
          <w:rFonts w:ascii="Arial" w:eastAsia="Arial" w:hAnsi="Arial" w:cs="Arial"/>
        </w:rPr>
      </w:pPr>
    </w:p>
    <w:p w14:paraId="556CB059" w14:textId="2841CDE1" w:rsidR="00EC6E5F" w:rsidRDefault="1D5F6F29" w:rsidP="116F1E9D">
      <w:pPr>
        <w:jc w:val="both"/>
        <w:rPr>
          <w:rFonts w:ascii="Arial" w:eastAsia="Arial" w:hAnsi="Arial" w:cs="Arial"/>
        </w:rPr>
      </w:pPr>
      <w:r w:rsidRPr="116F1E9D">
        <w:rPr>
          <w:rFonts w:ascii="Arial" w:eastAsia="Arial" w:hAnsi="Arial" w:cs="Arial"/>
          <w:b/>
          <w:bCs/>
          <w:lang w:val="en-GB"/>
        </w:rPr>
        <w:t>Figure S2. SWRnet flux on concurrent AHW-MHW points at the transitions between concurrent days and before/after-concurrence phases.</w:t>
      </w:r>
      <w:r w:rsidRPr="116F1E9D">
        <w:rPr>
          <w:rFonts w:ascii="Arial" w:eastAsia="Arial" w:hAnsi="Arial" w:cs="Arial"/>
          <w:lang w:val="en-GB"/>
        </w:rPr>
        <w:t xml:space="preserve">  SWRnet flux (W/m²) around </w:t>
      </w:r>
      <w:r w:rsidR="003B60E7">
        <w:rPr>
          <w:rFonts w:ascii="Arial" w:eastAsia="Arial" w:hAnsi="Arial" w:cs="Arial"/>
          <w:lang w:val="en-GB"/>
        </w:rPr>
        <w:t xml:space="preserve">a) </w:t>
      </w:r>
      <w:r w:rsidRPr="116F1E9D">
        <w:rPr>
          <w:rFonts w:ascii="Arial" w:eastAsia="Arial" w:hAnsi="Arial" w:cs="Arial"/>
          <w:lang w:val="en-GB"/>
        </w:rPr>
        <w:t xml:space="preserve">the concurrence onset (from the five prior days to concurrence onset to the first five concurrent days) and </w:t>
      </w:r>
      <w:r w:rsidR="003B60E7">
        <w:rPr>
          <w:rFonts w:ascii="Arial" w:eastAsia="Arial" w:hAnsi="Arial" w:cs="Arial"/>
          <w:lang w:val="en-GB"/>
        </w:rPr>
        <w:t xml:space="preserve">b) </w:t>
      </w:r>
      <w:r w:rsidRPr="116F1E9D">
        <w:rPr>
          <w:rFonts w:ascii="Arial" w:eastAsia="Arial" w:hAnsi="Arial" w:cs="Arial"/>
          <w:lang w:val="en-GB"/>
        </w:rPr>
        <w:t>the concurrence end (from the five last concurrent days and the five days after concurrence end) on concurrent points of concurrent AHW-MHWs from May to September 1940 to 2022. The coloured area represents the daily probability distribution of the SWRnet flux (percentage of concurrent MHW points with a given SWRnet flux). The dotted black line shows the daily mean, and the shadowed area between thin black lines depicts the daily standard deviation.</w:t>
      </w:r>
    </w:p>
    <w:p w14:paraId="73EBA679" w14:textId="3A2B7356" w:rsidR="00EC6E5F" w:rsidRDefault="00EC6E5F" w:rsidP="116F1E9D">
      <w:pPr>
        <w:jc w:val="both"/>
        <w:rPr>
          <w:rFonts w:ascii="Arial" w:eastAsia="Arial" w:hAnsi="Arial" w:cs="Arial"/>
          <w:lang w:val="en-GB"/>
        </w:rPr>
      </w:pPr>
    </w:p>
    <w:p w14:paraId="13233142" w14:textId="29AD24A0" w:rsidR="0088148E" w:rsidRDefault="0088148E" w:rsidP="116F1E9D">
      <w:pPr>
        <w:jc w:val="both"/>
        <w:rPr>
          <w:rFonts w:ascii="Arial" w:eastAsia="Arial" w:hAnsi="Arial" w:cs="Arial"/>
          <w:b/>
          <w:bCs/>
          <w:lang w:val="en-GB"/>
        </w:rPr>
      </w:pPr>
    </w:p>
    <w:p w14:paraId="55931EF8" w14:textId="6703B7D3" w:rsidR="0088148E" w:rsidRDefault="0088148E" w:rsidP="116F1E9D">
      <w:pPr>
        <w:jc w:val="both"/>
        <w:rPr>
          <w:rFonts w:ascii="Arial" w:eastAsia="Arial" w:hAnsi="Arial" w:cs="Arial"/>
          <w:b/>
          <w:bCs/>
          <w:lang w:val="en-GB"/>
        </w:rPr>
      </w:pPr>
      <w:r>
        <w:rPr>
          <w:rFonts w:ascii="Arial" w:eastAsia="Arial" w:hAnsi="Arial" w:cs="Arial"/>
          <w:b/>
          <w:bCs/>
          <w:noProof/>
          <w:lang w:val="en-GB"/>
        </w:rPr>
        <w:lastRenderedPageBreak/>
        <w:drawing>
          <wp:inline distT="0" distB="0" distL="0" distR="0" wp14:anchorId="14B01776" wp14:editId="33411190">
            <wp:extent cx="5731510" cy="3002280"/>
            <wp:effectExtent l="0" t="0" r="0" b="0"/>
            <wp:docPr id="1462101436" name="Picture 4" descr="A comparison of a number of days from different seas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01436" name="Picture 4" descr="A comparison of a number of days from different seasons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82D2F" w14:textId="77777777" w:rsidR="0088148E" w:rsidRDefault="0088148E" w:rsidP="116F1E9D">
      <w:pPr>
        <w:jc w:val="both"/>
        <w:rPr>
          <w:rFonts w:ascii="Arial" w:eastAsia="Arial" w:hAnsi="Arial" w:cs="Arial"/>
          <w:b/>
          <w:bCs/>
          <w:lang w:val="en-GB"/>
        </w:rPr>
      </w:pPr>
    </w:p>
    <w:p w14:paraId="2AF4C5DB" w14:textId="7F84051B" w:rsidR="00EC6E5F" w:rsidRDefault="1D5F6F29" w:rsidP="116F1E9D">
      <w:pPr>
        <w:jc w:val="both"/>
        <w:rPr>
          <w:rFonts w:ascii="Arial" w:eastAsia="Arial" w:hAnsi="Arial" w:cs="Arial"/>
        </w:rPr>
      </w:pPr>
      <w:r w:rsidRPr="116F1E9D">
        <w:rPr>
          <w:rFonts w:ascii="Arial" w:eastAsia="Arial" w:hAnsi="Arial" w:cs="Arial"/>
          <w:b/>
          <w:bCs/>
          <w:lang w:val="en-GB"/>
        </w:rPr>
        <w:t>Figure S3. LWRnet flux on concurrent AHW-MHW points at the transitions between concurrent days and before/after-concurrence phases.</w:t>
      </w:r>
      <w:r w:rsidRPr="116F1E9D">
        <w:rPr>
          <w:rFonts w:ascii="Arial" w:eastAsia="Arial" w:hAnsi="Arial" w:cs="Arial"/>
          <w:lang w:val="en-GB"/>
        </w:rPr>
        <w:t xml:space="preserve">  LWRnet flux (W/m²) around </w:t>
      </w:r>
      <w:r w:rsidR="003B60E7">
        <w:rPr>
          <w:rFonts w:ascii="Arial" w:eastAsia="Arial" w:hAnsi="Arial" w:cs="Arial"/>
          <w:lang w:val="en-GB"/>
        </w:rPr>
        <w:t xml:space="preserve">a) </w:t>
      </w:r>
      <w:r w:rsidRPr="116F1E9D">
        <w:rPr>
          <w:rFonts w:ascii="Arial" w:eastAsia="Arial" w:hAnsi="Arial" w:cs="Arial"/>
          <w:lang w:val="en-GB"/>
        </w:rPr>
        <w:t xml:space="preserve">the concurrence onset (from the five prior days to concurrence onset to the first five concurrent days) and </w:t>
      </w:r>
      <w:r w:rsidR="003B60E7">
        <w:rPr>
          <w:rFonts w:ascii="Arial" w:eastAsia="Arial" w:hAnsi="Arial" w:cs="Arial"/>
          <w:lang w:val="en-GB"/>
        </w:rPr>
        <w:t xml:space="preserve">b) </w:t>
      </w:r>
      <w:r w:rsidRPr="116F1E9D">
        <w:rPr>
          <w:rFonts w:ascii="Arial" w:eastAsia="Arial" w:hAnsi="Arial" w:cs="Arial"/>
          <w:lang w:val="en-GB"/>
        </w:rPr>
        <w:t>the concurrence end (from the five last concurrent days and the five days after concurrence end) on concurrent points of concurrent AHW-MHWs from May to September 1940 to 2022. The coloured area represents the daily probability distribution of the LWRnet flux (percentage of concurrent MHW points with a given LWRnet flux). The dotted black line shows the daily mean, and the shadowed area between thin black lines depicts the daily standard deviation.</w:t>
      </w:r>
    </w:p>
    <w:p w14:paraId="6DF4D405" w14:textId="4424AD8C" w:rsidR="00EC6E5F" w:rsidRDefault="00EC6E5F" w:rsidP="116F1E9D">
      <w:pPr>
        <w:jc w:val="both"/>
        <w:rPr>
          <w:rFonts w:ascii="Arial" w:eastAsia="Arial" w:hAnsi="Arial" w:cs="Arial"/>
          <w:lang w:val="en-GB"/>
        </w:rPr>
      </w:pPr>
    </w:p>
    <w:p w14:paraId="6D0E106A" w14:textId="11B831EA" w:rsidR="00EC6E5F" w:rsidRDefault="00EC6E5F" w:rsidP="116F1E9D">
      <w:pPr>
        <w:jc w:val="both"/>
        <w:rPr>
          <w:rFonts w:ascii="Arial" w:eastAsia="Arial" w:hAnsi="Arial" w:cs="Arial"/>
          <w:lang w:val="en-GB"/>
        </w:rPr>
      </w:pPr>
    </w:p>
    <w:p w14:paraId="42813174" w14:textId="5E08EE6B" w:rsidR="00EC6E5F" w:rsidRDefault="00EC6E5F" w:rsidP="116F1E9D">
      <w:pPr>
        <w:jc w:val="both"/>
        <w:rPr>
          <w:rFonts w:ascii="Aptos" w:eastAsia="Aptos" w:hAnsi="Aptos" w:cs="Aptos"/>
        </w:rPr>
      </w:pPr>
    </w:p>
    <w:p w14:paraId="43B22612" w14:textId="77777777" w:rsidR="005848EC" w:rsidRDefault="005848EC" w:rsidP="116F1E9D">
      <w:pPr>
        <w:jc w:val="both"/>
        <w:rPr>
          <w:rFonts w:ascii="Aptos" w:eastAsia="Aptos" w:hAnsi="Aptos" w:cs="Aptos"/>
        </w:rPr>
      </w:pPr>
    </w:p>
    <w:p w14:paraId="662E3C0E" w14:textId="40FCA6F8" w:rsidR="005848EC" w:rsidRDefault="005848EC" w:rsidP="116F1E9D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w:lastRenderedPageBreak/>
        <w:drawing>
          <wp:inline distT="0" distB="0" distL="0" distR="0" wp14:anchorId="379E548E" wp14:editId="46A7ED22">
            <wp:extent cx="5731510" cy="3002280"/>
            <wp:effectExtent l="0" t="0" r="0" b="0"/>
            <wp:docPr id="2013079226" name="Picture 5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079226" name="Picture 5" descr="A comparison of a graph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EA790" w14:textId="06C4CAE2" w:rsidR="00EC6E5F" w:rsidRDefault="1D5F6F29" w:rsidP="116F1E9D">
      <w:pPr>
        <w:jc w:val="both"/>
        <w:rPr>
          <w:rFonts w:ascii="Arial" w:eastAsia="Arial" w:hAnsi="Arial" w:cs="Arial"/>
        </w:rPr>
      </w:pPr>
      <w:r w:rsidRPr="116F1E9D">
        <w:rPr>
          <w:rFonts w:ascii="Arial" w:eastAsia="Arial" w:hAnsi="Arial" w:cs="Arial"/>
          <w:b/>
          <w:bCs/>
          <w:lang w:val="en-GB"/>
        </w:rPr>
        <w:t>Figure S4. SH flux on concurrent AHW-MHW points at the transitions between concurrent days and before/after-concurrence phases.</w:t>
      </w:r>
      <w:r w:rsidRPr="116F1E9D">
        <w:rPr>
          <w:rFonts w:ascii="Arial" w:eastAsia="Arial" w:hAnsi="Arial" w:cs="Arial"/>
          <w:lang w:val="en-GB"/>
        </w:rPr>
        <w:t xml:space="preserve">  SH flux (W/m²) around</w:t>
      </w:r>
      <w:r w:rsidR="003B60E7">
        <w:rPr>
          <w:rFonts w:ascii="Arial" w:eastAsia="Arial" w:hAnsi="Arial" w:cs="Arial"/>
          <w:lang w:val="en-GB"/>
        </w:rPr>
        <w:t xml:space="preserve"> a)</w:t>
      </w:r>
      <w:r w:rsidRPr="116F1E9D">
        <w:rPr>
          <w:rFonts w:ascii="Arial" w:eastAsia="Arial" w:hAnsi="Arial" w:cs="Arial"/>
          <w:lang w:val="en-GB"/>
        </w:rPr>
        <w:t xml:space="preserve"> the concurrence onset (from the five prior days to concurrence onset to the first five concurrent days) and </w:t>
      </w:r>
      <w:r w:rsidR="003B60E7">
        <w:rPr>
          <w:rFonts w:ascii="Arial" w:eastAsia="Arial" w:hAnsi="Arial" w:cs="Arial"/>
          <w:lang w:val="en-GB"/>
        </w:rPr>
        <w:t xml:space="preserve">b) </w:t>
      </w:r>
      <w:r w:rsidRPr="116F1E9D">
        <w:rPr>
          <w:rFonts w:ascii="Arial" w:eastAsia="Arial" w:hAnsi="Arial" w:cs="Arial"/>
          <w:lang w:val="en-GB"/>
        </w:rPr>
        <w:t>the concurrence end (from the five last concurrent days and the five days after concurrence end) on concurrent points of concurrent AHW-MHWs from May to September 1940 to 2022. The coloured area represents the daily probability distribution of the SH flux (percentage of concurrent MHW points with a given SH flux). The dotted black line shows the daily mean, and the shadowed area between thin black lines depicts the daily standard deviation.</w:t>
      </w:r>
    </w:p>
    <w:p w14:paraId="6E62CEA4" w14:textId="0FAA0E7F" w:rsidR="00EC6E5F" w:rsidRDefault="00EC6E5F"/>
    <w:sectPr w:rsidR="00EC6E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4ED760"/>
    <w:rsid w:val="00186580"/>
    <w:rsid w:val="00192448"/>
    <w:rsid w:val="001D0DA4"/>
    <w:rsid w:val="0022225C"/>
    <w:rsid w:val="0023349B"/>
    <w:rsid w:val="00240D56"/>
    <w:rsid w:val="003B60E7"/>
    <w:rsid w:val="004831E4"/>
    <w:rsid w:val="004F3ED5"/>
    <w:rsid w:val="005848EC"/>
    <w:rsid w:val="00584E44"/>
    <w:rsid w:val="00693323"/>
    <w:rsid w:val="006B6322"/>
    <w:rsid w:val="006C452F"/>
    <w:rsid w:val="00755A38"/>
    <w:rsid w:val="0088148E"/>
    <w:rsid w:val="00A22B58"/>
    <w:rsid w:val="00C97160"/>
    <w:rsid w:val="00CF3264"/>
    <w:rsid w:val="00E8389D"/>
    <w:rsid w:val="00EC6E5F"/>
    <w:rsid w:val="116F1E9D"/>
    <w:rsid w:val="1D5F6F29"/>
    <w:rsid w:val="344ED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4ED760"/>
  <w15:chartTrackingRefBased/>
  <w15:docId w15:val="{2D39D926-60CB-4FC8-947D-4B71A45D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a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971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3b5107-0363-4a07-b82f-3d0247bbf9ea" xsi:nil="true"/>
    <lcf76f155ced4ddcb4097134ff3c332f xmlns="1ec3def3-6fc1-4924-a236-e5c47db39e1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3EF31433ABA4CA8CCE8447FC644E0" ma:contentTypeVersion="17" ma:contentTypeDescription="Crea un document nou" ma:contentTypeScope="" ma:versionID="9c4039890524d3fc9095eb229d254fd3">
  <xsd:schema xmlns:xsd="http://www.w3.org/2001/XMLSchema" xmlns:xs="http://www.w3.org/2001/XMLSchema" xmlns:p="http://schemas.microsoft.com/office/2006/metadata/properties" xmlns:ns2="1ec3def3-6fc1-4924-a236-e5c47db39e18" xmlns:ns3="eb3b5107-0363-4a07-b82f-3d0247bbf9ea" targetNamespace="http://schemas.microsoft.com/office/2006/metadata/properties" ma:root="true" ma:fieldsID="f60f25df148d867a5e2c655eef3b601f" ns2:_="" ns3:_="">
    <xsd:import namespace="1ec3def3-6fc1-4924-a236-e5c47db39e18"/>
    <xsd:import namespace="eb3b5107-0363-4a07-b82f-3d0247bb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3def3-6fc1-4924-a236-e5c47db39e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30b695d-0eca-45fd-99b2-ba163600b5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b5107-0363-4a07-b82f-3d0247bbf9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4d29967-c9d4-45cc-8688-0e7cd7c0b2d5}" ma:internalName="TaxCatchAll" ma:showField="CatchAllData" ma:web="eb3b5107-0363-4a07-b82f-3d0247bbf9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B2F76-8232-46F7-AAC6-4A5CC8B8C0E7}">
  <ds:schemaRefs>
    <ds:schemaRef ds:uri="http://schemas.microsoft.com/office/2006/metadata/properties"/>
    <ds:schemaRef ds:uri="http://schemas.microsoft.com/office/infopath/2007/PartnerControls"/>
    <ds:schemaRef ds:uri="eb3b5107-0363-4a07-b82f-3d0247bbf9ea"/>
    <ds:schemaRef ds:uri="1ec3def3-6fc1-4924-a236-e5c47db39e18"/>
  </ds:schemaRefs>
</ds:datastoreItem>
</file>

<file path=customXml/itemProps2.xml><?xml version="1.0" encoding="utf-8"?>
<ds:datastoreItem xmlns:ds="http://schemas.openxmlformats.org/officeDocument/2006/customXml" ds:itemID="{1B1FA6A8-0631-40AA-9D1D-FB95D2C47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3def3-6fc1-4924-a236-e5c47db39e18"/>
    <ds:schemaRef ds:uri="eb3b5107-0363-4a07-b82f-3d0247bb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C0FB3D-F814-455B-BB0B-788CFB8600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Paredes</dc:creator>
  <cp:keywords/>
  <dc:description/>
  <cp:lastModifiedBy>Laura Paredes-Fortuny</cp:lastModifiedBy>
  <cp:revision>16</cp:revision>
  <dcterms:created xsi:type="dcterms:W3CDTF">2025-02-25T01:01:00Z</dcterms:created>
  <dcterms:modified xsi:type="dcterms:W3CDTF">2025-07-23T11:19:00Z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0x010100BD63EF31433ABA4CA8CCE8447FC644E0</vt:lpwstr>
  </property>
  <property fmtid="{D5CDD505-2E9C-101B-9397-08002B2CF9AE}" pid="3" name="MediaServiceImageTags">
    <vt:lpwstr/>
  </property>
</Properties>
</file>