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59042" w14:textId="77777777" w:rsidR="00A91534" w:rsidRDefault="00B23DEE" w:rsidP="00851B31">
      <w:pPr>
        <w:pStyle w:val="TESupportingInformation"/>
        <w:spacing w:after="240" w:line="360" w:lineRule="auto"/>
        <w:ind w:firstLine="0"/>
        <w:rPr>
          <w:rFonts w:ascii="Times New Roman" w:hAnsi="Times New Roman"/>
          <w:szCs w:val="24"/>
        </w:rPr>
      </w:pPr>
      <w:r>
        <w:rPr>
          <w:rFonts w:ascii="Times New Roman" w:hAnsi="Times New Roman"/>
          <w:b/>
          <w:szCs w:val="24"/>
        </w:rPr>
        <w:t>SUPPORTING INFORMATION</w:t>
      </w:r>
      <w:r>
        <w:rPr>
          <w:rFonts w:ascii="Times New Roman" w:hAnsi="Times New Roman"/>
          <w:szCs w:val="24"/>
        </w:rPr>
        <w:t xml:space="preserve"> </w:t>
      </w:r>
      <w:r>
        <w:rPr>
          <w:rFonts w:ascii="Times New Roman" w:hAnsi="Times New Roman"/>
          <w:szCs w:val="24"/>
          <w:lang w:eastAsia="zh-CN"/>
        </w:rPr>
        <w:t>for</w:t>
      </w:r>
      <w:r>
        <w:rPr>
          <w:rFonts w:ascii="Times New Roman" w:hAnsi="Times New Roman"/>
          <w:szCs w:val="24"/>
        </w:rPr>
        <w:t xml:space="preserve"> </w:t>
      </w:r>
    </w:p>
    <w:p w14:paraId="4E9C04AC" w14:textId="77777777" w:rsidR="00A91534" w:rsidRDefault="00B23DEE" w:rsidP="00851B31">
      <w:pPr>
        <w:spacing w:line="360" w:lineRule="auto"/>
        <w:jc w:val="both"/>
        <w:rPr>
          <w:b/>
        </w:rPr>
      </w:pPr>
      <w:r>
        <w:rPr>
          <w:b/>
        </w:rPr>
        <w:t>Antidepressants Promote the Spread of Extracellular Antibiotic Resistance Genes via Transformation</w:t>
      </w:r>
    </w:p>
    <w:p w14:paraId="526C2C60" w14:textId="77777777" w:rsidR="00A91534" w:rsidRDefault="00B23DEE" w:rsidP="00851B31">
      <w:pPr>
        <w:spacing w:line="360" w:lineRule="auto"/>
        <w:jc w:val="both"/>
      </w:pPr>
      <w:r>
        <w:t>Ji Lu</w:t>
      </w:r>
      <w:r>
        <w:rPr>
          <w:vertAlign w:val="superscript"/>
        </w:rPr>
        <w:t>1</w:t>
      </w:r>
      <w:r>
        <w:t xml:space="preserve">, </w:t>
      </w:r>
      <w:proofErr w:type="spellStart"/>
      <w:r>
        <w:t>Pengbo</w:t>
      </w:r>
      <w:proofErr w:type="spellEnd"/>
      <w:r>
        <w:t xml:space="preserve"> Ding</w:t>
      </w:r>
      <w:r>
        <w:rPr>
          <w:vertAlign w:val="superscript"/>
        </w:rPr>
        <w:t>1</w:t>
      </w:r>
      <w:r>
        <w:t>, Yue Wang, Jianhua Guo*</w:t>
      </w:r>
    </w:p>
    <w:p w14:paraId="1AEF3C50" w14:textId="77777777" w:rsidR="00A91534" w:rsidRDefault="00A91534" w:rsidP="00851B31">
      <w:pPr>
        <w:tabs>
          <w:tab w:val="left" w:pos="567"/>
        </w:tabs>
        <w:spacing w:line="360" w:lineRule="auto"/>
        <w:jc w:val="both"/>
        <w:rPr>
          <w:i/>
        </w:rPr>
      </w:pPr>
    </w:p>
    <w:p w14:paraId="66E98FF1" w14:textId="77777777" w:rsidR="00A91534" w:rsidRDefault="00B23DEE" w:rsidP="00851B31">
      <w:pPr>
        <w:tabs>
          <w:tab w:val="left" w:pos="567"/>
        </w:tabs>
        <w:spacing w:line="360" w:lineRule="auto"/>
        <w:jc w:val="both"/>
        <w:rPr>
          <w:i/>
        </w:rPr>
      </w:pPr>
      <w:r>
        <w:rPr>
          <w:i/>
        </w:rPr>
        <w:t xml:space="preserve">Australian Centre for Water and Environmental Biotechnology (ACWEB, formerly AWMC), The University of Queensland, St. Lucia, Queensland 4072, Australia </w:t>
      </w:r>
    </w:p>
    <w:p w14:paraId="29440A50" w14:textId="77777777" w:rsidR="00A91534" w:rsidRDefault="00A91534" w:rsidP="00851B31">
      <w:pPr>
        <w:tabs>
          <w:tab w:val="left" w:pos="567"/>
        </w:tabs>
        <w:spacing w:line="360" w:lineRule="auto"/>
        <w:jc w:val="both"/>
        <w:rPr>
          <w:i/>
        </w:rPr>
      </w:pPr>
    </w:p>
    <w:p w14:paraId="324C58E9" w14:textId="77777777" w:rsidR="00A91534" w:rsidRDefault="00B23DEE" w:rsidP="00851B31">
      <w:pPr>
        <w:spacing w:line="360" w:lineRule="auto"/>
        <w:jc w:val="both"/>
        <w:rPr>
          <w:rFonts w:eastAsia="DengXian"/>
          <w:lang w:bidi="en-US"/>
        </w:rPr>
      </w:pPr>
      <w:r>
        <w:rPr>
          <w:iCs/>
          <w:vertAlign w:val="superscript"/>
        </w:rPr>
        <w:t>1</w:t>
      </w:r>
      <w:r>
        <w:rPr>
          <w:rFonts w:eastAsia="DengXian"/>
          <w:lang w:bidi="en-US"/>
        </w:rPr>
        <w:t xml:space="preserve"> These authors contributed equally to the work</w:t>
      </w:r>
    </w:p>
    <w:p w14:paraId="35FB9ED0" w14:textId="77777777" w:rsidR="00A91534" w:rsidRDefault="00A91534" w:rsidP="00851B31">
      <w:pPr>
        <w:spacing w:line="360" w:lineRule="auto"/>
        <w:jc w:val="both"/>
        <w:rPr>
          <w:iCs/>
        </w:rPr>
      </w:pPr>
    </w:p>
    <w:p w14:paraId="110865EF" w14:textId="77777777" w:rsidR="00A91534" w:rsidRDefault="00B23DEE" w:rsidP="00851B31">
      <w:pPr>
        <w:spacing w:line="360" w:lineRule="auto"/>
        <w:jc w:val="both"/>
      </w:pPr>
      <w:r>
        <w:t xml:space="preserve">* Corresponding author. E-mail: </w:t>
      </w:r>
      <w:hyperlink r:id="rId8" w:history="1">
        <w:r>
          <w:rPr>
            <w:rStyle w:val="Hyperlink"/>
          </w:rPr>
          <w:t>jianhua.guo@uq.edu.au</w:t>
        </w:r>
      </w:hyperlink>
      <w:r>
        <w:t xml:space="preserve"> (J. Guo). </w:t>
      </w:r>
    </w:p>
    <w:p w14:paraId="0A3B4989" w14:textId="77777777" w:rsidR="00A91534" w:rsidRDefault="00A91534" w:rsidP="00851B31">
      <w:pPr>
        <w:spacing w:line="360" w:lineRule="auto"/>
        <w:rPr>
          <w:rFonts w:eastAsia="DengXian"/>
          <w:vertAlign w:val="superscript"/>
          <w:lang w:bidi="en-US"/>
        </w:rPr>
      </w:pPr>
    </w:p>
    <w:p w14:paraId="1F80B9BB" w14:textId="77777777" w:rsidR="00A91534" w:rsidRDefault="00B23DEE" w:rsidP="00851B31">
      <w:pPr>
        <w:spacing w:line="360" w:lineRule="auto"/>
        <w:rPr>
          <w:b/>
        </w:rPr>
      </w:pPr>
      <w:r>
        <w:rPr>
          <w:b/>
        </w:rPr>
        <w:t>The following are included as supporting information for this paper:</w:t>
      </w:r>
    </w:p>
    <w:p w14:paraId="2861EDD0" w14:textId="77777777" w:rsidR="00A91534" w:rsidRDefault="00B23DEE" w:rsidP="00851B31">
      <w:pPr>
        <w:spacing w:line="360" w:lineRule="auto"/>
      </w:pPr>
      <w:r>
        <w:t xml:space="preserve">number of pages: </w:t>
      </w:r>
      <w:r w:rsidR="00851B31">
        <w:rPr>
          <w:lang w:val="en-US"/>
        </w:rPr>
        <w:t>12</w:t>
      </w:r>
    </w:p>
    <w:p w14:paraId="4FED04DA" w14:textId="77777777" w:rsidR="00A91534" w:rsidRDefault="00B23DEE" w:rsidP="00851B31">
      <w:pPr>
        <w:spacing w:line="360" w:lineRule="auto"/>
      </w:pPr>
      <w:r>
        <w:t xml:space="preserve">number of figures: </w:t>
      </w:r>
      <w:r w:rsidR="00851B31">
        <w:t>7</w:t>
      </w:r>
    </w:p>
    <w:p w14:paraId="52DFF330" w14:textId="77777777" w:rsidR="00A91534" w:rsidRDefault="00B23DEE" w:rsidP="00851B31">
      <w:pPr>
        <w:spacing w:line="360" w:lineRule="auto"/>
      </w:pPr>
      <w:r>
        <w:t>number of tables: 2</w:t>
      </w:r>
    </w:p>
    <w:p w14:paraId="74816A07" w14:textId="77777777" w:rsidR="00A91534" w:rsidRDefault="00B23DEE" w:rsidP="00851B31">
      <w:pPr>
        <w:spacing w:after="0" w:line="360" w:lineRule="auto"/>
        <w:jc w:val="both"/>
        <w:rPr>
          <w:lang w:val="en-US"/>
        </w:rPr>
      </w:pPr>
      <w:r>
        <w:br w:type="page"/>
      </w:r>
    </w:p>
    <w:p w14:paraId="23CD7678" w14:textId="77777777" w:rsidR="00A91534" w:rsidRDefault="00B23DEE" w:rsidP="00851B31">
      <w:pPr>
        <w:spacing w:before="120" w:after="120" w:line="360" w:lineRule="auto"/>
        <w:jc w:val="both"/>
        <w:outlineLvl w:val="0"/>
        <w:rPr>
          <w:b/>
          <w:lang w:val="en-GB"/>
        </w:rPr>
      </w:pPr>
      <w:r>
        <w:rPr>
          <w:b/>
          <w:lang w:val="en-GB"/>
        </w:rPr>
        <w:lastRenderedPageBreak/>
        <w:t>SUPPLEMENTARY METHODS</w:t>
      </w:r>
    </w:p>
    <w:p w14:paraId="1C46B10A" w14:textId="77777777" w:rsidR="00A91534" w:rsidRDefault="00B23DEE" w:rsidP="00851B31">
      <w:pPr>
        <w:spacing w:before="120" w:after="120" w:line="360" w:lineRule="auto"/>
        <w:jc w:val="both"/>
        <w:outlineLvl w:val="0"/>
        <w:rPr>
          <w:b/>
          <w:iCs/>
          <w:color w:val="000000" w:themeColor="text1"/>
        </w:rPr>
      </w:pPr>
      <w:r>
        <w:rPr>
          <w:b/>
          <w:iCs/>
          <w:color w:val="000000" w:themeColor="text1"/>
        </w:rPr>
        <w:t>Quantification of ROS and Cell Membrane Permeability</w:t>
      </w:r>
    </w:p>
    <w:p w14:paraId="5F027F22" w14:textId="77777777" w:rsidR="00A91534" w:rsidRDefault="00B23DEE" w:rsidP="00851B31">
      <w:pPr>
        <w:spacing w:before="120" w:after="120" w:line="360" w:lineRule="auto"/>
        <w:jc w:val="both"/>
      </w:pPr>
      <w:r>
        <w:rPr>
          <w:rFonts w:hint="eastAsia"/>
          <w:color w:val="000000" w:themeColor="text1"/>
        </w:rPr>
        <w:t xml:space="preserve">In order to investigate the mechanism of </w:t>
      </w:r>
      <w:r>
        <w:rPr>
          <w:rFonts w:hint="eastAsia"/>
          <w:color w:val="000000" w:themeColor="text1"/>
          <w:lang w:val="en-US"/>
        </w:rPr>
        <w:t>antidepressants</w:t>
      </w:r>
      <w:r>
        <w:rPr>
          <w:rFonts w:hint="eastAsia"/>
          <w:color w:val="000000" w:themeColor="text1"/>
        </w:rPr>
        <w:t xml:space="preserve">-mediated </w:t>
      </w:r>
      <w:r>
        <w:rPr>
          <w:rFonts w:hint="eastAsia"/>
          <w:color w:val="000000" w:themeColor="text1"/>
          <w:lang w:val="en-US"/>
        </w:rPr>
        <w:t>transform</w:t>
      </w:r>
      <w:r>
        <w:rPr>
          <w:rFonts w:hint="eastAsia"/>
          <w:color w:val="000000" w:themeColor="text1"/>
        </w:rPr>
        <w:t>ation, t</w:t>
      </w:r>
      <w:r>
        <w:rPr>
          <w:color w:val="000000" w:themeColor="text1"/>
        </w:rPr>
        <w:t xml:space="preserve">he detection of ROS and cell membrane permeability were also conducted on a </w:t>
      </w:r>
      <w:proofErr w:type="spellStart"/>
      <w:r>
        <w:rPr>
          <w:rFonts w:hint="eastAsia"/>
        </w:rPr>
        <w:t>CytoFLEX</w:t>
      </w:r>
      <w:proofErr w:type="spellEnd"/>
      <w:r>
        <w:rPr>
          <w:rFonts w:hint="eastAsia"/>
        </w:rPr>
        <w:t xml:space="preserve"> </w:t>
      </w:r>
      <w:r>
        <w:t>Flow cytomet</w:t>
      </w:r>
      <w:r>
        <w:rPr>
          <w:rFonts w:hint="eastAsia"/>
        </w:rPr>
        <w:t>e</w:t>
      </w:r>
      <w:r>
        <w:t>r</w:t>
      </w:r>
      <w:r>
        <w:rPr>
          <w:color w:val="000000" w:themeColor="text1"/>
        </w:rPr>
        <w:t xml:space="preserve"> according to a previous protocol</w:t>
      </w:r>
      <w:r>
        <w:rPr>
          <w:color w:val="000000" w:themeColor="text1"/>
        </w:rPr>
        <w:fldChar w:fldCharType="begin">
          <w:fldData xml:space="preserve">PEVuZE5vdGU+PENpdGU+PEF1dGhvcj5MdTwvQXV0aG9yPjxZZWFyPjIwMTg8L1llYXI+PFJlY051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</w:fldData>
        </w:fldChar>
      </w:r>
      <w:r>
        <w:rPr>
          <w:color w:val="000000" w:themeColor="text1"/>
        </w:rPr>
        <w:instrText xml:space="preserve"> ADDIN EN.CITE </w:instrText>
      </w:r>
      <w:r>
        <w:rPr>
          <w:color w:val="000000" w:themeColor="text1"/>
        </w:rPr>
        <w:fldChar w:fldCharType="begin">
          <w:fldData xml:space="preserve">PEVuZE5vdGU+PENpdGU+PEF1dGhvcj5MdTwvQXV0aG9yPjxZZWFyPjIwMTg8L1llYXI+PFJlY051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color w:val="000000" w:themeColor="text1"/>
          <w:vertAlign w:val="superscript"/>
        </w:rPr>
        <w:t>9</w:t>
      </w:r>
      <w:r>
        <w:rPr>
          <w:color w:val="000000" w:themeColor="text1"/>
        </w:rPr>
        <w:fldChar w:fldCharType="end"/>
      </w:r>
      <w:r>
        <w:rPr>
          <w:color w:val="000000" w:themeColor="text1"/>
        </w:rPr>
        <w:t>. Briefly, the cellular ROS detection was conducted by using 2’,7’ –</w:t>
      </w:r>
      <w:proofErr w:type="spellStart"/>
      <w:r>
        <w:rPr>
          <w:color w:val="000000" w:themeColor="text1"/>
        </w:rPr>
        <w:t>dichlorofluorescin</w:t>
      </w:r>
      <w:proofErr w:type="spellEnd"/>
      <w:r>
        <w:rPr>
          <w:color w:val="000000" w:themeColor="text1"/>
        </w:rPr>
        <w:t xml:space="preserve"> diacetate (DCFDA) kit (</w:t>
      </w:r>
      <w:proofErr w:type="spellStart"/>
      <w:r>
        <w:rPr>
          <w:color w:val="000000" w:themeColor="text1"/>
        </w:rPr>
        <w:t>abcam</w:t>
      </w:r>
      <w:proofErr w:type="spellEnd"/>
      <w:r>
        <w:rPr>
          <w:color w:val="000000" w:themeColor="text1"/>
        </w:rPr>
        <w:t xml:space="preserve">®, UK), following </w:t>
      </w:r>
      <w:r>
        <w:rPr>
          <w:rFonts w:hint="eastAsia"/>
          <w:color w:val="000000" w:themeColor="text1"/>
        </w:rPr>
        <w:t xml:space="preserve">the </w:t>
      </w:r>
      <w:r>
        <w:rPr>
          <w:color w:val="000000" w:themeColor="text1"/>
        </w:rPr>
        <w:t xml:space="preserve">manufacture’s protocol. Cell membrane permeabilities were measured by staining with 2 mM of propidium iodide (PI, Life Technologies, USA). A parallel detection was conducted under anaerobic conditions as mentioned above. The fold change of ROS production or cell membrane permeability was calculated </w:t>
      </w:r>
      <w:r>
        <w:t xml:space="preserve">by normalizing the ROS level or membrane permeability of </w:t>
      </w:r>
      <w:r>
        <w:rPr>
          <w:rFonts w:hint="eastAsia"/>
          <w:color w:val="000000" w:themeColor="text1"/>
          <w:lang w:val="en-US"/>
        </w:rPr>
        <w:t>antidepressants</w:t>
      </w:r>
      <w:r>
        <w:t xml:space="preserve">-treated samples to those of the corresponding untreated control. The test was conducted at least as biological triplicate. </w:t>
      </w:r>
    </w:p>
    <w:p w14:paraId="7DD42586" w14:textId="77777777" w:rsidR="00A91534" w:rsidRDefault="00A91534" w:rsidP="00851B31">
      <w:pPr>
        <w:spacing w:line="360" w:lineRule="auto"/>
        <w:rPr>
          <w:bCs/>
        </w:rPr>
      </w:pPr>
    </w:p>
    <w:p w14:paraId="4EB06E47" w14:textId="77777777" w:rsidR="00A91534" w:rsidRDefault="00B23DEE" w:rsidP="00851B31">
      <w:pPr>
        <w:spacing w:before="120" w:after="120" w:line="360" w:lineRule="auto"/>
        <w:jc w:val="both"/>
        <w:rPr>
          <w:b/>
          <w:iCs/>
          <w:color w:val="000000" w:themeColor="text1"/>
        </w:rPr>
      </w:pPr>
      <w:r>
        <w:rPr>
          <w:b/>
          <w:iCs/>
          <w:color w:val="000000" w:themeColor="text1"/>
        </w:rPr>
        <w:t>Live and Dead Staining Assays</w:t>
      </w:r>
    </w:p>
    <w:p w14:paraId="61838982" w14:textId="77777777" w:rsidR="00A91534" w:rsidRDefault="00B23DEE" w:rsidP="00851B31">
      <w:pPr>
        <w:spacing w:before="120" w:after="120" w:line="360" w:lineRule="auto"/>
        <w:jc w:val="both"/>
        <w:rPr>
          <w:color w:val="000000" w:themeColor="text1"/>
        </w:rPr>
      </w:pPr>
      <w:r>
        <w:rPr>
          <w:color w:val="000000" w:themeColor="text1"/>
        </w:rPr>
        <w:t>The</w:t>
      </w:r>
      <w:r>
        <w:rPr>
          <w:rFonts w:hint="eastAsia"/>
          <w:color w:val="000000" w:themeColor="text1"/>
        </w:rPr>
        <w:t xml:space="preserve"> inhibitory effects of </w:t>
      </w:r>
      <w:r>
        <w:rPr>
          <w:rFonts w:hint="eastAsia"/>
          <w:color w:val="000000" w:themeColor="text1"/>
          <w:lang w:val="en-US"/>
        </w:rPr>
        <w:t>antidepressants</w:t>
      </w:r>
      <w:r>
        <w:rPr>
          <w:rFonts w:hint="eastAsia"/>
          <w:color w:val="000000" w:themeColor="text1"/>
        </w:rPr>
        <w:t xml:space="preserve"> on </w:t>
      </w:r>
      <w:r>
        <w:rPr>
          <w:i/>
          <w:lang w:val="en-US"/>
        </w:rPr>
        <w:t xml:space="preserve">A. </w:t>
      </w:r>
      <w:proofErr w:type="spellStart"/>
      <w:r>
        <w:rPr>
          <w:i/>
          <w:lang w:val="en-US"/>
        </w:rPr>
        <w:t>baylyi</w:t>
      </w:r>
      <w:proofErr w:type="spellEnd"/>
      <w:r>
        <w:rPr>
          <w:rFonts w:hint="eastAsia"/>
          <w:color w:val="000000" w:themeColor="text1"/>
        </w:rPr>
        <w:t xml:space="preserve"> </w:t>
      </w:r>
      <w:r>
        <w:rPr>
          <w:color w:val="000000" w:themeColor="text1"/>
        </w:rPr>
        <w:t>w</w:t>
      </w:r>
      <w:r>
        <w:rPr>
          <w:rFonts w:hint="eastAsia"/>
          <w:color w:val="000000" w:themeColor="text1"/>
        </w:rPr>
        <w:t>ere</w:t>
      </w:r>
      <w:r>
        <w:rPr>
          <w:color w:val="000000" w:themeColor="text1"/>
        </w:rPr>
        <w:t xml:space="preserve"> quantified </w:t>
      </w:r>
      <w:r>
        <w:rPr>
          <w:rFonts w:hint="eastAsia"/>
          <w:color w:val="000000" w:themeColor="text1"/>
        </w:rPr>
        <w:t>by profiling</w:t>
      </w:r>
      <w:r>
        <w:rPr>
          <w:color w:val="000000" w:themeColor="text1"/>
        </w:rPr>
        <w:t xml:space="preserve"> </w:t>
      </w:r>
      <w:r>
        <w:rPr>
          <w:rFonts w:hint="eastAsia"/>
          <w:color w:val="000000" w:themeColor="text1"/>
        </w:rPr>
        <w:t xml:space="preserve">the percentage </w:t>
      </w:r>
      <w:r>
        <w:rPr>
          <w:color w:val="000000" w:themeColor="text1"/>
        </w:rPr>
        <w:t>of liv</w:t>
      </w:r>
      <w:r>
        <w:rPr>
          <w:rFonts w:hint="eastAsia"/>
          <w:color w:val="000000" w:themeColor="text1"/>
        </w:rPr>
        <w:t>ing</w:t>
      </w:r>
      <w:r>
        <w:rPr>
          <w:color w:val="000000" w:themeColor="text1"/>
        </w:rPr>
        <w:t xml:space="preserve">, damaged, and dead cells </w:t>
      </w:r>
      <w:r>
        <w:rPr>
          <w:rFonts w:hint="eastAsia"/>
          <w:color w:val="000000" w:themeColor="text1"/>
        </w:rPr>
        <w:t>under</w:t>
      </w:r>
      <w:r>
        <w:rPr>
          <w:color w:val="000000" w:themeColor="text1"/>
        </w:rPr>
        <w:t xml:space="preserve"> </w:t>
      </w:r>
      <w:r>
        <w:rPr>
          <w:rFonts w:hint="eastAsia"/>
          <w:color w:val="000000" w:themeColor="text1"/>
        </w:rPr>
        <w:t xml:space="preserve">various </w:t>
      </w:r>
      <w:r>
        <w:rPr>
          <w:rFonts w:hint="eastAsia"/>
          <w:color w:val="000000" w:themeColor="text1"/>
          <w:lang w:val="en-US"/>
        </w:rPr>
        <w:t>antidepressants</w:t>
      </w:r>
      <w:r>
        <w:rPr>
          <w:rFonts w:hint="eastAsia"/>
          <w:color w:val="000000" w:themeColor="text1"/>
        </w:rPr>
        <w:t xml:space="preserve"> dosages</w:t>
      </w:r>
      <w:r>
        <w:rPr>
          <w:color w:val="000000" w:themeColor="text1"/>
        </w:rPr>
        <w:t xml:space="preserve"> </w:t>
      </w:r>
      <w:r>
        <w:rPr>
          <w:rFonts w:hint="eastAsia"/>
          <w:color w:val="000000" w:themeColor="text1"/>
        </w:rPr>
        <w:t>on</w:t>
      </w:r>
      <w:r>
        <w:rPr>
          <w:color w:val="000000" w:themeColor="text1"/>
        </w:rPr>
        <w:t xml:space="preserve"> a </w:t>
      </w:r>
      <w:proofErr w:type="spellStart"/>
      <w:r>
        <w:rPr>
          <w:color w:val="000000" w:themeColor="text1"/>
        </w:rPr>
        <w:t>CytoFLEX</w:t>
      </w:r>
      <w:proofErr w:type="spellEnd"/>
      <w:r>
        <w:rPr>
          <w:color w:val="000000" w:themeColor="text1"/>
        </w:rPr>
        <w:t xml:space="preserve"> flow cytometer after duo-stained by SYTO® 9 and PI from LIVE/DEAD® </w:t>
      </w:r>
      <w:proofErr w:type="spellStart"/>
      <w:r>
        <w:rPr>
          <w:color w:val="000000" w:themeColor="text1"/>
        </w:rPr>
        <w:t>BacLight</w:t>
      </w:r>
      <w:proofErr w:type="spellEnd"/>
      <w:r>
        <w:rPr>
          <w:color w:val="000000" w:themeColor="text1"/>
        </w:rPr>
        <w:t xml:space="preserve">™ Bacterial Viability Kit (Invitrogen, USA). Stained bacterial samples were then incubated at room temperature in the dark for 30 min. The spectral setting was 488/520 (excitation/emission, in nm) for SYTO® 9, and 488/630 (excitation/emission, in nm) for PI. Untreated and heat-treated (80 </w:t>
      </w:r>
      <w:r>
        <w:rPr>
          <w:color w:val="000000" w:themeColor="text1"/>
        </w:rPr>
        <w:sym w:font="Symbol" w:char="F0B0"/>
      </w:r>
      <w:r>
        <w:rPr>
          <w:color w:val="000000" w:themeColor="text1"/>
        </w:rPr>
        <w:t>C for 2 h) bacteria were applied as controls for live and dead bacteria, respectively.</w:t>
      </w:r>
    </w:p>
    <w:p w14:paraId="0E3F39C3" w14:textId="77777777" w:rsidR="00A91534" w:rsidRDefault="00A91534" w:rsidP="00851B31">
      <w:pPr>
        <w:spacing w:line="360" w:lineRule="auto"/>
        <w:rPr>
          <w:bCs/>
          <w:lang w:val="en-US"/>
        </w:rPr>
      </w:pPr>
    </w:p>
    <w:p w14:paraId="2A97B925" w14:textId="77777777" w:rsidR="00A91534" w:rsidRDefault="00B23DEE" w:rsidP="00851B31">
      <w:pPr>
        <w:spacing w:after="0" w:line="360" w:lineRule="auto"/>
        <w:jc w:val="both"/>
        <w:rPr>
          <w:b/>
          <w:lang w:val="en-US"/>
        </w:rPr>
      </w:pPr>
      <w:r>
        <w:rPr>
          <w:b/>
          <w:lang w:val="en-GB"/>
        </w:rPr>
        <w:t>Illumina</w:t>
      </w:r>
      <w:r>
        <w:rPr>
          <w:b/>
          <w:lang w:val="en-US"/>
        </w:rPr>
        <w:t xml:space="preserve"> RNA Sequencing and Global Transcriptional Analysis</w:t>
      </w:r>
    </w:p>
    <w:p w14:paraId="19A688FA" w14:textId="77777777" w:rsidR="00A91534" w:rsidRDefault="00B23DEE" w:rsidP="00851B31">
      <w:pPr>
        <w:spacing w:line="360" w:lineRule="auto"/>
        <w:jc w:val="both"/>
        <w:rPr>
          <w:lang w:val="en-US"/>
        </w:rPr>
      </w:pPr>
      <w:r>
        <w:rPr>
          <w:lang w:val="en-US"/>
        </w:rPr>
        <w:t xml:space="preserve">Strand specific cDNA library construction and </w:t>
      </w:r>
      <w:proofErr w:type="spellStart"/>
      <w:r>
        <w:rPr>
          <w:lang w:val="en-US"/>
        </w:rPr>
        <w:t>HiSeq</w:t>
      </w:r>
      <w:proofErr w:type="spellEnd"/>
      <w:r>
        <w:rPr>
          <w:lang w:val="en-US"/>
        </w:rPr>
        <w:t xml:space="preserve"> 2500 (Illumina, USA) Illumina paired-end sequencing was conducted by </w:t>
      </w:r>
      <w:proofErr w:type="spellStart"/>
      <w:r>
        <w:rPr>
          <w:lang w:val="en-US"/>
        </w:rPr>
        <w:t>Macrogen</w:t>
      </w:r>
      <w:proofErr w:type="spellEnd"/>
      <w:r>
        <w:rPr>
          <w:lang w:val="en-US"/>
        </w:rPr>
        <w:t xml:space="preserve"> (Seoul, Korea). The NGS QC toolkit (version 2.3.3) was used to treat the raw sequence reads to trim the 3’-end residual adaptors and primers, and the ambiguous characters in the reads were removed. Then, the sequence reads consisting of at least 85% bases were progressively trimmed at the 3’-ends until a quality value ≥ 20 were kept. Downstream analyses were performed using the generated clean reads of no shorter than 75 bp. The clean reads of each sample were aligned to the </w:t>
      </w:r>
      <w:r>
        <w:rPr>
          <w:i/>
          <w:lang w:val="en-US"/>
        </w:rPr>
        <w:t xml:space="preserve">A. </w:t>
      </w:r>
      <w:proofErr w:type="spellStart"/>
      <w:r>
        <w:rPr>
          <w:i/>
          <w:lang w:val="en-US"/>
        </w:rPr>
        <w:t>baylyi</w:t>
      </w:r>
      <w:proofErr w:type="spellEnd"/>
      <w:r>
        <w:rPr>
          <w:lang w:val="en-US"/>
        </w:rPr>
        <w:t xml:space="preserve"> reference genome </w:t>
      </w:r>
      <w:r>
        <w:rPr>
          <w:lang w:val="en-US"/>
        </w:rPr>
        <w:lastRenderedPageBreak/>
        <w:t xml:space="preserve">(NC_005966.1) using </w:t>
      </w:r>
      <w:proofErr w:type="spellStart"/>
      <w:r>
        <w:rPr>
          <w:lang w:val="en-US"/>
        </w:rPr>
        <w:t>SeqAlto</w:t>
      </w:r>
      <w:proofErr w:type="spellEnd"/>
      <w:r>
        <w:rPr>
          <w:lang w:val="en-US"/>
        </w:rPr>
        <w:t xml:space="preserve"> (version 0.5). Cufflinks (version 2.2.1) was used to calculate the strand-specific coverage for each gene, and to analyze the differential gene expression in triplicate bacterial cell cultures. The statistical analyses and visualization were conducted using </w:t>
      </w:r>
      <w:proofErr w:type="spellStart"/>
      <w:r>
        <w:rPr>
          <w:lang w:val="en-US"/>
        </w:rPr>
        <w:t>CummeRbund</w:t>
      </w:r>
      <w:proofErr w:type="spellEnd"/>
      <w:r>
        <w:rPr>
          <w:lang w:val="en-US"/>
        </w:rPr>
        <w:t xml:space="preserve"> package in R (http://compbio.mit.edu/cummeRbund/). Gene expression was calculated as fragments per kilobase of a gene per million mapped reads (FPKM), a normalized value generated from the frequency of detection and the length of a given gene. Differences in fold change values were calculated between </w:t>
      </w:r>
      <w:r>
        <w:t xml:space="preserve">0 mg/L (control), 10 mg/L </w:t>
      </w:r>
      <w:r>
        <w:rPr>
          <w:rFonts w:hint="eastAsia"/>
        </w:rPr>
        <w:t>duloxetine</w:t>
      </w:r>
      <w:r>
        <w:t xml:space="preserve">, 1 and 10 mg/L </w:t>
      </w:r>
      <w:r>
        <w:rPr>
          <w:rFonts w:hint="eastAsia"/>
        </w:rPr>
        <w:t>sertraline</w:t>
      </w:r>
      <w:r>
        <w:t xml:space="preserve">, 50 mg/L </w:t>
      </w:r>
      <w:r>
        <w:rPr>
          <w:rFonts w:hint="eastAsia"/>
        </w:rPr>
        <w:t>escitalopram</w:t>
      </w:r>
      <w:r>
        <w:t xml:space="preserve">, 10 mg/L </w:t>
      </w:r>
      <w:r>
        <w:rPr>
          <w:rFonts w:hint="eastAsia"/>
        </w:rPr>
        <w:t>fluoxetine</w:t>
      </w:r>
      <w:r>
        <w:t xml:space="preserve">, 100 mg/L </w:t>
      </w:r>
      <w:r>
        <w:rPr>
          <w:rFonts w:hint="eastAsia"/>
        </w:rPr>
        <w:t>bupropion</w:t>
      </w:r>
      <w:r>
        <w:t xml:space="preserve"> and 50 mg/L </w:t>
      </w:r>
      <w:r>
        <w:rPr>
          <w:rFonts w:hint="eastAsia"/>
        </w:rPr>
        <w:t>agomelatine</w:t>
      </w:r>
      <w:r>
        <w:rPr>
          <w:lang w:val="en-GB"/>
        </w:rPr>
        <w:t xml:space="preserve"> mating system </w:t>
      </w:r>
      <w:r>
        <w:rPr>
          <w:lang w:val="en-US"/>
        </w:rPr>
        <w:t>by determining the log</w:t>
      </w:r>
      <w:r>
        <w:rPr>
          <w:vertAlign w:val="subscript"/>
          <w:lang w:val="en-US"/>
        </w:rPr>
        <w:t>2</w:t>
      </w:r>
      <w:r>
        <w:rPr>
          <w:lang w:val="en-US"/>
        </w:rPr>
        <w:t xml:space="preserve"> fold change (LFC) of the averaged FPKM values of 2</w:t>
      </w:r>
      <w:r>
        <w:rPr>
          <w:rFonts w:hint="eastAsia"/>
          <w:lang w:val="en-US"/>
        </w:rPr>
        <w:t>4</w:t>
      </w:r>
      <w:r>
        <w:rPr>
          <w:lang w:val="en-US"/>
        </w:rPr>
        <w:t xml:space="preserve">, triplicate experiments. Annotation of the differentially expressed genes was based on the online-curated Pathway Tools Genome Database, </w:t>
      </w:r>
      <w:proofErr w:type="spellStart"/>
      <w:r>
        <w:rPr>
          <w:lang w:val="en-US"/>
        </w:rPr>
        <w:t>PseudoCyc</w:t>
      </w:r>
      <w:proofErr w:type="spellEnd"/>
      <w:r>
        <w:rPr>
          <w:lang w:val="en-US"/>
        </w:rPr>
        <w:t xml:space="preserve"> (</w:t>
      </w:r>
      <w:hyperlink r:id="rId9" w:history="1">
        <w:r>
          <w:rPr>
            <w:rStyle w:val="Hyperlink"/>
            <w:lang w:val="en-US"/>
          </w:rPr>
          <w:t>http://www.pseudomonas.com</w:t>
        </w:r>
      </w:hyperlink>
      <w:r>
        <w:rPr>
          <w:lang w:val="en-US"/>
        </w:rPr>
        <w:t>).</w:t>
      </w:r>
    </w:p>
    <w:p w14:paraId="24E18BB4" w14:textId="77777777" w:rsidR="00A91534" w:rsidRDefault="00A91534" w:rsidP="00851B31">
      <w:pPr>
        <w:spacing w:line="360" w:lineRule="auto"/>
        <w:jc w:val="both"/>
        <w:rPr>
          <w:lang w:val="en-US"/>
        </w:rPr>
      </w:pPr>
    </w:p>
    <w:p w14:paraId="7BB94AA9" w14:textId="77777777" w:rsidR="00A91534" w:rsidRDefault="00B23DEE" w:rsidP="00851B31">
      <w:pPr>
        <w:spacing w:line="360" w:lineRule="auto"/>
        <w:jc w:val="both"/>
        <w:rPr>
          <w:b/>
        </w:rPr>
      </w:pPr>
      <w:r>
        <w:rPr>
          <w:b/>
        </w:rPr>
        <w:t>SWATH-MS data process and proteomic analysis</w:t>
      </w:r>
    </w:p>
    <w:p w14:paraId="0E72202C" w14:textId="77777777" w:rsidR="00A91534" w:rsidRDefault="00B23DEE" w:rsidP="00851B31">
      <w:pPr>
        <w:spacing w:line="360" w:lineRule="auto"/>
        <w:jc w:val="both"/>
        <w:rPr>
          <w:lang w:val="en-US"/>
        </w:rPr>
      </w:pPr>
      <w:r>
        <w:rPr>
          <w:lang w:val="en-US"/>
        </w:rPr>
        <w:t>For each sample, 1 </w:t>
      </w:r>
      <w:proofErr w:type="spellStart"/>
      <w:r>
        <w:rPr>
          <w:i/>
          <w:iCs/>
          <w:lang w:val="en-US"/>
        </w:rPr>
        <w:t>μ</w:t>
      </w:r>
      <w:r>
        <w:rPr>
          <w:lang w:val="en-US"/>
        </w:rPr>
        <w:t>g</w:t>
      </w:r>
      <w:proofErr w:type="spellEnd"/>
      <w:r>
        <w:rPr>
          <w:lang w:val="en-US"/>
        </w:rPr>
        <w:t xml:space="preserve"> of the digested protein was used for subsequent SWATH-MS analysis in triplicates. Additionally, 5 </w:t>
      </w:r>
      <w:proofErr w:type="spellStart"/>
      <w:r>
        <w:rPr>
          <w:lang w:val="en-US"/>
        </w:rPr>
        <w:t>μg</w:t>
      </w:r>
      <w:proofErr w:type="spellEnd"/>
      <w:r>
        <w:rPr>
          <w:lang w:val="en-US"/>
        </w:rPr>
        <w:t xml:space="preserve"> aliquots of each triplicate sample were pooled for MS library construction by information dependent analysis (IDA), which was performed in duplicate. Peptides were directly analyzed on a Triple-TOF 5600 instrument (</w:t>
      </w:r>
      <w:proofErr w:type="spellStart"/>
      <w:r>
        <w:rPr>
          <w:lang w:val="en-US"/>
        </w:rPr>
        <w:t>Sciex</w:t>
      </w:r>
      <w:proofErr w:type="spellEnd"/>
      <w:r>
        <w:rPr>
          <w:lang w:val="en-US"/>
        </w:rPr>
        <w:t xml:space="preserve">, USA) equipped with a </w:t>
      </w:r>
      <w:proofErr w:type="spellStart"/>
      <w:r>
        <w:rPr>
          <w:lang w:val="en-US"/>
        </w:rPr>
        <w:t>Nanospray</w:t>
      </w:r>
      <w:proofErr w:type="spellEnd"/>
      <w:r>
        <w:rPr>
          <w:lang w:val="en-US"/>
        </w:rPr>
        <w:t xml:space="preserve"> III interface. The IDA library and SWATH-MS data were loaded into </w:t>
      </w:r>
      <w:proofErr w:type="spellStart"/>
      <w:r>
        <w:rPr>
          <w:lang w:val="en-US"/>
        </w:rPr>
        <w:t>PeakView</w:t>
      </w:r>
      <w:proofErr w:type="spellEnd"/>
      <w:r>
        <w:rPr>
          <w:lang w:val="en-US"/>
        </w:rPr>
        <w:t xml:space="preserve"> v 1.2 software for processing using the SWATH micro-processing script, with a confidence level of 99%, the number of peptides set at five and the number of transitions used set at three. A minimum of two peptides and three transitions was used to determine the abundance of proteins. The R- based program </w:t>
      </w:r>
      <w:proofErr w:type="spellStart"/>
      <w:r>
        <w:rPr>
          <w:lang w:val="en-US"/>
        </w:rPr>
        <w:t>MSstats</w:t>
      </w:r>
      <w:proofErr w:type="spellEnd"/>
      <w:r>
        <w:rPr>
          <w:lang w:val="en-US"/>
        </w:rPr>
        <w:t xml:space="preserve"> was used for statistical analysis of the spectral data. Pathway Tools was used for metabolic pathway reconstruction of the identified proteins. Astringency cut-off of with false discovery rate (FDR) value of &lt; 0.05 was used to determine differentially abundant proteins.</w:t>
      </w:r>
    </w:p>
    <w:p w14:paraId="4B48E551" w14:textId="77777777" w:rsidR="00A91534" w:rsidRDefault="00B23DEE" w:rsidP="00851B31">
      <w:pPr>
        <w:spacing w:line="360" w:lineRule="auto"/>
        <w:rPr>
          <w:bCs/>
          <w:lang w:val="en-US"/>
        </w:rPr>
      </w:pPr>
      <w:r>
        <w:rPr>
          <w:bCs/>
          <w:lang w:val="en-US"/>
        </w:rPr>
        <w:br w:type="page"/>
      </w:r>
    </w:p>
    <w:p w14:paraId="46922A25" w14:textId="77777777" w:rsidR="00A91534" w:rsidRDefault="00B23DEE" w:rsidP="00851B31">
      <w:pPr>
        <w:spacing w:line="360" w:lineRule="auto"/>
        <w:rPr>
          <w:rFonts w:eastAsia="DengXian"/>
        </w:rPr>
      </w:pPr>
      <w:r>
        <w:rPr>
          <w:rFonts w:eastAsia="DengXian"/>
          <w:b/>
        </w:rPr>
        <w:lastRenderedPageBreak/>
        <w:t>Table S1.</w:t>
      </w:r>
      <w:r>
        <w:rPr>
          <w:rFonts w:eastAsia="DengXian"/>
        </w:rPr>
        <w:t xml:space="preserve"> Primers selected for ARGs amplification used in this study.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351"/>
        <w:gridCol w:w="1181"/>
        <w:gridCol w:w="1226"/>
      </w:tblGrid>
      <w:tr w:rsidR="00A91534" w:rsidRPr="00851B31" w14:paraId="11772DE3" w14:textId="77777777">
        <w:tc>
          <w:tcPr>
            <w:tcW w:w="1257" w:type="pct"/>
            <w:tcBorders>
              <w:top w:val="single" w:sz="4" w:space="0" w:color="auto"/>
              <w:bottom w:val="single" w:sz="4" w:space="0" w:color="auto"/>
            </w:tcBorders>
          </w:tcPr>
          <w:p w14:paraId="70679F7C"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Primer</w:t>
            </w:r>
          </w:p>
        </w:tc>
        <w:tc>
          <w:tcPr>
            <w:tcW w:w="2410" w:type="pct"/>
            <w:tcBorders>
              <w:top w:val="single" w:sz="4" w:space="0" w:color="auto"/>
              <w:bottom w:val="single" w:sz="4" w:space="0" w:color="auto"/>
            </w:tcBorders>
          </w:tcPr>
          <w:p w14:paraId="525E5447"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Sequence (5’-3’)</w:t>
            </w:r>
          </w:p>
        </w:tc>
        <w:tc>
          <w:tcPr>
            <w:tcW w:w="654" w:type="pct"/>
            <w:tcBorders>
              <w:top w:val="single" w:sz="4" w:space="0" w:color="auto"/>
              <w:bottom w:val="single" w:sz="4" w:space="0" w:color="auto"/>
            </w:tcBorders>
          </w:tcPr>
          <w:p w14:paraId="07D407EE"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Amplicon Size (bp)</w:t>
            </w:r>
          </w:p>
        </w:tc>
        <w:tc>
          <w:tcPr>
            <w:tcW w:w="679" w:type="pct"/>
            <w:tcBorders>
              <w:top w:val="single" w:sz="4" w:space="0" w:color="auto"/>
              <w:bottom w:val="single" w:sz="4" w:space="0" w:color="auto"/>
            </w:tcBorders>
          </w:tcPr>
          <w:p w14:paraId="6C40EAA8"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Annealing (</w:t>
            </w:r>
            <w:r w:rsidRPr="00851B31">
              <w:rPr>
                <w:rFonts w:ascii="Times New Roman" w:eastAsia="SimSun" w:hAnsi="Times New Roman" w:cs="Times New Roman"/>
                <w:color w:val="000000"/>
              </w:rPr>
              <w:t>℃</w:t>
            </w:r>
            <w:r w:rsidRPr="00851B31">
              <w:rPr>
                <w:rFonts w:ascii="Times New Roman" w:hAnsi="Times New Roman" w:cs="Times New Roman"/>
                <w:color w:val="000000"/>
              </w:rPr>
              <w:t>)</w:t>
            </w:r>
          </w:p>
        </w:tc>
      </w:tr>
      <w:tr w:rsidR="00A91534" w:rsidRPr="00851B31" w14:paraId="559AE29B" w14:textId="77777777">
        <w:trPr>
          <w:trHeight w:val="200"/>
        </w:trPr>
        <w:tc>
          <w:tcPr>
            <w:tcW w:w="1257" w:type="pct"/>
            <w:tcBorders>
              <w:top w:val="single" w:sz="4" w:space="0" w:color="auto"/>
            </w:tcBorders>
          </w:tcPr>
          <w:p w14:paraId="242824E0"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i/>
                <w:color w:val="000000"/>
              </w:rPr>
              <w:t>blaTEM</w:t>
            </w:r>
            <w:r w:rsidRPr="00851B31">
              <w:rPr>
                <w:rFonts w:ascii="Times New Roman" w:hAnsi="Times New Roman" w:cs="Times New Roman"/>
                <w:i/>
                <w:color w:val="000000"/>
              </w:rPr>
              <w:noBreakHyphen/>
              <w:t>1</w:t>
            </w:r>
            <w:r w:rsidRPr="00851B31">
              <w:rPr>
                <w:rFonts w:ascii="Times New Roman" w:hAnsi="Times New Roman" w:cs="Times New Roman"/>
                <w:color w:val="000000"/>
              </w:rPr>
              <w:t xml:space="preserve"> long FW</w:t>
            </w:r>
          </w:p>
        </w:tc>
        <w:tc>
          <w:tcPr>
            <w:tcW w:w="2410" w:type="pct"/>
            <w:tcBorders>
              <w:top w:val="single" w:sz="4" w:space="0" w:color="auto"/>
            </w:tcBorders>
          </w:tcPr>
          <w:p w14:paraId="331B5CD3"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TCC GGT GGA GGC CGG TAT CTG G</w:t>
            </w:r>
          </w:p>
        </w:tc>
        <w:tc>
          <w:tcPr>
            <w:tcW w:w="654" w:type="pct"/>
            <w:vMerge w:val="restart"/>
            <w:tcBorders>
              <w:top w:val="single" w:sz="4" w:space="0" w:color="auto"/>
            </w:tcBorders>
          </w:tcPr>
          <w:p w14:paraId="3BC4CE03"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861</w:t>
            </w:r>
          </w:p>
        </w:tc>
        <w:tc>
          <w:tcPr>
            <w:tcW w:w="679" w:type="pct"/>
            <w:vMerge w:val="restart"/>
            <w:tcBorders>
              <w:top w:val="single" w:sz="4" w:space="0" w:color="auto"/>
            </w:tcBorders>
          </w:tcPr>
          <w:p w14:paraId="08202E3F"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51.4</w:t>
            </w:r>
          </w:p>
        </w:tc>
      </w:tr>
      <w:tr w:rsidR="00A91534" w:rsidRPr="00851B31" w14:paraId="7A40E88D" w14:textId="77777777">
        <w:trPr>
          <w:trHeight w:val="108"/>
        </w:trPr>
        <w:tc>
          <w:tcPr>
            <w:tcW w:w="1257" w:type="pct"/>
          </w:tcPr>
          <w:p w14:paraId="31F4253B"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i/>
                <w:color w:val="000000"/>
              </w:rPr>
              <w:t>blaTEM</w:t>
            </w:r>
            <w:r w:rsidRPr="00851B31">
              <w:rPr>
                <w:rFonts w:ascii="Times New Roman" w:hAnsi="Times New Roman" w:cs="Times New Roman"/>
                <w:i/>
                <w:color w:val="000000"/>
              </w:rPr>
              <w:noBreakHyphen/>
              <w:t>1</w:t>
            </w:r>
            <w:r w:rsidRPr="00851B31">
              <w:rPr>
                <w:rFonts w:ascii="Times New Roman" w:hAnsi="Times New Roman" w:cs="Times New Roman"/>
                <w:color w:val="000000"/>
              </w:rPr>
              <w:t xml:space="preserve"> long </w:t>
            </w:r>
            <w:r w:rsidRPr="00851B31">
              <w:rPr>
                <w:rFonts w:ascii="Times New Roman" w:hAnsi="Times New Roman" w:cs="Times New Roman"/>
                <w:iCs/>
                <w:color w:val="000000"/>
              </w:rPr>
              <w:t>RV</w:t>
            </w:r>
          </w:p>
        </w:tc>
        <w:tc>
          <w:tcPr>
            <w:tcW w:w="2410" w:type="pct"/>
          </w:tcPr>
          <w:p w14:paraId="7E4528DD"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CGG GAA TGC CAT CTG CCT TGA G</w:t>
            </w:r>
          </w:p>
        </w:tc>
        <w:tc>
          <w:tcPr>
            <w:tcW w:w="654" w:type="pct"/>
            <w:vMerge/>
          </w:tcPr>
          <w:p w14:paraId="3E3D9DB9" w14:textId="77777777" w:rsidR="00A91534" w:rsidRPr="00851B31" w:rsidRDefault="00A91534" w:rsidP="00851B31">
            <w:pPr>
              <w:spacing w:after="0" w:line="360" w:lineRule="auto"/>
              <w:jc w:val="center"/>
              <w:rPr>
                <w:rFonts w:ascii="Times New Roman" w:hAnsi="Times New Roman" w:cs="Times New Roman"/>
                <w:color w:val="000000"/>
              </w:rPr>
            </w:pPr>
          </w:p>
        </w:tc>
        <w:tc>
          <w:tcPr>
            <w:tcW w:w="679" w:type="pct"/>
            <w:vMerge/>
          </w:tcPr>
          <w:p w14:paraId="5CD88A5D" w14:textId="77777777" w:rsidR="00A91534" w:rsidRPr="00851B31" w:rsidRDefault="00A91534" w:rsidP="00851B31">
            <w:pPr>
              <w:spacing w:after="0" w:line="360" w:lineRule="auto"/>
              <w:jc w:val="center"/>
              <w:rPr>
                <w:rFonts w:ascii="Times New Roman" w:hAnsi="Times New Roman" w:cs="Times New Roman"/>
                <w:color w:val="000000"/>
              </w:rPr>
            </w:pPr>
          </w:p>
        </w:tc>
      </w:tr>
      <w:tr w:rsidR="00A91534" w:rsidRPr="00851B31" w14:paraId="6A2B312B" w14:textId="77777777">
        <w:trPr>
          <w:trHeight w:val="224"/>
        </w:trPr>
        <w:tc>
          <w:tcPr>
            <w:tcW w:w="1257" w:type="pct"/>
          </w:tcPr>
          <w:p w14:paraId="2726501A" w14:textId="77777777" w:rsidR="00A91534" w:rsidRPr="00851B31" w:rsidRDefault="00B23DEE" w:rsidP="00851B31">
            <w:pPr>
              <w:spacing w:after="0" w:line="360" w:lineRule="auto"/>
              <w:jc w:val="center"/>
              <w:rPr>
                <w:rFonts w:ascii="Times New Roman" w:hAnsi="Times New Roman" w:cs="Times New Roman"/>
                <w:color w:val="000000"/>
              </w:rPr>
            </w:pPr>
            <w:proofErr w:type="spellStart"/>
            <w:r w:rsidRPr="00851B31">
              <w:rPr>
                <w:rFonts w:ascii="Times New Roman" w:hAnsi="Times New Roman" w:cs="Times New Roman"/>
                <w:i/>
                <w:color w:val="000000"/>
              </w:rPr>
              <w:t>tetA</w:t>
            </w:r>
            <w:proofErr w:type="spellEnd"/>
            <w:r w:rsidRPr="00851B31">
              <w:rPr>
                <w:rFonts w:ascii="Times New Roman" w:hAnsi="Times New Roman" w:cs="Times New Roman"/>
                <w:color w:val="000000"/>
              </w:rPr>
              <w:t xml:space="preserve"> long FW</w:t>
            </w:r>
          </w:p>
        </w:tc>
        <w:tc>
          <w:tcPr>
            <w:tcW w:w="2410" w:type="pct"/>
          </w:tcPr>
          <w:p w14:paraId="03DBB810"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rPr>
              <w:t>GCTACATCCTGCTTGCCTTC</w:t>
            </w:r>
          </w:p>
        </w:tc>
        <w:tc>
          <w:tcPr>
            <w:tcW w:w="654" w:type="pct"/>
            <w:vMerge w:val="restart"/>
          </w:tcPr>
          <w:p w14:paraId="1F30DD49"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rPr>
              <w:t>1200</w:t>
            </w:r>
          </w:p>
        </w:tc>
        <w:tc>
          <w:tcPr>
            <w:tcW w:w="679" w:type="pct"/>
            <w:vMerge w:val="restart"/>
          </w:tcPr>
          <w:p w14:paraId="30A5F816"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color w:val="000000"/>
              </w:rPr>
              <w:t>51.9</w:t>
            </w:r>
          </w:p>
        </w:tc>
      </w:tr>
      <w:tr w:rsidR="00A91534" w:rsidRPr="00851B31" w14:paraId="39107428" w14:textId="77777777">
        <w:trPr>
          <w:trHeight w:val="92"/>
        </w:trPr>
        <w:tc>
          <w:tcPr>
            <w:tcW w:w="1257" w:type="pct"/>
          </w:tcPr>
          <w:p w14:paraId="160A1BE9" w14:textId="77777777" w:rsidR="00A91534" w:rsidRPr="00851B31" w:rsidRDefault="00B23DEE" w:rsidP="00851B31">
            <w:pPr>
              <w:spacing w:after="0" w:line="360" w:lineRule="auto"/>
              <w:jc w:val="center"/>
              <w:rPr>
                <w:rFonts w:ascii="Times New Roman" w:hAnsi="Times New Roman" w:cs="Times New Roman"/>
                <w:iCs/>
                <w:color w:val="000000"/>
              </w:rPr>
            </w:pPr>
            <w:proofErr w:type="spellStart"/>
            <w:r w:rsidRPr="00851B31">
              <w:rPr>
                <w:rFonts w:ascii="Times New Roman" w:hAnsi="Times New Roman" w:cs="Times New Roman"/>
                <w:i/>
                <w:color w:val="000000"/>
              </w:rPr>
              <w:t>tetA</w:t>
            </w:r>
            <w:proofErr w:type="spellEnd"/>
            <w:r w:rsidRPr="00851B31">
              <w:rPr>
                <w:rFonts w:ascii="Times New Roman" w:hAnsi="Times New Roman" w:cs="Times New Roman"/>
                <w:color w:val="000000"/>
              </w:rPr>
              <w:t xml:space="preserve"> long RV</w:t>
            </w:r>
          </w:p>
        </w:tc>
        <w:tc>
          <w:tcPr>
            <w:tcW w:w="2410" w:type="pct"/>
          </w:tcPr>
          <w:p w14:paraId="1CDD7298" w14:textId="77777777" w:rsidR="00A91534" w:rsidRPr="00851B31" w:rsidRDefault="00B23DEE" w:rsidP="00851B31">
            <w:pPr>
              <w:spacing w:after="0" w:line="360" w:lineRule="auto"/>
              <w:jc w:val="center"/>
              <w:rPr>
                <w:rFonts w:ascii="Times New Roman" w:hAnsi="Times New Roman" w:cs="Times New Roman"/>
                <w:color w:val="000000"/>
              </w:rPr>
            </w:pPr>
            <w:r w:rsidRPr="00851B31">
              <w:rPr>
                <w:rFonts w:ascii="Times New Roman" w:hAnsi="Times New Roman" w:cs="Times New Roman"/>
              </w:rPr>
              <w:t>CATAGATCGCCGTGA AGAGG</w:t>
            </w:r>
          </w:p>
        </w:tc>
        <w:tc>
          <w:tcPr>
            <w:tcW w:w="654" w:type="pct"/>
            <w:vMerge/>
          </w:tcPr>
          <w:p w14:paraId="7681E67D" w14:textId="77777777" w:rsidR="00A91534" w:rsidRPr="00851B31" w:rsidRDefault="00A91534" w:rsidP="00851B31">
            <w:pPr>
              <w:spacing w:after="0" w:line="360" w:lineRule="auto"/>
              <w:jc w:val="center"/>
              <w:rPr>
                <w:rFonts w:ascii="Times New Roman" w:hAnsi="Times New Roman" w:cs="Times New Roman"/>
                <w:color w:val="000000"/>
              </w:rPr>
            </w:pPr>
          </w:p>
        </w:tc>
        <w:tc>
          <w:tcPr>
            <w:tcW w:w="679" w:type="pct"/>
            <w:vMerge/>
          </w:tcPr>
          <w:p w14:paraId="70744F3B" w14:textId="77777777" w:rsidR="00A91534" w:rsidRPr="00851B31" w:rsidRDefault="00A91534" w:rsidP="00851B31">
            <w:pPr>
              <w:spacing w:after="0" w:line="360" w:lineRule="auto"/>
              <w:jc w:val="center"/>
              <w:rPr>
                <w:rFonts w:ascii="Times New Roman" w:hAnsi="Times New Roman" w:cs="Times New Roman"/>
                <w:color w:val="000000"/>
              </w:rPr>
            </w:pPr>
          </w:p>
        </w:tc>
      </w:tr>
    </w:tbl>
    <w:p w14:paraId="474507C2" w14:textId="77777777" w:rsidR="00A91534" w:rsidRDefault="00A91534" w:rsidP="00851B31">
      <w:pPr>
        <w:spacing w:line="360" w:lineRule="auto"/>
        <w:rPr>
          <w:rFonts w:eastAsia="DengXian"/>
          <w:b/>
        </w:rPr>
      </w:pPr>
    </w:p>
    <w:p w14:paraId="3E478687" w14:textId="77777777" w:rsidR="00A91534" w:rsidRDefault="00B23DEE" w:rsidP="00851B31">
      <w:pPr>
        <w:spacing w:line="360" w:lineRule="auto"/>
        <w:rPr>
          <w:rFonts w:eastAsia="DengXian"/>
          <w:b/>
        </w:rPr>
      </w:pPr>
      <w:r>
        <w:rPr>
          <w:rFonts w:eastAsia="DengXian"/>
          <w:b/>
        </w:rPr>
        <w:br w:type="page"/>
      </w:r>
    </w:p>
    <w:p w14:paraId="5900B5D8" w14:textId="77777777" w:rsidR="00A91534" w:rsidRDefault="00B23DEE" w:rsidP="00851B31">
      <w:pPr>
        <w:spacing w:line="360" w:lineRule="auto"/>
        <w:rPr>
          <w:rFonts w:eastAsia="DengXian"/>
          <w:bCs/>
        </w:rPr>
      </w:pPr>
      <w:r>
        <w:rPr>
          <w:rFonts w:eastAsia="DengXian"/>
          <w:b/>
        </w:rPr>
        <w:lastRenderedPageBreak/>
        <w:t>Table S2.</w:t>
      </w:r>
      <w:r>
        <w:rPr>
          <w:rFonts w:eastAsia="DengXian"/>
        </w:rPr>
        <w:t xml:space="preserve"> </w:t>
      </w:r>
      <w:r>
        <w:rPr>
          <w:rFonts w:eastAsia="DengXian"/>
          <w:bCs/>
        </w:rPr>
        <w:t>MIC</w:t>
      </w:r>
      <w:r>
        <w:rPr>
          <w:rFonts w:eastAsia="DengXian"/>
          <w:bCs/>
          <w:vertAlign w:val="subscript"/>
        </w:rPr>
        <w:t>90</w:t>
      </w:r>
      <w:r>
        <w:rPr>
          <w:rFonts w:eastAsia="DengXian"/>
          <w:bCs/>
        </w:rPr>
        <w:t xml:space="preserve"> in mg/L of recipient and transformants (mediated by different antidepressants), against all tested antidepressants, ampicillin (Amp) and tetracycline (Tet).</w:t>
      </w:r>
    </w:p>
    <w:tbl>
      <w:tblPr>
        <w:tblStyle w:val="TableGrid1"/>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804"/>
        <w:gridCol w:w="846"/>
        <w:gridCol w:w="847"/>
        <w:gridCol w:w="847"/>
        <w:gridCol w:w="847"/>
        <w:gridCol w:w="847"/>
        <w:gridCol w:w="847"/>
        <w:gridCol w:w="847"/>
        <w:gridCol w:w="854"/>
      </w:tblGrid>
      <w:tr w:rsidR="00A91534" w14:paraId="25D916BC" w14:textId="77777777">
        <w:trPr>
          <w:trHeight w:val="397"/>
        </w:trPr>
        <w:tc>
          <w:tcPr>
            <w:tcW w:w="1244" w:type="pct"/>
            <w:gridSpan w:val="2"/>
            <w:tcBorders>
              <w:top w:val="single" w:sz="4" w:space="0" w:color="auto"/>
              <w:bottom w:val="nil"/>
            </w:tcBorders>
          </w:tcPr>
          <w:p w14:paraId="0B4D0048" w14:textId="77777777" w:rsidR="00A91534" w:rsidRDefault="00A91534" w:rsidP="00851B31">
            <w:pPr>
              <w:snapToGrid w:val="0"/>
              <w:spacing w:after="0" w:line="360" w:lineRule="auto"/>
              <w:jc w:val="center"/>
              <w:rPr>
                <w:rFonts w:eastAsia="DengXian"/>
                <w:bCs/>
                <w:sz w:val="20"/>
                <w:szCs w:val="20"/>
              </w:rPr>
            </w:pPr>
          </w:p>
        </w:tc>
        <w:tc>
          <w:tcPr>
            <w:tcW w:w="3756" w:type="pct"/>
            <w:gridSpan w:val="8"/>
            <w:tcBorders>
              <w:top w:val="single" w:sz="4" w:space="0" w:color="auto"/>
              <w:bottom w:val="single" w:sz="4" w:space="0" w:color="auto"/>
            </w:tcBorders>
          </w:tcPr>
          <w:p w14:paraId="24107159" w14:textId="77777777" w:rsidR="00A91534" w:rsidRDefault="00B23DEE" w:rsidP="00851B31">
            <w:pPr>
              <w:snapToGrid w:val="0"/>
              <w:spacing w:after="0" w:line="360" w:lineRule="auto"/>
              <w:jc w:val="center"/>
              <w:rPr>
                <w:rFonts w:eastAsia="Times New Roman"/>
                <w:kern w:val="24"/>
                <w:sz w:val="20"/>
                <w:szCs w:val="20"/>
              </w:rPr>
            </w:pPr>
            <w:r>
              <w:rPr>
                <w:rFonts w:eastAsia="DengXian"/>
                <w:bCs/>
                <w:sz w:val="20"/>
                <w:szCs w:val="20"/>
              </w:rPr>
              <w:t>C</w:t>
            </w:r>
            <w:r>
              <w:rPr>
                <w:rFonts w:eastAsia="DengXian" w:hint="eastAsia"/>
                <w:bCs/>
                <w:sz w:val="20"/>
                <w:szCs w:val="20"/>
              </w:rPr>
              <w:t>hemical</w:t>
            </w:r>
          </w:p>
        </w:tc>
      </w:tr>
      <w:tr w:rsidR="00A91534" w14:paraId="0718DD2A" w14:textId="77777777">
        <w:trPr>
          <w:trHeight w:val="397"/>
        </w:trPr>
        <w:tc>
          <w:tcPr>
            <w:tcW w:w="1244" w:type="pct"/>
            <w:gridSpan w:val="2"/>
            <w:tcBorders>
              <w:top w:val="nil"/>
              <w:bottom w:val="nil"/>
            </w:tcBorders>
          </w:tcPr>
          <w:p w14:paraId="1449F501" w14:textId="77777777" w:rsidR="00A91534" w:rsidRDefault="00A91534" w:rsidP="00851B31">
            <w:pPr>
              <w:snapToGrid w:val="0"/>
              <w:spacing w:after="0" w:line="360" w:lineRule="auto"/>
              <w:jc w:val="center"/>
              <w:rPr>
                <w:rFonts w:eastAsia="DengXian"/>
                <w:bCs/>
                <w:sz w:val="20"/>
                <w:szCs w:val="20"/>
              </w:rPr>
            </w:pPr>
          </w:p>
        </w:tc>
        <w:tc>
          <w:tcPr>
            <w:tcW w:w="469" w:type="pct"/>
            <w:tcBorders>
              <w:top w:val="single" w:sz="4" w:space="0" w:color="auto"/>
              <w:bottom w:val="single" w:sz="4" w:space="0" w:color="auto"/>
            </w:tcBorders>
          </w:tcPr>
          <w:p w14:paraId="7448DE82" w14:textId="77777777" w:rsidR="00A91534" w:rsidRDefault="00B23DEE" w:rsidP="00851B31">
            <w:pPr>
              <w:snapToGrid w:val="0"/>
              <w:spacing w:after="0" w:line="360" w:lineRule="auto"/>
              <w:jc w:val="center"/>
              <w:rPr>
                <w:rFonts w:eastAsia="DengXian"/>
                <w:bCs/>
                <w:kern w:val="24"/>
                <w:sz w:val="20"/>
                <w:szCs w:val="20"/>
              </w:rPr>
            </w:pPr>
            <w:r>
              <w:rPr>
                <w:rFonts w:eastAsia="DengXian"/>
                <w:bCs/>
                <w:sz w:val="20"/>
                <w:szCs w:val="20"/>
              </w:rPr>
              <w:t>Flu</w:t>
            </w:r>
          </w:p>
        </w:tc>
        <w:tc>
          <w:tcPr>
            <w:tcW w:w="469" w:type="pct"/>
            <w:tcBorders>
              <w:top w:val="single" w:sz="4" w:space="0" w:color="auto"/>
              <w:bottom w:val="single" w:sz="4" w:space="0" w:color="auto"/>
            </w:tcBorders>
          </w:tcPr>
          <w:p w14:paraId="2A8D1571" w14:textId="77777777" w:rsidR="00A91534" w:rsidRDefault="00B23DEE" w:rsidP="00851B31">
            <w:pPr>
              <w:snapToGrid w:val="0"/>
              <w:spacing w:after="0" w:line="360" w:lineRule="auto"/>
              <w:jc w:val="center"/>
              <w:rPr>
                <w:rFonts w:eastAsia="DengXian"/>
                <w:bCs/>
                <w:kern w:val="24"/>
                <w:sz w:val="20"/>
                <w:szCs w:val="20"/>
              </w:rPr>
            </w:pPr>
            <w:proofErr w:type="spellStart"/>
            <w:r>
              <w:rPr>
                <w:rFonts w:eastAsia="DengXian"/>
                <w:bCs/>
                <w:sz w:val="20"/>
                <w:szCs w:val="20"/>
              </w:rPr>
              <w:t>Dul</w:t>
            </w:r>
            <w:proofErr w:type="spellEnd"/>
          </w:p>
        </w:tc>
        <w:tc>
          <w:tcPr>
            <w:tcW w:w="469" w:type="pct"/>
            <w:tcBorders>
              <w:top w:val="single" w:sz="4" w:space="0" w:color="auto"/>
              <w:bottom w:val="single" w:sz="4" w:space="0" w:color="auto"/>
            </w:tcBorders>
          </w:tcPr>
          <w:p w14:paraId="017C5F67" w14:textId="77777777" w:rsidR="00A91534" w:rsidRDefault="00B23DEE" w:rsidP="00851B31">
            <w:pPr>
              <w:snapToGrid w:val="0"/>
              <w:spacing w:after="0" w:line="360" w:lineRule="auto"/>
              <w:jc w:val="center"/>
              <w:rPr>
                <w:rFonts w:eastAsia="DengXian"/>
                <w:bCs/>
                <w:sz w:val="20"/>
                <w:szCs w:val="20"/>
              </w:rPr>
            </w:pPr>
            <w:r>
              <w:rPr>
                <w:rFonts w:eastAsia="DengXian"/>
                <w:bCs/>
                <w:sz w:val="20"/>
                <w:szCs w:val="20"/>
              </w:rPr>
              <w:t>Ser</w:t>
            </w:r>
          </w:p>
        </w:tc>
        <w:tc>
          <w:tcPr>
            <w:tcW w:w="469" w:type="pct"/>
            <w:tcBorders>
              <w:top w:val="single" w:sz="4" w:space="0" w:color="auto"/>
              <w:bottom w:val="single" w:sz="4" w:space="0" w:color="auto"/>
            </w:tcBorders>
          </w:tcPr>
          <w:p w14:paraId="1B64B39C" w14:textId="77777777" w:rsidR="00A91534" w:rsidRDefault="00B23DEE" w:rsidP="00851B31">
            <w:pPr>
              <w:snapToGrid w:val="0"/>
              <w:spacing w:after="0" w:line="360" w:lineRule="auto"/>
              <w:jc w:val="center"/>
              <w:rPr>
                <w:rFonts w:eastAsia="DengXian"/>
                <w:bCs/>
                <w:sz w:val="20"/>
                <w:szCs w:val="20"/>
              </w:rPr>
            </w:pPr>
            <w:proofErr w:type="spellStart"/>
            <w:r>
              <w:rPr>
                <w:rFonts w:eastAsia="DengXian"/>
                <w:bCs/>
                <w:sz w:val="20"/>
                <w:szCs w:val="20"/>
              </w:rPr>
              <w:t>Bup</w:t>
            </w:r>
            <w:proofErr w:type="spellEnd"/>
          </w:p>
        </w:tc>
        <w:tc>
          <w:tcPr>
            <w:tcW w:w="469" w:type="pct"/>
            <w:tcBorders>
              <w:top w:val="single" w:sz="4" w:space="0" w:color="auto"/>
              <w:bottom w:val="single" w:sz="4" w:space="0" w:color="auto"/>
            </w:tcBorders>
          </w:tcPr>
          <w:p w14:paraId="014B1C34" w14:textId="77777777" w:rsidR="00A91534" w:rsidRDefault="00B23DEE" w:rsidP="00851B31">
            <w:pPr>
              <w:snapToGrid w:val="0"/>
              <w:spacing w:after="0" w:line="360" w:lineRule="auto"/>
              <w:jc w:val="center"/>
              <w:rPr>
                <w:rFonts w:eastAsia="DengXian"/>
                <w:bCs/>
                <w:sz w:val="20"/>
                <w:szCs w:val="20"/>
              </w:rPr>
            </w:pPr>
            <w:r>
              <w:rPr>
                <w:rFonts w:eastAsia="DengXian"/>
                <w:bCs/>
                <w:sz w:val="20"/>
                <w:szCs w:val="20"/>
              </w:rPr>
              <w:t>Esc</w:t>
            </w:r>
          </w:p>
        </w:tc>
        <w:tc>
          <w:tcPr>
            <w:tcW w:w="469" w:type="pct"/>
            <w:tcBorders>
              <w:top w:val="single" w:sz="4" w:space="0" w:color="auto"/>
              <w:bottom w:val="single" w:sz="4" w:space="0" w:color="auto"/>
            </w:tcBorders>
          </w:tcPr>
          <w:p w14:paraId="39859C2B" w14:textId="77777777" w:rsidR="00A91534" w:rsidRDefault="00B23DEE" w:rsidP="00851B31">
            <w:pPr>
              <w:snapToGrid w:val="0"/>
              <w:spacing w:after="0" w:line="360" w:lineRule="auto"/>
              <w:jc w:val="center"/>
              <w:rPr>
                <w:rFonts w:eastAsia="DengXian"/>
                <w:bCs/>
                <w:kern w:val="24"/>
                <w:sz w:val="20"/>
                <w:szCs w:val="20"/>
              </w:rPr>
            </w:pPr>
            <w:r>
              <w:rPr>
                <w:rFonts w:eastAsia="DengXian"/>
                <w:bCs/>
                <w:sz w:val="20"/>
                <w:szCs w:val="20"/>
              </w:rPr>
              <w:t>Ago</w:t>
            </w:r>
          </w:p>
        </w:tc>
        <w:tc>
          <w:tcPr>
            <w:tcW w:w="469" w:type="pct"/>
            <w:tcBorders>
              <w:top w:val="single" w:sz="4" w:space="0" w:color="auto"/>
              <w:bottom w:val="single" w:sz="4" w:space="0" w:color="auto"/>
            </w:tcBorders>
          </w:tcPr>
          <w:p w14:paraId="55C4F254" w14:textId="77777777" w:rsidR="00A91534" w:rsidRDefault="00B23DEE" w:rsidP="00851B31">
            <w:pPr>
              <w:snapToGrid w:val="0"/>
              <w:spacing w:after="0" w:line="360" w:lineRule="auto"/>
              <w:jc w:val="center"/>
              <w:rPr>
                <w:rFonts w:eastAsia="DengXian"/>
                <w:bCs/>
                <w:kern w:val="24"/>
                <w:sz w:val="20"/>
                <w:szCs w:val="20"/>
              </w:rPr>
            </w:pPr>
            <w:r>
              <w:rPr>
                <w:rFonts w:eastAsia="Times New Roman"/>
                <w:kern w:val="24"/>
                <w:sz w:val="20"/>
                <w:szCs w:val="20"/>
              </w:rPr>
              <w:t>Amp</w:t>
            </w:r>
          </w:p>
        </w:tc>
        <w:tc>
          <w:tcPr>
            <w:tcW w:w="472" w:type="pct"/>
            <w:tcBorders>
              <w:top w:val="single" w:sz="4" w:space="0" w:color="auto"/>
              <w:bottom w:val="single" w:sz="4" w:space="0" w:color="auto"/>
            </w:tcBorders>
          </w:tcPr>
          <w:p w14:paraId="7F915FE5" w14:textId="77777777" w:rsidR="00A91534" w:rsidRDefault="00B23DEE" w:rsidP="00851B31">
            <w:pPr>
              <w:snapToGrid w:val="0"/>
              <w:spacing w:after="0" w:line="360" w:lineRule="auto"/>
              <w:jc w:val="center"/>
              <w:rPr>
                <w:rFonts w:eastAsia="DengXian"/>
                <w:bCs/>
                <w:kern w:val="24"/>
                <w:sz w:val="20"/>
                <w:szCs w:val="20"/>
              </w:rPr>
            </w:pPr>
            <w:r>
              <w:rPr>
                <w:rFonts w:eastAsia="Times New Roman"/>
                <w:kern w:val="24"/>
                <w:sz w:val="20"/>
                <w:szCs w:val="20"/>
              </w:rPr>
              <w:t>Tet</w:t>
            </w:r>
          </w:p>
        </w:tc>
      </w:tr>
      <w:tr w:rsidR="00A91534" w14:paraId="2CB7F14C" w14:textId="77777777">
        <w:trPr>
          <w:trHeight w:val="397"/>
        </w:trPr>
        <w:tc>
          <w:tcPr>
            <w:tcW w:w="1244" w:type="pct"/>
            <w:gridSpan w:val="2"/>
            <w:tcBorders>
              <w:top w:val="nil"/>
              <w:bottom w:val="single" w:sz="4" w:space="0" w:color="auto"/>
            </w:tcBorders>
          </w:tcPr>
          <w:p w14:paraId="5FE9493B" w14:textId="77777777" w:rsidR="00A91534" w:rsidRDefault="00B23DEE" w:rsidP="00851B31">
            <w:pPr>
              <w:snapToGrid w:val="0"/>
              <w:spacing w:after="0" w:line="360" w:lineRule="auto"/>
              <w:jc w:val="center"/>
              <w:rPr>
                <w:rFonts w:eastAsia="DengXian"/>
                <w:bCs/>
                <w:sz w:val="20"/>
                <w:szCs w:val="20"/>
              </w:rPr>
            </w:pPr>
            <w:r>
              <w:rPr>
                <w:rFonts w:eastAsia="DengXian"/>
                <w:bCs/>
                <w:sz w:val="20"/>
                <w:szCs w:val="20"/>
              </w:rPr>
              <w:t>Organisms</w:t>
            </w:r>
          </w:p>
        </w:tc>
        <w:tc>
          <w:tcPr>
            <w:tcW w:w="3756" w:type="pct"/>
            <w:gridSpan w:val="8"/>
            <w:tcBorders>
              <w:top w:val="single" w:sz="4" w:space="0" w:color="auto"/>
              <w:bottom w:val="single" w:sz="4" w:space="0" w:color="auto"/>
            </w:tcBorders>
          </w:tcPr>
          <w:p w14:paraId="13AB4663" w14:textId="77777777" w:rsidR="00A91534" w:rsidRDefault="00B23DEE" w:rsidP="00851B31">
            <w:pPr>
              <w:snapToGrid w:val="0"/>
              <w:spacing w:after="0" w:line="360" w:lineRule="auto"/>
              <w:jc w:val="center"/>
              <w:rPr>
                <w:rFonts w:eastAsia="Times New Roman"/>
                <w:kern w:val="24"/>
                <w:sz w:val="20"/>
                <w:szCs w:val="20"/>
              </w:rPr>
            </w:pPr>
            <w:r>
              <w:rPr>
                <w:rFonts w:eastAsia="Times New Roman"/>
                <w:kern w:val="24"/>
                <w:sz w:val="20"/>
                <w:szCs w:val="20"/>
              </w:rPr>
              <w:t>MIC</w:t>
            </w:r>
            <w:r>
              <w:rPr>
                <w:rFonts w:eastAsia="Times New Roman"/>
                <w:kern w:val="24"/>
                <w:sz w:val="20"/>
                <w:szCs w:val="20"/>
                <w:vertAlign w:val="subscript"/>
              </w:rPr>
              <w:t>90</w:t>
            </w:r>
            <w:r>
              <w:rPr>
                <w:rFonts w:eastAsia="Times New Roman"/>
                <w:kern w:val="24"/>
                <w:sz w:val="20"/>
                <w:szCs w:val="20"/>
              </w:rPr>
              <w:t xml:space="preserve"> (mg/L)</w:t>
            </w:r>
          </w:p>
        </w:tc>
      </w:tr>
      <w:tr w:rsidR="00A91534" w14:paraId="779D88AD" w14:textId="77777777">
        <w:trPr>
          <w:trHeight w:val="397"/>
        </w:trPr>
        <w:tc>
          <w:tcPr>
            <w:tcW w:w="1244" w:type="pct"/>
            <w:gridSpan w:val="2"/>
            <w:tcBorders>
              <w:top w:val="single" w:sz="4" w:space="0" w:color="auto"/>
              <w:bottom w:val="nil"/>
            </w:tcBorders>
          </w:tcPr>
          <w:p w14:paraId="27B0C654" w14:textId="77777777" w:rsidR="00A91534" w:rsidRDefault="00B23DEE" w:rsidP="00851B31">
            <w:pPr>
              <w:snapToGrid w:val="0"/>
              <w:spacing w:after="0" w:line="360" w:lineRule="auto"/>
              <w:jc w:val="center"/>
              <w:rPr>
                <w:rFonts w:eastAsia="DengXian"/>
                <w:bCs/>
                <w:kern w:val="24"/>
                <w:sz w:val="20"/>
                <w:szCs w:val="20"/>
              </w:rPr>
            </w:pPr>
            <w:r>
              <w:rPr>
                <w:rFonts w:eastAsia="DengXian" w:hint="eastAsia"/>
                <w:bCs/>
                <w:kern w:val="24"/>
                <w:sz w:val="20"/>
                <w:szCs w:val="20"/>
              </w:rPr>
              <w:t>R</w:t>
            </w:r>
            <w:r>
              <w:rPr>
                <w:rFonts w:eastAsia="DengXian"/>
                <w:bCs/>
                <w:kern w:val="24"/>
                <w:sz w:val="20"/>
                <w:szCs w:val="20"/>
              </w:rPr>
              <w:t>ecipient</w:t>
            </w:r>
          </w:p>
        </w:tc>
        <w:tc>
          <w:tcPr>
            <w:tcW w:w="469" w:type="pct"/>
            <w:tcBorders>
              <w:top w:val="single" w:sz="4" w:space="0" w:color="auto"/>
              <w:bottom w:val="nil"/>
            </w:tcBorders>
          </w:tcPr>
          <w:p w14:paraId="43B55690"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single" w:sz="4" w:space="0" w:color="auto"/>
              <w:bottom w:val="nil"/>
            </w:tcBorders>
          </w:tcPr>
          <w:p w14:paraId="1EC6A82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single" w:sz="4" w:space="0" w:color="auto"/>
              <w:bottom w:val="nil"/>
            </w:tcBorders>
          </w:tcPr>
          <w:p w14:paraId="462ECCB2"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single" w:sz="4" w:space="0" w:color="auto"/>
              <w:bottom w:val="nil"/>
            </w:tcBorders>
          </w:tcPr>
          <w:p w14:paraId="0C6F964B"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single" w:sz="4" w:space="0" w:color="auto"/>
              <w:bottom w:val="nil"/>
            </w:tcBorders>
          </w:tcPr>
          <w:p w14:paraId="2FE5759E"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single" w:sz="4" w:space="0" w:color="auto"/>
              <w:bottom w:val="nil"/>
            </w:tcBorders>
          </w:tcPr>
          <w:p w14:paraId="10DDF4FC"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single" w:sz="4" w:space="0" w:color="auto"/>
              <w:bottom w:val="nil"/>
            </w:tcBorders>
          </w:tcPr>
          <w:p w14:paraId="2E0C1F12"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72" w:type="pct"/>
            <w:tcBorders>
              <w:top w:val="single" w:sz="4" w:space="0" w:color="auto"/>
              <w:bottom w:val="nil"/>
            </w:tcBorders>
          </w:tcPr>
          <w:p w14:paraId="2210BFD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w:t>
            </w:r>
          </w:p>
        </w:tc>
      </w:tr>
      <w:tr w:rsidR="00A91534" w14:paraId="76E7AB8B" w14:textId="77777777">
        <w:trPr>
          <w:trHeight w:val="397"/>
        </w:trPr>
        <w:tc>
          <w:tcPr>
            <w:tcW w:w="798" w:type="pct"/>
            <w:vMerge w:val="restart"/>
            <w:tcBorders>
              <w:top w:val="nil"/>
              <w:left w:val="nil"/>
              <w:bottom w:val="nil"/>
              <w:right w:val="nil"/>
            </w:tcBorders>
            <w:vAlign w:val="center"/>
          </w:tcPr>
          <w:p w14:paraId="71915DAA" w14:textId="77777777" w:rsidR="00A91534" w:rsidRDefault="00B23DEE" w:rsidP="00851B31">
            <w:pPr>
              <w:snapToGrid w:val="0"/>
              <w:spacing w:after="0" w:line="360" w:lineRule="auto"/>
              <w:jc w:val="both"/>
              <w:rPr>
                <w:rFonts w:eastAsia="DengXian"/>
                <w:bCs/>
                <w:kern w:val="24"/>
                <w:sz w:val="20"/>
                <w:szCs w:val="20"/>
              </w:rPr>
            </w:pPr>
            <w:r>
              <w:rPr>
                <w:rFonts w:eastAsia="DengXian"/>
                <w:bCs/>
                <w:kern w:val="24"/>
                <w:sz w:val="20"/>
                <w:szCs w:val="20"/>
              </w:rPr>
              <w:t>Transformants mediated by different antidepressants (1 mg/L)</w:t>
            </w:r>
          </w:p>
        </w:tc>
        <w:tc>
          <w:tcPr>
            <w:tcW w:w="446" w:type="pct"/>
            <w:tcBorders>
              <w:top w:val="nil"/>
              <w:left w:val="nil"/>
              <w:bottom w:val="nil"/>
              <w:right w:val="nil"/>
            </w:tcBorders>
          </w:tcPr>
          <w:p w14:paraId="70C336AB" w14:textId="77777777" w:rsidR="00A91534" w:rsidRDefault="00B23DEE" w:rsidP="00851B31">
            <w:pPr>
              <w:snapToGrid w:val="0"/>
              <w:spacing w:after="0" w:line="360" w:lineRule="auto"/>
              <w:jc w:val="center"/>
              <w:rPr>
                <w:rFonts w:eastAsia="DengXian"/>
                <w:bCs/>
                <w:kern w:val="24"/>
                <w:sz w:val="20"/>
                <w:szCs w:val="20"/>
              </w:rPr>
            </w:pPr>
            <w:r>
              <w:rPr>
                <w:rFonts w:eastAsia="DengXian" w:hint="eastAsia"/>
                <w:bCs/>
                <w:kern w:val="24"/>
                <w:sz w:val="20"/>
                <w:szCs w:val="20"/>
              </w:rPr>
              <w:t>0</w:t>
            </w:r>
          </w:p>
        </w:tc>
        <w:tc>
          <w:tcPr>
            <w:tcW w:w="469" w:type="pct"/>
            <w:tcBorders>
              <w:top w:val="nil"/>
              <w:left w:val="nil"/>
              <w:bottom w:val="nil"/>
              <w:right w:val="nil"/>
            </w:tcBorders>
          </w:tcPr>
          <w:p w14:paraId="0C153E54"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2604C7E7"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2075A2EA"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5BF7B51C"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48EBE5A9"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1CD67337"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6A0ED14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557EA75E"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5CF0CA5B" w14:textId="77777777">
        <w:trPr>
          <w:trHeight w:val="397"/>
        </w:trPr>
        <w:tc>
          <w:tcPr>
            <w:tcW w:w="798" w:type="pct"/>
            <w:vMerge/>
            <w:tcBorders>
              <w:top w:val="nil"/>
              <w:left w:val="nil"/>
              <w:bottom w:val="nil"/>
              <w:right w:val="nil"/>
            </w:tcBorders>
          </w:tcPr>
          <w:p w14:paraId="30ACF101"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nil"/>
              <w:right w:val="nil"/>
            </w:tcBorders>
          </w:tcPr>
          <w:p w14:paraId="75A6706D"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Flu</w:t>
            </w:r>
          </w:p>
        </w:tc>
        <w:tc>
          <w:tcPr>
            <w:tcW w:w="469" w:type="pct"/>
            <w:tcBorders>
              <w:top w:val="nil"/>
              <w:left w:val="nil"/>
              <w:bottom w:val="nil"/>
              <w:right w:val="nil"/>
            </w:tcBorders>
          </w:tcPr>
          <w:p w14:paraId="0D34073A"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2005F8D7"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20280F7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3BE7483D"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32CB227B"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35F685C0"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4D75F20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40D24012"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36C12CF4" w14:textId="77777777">
        <w:trPr>
          <w:trHeight w:val="397"/>
        </w:trPr>
        <w:tc>
          <w:tcPr>
            <w:tcW w:w="798" w:type="pct"/>
            <w:vMerge/>
            <w:tcBorders>
              <w:top w:val="nil"/>
              <w:left w:val="nil"/>
              <w:bottom w:val="nil"/>
              <w:right w:val="nil"/>
            </w:tcBorders>
          </w:tcPr>
          <w:p w14:paraId="1C8FDA68"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nil"/>
              <w:right w:val="nil"/>
            </w:tcBorders>
          </w:tcPr>
          <w:p w14:paraId="55BA76FC" w14:textId="77777777" w:rsidR="00A91534" w:rsidRDefault="00B23DEE" w:rsidP="00851B31">
            <w:pPr>
              <w:snapToGrid w:val="0"/>
              <w:spacing w:after="0" w:line="360" w:lineRule="auto"/>
              <w:jc w:val="center"/>
              <w:rPr>
                <w:rFonts w:eastAsia="DengXian"/>
                <w:bCs/>
                <w:kern w:val="24"/>
                <w:sz w:val="20"/>
                <w:szCs w:val="20"/>
              </w:rPr>
            </w:pPr>
            <w:proofErr w:type="spellStart"/>
            <w:r>
              <w:rPr>
                <w:rFonts w:eastAsia="DengXian"/>
                <w:bCs/>
                <w:kern w:val="24"/>
                <w:sz w:val="20"/>
                <w:szCs w:val="20"/>
              </w:rPr>
              <w:t>Dul</w:t>
            </w:r>
            <w:proofErr w:type="spellEnd"/>
          </w:p>
        </w:tc>
        <w:tc>
          <w:tcPr>
            <w:tcW w:w="469" w:type="pct"/>
            <w:tcBorders>
              <w:top w:val="nil"/>
              <w:left w:val="nil"/>
              <w:bottom w:val="nil"/>
              <w:right w:val="nil"/>
            </w:tcBorders>
          </w:tcPr>
          <w:p w14:paraId="6D738C04"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04CF79EE"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2685585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649A898C"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179BA37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48D9E8E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6AC8273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1B94CE7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41C77800" w14:textId="77777777">
        <w:trPr>
          <w:trHeight w:val="397"/>
        </w:trPr>
        <w:tc>
          <w:tcPr>
            <w:tcW w:w="798" w:type="pct"/>
            <w:vMerge/>
            <w:tcBorders>
              <w:top w:val="nil"/>
              <w:left w:val="nil"/>
              <w:bottom w:val="nil"/>
              <w:right w:val="nil"/>
            </w:tcBorders>
          </w:tcPr>
          <w:p w14:paraId="2BE66D4D"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nil"/>
              <w:right w:val="nil"/>
            </w:tcBorders>
          </w:tcPr>
          <w:p w14:paraId="41FBE296" w14:textId="77777777" w:rsidR="00A91534" w:rsidRDefault="00B23DEE" w:rsidP="00851B31">
            <w:pPr>
              <w:snapToGrid w:val="0"/>
              <w:spacing w:after="0" w:line="360" w:lineRule="auto"/>
              <w:jc w:val="center"/>
              <w:rPr>
                <w:rFonts w:eastAsia="DengXian"/>
                <w:bCs/>
                <w:kern w:val="24"/>
                <w:sz w:val="20"/>
                <w:szCs w:val="20"/>
              </w:rPr>
            </w:pPr>
            <w:r>
              <w:rPr>
                <w:rFonts w:eastAsia="DengXian"/>
                <w:bCs/>
                <w:sz w:val="20"/>
                <w:szCs w:val="20"/>
              </w:rPr>
              <w:t>Ser</w:t>
            </w:r>
          </w:p>
        </w:tc>
        <w:tc>
          <w:tcPr>
            <w:tcW w:w="469" w:type="pct"/>
            <w:tcBorders>
              <w:top w:val="nil"/>
              <w:left w:val="nil"/>
              <w:bottom w:val="nil"/>
              <w:right w:val="nil"/>
            </w:tcBorders>
          </w:tcPr>
          <w:p w14:paraId="7730767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193ED67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1AB604C6"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53E1D13B"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1924B23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2FD552B4"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25D286C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188858E8"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2DFC1B2E" w14:textId="77777777">
        <w:trPr>
          <w:trHeight w:val="397"/>
        </w:trPr>
        <w:tc>
          <w:tcPr>
            <w:tcW w:w="798" w:type="pct"/>
            <w:vMerge/>
            <w:tcBorders>
              <w:top w:val="nil"/>
              <w:left w:val="nil"/>
              <w:bottom w:val="nil"/>
              <w:right w:val="nil"/>
            </w:tcBorders>
          </w:tcPr>
          <w:p w14:paraId="1C5368ED"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nil"/>
              <w:right w:val="nil"/>
            </w:tcBorders>
          </w:tcPr>
          <w:p w14:paraId="46ED062B" w14:textId="77777777" w:rsidR="00A91534" w:rsidRDefault="00B23DEE" w:rsidP="00851B31">
            <w:pPr>
              <w:snapToGrid w:val="0"/>
              <w:spacing w:after="0" w:line="360" w:lineRule="auto"/>
              <w:jc w:val="center"/>
              <w:rPr>
                <w:rFonts w:eastAsia="DengXian"/>
                <w:bCs/>
                <w:kern w:val="24"/>
                <w:sz w:val="20"/>
                <w:szCs w:val="20"/>
              </w:rPr>
            </w:pPr>
            <w:proofErr w:type="spellStart"/>
            <w:r>
              <w:rPr>
                <w:rFonts w:eastAsia="DengXian"/>
                <w:bCs/>
                <w:sz w:val="20"/>
                <w:szCs w:val="20"/>
              </w:rPr>
              <w:t>Bup</w:t>
            </w:r>
            <w:proofErr w:type="spellEnd"/>
          </w:p>
        </w:tc>
        <w:tc>
          <w:tcPr>
            <w:tcW w:w="469" w:type="pct"/>
            <w:tcBorders>
              <w:top w:val="nil"/>
              <w:left w:val="nil"/>
              <w:bottom w:val="nil"/>
              <w:right w:val="nil"/>
            </w:tcBorders>
          </w:tcPr>
          <w:p w14:paraId="0E1270B2"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747A24AB"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0CDDA35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2DCF232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7E8583DC"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63207B3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7022F2C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07C865F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434CF7EF" w14:textId="77777777">
        <w:trPr>
          <w:trHeight w:val="397"/>
        </w:trPr>
        <w:tc>
          <w:tcPr>
            <w:tcW w:w="798" w:type="pct"/>
            <w:vMerge/>
            <w:tcBorders>
              <w:top w:val="nil"/>
              <w:left w:val="nil"/>
              <w:bottom w:val="nil"/>
              <w:right w:val="nil"/>
            </w:tcBorders>
          </w:tcPr>
          <w:p w14:paraId="3BAB8FE0"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nil"/>
              <w:right w:val="nil"/>
            </w:tcBorders>
          </w:tcPr>
          <w:p w14:paraId="3FBB47E3" w14:textId="77777777" w:rsidR="00A91534" w:rsidRDefault="00B23DEE" w:rsidP="00851B31">
            <w:pPr>
              <w:snapToGrid w:val="0"/>
              <w:spacing w:after="0" w:line="360" w:lineRule="auto"/>
              <w:jc w:val="center"/>
              <w:rPr>
                <w:rFonts w:eastAsia="DengXian"/>
                <w:bCs/>
                <w:kern w:val="24"/>
                <w:sz w:val="20"/>
                <w:szCs w:val="20"/>
              </w:rPr>
            </w:pPr>
            <w:r>
              <w:rPr>
                <w:rFonts w:eastAsia="DengXian"/>
                <w:bCs/>
                <w:sz w:val="20"/>
                <w:szCs w:val="20"/>
              </w:rPr>
              <w:t>Esc</w:t>
            </w:r>
          </w:p>
        </w:tc>
        <w:tc>
          <w:tcPr>
            <w:tcW w:w="469" w:type="pct"/>
            <w:tcBorders>
              <w:top w:val="nil"/>
              <w:left w:val="nil"/>
              <w:bottom w:val="nil"/>
              <w:right w:val="nil"/>
            </w:tcBorders>
          </w:tcPr>
          <w:p w14:paraId="0EC19C32"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3491DDA4"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nil"/>
              <w:right w:val="nil"/>
            </w:tcBorders>
          </w:tcPr>
          <w:p w14:paraId="5AF0AE40"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nil"/>
              <w:right w:val="nil"/>
            </w:tcBorders>
          </w:tcPr>
          <w:p w14:paraId="5E59A6A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305AAFCE"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22173D97"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nil"/>
              <w:right w:val="nil"/>
            </w:tcBorders>
          </w:tcPr>
          <w:p w14:paraId="70A295D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nil"/>
              <w:right w:val="nil"/>
            </w:tcBorders>
          </w:tcPr>
          <w:p w14:paraId="285AED4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r w:rsidR="00A91534" w14:paraId="3258FE89" w14:textId="77777777">
        <w:trPr>
          <w:trHeight w:val="397"/>
        </w:trPr>
        <w:tc>
          <w:tcPr>
            <w:tcW w:w="798" w:type="pct"/>
            <w:vMerge/>
            <w:tcBorders>
              <w:top w:val="nil"/>
              <w:left w:val="nil"/>
              <w:bottom w:val="single" w:sz="4" w:space="0" w:color="auto"/>
              <w:right w:val="nil"/>
            </w:tcBorders>
          </w:tcPr>
          <w:p w14:paraId="7AD0686F" w14:textId="77777777" w:rsidR="00A91534" w:rsidRDefault="00A91534" w:rsidP="00851B31">
            <w:pPr>
              <w:snapToGrid w:val="0"/>
              <w:spacing w:after="0" w:line="360" w:lineRule="auto"/>
              <w:jc w:val="center"/>
              <w:rPr>
                <w:rFonts w:eastAsia="DengXian"/>
                <w:bCs/>
                <w:kern w:val="24"/>
                <w:sz w:val="20"/>
                <w:szCs w:val="20"/>
              </w:rPr>
            </w:pPr>
          </w:p>
        </w:tc>
        <w:tc>
          <w:tcPr>
            <w:tcW w:w="446" w:type="pct"/>
            <w:tcBorders>
              <w:top w:val="nil"/>
              <w:left w:val="nil"/>
              <w:bottom w:val="single" w:sz="4" w:space="0" w:color="auto"/>
              <w:right w:val="nil"/>
            </w:tcBorders>
          </w:tcPr>
          <w:p w14:paraId="284357A5" w14:textId="77777777" w:rsidR="00A91534" w:rsidRDefault="00B23DEE" w:rsidP="00851B31">
            <w:pPr>
              <w:snapToGrid w:val="0"/>
              <w:spacing w:after="0" w:line="360" w:lineRule="auto"/>
              <w:jc w:val="center"/>
              <w:rPr>
                <w:rFonts w:eastAsia="DengXian"/>
                <w:bCs/>
                <w:kern w:val="24"/>
                <w:sz w:val="20"/>
                <w:szCs w:val="20"/>
              </w:rPr>
            </w:pPr>
            <w:r>
              <w:rPr>
                <w:rFonts w:eastAsia="DengXian"/>
                <w:bCs/>
                <w:sz w:val="20"/>
                <w:szCs w:val="20"/>
              </w:rPr>
              <w:t>Ago</w:t>
            </w:r>
          </w:p>
        </w:tc>
        <w:tc>
          <w:tcPr>
            <w:tcW w:w="469" w:type="pct"/>
            <w:tcBorders>
              <w:top w:val="nil"/>
              <w:left w:val="nil"/>
              <w:bottom w:val="single" w:sz="4" w:space="0" w:color="auto"/>
              <w:right w:val="nil"/>
            </w:tcBorders>
          </w:tcPr>
          <w:p w14:paraId="3A862F6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single" w:sz="4" w:space="0" w:color="auto"/>
              <w:right w:val="nil"/>
            </w:tcBorders>
          </w:tcPr>
          <w:p w14:paraId="48D47F4B"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8</w:t>
            </w:r>
          </w:p>
        </w:tc>
        <w:tc>
          <w:tcPr>
            <w:tcW w:w="469" w:type="pct"/>
            <w:tcBorders>
              <w:top w:val="nil"/>
              <w:left w:val="nil"/>
              <w:bottom w:val="single" w:sz="4" w:space="0" w:color="auto"/>
              <w:right w:val="nil"/>
            </w:tcBorders>
          </w:tcPr>
          <w:p w14:paraId="1B243F08"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c>
          <w:tcPr>
            <w:tcW w:w="469" w:type="pct"/>
            <w:tcBorders>
              <w:top w:val="nil"/>
              <w:left w:val="nil"/>
              <w:bottom w:val="single" w:sz="4" w:space="0" w:color="auto"/>
              <w:right w:val="nil"/>
            </w:tcBorders>
          </w:tcPr>
          <w:p w14:paraId="5892E721"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single" w:sz="4" w:space="0" w:color="auto"/>
              <w:right w:val="nil"/>
            </w:tcBorders>
          </w:tcPr>
          <w:p w14:paraId="16B9B2EF"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single" w:sz="4" w:space="0" w:color="auto"/>
              <w:right w:val="nil"/>
            </w:tcBorders>
          </w:tcPr>
          <w:p w14:paraId="6D123B69"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256</w:t>
            </w:r>
          </w:p>
        </w:tc>
        <w:tc>
          <w:tcPr>
            <w:tcW w:w="469" w:type="pct"/>
            <w:tcBorders>
              <w:top w:val="nil"/>
              <w:left w:val="nil"/>
              <w:bottom w:val="single" w:sz="4" w:space="0" w:color="auto"/>
              <w:right w:val="nil"/>
            </w:tcBorders>
          </w:tcPr>
          <w:p w14:paraId="6F7E1B03"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128</w:t>
            </w:r>
          </w:p>
        </w:tc>
        <w:tc>
          <w:tcPr>
            <w:tcW w:w="472" w:type="pct"/>
            <w:tcBorders>
              <w:top w:val="nil"/>
              <w:left w:val="nil"/>
              <w:bottom w:val="single" w:sz="4" w:space="0" w:color="auto"/>
              <w:right w:val="nil"/>
            </w:tcBorders>
          </w:tcPr>
          <w:p w14:paraId="53DF2345" w14:textId="77777777" w:rsidR="00A91534" w:rsidRDefault="00B23DEE" w:rsidP="00851B31">
            <w:pPr>
              <w:snapToGrid w:val="0"/>
              <w:spacing w:after="0" w:line="360" w:lineRule="auto"/>
              <w:jc w:val="center"/>
              <w:rPr>
                <w:rFonts w:eastAsia="DengXian"/>
                <w:bCs/>
                <w:kern w:val="24"/>
                <w:sz w:val="20"/>
                <w:szCs w:val="20"/>
              </w:rPr>
            </w:pPr>
            <w:r>
              <w:rPr>
                <w:rFonts w:eastAsia="DengXian"/>
                <w:bCs/>
                <w:kern w:val="24"/>
                <w:sz w:val="20"/>
                <w:szCs w:val="20"/>
              </w:rPr>
              <w:t>16</w:t>
            </w:r>
          </w:p>
        </w:tc>
      </w:tr>
    </w:tbl>
    <w:p w14:paraId="1B2999E6" w14:textId="77777777" w:rsidR="007B5E32" w:rsidRDefault="007B5E32" w:rsidP="00851B31">
      <w:pPr>
        <w:spacing w:line="360" w:lineRule="auto"/>
        <w:rPr>
          <w:bCs/>
        </w:rPr>
      </w:pPr>
      <w:r>
        <w:rPr>
          <w:bCs/>
        </w:rPr>
        <w:br w:type="page"/>
      </w:r>
    </w:p>
    <w:p w14:paraId="2601D503" w14:textId="77777777" w:rsidR="009C33ED" w:rsidRDefault="009C33ED" w:rsidP="00851B31">
      <w:pPr>
        <w:spacing w:line="360" w:lineRule="auto"/>
        <w:rPr>
          <w:bCs/>
        </w:rPr>
      </w:pPr>
    </w:p>
    <w:p w14:paraId="2F55A05E" w14:textId="77777777" w:rsidR="00A91534" w:rsidRDefault="00B23DEE" w:rsidP="00851B31">
      <w:pPr>
        <w:spacing w:line="360" w:lineRule="auto"/>
        <w:rPr>
          <w:bCs/>
          <w:lang w:val="en-US"/>
        </w:rPr>
      </w:pPr>
      <w:r>
        <w:rPr>
          <w:bCs/>
          <w:noProof/>
        </w:rPr>
        <w:drawing>
          <wp:inline distT="0" distB="0" distL="0" distR="0" wp14:anchorId="2C27024A" wp14:editId="6F8FA686">
            <wp:extent cx="5676265" cy="1480820"/>
            <wp:effectExtent l="0" t="0" r="63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704385" cy="1488135"/>
                    </a:xfrm>
                    <a:prstGeom prst="rect">
                      <a:avLst/>
                    </a:prstGeom>
                    <a:noFill/>
                  </pic:spPr>
                </pic:pic>
              </a:graphicData>
            </a:graphic>
          </wp:inline>
        </w:drawing>
      </w:r>
    </w:p>
    <w:p w14:paraId="02F60C8B" w14:textId="77777777" w:rsidR="00A91534" w:rsidRDefault="00B23DEE" w:rsidP="00851B31">
      <w:pPr>
        <w:spacing w:line="360" w:lineRule="auto"/>
        <w:jc w:val="both"/>
      </w:pPr>
      <w:r>
        <w:rPr>
          <w:b/>
          <w:bCs/>
          <w:color w:val="000000" w:themeColor="text1"/>
        </w:rPr>
        <w:t>Fig</w:t>
      </w:r>
      <w:r>
        <w:rPr>
          <w:rFonts w:hint="eastAsia"/>
          <w:b/>
          <w:bCs/>
          <w:color w:val="000000" w:themeColor="text1"/>
          <w:lang w:val="en-US"/>
        </w:rPr>
        <w:t>.</w:t>
      </w:r>
      <w:r>
        <w:rPr>
          <w:b/>
          <w:bCs/>
          <w:color w:val="000000" w:themeColor="text1"/>
        </w:rPr>
        <w:t xml:space="preserve"> S</w:t>
      </w:r>
      <w:r w:rsidR="007B5E32">
        <w:rPr>
          <w:b/>
          <w:bCs/>
          <w:color w:val="000000" w:themeColor="text1"/>
        </w:rPr>
        <w:t>1</w:t>
      </w:r>
      <w:r>
        <w:rPr>
          <w:bCs/>
          <w:color w:val="000000" w:themeColor="text1"/>
        </w:rPr>
        <w:t>. Percentage of live (blue bars), damaged (orange bars) and dead (grey bars) cells and densities of live (green lines), damaged (yellow lines) and dead (red lines) cells under the exposure to different concentrations of (</w:t>
      </w:r>
      <w:r>
        <w:rPr>
          <w:b/>
          <w:color w:val="000000" w:themeColor="text1"/>
        </w:rPr>
        <w:t>a</w:t>
      </w:r>
      <w:r>
        <w:rPr>
          <w:bCs/>
          <w:color w:val="000000" w:themeColor="text1"/>
        </w:rPr>
        <w:t>) fluoxetine, (</w:t>
      </w:r>
      <w:r>
        <w:rPr>
          <w:b/>
          <w:color w:val="000000" w:themeColor="text1"/>
        </w:rPr>
        <w:t>b</w:t>
      </w:r>
      <w:r>
        <w:rPr>
          <w:bCs/>
          <w:color w:val="000000" w:themeColor="text1"/>
        </w:rPr>
        <w:t>) duloxetine and (</w:t>
      </w:r>
      <w:r>
        <w:rPr>
          <w:b/>
          <w:color w:val="000000" w:themeColor="text1"/>
        </w:rPr>
        <w:t>c</w:t>
      </w:r>
      <w:r>
        <w:rPr>
          <w:bCs/>
          <w:color w:val="000000" w:themeColor="text1"/>
        </w:rPr>
        <w:t>) sertraline measured by flow cytometer.</w:t>
      </w:r>
      <w:r>
        <w:rPr>
          <w:color w:val="000000" w:themeColor="text1"/>
        </w:rPr>
        <w:t xml:space="preserve"> </w:t>
      </w:r>
      <w:r>
        <w:rPr>
          <w:bCs/>
          <w:color w:val="000000" w:themeColor="text1"/>
        </w:rPr>
        <w:t>Measurements were taken after 2 h antidepressant treatments in PBS</w:t>
      </w:r>
      <w:r>
        <w:rPr>
          <w:color w:val="000000" w:themeColor="text1"/>
        </w:rPr>
        <w:t xml:space="preserve"> at 25 °C. No noticeable changes in live, damaged and dead cells percentages and densities were observed after the treatments of </w:t>
      </w:r>
      <w:r>
        <w:rPr>
          <w:rFonts w:hint="eastAsia"/>
        </w:rPr>
        <w:t>escitalopram</w:t>
      </w:r>
      <w:r>
        <w:t xml:space="preserve">, </w:t>
      </w:r>
      <w:r>
        <w:rPr>
          <w:rFonts w:hint="eastAsia"/>
        </w:rPr>
        <w:t>bupropion</w:t>
      </w:r>
      <w:r>
        <w:t xml:space="preserve"> and </w:t>
      </w:r>
      <w:r>
        <w:rPr>
          <w:rFonts w:hint="eastAsia"/>
        </w:rPr>
        <w:t>agomelatine</w:t>
      </w:r>
      <w:r>
        <w:t>. Therefore, data</w:t>
      </w:r>
      <w:r>
        <w:rPr>
          <w:color w:val="000000" w:themeColor="text1"/>
        </w:rPr>
        <w:t xml:space="preserve"> of </w:t>
      </w:r>
      <w:r>
        <w:rPr>
          <w:rFonts w:hint="eastAsia"/>
        </w:rPr>
        <w:t>escitalopram</w:t>
      </w:r>
      <w:r>
        <w:t xml:space="preserve">, </w:t>
      </w:r>
      <w:r>
        <w:rPr>
          <w:rFonts w:hint="eastAsia"/>
        </w:rPr>
        <w:t>bupropion</w:t>
      </w:r>
      <w:r>
        <w:t xml:space="preserve"> and </w:t>
      </w:r>
      <w:r>
        <w:rPr>
          <w:rFonts w:hint="eastAsia"/>
        </w:rPr>
        <w:t>agomelatine</w:t>
      </w:r>
      <w:r>
        <w:t xml:space="preserve"> are not included. </w:t>
      </w:r>
    </w:p>
    <w:p w14:paraId="344BF488" w14:textId="77777777" w:rsidR="00BF2CC0" w:rsidRDefault="00732E03" w:rsidP="00851B31">
      <w:pPr>
        <w:spacing w:line="360" w:lineRule="auto"/>
      </w:pPr>
      <w:r>
        <w:br w:type="page"/>
      </w:r>
      <w:r w:rsidR="00BF2CC0" w:rsidRPr="00773FE5">
        <w:object w:dxaOrig="11945" w:dyaOrig="4452" w14:anchorId="74F45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1pt;height:167.85pt;mso-width-percent:0;mso-height-percent:0;mso-width-percent:0;mso-height-percent:0" o:ole="">
            <v:imagedata r:id="rId11" o:title=""/>
          </v:shape>
          <o:OLEObject Type="Embed" ProgID="Prism9.Document" ShapeID="_x0000_i1025" DrawAspect="Content" ObjectID="_1717229450" r:id="rId12"/>
        </w:object>
      </w:r>
    </w:p>
    <w:p w14:paraId="60F0DC8C" w14:textId="77777777" w:rsidR="00BF2CC0" w:rsidRPr="00C37BC2" w:rsidRDefault="00BF2CC0" w:rsidP="00851B31">
      <w:pPr>
        <w:spacing w:line="360" w:lineRule="auto"/>
        <w:jc w:val="both"/>
      </w:pPr>
      <w:r>
        <w:rPr>
          <w:rFonts w:hint="eastAsia"/>
          <w:b/>
        </w:rPr>
        <w:t xml:space="preserve">Fig. </w:t>
      </w:r>
      <w:r>
        <w:rPr>
          <w:b/>
        </w:rPr>
        <w:t>S2.</w:t>
      </w:r>
      <w:r>
        <w:t xml:space="preserve"> Actual transformation </w:t>
      </w:r>
      <w:r>
        <w:rPr>
          <w:rFonts w:hint="eastAsia"/>
        </w:rPr>
        <w:t>ratios</w:t>
      </w:r>
      <w:r>
        <w:t xml:space="preserve"> of </w:t>
      </w:r>
      <w:r>
        <w:rPr>
          <w:i/>
          <w:iCs/>
        </w:rPr>
        <w:t xml:space="preserve">A. </w:t>
      </w:r>
      <w:proofErr w:type="spellStart"/>
      <w:r>
        <w:rPr>
          <w:i/>
          <w:iCs/>
        </w:rPr>
        <w:t>baylyi</w:t>
      </w:r>
      <w:proofErr w:type="spellEnd"/>
      <w:r>
        <w:t xml:space="preserve"> ADP1 by plasmid pWH1266 after 6 h treatment of various antidepressants dosages, compared to the untreated control</w:t>
      </w:r>
      <w:r>
        <w:rPr>
          <w:rFonts w:hint="eastAsia"/>
        </w:rPr>
        <w:t xml:space="preserve"> (n=9)</w:t>
      </w:r>
      <w:r>
        <w:t>. Significant differences between individual antidepressant</w:t>
      </w:r>
      <w:r>
        <w:rPr>
          <w:rFonts w:hint="eastAsia"/>
        </w:rPr>
        <w:t>-</w:t>
      </w:r>
      <w:r>
        <w:t>treated groups and the control groups</w:t>
      </w:r>
      <w:r>
        <w:rPr>
          <w:rFonts w:hint="eastAsia"/>
        </w:rPr>
        <w:t xml:space="preserve"> </w:t>
      </w:r>
      <w:r>
        <w:t xml:space="preserve">(0 mg/L) were analysed with </w:t>
      </w:r>
      <w:r>
        <w:rPr>
          <w:rFonts w:hint="eastAsia"/>
        </w:rPr>
        <w:t>ANOVA</w:t>
      </w:r>
      <w:r>
        <w:t xml:space="preserve"> and shown with * (</w:t>
      </w:r>
      <w:proofErr w:type="spellStart"/>
      <w:r>
        <w:rPr>
          <w:rFonts w:hint="eastAsia"/>
          <w:bCs/>
          <w:i/>
        </w:rPr>
        <w:t>p</w:t>
      </w:r>
      <w:r>
        <w:rPr>
          <w:bCs/>
          <w:iCs/>
          <w:vertAlign w:val="subscript"/>
        </w:rPr>
        <w:t>adj</w:t>
      </w:r>
      <w:proofErr w:type="spellEnd"/>
      <w:r>
        <w:rPr>
          <w:vertAlign w:val="subscript"/>
        </w:rPr>
        <w:t xml:space="preserve"> </w:t>
      </w:r>
      <w:r>
        <w:t>&lt; 0.05), ** (</w:t>
      </w:r>
      <w:proofErr w:type="spellStart"/>
      <w:r>
        <w:rPr>
          <w:bCs/>
          <w:i/>
        </w:rPr>
        <w:t>p</w:t>
      </w:r>
      <w:r>
        <w:rPr>
          <w:bCs/>
          <w:iCs/>
          <w:vertAlign w:val="subscript"/>
        </w:rPr>
        <w:t>ad</w:t>
      </w:r>
      <w:r>
        <w:rPr>
          <w:rFonts w:hint="eastAsia"/>
          <w:bCs/>
          <w:iCs/>
        </w:rPr>
        <w:t>j</w:t>
      </w:r>
      <w:proofErr w:type="spellEnd"/>
      <w:r>
        <w:t xml:space="preserve"> &lt; 0.01).</w:t>
      </w:r>
      <w:r w:rsidRPr="00C37BC2">
        <w:rPr>
          <w:color w:val="0070C0"/>
          <w:szCs w:val="22"/>
        </w:rPr>
        <w:t xml:space="preserve"> </w:t>
      </w:r>
      <w:r w:rsidRPr="00C37BC2">
        <w:t xml:space="preserve">P values were corrected by the </w:t>
      </w:r>
      <w:proofErr w:type="spellStart"/>
      <w:r w:rsidRPr="00C37BC2">
        <w:t>Benjamini</w:t>
      </w:r>
      <w:proofErr w:type="spellEnd"/>
      <w:r w:rsidRPr="00C37BC2">
        <w:t>/Hochberg method.</w:t>
      </w:r>
    </w:p>
    <w:p w14:paraId="1349E138" w14:textId="77777777" w:rsidR="00BF2CC0" w:rsidRDefault="00BF2CC0" w:rsidP="00851B31">
      <w:pPr>
        <w:spacing w:after="0" w:line="360" w:lineRule="auto"/>
        <w:rPr>
          <w:bCs/>
          <w:lang w:val="en-US"/>
        </w:rPr>
      </w:pPr>
      <w:r>
        <w:rPr>
          <w:bCs/>
          <w:lang w:val="en-US"/>
        </w:rPr>
        <w:br w:type="page"/>
      </w:r>
    </w:p>
    <w:p w14:paraId="1451EC93" w14:textId="77777777" w:rsidR="00BF2CC0" w:rsidRDefault="00BF2CC0" w:rsidP="00851B31">
      <w:pPr>
        <w:spacing w:line="360" w:lineRule="auto"/>
        <w:rPr>
          <w:bCs/>
          <w:lang w:val="en-US"/>
        </w:rPr>
      </w:pPr>
    </w:p>
    <w:p w14:paraId="25ED84F7" w14:textId="77777777" w:rsidR="00BF2CC0" w:rsidRDefault="00BF2CC0" w:rsidP="00851B31">
      <w:pPr>
        <w:spacing w:line="360" w:lineRule="auto"/>
        <w:jc w:val="center"/>
        <w:rPr>
          <w:lang w:val="en-US"/>
        </w:rPr>
      </w:pPr>
      <w:r>
        <w:rPr>
          <w:noProof/>
        </w:rPr>
        <w:drawing>
          <wp:inline distT="0" distB="0" distL="0" distR="0" wp14:anchorId="5C4C0366" wp14:editId="6B2B4DAC">
            <wp:extent cx="5721985" cy="18776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53946" cy="1888711"/>
                    </a:xfrm>
                    <a:prstGeom prst="rect">
                      <a:avLst/>
                    </a:prstGeom>
                    <a:noFill/>
                  </pic:spPr>
                </pic:pic>
              </a:graphicData>
            </a:graphic>
          </wp:inline>
        </w:drawing>
      </w:r>
    </w:p>
    <w:p w14:paraId="2412CF19" w14:textId="77777777" w:rsidR="00BF2CC0" w:rsidRDefault="00BF2CC0" w:rsidP="00851B31">
      <w:pPr>
        <w:spacing w:line="360" w:lineRule="auto"/>
        <w:jc w:val="both"/>
        <w:rPr>
          <w:i/>
          <w:iCs/>
        </w:rPr>
      </w:pPr>
      <w:r>
        <w:rPr>
          <w:b/>
          <w:lang w:val="en-US"/>
        </w:rPr>
        <w:t>Fig</w:t>
      </w:r>
      <w:r>
        <w:rPr>
          <w:rFonts w:hint="eastAsia"/>
          <w:b/>
          <w:lang w:val="en-US"/>
        </w:rPr>
        <w:t>.</w:t>
      </w:r>
      <w:r>
        <w:rPr>
          <w:b/>
          <w:lang w:val="en-US"/>
        </w:rPr>
        <w:t xml:space="preserve"> S3.</w:t>
      </w:r>
      <w:r>
        <w:rPr>
          <w:lang w:val="en-US"/>
        </w:rPr>
        <w:t xml:space="preserve"> </w:t>
      </w:r>
      <w:r>
        <w:t xml:space="preserve">Gel electrophoresis of PCR products on </w:t>
      </w:r>
      <w:r>
        <w:rPr>
          <w:i/>
          <w:iCs/>
        </w:rPr>
        <w:t>bla</w:t>
      </w:r>
      <w:r>
        <w:rPr>
          <w:vertAlign w:val="subscript"/>
        </w:rPr>
        <w:t>TEM-1</w:t>
      </w:r>
      <w:r>
        <w:t xml:space="preserve"> and </w:t>
      </w:r>
      <w:proofErr w:type="spellStart"/>
      <w:r>
        <w:rPr>
          <w:i/>
          <w:iCs/>
        </w:rPr>
        <w:t>tetA</w:t>
      </w:r>
      <w:proofErr w:type="spellEnd"/>
      <w:r>
        <w:t xml:space="preserve"> gene on donor pWH1266 plasmid, recipient and transformants</w:t>
      </w:r>
      <w:r>
        <w:rPr>
          <w:i/>
          <w:iCs/>
        </w:rPr>
        <w:t>.</w:t>
      </w:r>
    </w:p>
    <w:p w14:paraId="009FC3FC" w14:textId="77777777" w:rsidR="00851B31" w:rsidRDefault="00851B31">
      <w:pPr>
        <w:spacing w:after="0" w:line="240" w:lineRule="auto"/>
      </w:pPr>
      <w:r>
        <w:br w:type="page"/>
      </w:r>
    </w:p>
    <w:p w14:paraId="0C2E3C1E" w14:textId="77777777" w:rsidR="00732E03" w:rsidRDefault="00732E03" w:rsidP="00851B31">
      <w:pPr>
        <w:spacing w:line="360" w:lineRule="auto"/>
        <w:jc w:val="both"/>
        <w:rPr>
          <w:bCs/>
          <w:color w:val="000000" w:themeColor="text1"/>
        </w:rPr>
      </w:pPr>
    </w:p>
    <w:p w14:paraId="64C50CC2" w14:textId="77777777" w:rsidR="00732E03" w:rsidRPr="00732E03" w:rsidRDefault="00B23DEE" w:rsidP="00851B31">
      <w:pPr>
        <w:spacing w:line="360" w:lineRule="auto"/>
        <w:jc w:val="center"/>
        <w:rPr>
          <w:color w:val="000000" w:themeColor="text1"/>
        </w:rPr>
      </w:pPr>
      <w:r>
        <w:rPr>
          <w:bCs/>
          <w:lang w:val="en-US"/>
        </w:rPr>
        <w:t xml:space="preserve"> </w:t>
      </w:r>
      <w:r w:rsidR="00732E03" w:rsidRPr="00732E03">
        <w:rPr>
          <w:noProof/>
          <w:color w:val="000000" w:themeColor="text1"/>
        </w:rPr>
        <w:object w:dxaOrig="5849" w:dyaOrig="4776" w14:anchorId="774FB5B8">
          <v:shape id="_x0000_i1026" type="#_x0000_t75" alt="" style="width:292pt;height:238.95pt;mso-width-percent:0;mso-height-percent:0;mso-width-percent:0;mso-height-percent:0" o:ole="">
            <v:imagedata r:id="rId14" o:title=""/>
          </v:shape>
          <o:OLEObject Type="Embed" ProgID="Prism9.Document" ShapeID="_x0000_i1026" DrawAspect="Content" ObjectID="_1717229451" r:id="rId15"/>
        </w:object>
      </w:r>
    </w:p>
    <w:p w14:paraId="76876D37" w14:textId="77777777" w:rsidR="00732E03" w:rsidRPr="00732E03" w:rsidRDefault="00732E03" w:rsidP="00851B31">
      <w:pPr>
        <w:spacing w:line="360" w:lineRule="auto"/>
        <w:jc w:val="both"/>
        <w:rPr>
          <w:color w:val="000000" w:themeColor="text1"/>
          <w:lang w:val="en-US"/>
        </w:rPr>
      </w:pPr>
      <w:r w:rsidRPr="00732E03">
        <w:rPr>
          <w:b/>
          <w:color w:val="000000" w:themeColor="text1"/>
        </w:rPr>
        <w:t>Fig. S4.</w:t>
      </w:r>
      <w:r w:rsidRPr="00732E03">
        <w:rPr>
          <w:color w:val="000000" w:themeColor="text1"/>
        </w:rPr>
        <w:t xml:space="preserve"> The transformation ratio of wild type and </w:t>
      </w:r>
      <w:proofErr w:type="spellStart"/>
      <w:r w:rsidRPr="00732E03">
        <w:rPr>
          <w:i/>
          <w:color w:val="000000" w:themeColor="text1"/>
        </w:rPr>
        <w:t>comFEBC</w:t>
      </w:r>
      <w:proofErr w:type="spellEnd"/>
      <w:r w:rsidRPr="00732E03">
        <w:rPr>
          <w:color w:val="000000" w:themeColor="text1"/>
        </w:rPr>
        <w:t xml:space="preserve">- knocked out </w:t>
      </w:r>
      <w:r w:rsidRPr="00732E03">
        <w:rPr>
          <w:i/>
          <w:color w:val="000000" w:themeColor="text1"/>
        </w:rPr>
        <w:t xml:space="preserve">A. </w:t>
      </w:r>
      <w:proofErr w:type="spellStart"/>
      <w:r w:rsidRPr="00732E03">
        <w:rPr>
          <w:i/>
          <w:color w:val="000000" w:themeColor="text1"/>
        </w:rPr>
        <w:t>baylyi</w:t>
      </w:r>
      <w:proofErr w:type="spellEnd"/>
      <w:r w:rsidRPr="00732E03">
        <w:rPr>
          <w:color w:val="000000" w:themeColor="text1"/>
        </w:rPr>
        <w:t xml:space="preserve"> by pWH1266 plasmid </w:t>
      </w:r>
      <w:r w:rsidRPr="00732E03">
        <w:rPr>
          <w:color w:val="000000" w:themeColor="text1"/>
          <w:lang w:val="en-US"/>
        </w:rPr>
        <w:t xml:space="preserve">after 6 h treatment of various antidepressant dosages, compared to the untreated control (n=12). Significant differences between individual antidepressant-treated groups and the control groups (0 mg/L) were </w:t>
      </w:r>
      <w:proofErr w:type="spellStart"/>
      <w:r w:rsidRPr="00732E03">
        <w:rPr>
          <w:color w:val="000000" w:themeColor="text1"/>
          <w:lang w:val="en-US"/>
        </w:rPr>
        <w:t>analysed</w:t>
      </w:r>
      <w:proofErr w:type="spellEnd"/>
      <w:r w:rsidRPr="00732E03">
        <w:rPr>
          <w:color w:val="000000" w:themeColor="text1"/>
          <w:lang w:val="en-US"/>
        </w:rPr>
        <w:t xml:space="preserve"> with ANOVA and shown with * (</w:t>
      </w:r>
      <w:proofErr w:type="spellStart"/>
      <w:r w:rsidRPr="00732E03">
        <w:rPr>
          <w:bCs/>
          <w:i/>
          <w:color w:val="000000" w:themeColor="text1"/>
          <w:lang w:val="en-US"/>
        </w:rPr>
        <w:t>p</w:t>
      </w:r>
      <w:r w:rsidRPr="00732E03">
        <w:rPr>
          <w:bCs/>
          <w:iCs/>
          <w:color w:val="000000" w:themeColor="text1"/>
          <w:vertAlign w:val="subscript"/>
          <w:lang w:val="en-US"/>
        </w:rPr>
        <w:t>adj</w:t>
      </w:r>
      <w:proofErr w:type="spellEnd"/>
      <w:r w:rsidRPr="00732E03">
        <w:rPr>
          <w:color w:val="000000" w:themeColor="text1"/>
          <w:vertAlign w:val="subscript"/>
          <w:lang w:val="en-US"/>
        </w:rPr>
        <w:t xml:space="preserve"> </w:t>
      </w:r>
      <w:r w:rsidRPr="00732E03">
        <w:rPr>
          <w:color w:val="000000" w:themeColor="text1"/>
          <w:lang w:val="en-US"/>
        </w:rPr>
        <w:t>&lt; 0.05), ** (</w:t>
      </w:r>
      <w:proofErr w:type="spellStart"/>
      <w:r w:rsidRPr="00732E03">
        <w:rPr>
          <w:bCs/>
          <w:i/>
          <w:color w:val="000000" w:themeColor="text1"/>
          <w:lang w:val="en-US"/>
        </w:rPr>
        <w:t>p</w:t>
      </w:r>
      <w:r w:rsidRPr="00732E03">
        <w:rPr>
          <w:bCs/>
          <w:iCs/>
          <w:color w:val="000000" w:themeColor="text1"/>
          <w:vertAlign w:val="subscript"/>
          <w:lang w:val="en-US"/>
        </w:rPr>
        <w:t>ad</w:t>
      </w:r>
      <w:r w:rsidRPr="00732E03">
        <w:rPr>
          <w:bCs/>
          <w:iCs/>
          <w:color w:val="000000" w:themeColor="text1"/>
          <w:lang w:val="en-US"/>
        </w:rPr>
        <w:t>j</w:t>
      </w:r>
      <w:proofErr w:type="spellEnd"/>
      <w:r w:rsidRPr="00732E03">
        <w:rPr>
          <w:color w:val="000000" w:themeColor="text1"/>
          <w:lang w:val="en-US"/>
        </w:rPr>
        <w:t xml:space="preserve"> &lt; 0.01). P values were corrected by the </w:t>
      </w:r>
      <w:proofErr w:type="spellStart"/>
      <w:r w:rsidRPr="00732E03">
        <w:rPr>
          <w:color w:val="000000" w:themeColor="text1"/>
          <w:lang w:val="en-US"/>
        </w:rPr>
        <w:t>Benjamini</w:t>
      </w:r>
      <w:proofErr w:type="spellEnd"/>
      <w:r w:rsidRPr="00732E03">
        <w:rPr>
          <w:color w:val="000000" w:themeColor="text1"/>
          <w:lang w:val="en-US"/>
        </w:rPr>
        <w:t>/Hochberg method.</w:t>
      </w:r>
    </w:p>
    <w:p w14:paraId="4475CD5E" w14:textId="77777777" w:rsidR="00732E03" w:rsidRPr="00732E03" w:rsidRDefault="00732E03" w:rsidP="00851B31">
      <w:pPr>
        <w:spacing w:after="0" w:line="360" w:lineRule="auto"/>
        <w:rPr>
          <w:color w:val="000000" w:themeColor="text1"/>
          <w:lang w:val="en-US"/>
        </w:rPr>
      </w:pPr>
      <w:r w:rsidRPr="00732E03">
        <w:rPr>
          <w:color w:val="000000" w:themeColor="text1"/>
          <w:lang w:val="en-US"/>
        </w:rPr>
        <w:br w:type="page"/>
      </w:r>
    </w:p>
    <w:p w14:paraId="765468AF" w14:textId="77777777" w:rsidR="00732E03" w:rsidRPr="00732E03" w:rsidRDefault="00732E03" w:rsidP="00851B31">
      <w:pPr>
        <w:spacing w:line="360" w:lineRule="auto"/>
        <w:jc w:val="both"/>
        <w:rPr>
          <w:color w:val="000000" w:themeColor="text1"/>
          <w:lang w:val="en-US"/>
        </w:rPr>
      </w:pPr>
    </w:p>
    <w:p w14:paraId="1F41041A" w14:textId="77777777" w:rsidR="00732E03" w:rsidRPr="00732E03" w:rsidRDefault="00732E03" w:rsidP="00851B31">
      <w:pPr>
        <w:spacing w:line="360" w:lineRule="auto"/>
        <w:jc w:val="both"/>
        <w:rPr>
          <w:color w:val="000000" w:themeColor="text1"/>
          <w:lang w:val="en-US"/>
        </w:rPr>
      </w:pPr>
      <w:r w:rsidRPr="00732E03">
        <w:rPr>
          <w:noProof/>
          <w:color w:val="000000" w:themeColor="text1"/>
        </w:rPr>
        <w:drawing>
          <wp:inline distT="0" distB="0" distL="0" distR="0" wp14:anchorId="47FB45F6" wp14:editId="0DB7BA6C">
            <wp:extent cx="5610986" cy="2634068"/>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5371" cy="2640821"/>
                    </a:xfrm>
                    <a:prstGeom prst="rect">
                      <a:avLst/>
                    </a:prstGeom>
                    <a:noFill/>
                  </pic:spPr>
                </pic:pic>
              </a:graphicData>
            </a:graphic>
          </wp:inline>
        </w:drawing>
      </w:r>
    </w:p>
    <w:p w14:paraId="1C471D1C" w14:textId="77777777" w:rsidR="00732E03" w:rsidRPr="00732E03" w:rsidRDefault="00732E03" w:rsidP="00851B31">
      <w:pPr>
        <w:spacing w:line="360" w:lineRule="auto"/>
        <w:jc w:val="both"/>
        <w:rPr>
          <w:color w:val="000000" w:themeColor="text1"/>
          <w:lang w:val="en-US"/>
        </w:rPr>
      </w:pPr>
      <w:r w:rsidRPr="00732E03">
        <w:rPr>
          <w:b/>
          <w:color w:val="000000" w:themeColor="text1"/>
        </w:rPr>
        <w:t>Fig. S5.</w:t>
      </w:r>
      <w:r w:rsidRPr="00732E03">
        <w:rPr>
          <w:color w:val="000000" w:themeColor="text1"/>
        </w:rPr>
        <w:t xml:space="preserve"> </w:t>
      </w:r>
      <w:r w:rsidRPr="00732E03">
        <w:rPr>
          <w:b/>
          <w:color w:val="000000" w:themeColor="text1"/>
        </w:rPr>
        <w:t xml:space="preserve">Antidepressants increase the ROS generation and cell membrane permeability of </w:t>
      </w:r>
      <w:proofErr w:type="spellStart"/>
      <w:r w:rsidRPr="00732E03">
        <w:rPr>
          <w:b/>
          <w:i/>
          <w:color w:val="000000" w:themeColor="text1"/>
        </w:rPr>
        <w:t>comFEBC</w:t>
      </w:r>
      <w:proofErr w:type="spellEnd"/>
      <w:r w:rsidRPr="00732E03">
        <w:rPr>
          <w:b/>
          <w:color w:val="000000" w:themeColor="text1"/>
        </w:rPr>
        <w:t xml:space="preserve">- knocked out </w:t>
      </w:r>
      <w:r w:rsidRPr="00732E03">
        <w:rPr>
          <w:b/>
          <w:i/>
          <w:iCs/>
          <w:color w:val="000000" w:themeColor="text1"/>
        </w:rPr>
        <w:t xml:space="preserve">A. </w:t>
      </w:r>
      <w:proofErr w:type="spellStart"/>
      <w:r w:rsidRPr="00732E03">
        <w:rPr>
          <w:b/>
          <w:i/>
          <w:iCs/>
          <w:color w:val="000000" w:themeColor="text1"/>
        </w:rPr>
        <w:t>baylyi</w:t>
      </w:r>
      <w:proofErr w:type="spellEnd"/>
      <w:r w:rsidRPr="00732E03">
        <w:rPr>
          <w:b/>
          <w:color w:val="000000" w:themeColor="text1"/>
        </w:rPr>
        <w:t xml:space="preserve"> ADP1</w:t>
      </w:r>
      <w:r w:rsidRPr="00732E03">
        <w:rPr>
          <w:color w:val="000000" w:themeColor="text1"/>
        </w:rPr>
        <w:t xml:space="preserve">. </w:t>
      </w:r>
      <w:r w:rsidRPr="00732E03">
        <w:rPr>
          <w:b/>
          <w:bCs/>
          <w:color w:val="000000" w:themeColor="text1"/>
        </w:rPr>
        <w:t>a</w:t>
      </w:r>
      <w:r w:rsidRPr="00732E03">
        <w:rPr>
          <w:color w:val="000000" w:themeColor="text1"/>
        </w:rPr>
        <w:t xml:space="preserve">. </w:t>
      </w:r>
      <w:r w:rsidRPr="00732E03">
        <w:rPr>
          <w:bCs/>
          <w:color w:val="000000" w:themeColor="text1"/>
        </w:rPr>
        <w:t xml:space="preserve">ROS generation of </w:t>
      </w:r>
      <w:proofErr w:type="spellStart"/>
      <w:r w:rsidRPr="00732E03">
        <w:rPr>
          <w:bCs/>
          <w:i/>
          <w:color w:val="000000" w:themeColor="text1"/>
        </w:rPr>
        <w:t>comFEBC</w:t>
      </w:r>
      <w:proofErr w:type="spellEnd"/>
      <w:r w:rsidRPr="00732E03">
        <w:rPr>
          <w:bCs/>
          <w:color w:val="000000" w:themeColor="text1"/>
        </w:rPr>
        <w:t>- knocked out</w:t>
      </w:r>
      <w:r w:rsidRPr="00732E03">
        <w:rPr>
          <w:b/>
          <w:bCs/>
          <w:color w:val="000000" w:themeColor="text1"/>
        </w:rPr>
        <w:t xml:space="preserve"> </w:t>
      </w:r>
      <w:r w:rsidRPr="00732E03">
        <w:rPr>
          <w:bCs/>
          <w:i/>
          <w:color w:val="000000" w:themeColor="text1"/>
        </w:rPr>
        <w:t xml:space="preserve">A. </w:t>
      </w:r>
      <w:proofErr w:type="spellStart"/>
      <w:r w:rsidRPr="00732E03">
        <w:rPr>
          <w:bCs/>
          <w:i/>
          <w:color w:val="000000" w:themeColor="text1"/>
        </w:rPr>
        <w:t>baylyi</w:t>
      </w:r>
      <w:proofErr w:type="spellEnd"/>
      <w:r w:rsidRPr="00732E03">
        <w:rPr>
          <w:bCs/>
          <w:color w:val="000000" w:themeColor="text1"/>
        </w:rPr>
        <w:t xml:space="preserve"> ADP1 </w:t>
      </w:r>
      <w:r w:rsidRPr="00732E03">
        <w:rPr>
          <w:color w:val="000000" w:themeColor="text1"/>
        </w:rPr>
        <w:t xml:space="preserve">after 2 h treatments of various antidepressants. </w:t>
      </w:r>
      <w:r w:rsidRPr="00732E03">
        <w:rPr>
          <w:b/>
          <w:color w:val="000000" w:themeColor="text1"/>
        </w:rPr>
        <w:t>b.</w:t>
      </w:r>
      <w:r w:rsidRPr="00732E03">
        <w:rPr>
          <w:color w:val="000000" w:themeColor="text1"/>
        </w:rPr>
        <w:t xml:space="preserve"> cell membrane permeability of </w:t>
      </w:r>
      <w:r w:rsidRPr="00732E03">
        <w:rPr>
          <w:i/>
          <w:iCs/>
          <w:color w:val="000000" w:themeColor="text1"/>
        </w:rPr>
        <w:t xml:space="preserve">A. </w:t>
      </w:r>
      <w:proofErr w:type="spellStart"/>
      <w:r w:rsidRPr="00732E03">
        <w:rPr>
          <w:i/>
          <w:iCs/>
          <w:color w:val="000000" w:themeColor="text1"/>
        </w:rPr>
        <w:t>baylyi</w:t>
      </w:r>
      <w:proofErr w:type="spellEnd"/>
      <w:r w:rsidRPr="00732E03">
        <w:rPr>
          <w:color w:val="000000" w:themeColor="text1"/>
        </w:rPr>
        <w:t xml:space="preserve"> ADP1 after 6 h treatments of various antidepressants (n=4). </w:t>
      </w:r>
      <w:r w:rsidRPr="00732E03">
        <w:rPr>
          <w:color w:val="000000" w:themeColor="text1"/>
          <w:lang w:val="en-US"/>
        </w:rPr>
        <w:t xml:space="preserve">Significant differences between individual antidepressant-treated groups and the control groups (0 mg/L) were </w:t>
      </w:r>
      <w:proofErr w:type="spellStart"/>
      <w:r w:rsidRPr="00732E03">
        <w:rPr>
          <w:color w:val="000000" w:themeColor="text1"/>
          <w:lang w:val="en-US"/>
        </w:rPr>
        <w:t>analysed</w:t>
      </w:r>
      <w:proofErr w:type="spellEnd"/>
      <w:r w:rsidRPr="00732E03">
        <w:rPr>
          <w:color w:val="000000" w:themeColor="text1"/>
          <w:lang w:val="en-US"/>
        </w:rPr>
        <w:t xml:space="preserve"> with ANOVA and shown with * (</w:t>
      </w:r>
      <w:proofErr w:type="spellStart"/>
      <w:r w:rsidRPr="00732E03">
        <w:rPr>
          <w:bCs/>
          <w:i/>
          <w:color w:val="000000" w:themeColor="text1"/>
          <w:lang w:val="en-US"/>
        </w:rPr>
        <w:t>p</w:t>
      </w:r>
      <w:r w:rsidRPr="00732E03">
        <w:rPr>
          <w:bCs/>
          <w:iCs/>
          <w:color w:val="000000" w:themeColor="text1"/>
          <w:vertAlign w:val="subscript"/>
          <w:lang w:val="en-US"/>
        </w:rPr>
        <w:t>adj</w:t>
      </w:r>
      <w:proofErr w:type="spellEnd"/>
      <w:r w:rsidRPr="00732E03">
        <w:rPr>
          <w:color w:val="000000" w:themeColor="text1"/>
          <w:vertAlign w:val="subscript"/>
          <w:lang w:val="en-US"/>
        </w:rPr>
        <w:t xml:space="preserve"> </w:t>
      </w:r>
      <w:r w:rsidRPr="00732E03">
        <w:rPr>
          <w:color w:val="000000" w:themeColor="text1"/>
          <w:lang w:val="en-US"/>
        </w:rPr>
        <w:t>&lt; 0.05), ** (</w:t>
      </w:r>
      <w:proofErr w:type="spellStart"/>
      <w:r w:rsidRPr="00732E03">
        <w:rPr>
          <w:bCs/>
          <w:i/>
          <w:color w:val="000000" w:themeColor="text1"/>
          <w:lang w:val="en-US"/>
        </w:rPr>
        <w:t>p</w:t>
      </w:r>
      <w:r w:rsidRPr="00732E03">
        <w:rPr>
          <w:bCs/>
          <w:iCs/>
          <w:color w:val="000000" w:themeColor="text1"/>
          <w:vertAlign w:val="subscript"/>
          <w:lang w:val="en-US"/>
        </w:rPr>
        <w:t>ad</w:t>
      </w:r>
      <w:r w:rsidRPr="00732E03">
        <w:rPr>
          <w:bCs/>
          <w:iCs/>
          <w:color w:val="000000" w:themeColor="text1"/>
          <w:lang w:val="en-US"/>
        </w:rPr>
        <w:t>j</w:t>
      </w:r>
      <w:proofErr w:type="spellEnd"/>
      <w:r w:rsidRPr="00732E03">
        <w:rPr>
          <w:color w:val="000000" w:themeColor="text1"/>
          <w:lang w:val="en-US"/>
        </w:rPr>
        <w:t xml:space="preserve"> &lt; 0.01). P values were corrected by the </w:t>
      </w:r>
      <w:proofErr w:type="spellStart"/>
      <w:r w:rsidRPr="00732E03">
        <w:rPr>
          <w:color w:val="000000" w:themeColor="text1"/>
          <w:lang w:val="en-US"/>
        </w:rPr>
        <w:t>Benjamini</w:t>
      </w:r>
      <w:proofErr w:type="spellEnd"/>
      <w:r w:rsidRPr="00732E03">
        <w:rPr>
          <w:color w:val="000000" w:themeColor="text1"/>
          <w:lang w:val="en-US"/>
        </w:rPr>
        <w:t>/Hochberg method.</w:t>
      </w:r>
    </w:p>
    <w:p w14:paraId="6F346F78" w14:textId="77777777" w:rsidR="00732E03" w:rsidRPr="00732E03" w:rsidRDefault="00732E03" w:rsidP="00851B31">
      <w:pPr>
        <w:spacing w:after="0" w:line="360" w:lineRule="auto"/>
        <w:rPr>
          <w:color w:val="000000" w:themeColor="text1"/>
          <w:lang w:val="en-US"/>
        </w:rPr>
      </w:pPr>
      <w:r w:rsidRPr="00732E03">
        <w:rPr>
          <w:color w:val="000000" w:themeColor="text1"/>
          <w:lang w:val="en-US"/>
        </w:rPr>
        <w:br w:type="page"/>
      </w:r>
    </w:p>
    <w:p w14:paraId="49A5468E" w14:textId="77777777" w:rsidR="00732E03" w:rsidRPr="00732E03" w:rsidRDefault="00732E03" w:rsidP="00851B31">
      <w:pPr>
        <w:spacing w:line="360" w:lineRule="auto"/>
        <w:jc w:val="both"/>
        <w:rPr>
          <w:color w:val="000000" w:themeColor="text1"/>
          <w:lang w:val="en-US"/>
        </w:rPr>
      </w:pPr>
    </w:p>
    <w:p w14:paraId="64908815" w14:textId="77777777" w:rsidR="00732E03" w:rsidRPr="00732E03" w:rsidRDefault="00732E03" w:rsidP="00851B31">
      <w:pPr>
        <w:spacing w:line="360" w:lineRule="auto"/>
        <w:jc w:val="both"/>
        <w:rPr>
          <w:rFonts w:eastAsia="Times New Roman"/>
          <w:color w:val="000000" w:themeColor="text1"/>
        </w:rPr>
      </w:pPr>
      <w:r w:rsidRPr="00732E03">
        <w:rPr>
          <w:rFonts w:eastAsia="Times New Roman"/>
          <w:noProof/>
          <w:color w:val="000000" w:themeColor="text1"/>
        </w:rPr>
        <w:drawing>
          <wp:inline distT="0" distB="0" distL="0" distR="0" wp14:anchorId="5C7782B8" wp14:editId="6FDEC39A">
            <wp:extent cx="5663565" cy="2871813"/>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69529" cy="2874837"/>
                    </a:xfrm>
                    <a:prstGeom prst="rect">
                      <a:avLst/>
                    </a:prstGeom>
                    <a:noFill/>
                  </pic:spPr>
                </pic:pic>
              </a:graphicData>
            </a:graphic>
          </wp:inline>
        </w:drawing>
      </w:r>
    </w:p>
    <w:p w14:paraId="17C166F2" w14:textId="77777777" w:rsidR="00732E03" w:rsidRDefault="00732E03" w:rsidP="00851B31">
      <w:pPr>
        <w:spacing w:line="360" w:lineRule="auto"/>
        <w:jc w:val="both"/>
        <w:rPr>
          <w:rFonts w:eastAsia="Times New Roman"/>
          <w:i/>
          <w:iCs/>
          <w:color w:val="000000" w:themeColor="text1"/>
        </w:rPr>
      </w:pPr>
      <w:r w:rsidRPr="00851B31">
        <w:rPr>
          <w:rFonts w:eastAsia="Times New Roman"/>
          <w:b/>
          <w:color w:val="000000" w:themeColor="text1"/>
        </w:rPr>
        <w:t>Fig. S6.</w:t>
      </w:r>
      <w:r w:rsidRPr="00732E03">
        <w:rPr>
          <w:rFonts w:eastAsia="Times New Roman"/>
          <w:color w:val="000000" w:themeColor="text1"/>
        </w:rPr>
        <w:t xml:space="preserve"> Gel electrophoresis of PCR products on </w:t>
      </w:r>
      <w:r w:rsidRPr="00732E03">
        <w:rPr>
          <w:rFonts w:eastAsia="Times New Roman"/>
          <w:i/>
          <w:iCs/>
          <w:color w:val="000000" w:themeColor="text1"/>
        </w:rPr>
        <w:t>bla</w:t>
      </w:r>
      <w:r w:rsidRPr="00732E03">
        <w:rPr>
          <w:rFonts w:eastAsia="Times New Roman"/>
          <w:color w:val="000000" w:themeColor="text1"/>
          <w:vertAlign w:val="subscript"/>
        </w:rPr>
        <w:t>TEM-1</w:t>
      </w:r>
      <w:r w:rsidRPr="00732E03">
        <w:rPr>
          <w:rFonts w:eastAsia="Times New Roman"/>
          <w:color w:val="000000" w:themeColor="text1"/>
        </w:rPr>
        <w:t xml:space="preserve"> and </w:t>
      </w:r>
      <w:proofErr w:type="spellStart"/>
      <w:r w:rsidRPr="00732E03">
        <w:rPr>
          <w:rFonts w:eastAsia="Times New Roman"/>
          <w:i/>
          <w:iCs/>
          <w:color w:val="000000" w:themeColor="text1"/>
        </w:rPr>
        <w:t>tetA</w:t>
      </w:r>
      <w:proofErr w:type="spellEnd"/>
      <w:r w:rsidRPr="00732E03">
        <w:rPr>
          <w:rFonts w:eastAsia="Times New Roman"/>
          <w:color w:val="000000" w:themeColor="text1"/>
        </w:rPr>
        <w:t xml:space="preserve"> gene on donor pWH1266 plasmid, recipient </w:t>
      </w:r>
      <w:proofErr w:type="spellStart"/>
      <w:r w:rsidRPr="00732E03">
        <w:rPr>
          <w:rFonts w:eastAsia="Times New Roman"/>
          <w:i/>
          <w:color w:val="000000" w:themeColor="text1"/>
        </w:rPr>
        <w:t>comFEBC</w:t>
      </w:r>
      <w:proofErr w:type="spellEnd"/>
      <w:r w:rsidRPr="00732E03">
        <w:rPr>
          <w:rFonts w:eastAsia="Times New Roman"/>
          <w:color w:val="000000" w:themeColor="text1"/>
        </w:rPr>
        <w:t xml:space="preserve">- knocked out </w:t>
      </w:r>
      <w:r w:rsidRPr="00732E03">
        <w:rPr>
          <w:rFonts w:eastAsia="Times New Roman"/>
          <w:i/>
          <w:color w:val="000000" w:themeColor="text1"/>
        </w:rPr>
        <w:t xml:space="preserve">A. </w:t>
      </w:r>
      <w:proofErr w:type="spellStart"/>
      <w:r w:rsidRPr="00732E03">
        <w:rPr>
          <w:rFonts w:eastAsia="Times New Roman"/>
          <w:i/>
          <w:color w:val="000000" w:themeColor="text1"/>
        </w:rPr>
        <w:t>baylyi</w:t>
      </w:r>
      <w:proofErr w:type="spellEnd"/>
      <w:r w:rsidRPr="00732E03">
        <w:rPr>
          <w:rFonts w:eastAsia="Times New Roman"/>
          <w:color w:val="000000" w:themeColor="text1"/>
        </w:rPr>
        <w:t xml:space="preserve"> and transformants</w:t>
      </w:r>
      <w:r w:rsidRPr="00732E03">
        <w:rPr>
          <w:rFonts w:eastAsia="Times New Roman"/>
          <w:i/>
          <w:iCs/>
          <w:color w:val="000000" w:themeColor="text1"/>
        </w:rPr>
        <w:t>.</w:t>
      </w:r>
    </w:p>
    <w:p w14:paraId="7197192B" w14:textId="77777777" w:rsidR="00732E03" w:rsidRDefault="00732E03" w:rsidP="00851B31">
      <w:pPr>
        <w:spacing w:after="0" w:line="360" w:lineRule="auto"/>
        <w:rPr>
          <w:rFonts w:eastAsia="Times New Roman"/>
          <w:color w:val="000000" w:themeColor="text1"/>
        </w:rPr>
      </w:pPr>
      <w:r>
        <w:rPr>
          <w:rFonts w:eastAsia="Times New Roman"/>
          <w:color w:val="000000" w:themeColor="text1"/>
        </w:rPr>
        <w:br w:type="page"/>
      </w:r>
    </w:p>
    <w:p w14:paraId="4CAD7CDC" w14:textId="77777777" w:rsidR="00732E03" w:rsidRPr="00732E03" w:rsidRDefault="00732E03" w:rsidP="00851B31">
      <w:pPr>
        <w:spacing w:line="360" w:lineRule="auto"/>
        <w:jc w:val="both"/>
        <w:rPr>
          <w:rFonts w:eastAsia="Times New Roman"/>
          <w:color w:val="000000" w:themeColor="text1"/>
        </w:rPr>
      </w:pPr>
    </w:p>
    <w:p w14:paraId="369BCFAD" w14:textId="77777777" w:rsidR="00732E03" w:rsidRPr="00732E03" w:rsidRDefault="00732E03" w:rsidP="00851B31">
      <w:pPr>
        <w:spacing w:line="360" w:lineRule="auto"/>
        <w:jc w:val="both"/>
        <w:rPr>
          <w:rFonts w:eastAsia="Times New Roman"/>
          <w:color w:val="000000" w:themeColor="text1"/>
        </w:rPr>
      </w:pPr>
      <w:r w:rsidRPr="00732E03">
        <w:rPr>
          <w:rFonts w:eastAsia="Times New Roman"/>
          <w:noProof/>
          <w:color w:val="000000" w:themeColor="text1"/>
        </w:rPr>
        <w:drawing>
          <wp:inline distT="0" distB="0" distL="0" distR="0" wp14:anchorId="5002E753" wp14:editId="1A714913">
            <wp:extent cx="5685837" cy="19019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4672" cy="1911640"/>
                    </a:xfrm>
                    <a:prstGeom prst="rect">
                      <a:avLst/>
                    </a:prstGeom>
                    <a:noFill/>
                  </pic:spPr>
                </pic:pic>
              </a:graphicData>
            </a:graphic>
          </wp:inline>
        </w:drawing>
      </w:r>
    </w:p>
    <w:p w14:paraId="127AEBD4" w14:textId="77777777" w:rsidR="00732E03" w:rsidRPr="00732E03" w:rsidRDefault="00732E03" w:rsidP="00851B31">
      <w:pPr>
        <w:spacing w:line="360" w:lineRule="auto"/>
        <w:jc w:val="both"/>
        <w:rPr>
          <w:rFonts w:eastAsia="Times New Roman"/>
          <w:bCs/>
          <w:color w:val="000000" w:themeColor="text1"/>
        </w:rPr>
      </w:pPr>
      <w:r w:rsidRPr="00851B31">
        <w:rPr>
          <w:rFonts w:eastAsia="Times New Roman"/>
          <w:b/>
          <w:bCs/>
          <w:color w:val="000000" w:themeColor="text1"/>
        </w:rPr>
        <w:t>Fig</w:t>
      </w:r>
      <w:r w:rsidRPr="00851B31">
        <w:rPr>
          <w:rFonts w:eastAsia="SimSun"/>
          <w:b/>
          <w:bCs/>
          <w:color w:val="000000" w:themeColor="text1"/>
        </w:rPr>
        <w:t>.S7.</w:t>
      </w:r>
      <w:r w:rsidRPr="00732E03">
        <w:rPr>
          <w:rFonts w:eastAsia="SimSun"/>
          <w:bCs/>
          <w:color w:val="000000" w:themeColor="text1"/>
        </w:rPr>
        <w:t xml:space="preserve"> </w:t>
      </w:r>
      <w:r w:rsidRPr="00732E03">
        <w:rPr>
          <w:rFonts w:eastAsia="Times New Roman"/>
          <w:bCs/>
          <w:color w:val="000000" w:themeColor="text1"/>
        </w:rPr>
        <w:t xml:space="preserve">Ratio of live, damaged and dead cells of </w:t>
      </w:r>
      <w:r w:rsidRPr="00732E03">
        <w:rPr>
          <w:rFonts w:eastAsia="Times New Roman"/>
          <w:bCs/>
          <w:i/>
          <w:color w:val="000000" w:themeColor="text1"/>
        </w:rPr>
        <w:t xml:space="preserve">A. </w:t>
      </w:r>
      <w:proofErr w:type="spellStart"/>
      <w:r w:rsidRPr="00732E03">
        <w:rPr>
          <w:rFonts w:eastAsia="Times New Roman"/>
          <w:bCs/>
          <w:i/>
          <w:color w:val="000000" w:themeColor="text1"/>
        </w:rPr>
        <w:t>baylyi</w:t>
      </w:r>
      <w:proofErr w:type="spellEnd"/>
      <w:r w:rsidRPr="00732E03">
        <w:rPr>
          <w:rFonts w:eastAsia="Times New Roman"/>
          <w:bCs/>
          <w:color w:val="000000" w:themeColor="text1"/>
        </w:rPr>
        <w:t xml:space="preserve"> under aerobic (blue) and anaerobic (yellow) conditions for (left) 6 h and (right) 24 h. </w:t>
      </w:r>
    </w:p>
    <w:p w14:paraId="10B5DE8A" w14:textId="1627DE49" w:rsidR="00A91534" w:rsidRPr="00851B31" w:rsidRDefault="00A91534" w:rsidP="00851B31">
      <w:pPr>
        <w:spacing w:line="360" w:lineRule="auto"/>
        <w:rPr>
          <w:i/>
          <w:iCs/>
        </w:rPr>
      </w:pPr>
    </w:p>
    <w:sectPr w:rsidR="00A91534" w:rsidRPr="00851B31">
      <w:footerReference w:type="default" r:id="rId1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6A0B9" w14:textId="77777777" w:rsidR="00E64DD7" w:rsidRDefault="00E64DD7">
      <w:pPr>
        <w:spacing w:line="240" w:lineRule="auto"/>
      </w:pPr>
      <w:r>
        <w:separator/>
      </w:r>
    </w:p>
  </w:endnote>
  <w:endnote w:type="continuationSeparator" w:id="0">
    <w:p w14:paraId="075F6D0E" w14:textId="77777777" w:rsidR="00E64DD7" w:rsidRDefault="00E64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vOTf9433e2d">
    <w:altName w:val="Cambria"/>
    <w:charset w:val="00"/>
    <w:family w:val="roman"/>
    <w:pitch w:val="default"/>
    <w:sig w:usb0="00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505766"/>
    </w:sdtPr>
    <w:sdtEndPr/>
    <w:sdtContent>
      <w:p w14:paraId="6C60141B" w14:textId="77777777" w:rsidR="00A91534" w:rsidRDefault="00B23DEE">
        <w:pPr>
          <w:pStyle w:val="Footer"/>
          <w:jc w:val="center"/>
        </w:pPr>
        <w:r>
          <w:fldChar w:fldCharType="begin"/>
        </w:r>
        <w:r>
          <w:instrText xml:space="preserve"> PAGE   \* MERGEFORMAT </w:instrText>
        </w:r>
        <w:r>
          <w:fldChar w:fldCharType="separate"/>
        </w:r>
        <w:r w:rsidR="00851B31">
          <w:rPr>
            <w:noProof/>
          </w:rPr>
          <w:t>7</w:t>
        </w:r>
        <w:r>
          <w:fldChar w:fldCharType="end"/>
        </w:r>
      </w:p>
    </w:sdtContent>
  </w:sdt>
  <w:p w14:paraId="3CF04EAA" w14:textId="77777777" w:rsidR="00A91534" w:rsidRDefault="00A91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257B2" w14:textId="77777777" w:rsidR="00E64DD7" w:rsidRDefault="00E64DD7">
      <w:pPr>
        <w:spacing w:after="0"/>
      </w:pPr>
      <w:r>
        <w:separator/>
      </w:r>
    </w:p>
  </w:footnote>
  <w:footnote w:type="continuationSeparator" w:id="0">
    <w:p w14:paraId="114BD186" w14:textId="77777777" w:rsidR="00E64DD7" w:rsidRDefault="00E64DD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 Science Te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te509v9pvt0mee0wbxwd0oavvrteraedr0&quot;&gt;Ji Lu nanosilver&lt;record-ids&gt;&lt;item&gt;1040&lt;/item&gt;&lt;item&gt;1041&lt;/item&gt;&lt;item&gt;1042&lt;/item&gt;&lt;item&gt;1043&lt;/item&gt;&lt;item&gt;1044&lt;/item&gt;&lt;item&gt;1045&lt;/item&gt;&lt;/record-ids&gt;&lt;/item&gt;&lt;/Libraries&gt;"/>
  </w:docVars>
  <w:rsids>
    <w:rsidRoot w:val="00F30FF9"/>
    <w:rsid w:val="000068C3"/>
    <w:rsid w:val="000101D7"/>
    <w:rsid w:val="0002096D"/>
    <w:rsid w:val="00025C68"/>
    <w:rsid w:val="00057B1B"/>
    <w:rsid w:val="000712D3"/>
    <w:rsid w:val="00092907"/>
    <w:rsid w:val="000A076A"/>
    <w:rsid w:val="000B29AF"/>
    <w:rsid w:val="000B3278"/>
    <w:rsid w:val="000D6DAF"/>
    <w:rsid w:val="000E4B13"/>
    <w:rsid w:val="000E7A6F"/>
    <w:rsid w:val="001038F9"/>
    <w:rsid w:val="00106124"/>
    <w:rsid w:val="00122E45"/>
    <w:rsid w:val="0014125F"/>
    <w:rsid w:val="00141564"/>
    <w:rsid w:val="001668DB"/>
    <w:rsid w:val="00174769"/>
    <w:rsid w:val="001A1E30"/>
    <w:rsid w:val="001D23B4"/>
    <w:rsid w:val="001E1A49"/>
    <w:rsid w:val="00202143"/>
    <w:rsid w:val="002051BC"/>
    <w:rsid w:val="0021474B"/>
    <w:rsid w:val="00245C9B"/>
    <w:rsid w:val="00253F7F"/>
    <w:rsid w:val="0027156B"/>
    <w:rsid w:val="00284143"/>
    <w:rsid w:val="002C3EE4"/>
    <w:rsid w:val="002C5C74"/>
    <w:rsid w:val="002E556C"/>
    <w:rsid w:val="00355135"/>
    <w:rsid w:val="00355E48"/>
    <w:rsid w:val="003A5249"/>
    <w:rsid w:val="003A5DB0"/>
    <w:rsid w:val="003F03F6"/>
    <w:rsid w:val="004440E7"/>
    <w:rsid w:val="00477BA1"/>
    <w:rsid w:val="004820B8"/>
    <w:rsid w:val="004A2045"/>
    <w:rsid w:val="004D4894"/>
    <w:rsid w:val="004D5044"/>
    <w:rsid w:val="004D75C8"/>
    <w:rsid w:val="004E0953"/>
    <w:rsid w:val="0054124F"/>
    <w:rsid w:val="00543AAD"/>
    <w:rsid w:val="00553F6B"/>
    <w:rsid w:val="0055427B"/>
    <w:rsid w:val="0056379E"/>
    <w:rsid w:val="00565A67"/>
    <w:rsid w:val="00582644"/>
    <w:rsid w:val="005921D4"/>
    <w:rsid w:val="005B23BA"/>
    <w:rsid w:val="005B56C1"/>
    <w:rsid w:val="00612447"/>
    <w:rsid w:val="0061584D"/>
    <w:rsid w:val="00653754"/>
    <w:rsid w:val="00666EF4"/>
    <w:rsid w:val="006675B7"/>
    <w:rsid w:val="00670835"/>
    <w:rsid w:val="0067242C"/>
    <w:rsid w:val="006855A5"/>
    <w:rsid w:val="006D5CF2"/>
    <w:rsid w:val="00732E03"/>
    <w:rsid w:val="00741E1D"/>
    <w:rsid w:val="00742A5D"/>
    <w:rsid w:val="007B5E32"/>
    <w:rsid w:val="007C7F12"/>
    <w:rsid w:val="007D1516"/>
    <w:rsid w:val="007E1B18"/>
    <w:rsid w:val="00851477"/>
    <w:rsid w:val="00851B31"/>
    <w:rsid w:val="008541C1"/>
    <w:rsid w:val="00881831"/>
    <w:rsid w:val="00892F1A"/>
    <w:rsid w:val="008A139A"/>
    <w:rsid w:val="008C13F4"/>
    <w:rsid w:val="008F5EA3"/>
    <w:rsid w:val="0094233F"/>
    <w:rsid w:val="009A1115"/>
    <w:rsid w:val="009A2AE8"/>
    <w:rsid w:val="009A3596"/>
    <w:rsid w:val="009C33ED"/>
    <w:rsid w:val="009D21FB"/>
    <w:rsid w:val="009F2BAD"/>
    <w:rsid w:val="00A16509"/>
    <w:rsid w:val="00A300FB"/>
    <w:rsid w:val="00A327B3"/>
    <w:rsid w:val="00A91534"/>
    <w:rsid w:val="00AD5A6A"/>
    <w:rsid w:val="00B23DEE"/>
    <w:rsid w:val="00B24835"/>
    <w:rsid w:val="00B4323E"/>
    <w:rsid w:val="00B50D79"/>
    <w:rsid w:val="00BA6C64"/>
    <w:rsid w:val="00BF2CC0"/>
    <w:rsid w:val="00C00856"/>
    <w:rsid w:val="00C352BE"/>
    <w:rsid w:val="00C65280"/>
    <w:rsid w:val="00C8450C"/>
    <w:rsid w:val="00CB03F6"/>
    <w:rsid w:val="00CD571C"/>
    <w:rsid w:val="00CD725B"/>
    <w:rsid w:val="00D16F93"/>
    <w:rsid w:val="00D408FE"/>
    <w:rsid w:val="00E16A6B"/>
    <w:rsid w:val="00E601F8"/>
    <w:rsid w:val="00E64DD7"/>
    <w:rsid w:val="00E65D2C"/>
    <w:rsid w:val="00E91691"/>
    <w:rsid w:val="00EA263B"/>
    <w:rsid w:val="00EB0F6A"/>
    <w:rsid w:val="00ED7BEA"/>
    <w:rsid w:val="00EF499B"/>
    <w:rsid w:val="00F252E3"/>
    <w:rsid w:val="00F30FF9"/>
    <w:rsid w:val="00F45E31"/>
    <w:rsid w:val="00F711B0"/>
    <w:rsid w:val="00F718B4"/>
    <w:rsid w:val="00F75645"/>
    <w:rsid w:val="00F84C2E"/>
    <w:rsid w:val="00FB4523"/>
    <w:rsid w:val="00FC37A5"/>
    <w:rsid w:val="2D455B37"/>
    <w:rsid w:val="4D645C5F"/>
    <w:rsid w:val="57607C9E"/>
    <w:rsid w:val="5C1C746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01B5"/>
  <w15:docId w15:val="{6EAB524B-B09C-40D3-AF00-F81D72AD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39"/>
    <w:qFormat/>
    <w:rPr>
      <w:rFonts w:asciiTheme="minorHAnsi" w:hAnsiTheme="minorHAnsi" w:cstheme="minorBidi"/>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character" w:styleId="Hyperlink">
    <w:name w:val="Hyperlink"/>
    <w:uiPriority w:val="99"/>
    <w:unhideWhenUsed/>
    <w:qFormat/>
    <w:rPr>
      <w:color w:val="0000FF"/>
      <w:u w:val="single"/>
    </w:rPr>
  </w:style>
  <w:style w:type="paragraph" w:customStyle="1" w:styleId="BBAuthorName">
    <w:name w:val="BB_Author_Name"/>
    <w:basedOn w:val="Normal"/>
    <w:next w:val="BCAuthorAddress"/>
    <w:qFormat/>
    <w:pPr>
      <w:spacing w:after="240" w:line="480" w:lineRule="auto"/>
      <w:jc w:val="center"/>
    </w:pPr>
    <w:rPr>
      <w:rFonts w:ascii="Times" w:eastAsia="SimSun" w:hAnsi="Times"/>
      <w:i/>
      <w:szCs w:val="20"/>
      <w:lang w:val="en-US" w:eastAsia="en-US"/>
    </w:rPr>
  </w:style>
  <w:style w:type="paragraph" w:customStyle="1" w:styleId="BCAuthorAddress">
    <w:name w:val="BC_Author_Address"/>
    <w:basedOn w:val="Normal"/>
    <w:next w:val="Normal"/>
    <w:qFormat/>
    <w:pPr>
      <w:spacing w:after="240" w:line="480" w:lineRule="auto"/>
      <w:jc w:val="center"/>
    </w:pPr>
    <w:rPr>
      <w:rFonts w:ascii="Times" w:eastAsia="SimSun" w:hAnsi="Times"/>
      <w:szCs w:val="20"/>
      <w:lang w:val="en-US" w:eastAsia="en-US"/>
    </w:rPr>
  </w:style>
  <w:style w:type="paragraph" w:customStyle="1" w:styleId="TESupportingInformation">
    <w:name w:val="TE_Supporting_Information"/>
    <w:basedOn w:val="Normal"/>
    <w:next w:val="Normal"/>
    <w:pPr>
      <w:spacing w:after="200" w:line="480" w:lineRule="auto"/>
      <w:ind w:firstLine="187"/>
      <w:jc w:val="both"/>
    </w:pPr>
    <w:rPr>
      <w:rFonts w:ascii="Times" w:eastAsia="SimSun" w:hAnsi="Times"/>
      <w:szCs w:val="20"/>
      <w:lang w:val="en-US" w:eastAsia="en-US"/>
    </w:rPr>
  </w:style>
  <w:style w:type="table" w:customStyle="1" w:styleId="3">
    <w:name w:val="网格型3"/>
    <w:basedOn w:val="TableNormal"/>
    <w:uiPriority w:val="3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Pr>
      <w:rFonts w:ascii="AdvOTf9433e2d" w:hAnsi="AdvOTf9433e2d" w:hint="default"/>
      <w:color w:val="000000"/>
      <w:sz w:val="18"/>
      <w:szCs w:val="18"/>
    </w:rPr>
  </w:style>
  <w:style w:type="paragraph" w:customStyle="1" w:styleId="EndNoteBibliographyTitle">
    <w:name w:val="EndNote Bibliography Title"/>
    <w:basedOn w:val="Normal"/>
    <w:link w:val="EndNoteBibliographyTitleChar"/>
    <w:qFormat/>
    <w:pPr>
      <w:spacing w:after="0"/>
      <w:jc w:val="center"/>
    </w:pPr>
  </w:style>
  <w:style w:type="character" w:customStyle="1" w:styleId="EndNoteBibliographyTitleChar">
    <w:name w:val="EndNote Bibliography Title Char"/>
    <w:basedOn w:val="DefaultParagraphFont"/>
    <w:link w:val="EndNoteBibliographyTitle"/>
    <w:qFormat/>
  </w:style>
  <w:style w:type="paragraph" w:customStyle="1" w:styleId="EndNoteBibliography">
    <w:name w:val="EndNote Bibliography"/>
    <w:basedOn w:val="Normal"/>
    <w:link w:val="EndNoteBibliographyChar"/>
    <w:qFormat/>
    <w:pPr>
      <w:spacing w:line="240" w:lineRule="auto"/>
    </w:pPr>
  </w:style>
  <w:style w:type="character" w:customStyle="1" w:styleId="EndNoteBibliographyChar">
    <w:name w:val="EndNote Bibliography Char"/>
    <w:basedOn w:val="DefaultParagraphFont"/>
    <w:link w:val="EndNoteBibliography"/>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39"/>
    <w:unhideWhenUsed/>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ianhua.guo@uq.edu.au" TargetMode="Externa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seudomonas.com"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29232B1-3024-4559-A837-FC1BCEFC110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 Lu</dc:creator>
  <cp:lastModifiedBy>Ji Lu</cp:lastModifiedBy>
  <cp:revision>26</cp:revision>
  <dcterms:created xsi:type="dcterms:W3CDTF">2020-11-05T01:39:00Z</dcterms:created>
  <dcterms:modified xsi:type="dcterms:W3CDTF">2022-06-20T01:24:00Z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70D3477FD42F4DAAB81883CE2E7C11EA</vt:lpwstr>
  </property>
  <property fmtid="{D5CDD505-2E9C-101B-9397-08002B2CF9AE}" pid="4" name="MSIP_Label_0f488380-630a-4f55-a077-a19445e3f360_Enabled">
    <vt:lpwstr>true</vt:lpwstr>
  </property>
  <property fmtid="{D5CDD505-2E9C-101B-9397-08002B2CF9AE}" pid="5" name="MSIP_Label_0f488380-630a-4f55-a077-a19445e3f360_SetDate">
    <vt:lpwstr>2022-06-20T01:24:40Z</vt:lpwstr>
  </property>
  <property fmtid="{D5CDD505-2E9C-101B-9397-08002B2CF9AE}" pid="6" name="MSIP_Label_0f488380-630a-4f55-a077-a19445e3f360_Method">
    <vt:lpwstr>Privileged</vt:lpwstr>
  </property>
  <property fmtid="{D5CDD505-2E9C-101B-9397-08002B2CF9AE}" pid="7" name="MSIP_Label_0f488380-630a-4f55-a077-a19445e3f360_Name">
    <vt:lpwstr>OFFICIAL - INTERNAL</vt:lpwstr>
  </property>
  <property fmtid="{D5CDD505-2E9C-101B-9397-08002B2CF9AE}" pid="8" name="MSIP_Label_0f488380-630a-4f55-a077-a19445e3f360_SiteId">
    <vt:lpwstr>b6e377cf-9db3-46cb-91a2-fad9605bb15c</vt:lpwstr>
  </property>
  <property fmtid="{D5CDD505-2E9C-101B-9397-08002B2CF9AE}" pid="9" name="MSIP_Label_0f488380-630a-4f55-a077-a19445e3f360_ActionId">
    <vt:lpwstr>176169a7-1c3b-481e-abed-996e515c28f6</vt:lpwstr>
  </property>
  <property fmtid="{D5CDD505-2E9C-101B-9397-08002B2CF9AE}" pid="10" name="MSIP_Label_0f488380-630a-4f55-a077-a19445e3f360_ContentBits">
    <vt:lpwstr>0</vt:lpwstr>
  </property>
</Properties>
</file>