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B0077" w14:textId="764547C1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</w:rPr>
        <w:t>Description of additional supplementary files</w:t>
      </w:r>
    </w:p>
    <w:p w14:paraId="1A9D9D04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Supplementary Data</w:t>
      </w:r>
      <w:r w:rsidRPr="00C7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C77272">
        <w:rPr>
          <w:rFonts w:ascii="Times New Roman" w:hAnsi="Times New Roman"/>
          <w:sz w:val="24"/>
          <w:szCs w:val="24"/>
        </w:rPr>
        <w:t>. Demographic and clinical characteristics of 97,469 European ancestry UK Biobank participants at study baseline (2006-2010).</w:t>
      </w:r>
    </w:p>
    <w:p w14:paraId="2B9D5661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4E079C5B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Supplementary Data</w:t>
      </w:r>
      <w:r w:rsidRPr="00C7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C77272">
        <w:rPr>
          <w:rFonts w:ascii="Times New Roman" w:hAnsi="Times New Roman"/>
          <w:sz w:val="24"/>
          <w:szCs w:val="24"/>
        </w:rPr>
        <w:t>. Partial r for measured and genetically inferred leucine (Leu), isoleucine (Ile), and valine (Valine) in n=97,468 UK Biobank participants of European ancestry at study baseline (2006-2010).</w:t>
      </w:r>
    </w:p>
    <w:p w14:paraId="15063617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2A55BA78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Supplementary Data</w:t>
      </w:r>
      <w:r w:rsidRPr="00C7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C77272">
        <w:rPr>
          <w:rFonts w:ascii="Times New Roman" w:hAnsi="Times New Roman"/>
          <w:sz w:val="24"/>
          <w:szCs w:val="24"/>
        </w:rPr>
        <w:t>. Genome wide-significant (P&lt; 1.7x10-9) independent signals discovered in three GWAS of branched chain amino acids isoleucine, leucine, and valine in n= 97,469 European ancestry UK Biobank participants.</w:t>
      </w:r>
    </w:p>
    <w:p w14:paraId="35DF4438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148DBC7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Supplementary Data</w:t>
      </w:r>
      <w:r w:rsidRPr="00C7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Pr="00C77272">
        <w:rPr>
          <w:rFonts w:ascii="Times New Roman" w:hAnsi="Times New Roman"/>
          <w:sz w:val="24"/>
          <w:szCs w:val="24"/>
        </w:rPr>
        <w:t>. Estimated narrow-sense heritability and PRS performance R2 (%) estimated from a genome-wide association study of n=97,469 European ancestry UK Biobank participants.</w:t>
      </w:r>
    </w:p>
    <w:p w14:paraId="73244D69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2BAB978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Supplementary Data</w:t>
      </w:r>
      <w:r w:rsidRPr="00C7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 w:rsidRPr="00C77272">
        <w:rPr>
          <w:rFonts w:ascii="Times New Roman" w:hAnsi="Times New Roman"/>
          <w:sz w:val="24"/>
          <w:szCs w:val="24"/>
        </w:rPr>
        <w:t>. Phenotype characteristics, presented as mean (standard deviation, SD) or proportion for a maximum of N=97,469 European ancestry UK Biobank participants.</w:t>
      </w:r>
    </w:p>
    <w:p w14:paraId="606A020A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DDD247B" w14:textId="77777777" w:rsidR="00497FA0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Supplementary Data</w:t>
      </w:r>
      <w:r w:rsidRPr="00C7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C77272">
        <w:rPr>
          <w:rFonts w:ascii="Times New Roman" w:hAnsi="Times New Roman"/>
          <w:sz w:val="24"/>
          <w:szCs w:val="24"/>
        </w:rPr>
        <w:t xml:space="preserve">. BCAA effects for 441 phenotypes estimated with (multivariable Mendelian randomization) and without (univariable Mendelian randomization) accounting for </w:t>
      </w:r>
      <w:r w:rsidRPr="00C77272">
        <w:rPr>
          <w:rFonts w:ascii="Times New Roman" w:hAnsi="Times New Roman"/>
          <w:sz w:val="24"/>
          <w:szCs w:val="24"/>
        </w:rPr>
        <w:lastRenderedPageBreak/>
        <w:t xml:space="preserve">the correlation between BCAAs. </w:t>
      </w:r>
      <w:r>
        <w:rPr>
          <w:rFonts w:ascii="Times New Roman" w:hAnsi="Times New Roman"/>
          <w:sz w:val="24"/>
          <w:szCs w:val="24"/>
        </w:rPr>
        <w:t xml:space="preserve">Association results with measured BCAAs are also presented to enable comparisons with published observational studies. </w:t>
      </w:r>
      <w:r w:rsidRPr="00C77272">
        <w:rPr>
          <w:rFonts w:ascii="Times New Roman" w:hAnsi="Times New Roman"/>
          <w:sz w:val="24"/>
          <w:szCs w:val="24"/>
        </w:rPr>
        <w:t>Effects for binary phenotypes are presented as log effect estimates.</w:t>
      </w:r>
    </w:p>
    <w:p w14:paraId="07CD5D47" w14:textId="77777777" w:rsidR="00497FA0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6C80110E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Supplementary Data</w:t>
      </w:r>
      <w:r w:rsidRPr="00C772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Pr="00C77272">
        <w:rPr>
          <w:rFonts w:ascii="Times New Roman" w:hAnsi="Times New Roman"/>
          <w:color w:val="000000"/>
          <w:sz w:val="24"/>
          <w:szCs w:val="24"/>
        </w:rPr>
        <w:t>. Description of investigator-measured continuous and categorical phenotypes assessed in a maximum of N=97,469 UK Biobank European ancestry participants.</w:t>
      </w:r>
    </w:p>
    <w:p w14:paraId="081B42FF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</w:p>
    <w:p w14:paraId="18E5DC53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Supplementary Data</w:t>
      </w:r>
      <w:r w:rsidRPr="00C77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Pr="00C77272">
        <w:rPr>
          <w:rFonts w:ascii="Times New Roman" w:hAnsi="Times New Roman"/>
          <w:sz w:val="24"/>
          <w:szCs w:val="24"/>
        </w:rPr>
        <w:t>. Description of inpatient phenotypes and phecodes con</w:t>
      </w:r>
      <w:r>
        <w:rPr>
          <w:rFonts w:ascii="Times New Roman" w:hAnsi="Times New Roman"/>
          <w:sz w:val="24"/>
          <w:szCs w:val="24"/>
        </w:rPr>
        <w:t>s</w:t>
      </w:r>
      <w:r w:rsidRPr="00C77272">
        <w:rPr>
          <w:rFonts w:ascii="Times New Roman" w:hAnsi="Times New Roman"/>
          <w:sz w:val="24"/>
          <w:szCs w:val="24"/>
        </w:rPr>
        <w:t>tructed in a maximum of N=97,469 UK Biobank European ancestry participants.</w:t>
      </w:r>
    </w:p>
    <w:p w14:paraId="45420BA8" w14:textId="77777777" w:rsidR="00497FA0" w:rsidRPr="00C77272" w:rsidRDefault="00497FA0" w:rsidP="00497FA0">
      <w:pPr>
        <w:pStyle w:val="Text"/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1C60C04" w14:textId="225B1E71" w:rsidR="00497FA0" w:rsidRDefault="00497FA0" w:rsidP="00497FA0">
      <w:p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Supplementary Data 9. </w:t>
      </w:r>
      <w:r w:rsidRPr="00021BE7">
        <w:rPr>
          <w:rFonts w:ascii="Times New Roman" w:hAnsi="Times New Roman"/>
          <w:sz w:val="24"/>
          <w:szCs w:val="24"/>
        </w:rPr>
        <w:t>Individual F statistics and Sanderson-Windmeijer F-statistics evaluating instrument strength for con</w:t>
      </w:r>
      <w:r>
        <w:rPr>
          <w:rFonts w:ascii="Times New Roman" w:hAnsi="Times New Roman"/>
          <w:sz w:val="24"/>
          <w:szCs w:val="24"/>
        </w:rPr>
        <w:t>t</w:t>
      </w:r>
      <w:r w:rsidRPr="00021BE7">
        <w:rPr>
          <w:rFonts w:ascii="Times New Roman" w:hAnsi="Times New Roman"/>
          <w:sz w:val="24"/>
          <w:szCs w:val="24"/>
        </w:rPr>
        <w:t xml:space="preserve">inuous </w:t>
      </w:r>
      <w:r>
        <w:rPr>
          <w:rFonts w:ascii="Times New Roman" w:hAnsi="Times New Roman"/>
          <w:sz w:val="24"/>
          <w:szCs w:val="24"/>
        </w:rPr>
        <w:t>phenotypes</w:t>
      </w:r>
      <w:r w:rsidRPr="00021BE7">
        <w:rPr>
          <w:rFonts w:ascii="Times New Roman" w:hAnsi="Times New Roman"/>
          <w:sz w:val="24"/>
          <w:szCs w:val="24"/>
        </w:rPr>
        <w:t>.</w:t>
      </w:r>
    </w:p>
    <w:p w14:paraId="66A59D6C" w14:textId="77777777" w:rsidR="001C52C4" w:rsidRDefault="001C52C4"/>
    <w:sectPr w:rsidR="001C5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A0"/>
    <w:rsid w:val="001C52C4"/>
    <w:rsid w:val="003E5B1E"/>
    <w:rsid w:val="00497FA0"/>
    <w:rsid w:val="007E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5A278"/>
  <w15:chartTrackingRefBased/>
  <w15:docId w15:val="{FE24704A-E4BE-4169-A82E-85EF2C58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FA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Char">
    <w:name w:val="Text Char"/>
    <w:link w:val="Text"/>
    <w:locked/>
    <w:rsid w:val="00497FA0"/>
    <w:rPr>
      <w:rFonts w:ascii="Arial" w:eastAsia="Times New Roman" w:hAnsi="Arial" w:cs="Times New Roman"/>
      <w:szCs w:val="20"/>
    </w:rPr>
  </w:style>
  <w:style w:type="paragraph" w:customStyle="1" w:styleId="Text">
    <w:name w:val="Text"/>
    <w:basedOn w:val="Normal"/>
    <w:link w:val="TextChar"/>
    <w:rsid w:val="00497FA0"/>
    <w:pPr>
      <w:suppressAutoHyphens/>
      <w:spacing w:before="120" w:after="120" w:line="360" w:lineRule="auto"/>
    </w:pPr>
    <w:rPr>
      <w:rFonts w:ascii="Arial" w:eastAsia="Times New Roman" w:hAnsi="Arial" w:cs="Times New Roman"/>
      <w:kern w:val="2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Avery, Christy Leigh</dc:creator>
  <cp:keywords/>
  <dc:description/>
  <cp:lastModifiedBy>Avery, Christy Leigh</cp:lastModifiedBy>
  <cp:revision>2</cp:revision>
  <dcterms:created xsi:type="dcterms:W3CDTF">2023-10-03T12:48:00Z</dcterms:created>
  <dcterms:modified xsi:type="dcterms:W3CDTF">2023-10-03T14:03:00Z</dcterms:modified>
</cp:coreProperties>
</file>