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1BF16" w14:textId="2F8366A9" w:rsidR="00AB324A" w:rsidRPr="00AB324A" w:rsidRDefault="00C91622" w:rsidP="00AB324A">
      <w:pPr>
        <w:pStyle w:val="Title"/>
        <w:rPr>
          <w:rFonts w:ascii="Times New Roman" w:hAnsi="Times New Roman" w:cs="Times New Roman"/>
        </w:rPr>
      </w:pPr>
      <w:r w:rsidRPr="00AB324A">
        <w:rPr>
          <w:rFonts w:ascii="Times New Roman" w:hAnsi="Times New Roman" w:cs="Times New Roman"/>
        </w:rPr>
        <w:fldChar w:fldCharType="begin"/>
      </w:r>
      <w:r w:rsidRPr="00AB324A">
        <w:rPr>
          <w:rFonts w:ascii="Times New Roman" w:hAnsi="Times New Roman" w:cs="Times New Roman"/>
        </w:rPr>
        <w:instrText xml:space="preserve"> MACROBUTTON MTEditEquationSection2 </w:instrText>
      </w:r>
      <w:r w:rsidRPr="00AB324A">
        <w:rPr>
          <w:rStyle w:val="MTEquationSection"/>
          <w:rFonts w:ascii="Times New Roman" w:hAnsi="Times New Roman" w:cs="Times New Roman"/>
        </w:rPr>
        <w:instrText>Equation Chapter 1 Section 1</w:instrText>
      </w:r>
      <w:r w:rsidRPr="00AB324A">
        <w:rPr>
          <w:rFonts w:ascii="Times New Roman" w:hAnsi="Times New Roman" w:cs="Times New Roman"/>
        </w:rPr>
        <w:fldChar w:fldCharType="begin"/>
      </w:r>
      <w:r w:rsidRPr="00AB324A">
        <w:rPr>
          <w:rFonts w:ascii="Times New Roman" w:hAnsi="Times New Roman" w:cs="Times New Roman"/>
        </w:rPr>
        <w:instrText xml:space="preserve"> SEQ MTEqn \r \h \* MERGEFORMAT </w:instrText>
      </w:r>
      <w:r w:rsidRPr="00AB324A">
        <w:rPr>
          <w:rFonts w:ascii="Times New Roman" w:hAnsi="Times New Roman" w:cs="Times New Roman"/>
        </w:rPr>
        <w:fldChar w:fldCharType="end"/>
      </w:r>
      <w:r w:rsidRPr="00AB324A">
        <w:rPr>
          <w:rFonts w:ascii="Times New Roman" w:hAnsi="Times New Roman" w:cs="Times New Roman"/>
        </w:rPr>
        <w:fldChar w:fldCharType="begin"/>
      </w:r>
      <w:r w:rsidRPr="00AB324A">
        <w:rPr>
          <w:rFonts w:ascii="Times New Roman" w:hAnsi="Times New Roman" w:cs="Times New Roman"/>
        </w:rPr>
        <w:instrText xml:space="preserve"> SEQ MTSec \r 1 \h \* MERGEFORMAT </w:instrText>
      </w:r>
      <w:r w:rsidRPr="00AB324A">
        <w:rPr>
          <w:rFonts w:ascii="Times New Roman" w:hAnsi="Times New Roman" w:cs="Times New Roman"/>
        </w:rPr>
        <w:fldChar w:fldCharType="end"/>
      </w:r>
      <w:r w:rsidRPr="00AB324A">
        <w:rPr>
          <w:rFonts w:ascii="Times New Roman" w:hAnsi="Times New Roman" w:cs="Times New Roman"/>
        </w:rPr>
        <w:fldChar w:fldCharType="begin"/>
      </w:r>
      <w:r w:rsidRPr="00AB324A">
        <w:rPr>
          <w:rFonts w:ascii="Times New Roman" w:hAnsi="Times New Roman" w:cs="Times New Roman"/>
        </w:rPr>
        <w:instrText xml:space="preserve"> SEQ MTChap \r 1 \h \* MERGEFORMAT </w:instrText>
      </w:r>
      <w:r w:rsidRPr="00AB324A">
        <w:rPr>
          <w:rFonts w:ascii="Times New Roman" w:hAnsi="Times New Roman" w:cs="Times New Roman"/>
        </w:rPr>
        <w:fldChar w:fldCharType="end"/>
      </w:r>
      <w:r w:rsidRPr="00AB324A">
        <w:rPr>
          <w:rFonts w:ascii="Times New Roman" w:hAnsi="Times New Roman" w:cs="Times New Roman"/>
        </w:rPr>
        <w:fldChar w:fldCharType="end"/>
      </w:r>
      <w:r w:rsidR="00AB324A" w:rsidRPr="00AB324A">
        <w:rPr>
          <w:rFonts w:ascii="Times New Roman" w:hAnsi="Times New Roman" w:cs="Times New Roman"/>
        </w:rPr>
        <w:t xml:space="preserve">Supplemental Information </w:t>
      </w:r>
    </w:p>
    <w:p w14:paraId="7D170F5E" w14:textId="77777777" w:rsidR="00AB324A" w:rsidRPr="00AB324A" w:rsidRDefault="00AB324A" w:rsidP="00AB324A">
      <w:pPr>
        <w:pStyle w:val="AuthorList"/>
      </w:pPr>
      <w:r w:rsidRPr="00AB324A">
        <w:t>Austin Baird</w:t>
      </w:r>
      <w:r w:rsidRPr="00AB324A">
        <w:rPr>
          <w:vertAlign w:val="superscript"/>
        </w:rPr>
        <w:t>1*</w:t>
      </w:r>
      <w:r w:rsidRPr="00AB324A">
        <w:t>, Steven A. White</w:t>
      </w:r>
      <w:r w:rsidRPr="00AB324A">
        <w:rPr>
          <w:vertAlign w:val="superscript"/>
        </w:rPr>
        <w:t>2</w:t>
      </w:r>
      <w:r w:rsidRPr="00AB324A">
        <w:t>, Rishi Das</w:t>
      </w:r>
      <w:r w:rsidRPr="00AB324A">
        <w:rPr>
          <w:vertAlign w:val="superscript"/>
        </w:rPr>
        <w:t>2</w:t>
      </w:r>
      <w:r w:rsidRPr="00AB324A">
        <w:t>, Nathan Tatum</w:t>
      </w:r>
      <w:r w:rsidRPr="00AB324A">
        <w:rPr>
          <w:vertAlign w:val="superscript"/>
        </w:rPr>
        <w:t>2</w:t>
      </w:r>
      <w:r w:rsidRPr="00AB324A">
        <w:t>, Erika K Bisgaard</w:t>
      </w:r>
      <w:r w:rsidRPr="00AB324A">
        <w:rPr>
          <w:vertAlign w:val="superscript"/>
        </w:rPr>
        <w:t>3</w:t>
      </w:r>
    </w:p>
    <w:p w14:paraId="78B58082" w14:textId="77777777" w:rsidR="00AB324A" w:rsidRPr="00AB324A" w:rsidRDefault="00AB324A" w:rsidP="00AB324A">
      <w:pPr>
        <w:spacing w:before="240" w:after="0"/>
        <w:rPr>
          <w:rFonts w:ascii="Times New Roman" w:hAnsi="Times New Roman" w:cs="Times New Roman"/>
          <w:b/>
          <w:szCs w:val="24"/>
        </w:rPr>
      </w:pPr>
      <w:r w:rsidRPr="00AB324A">
        <w:rPr>
          <w:rFonts w:ascii="Times New Roman" w:hAnsi="Times New Roman" w:cs="Times New Roman"/>
          <w:vertAlign w:val="superscript"/>
        </w:rPr>
        <w:t>1</w:t>
      </w:r>
      <w:r w:rsidRPr="00AB324A">
        <w:rPr>
          <w:rFonts w:ascii="Times New Roman" w:hAnsi="Times New Roman" w:cs="Times New Roman"/>
        </w:rPr>
        <w:t>University of Washington Department of Surgery, Division of Healthcare Simulation Sciences</w:t>
      </w:r>
      <w:r w:rsidRPr="00AB324A">
        <w:rPr>
          <w:rFonts w:ascii="Times New Roman" w:hAnsi="Times New Roman" w:cs="Times New Roman"/>
          <w:szCs w:val="24"/>
        </w:rPr>
        <w:t>, Seattle, Washington, USA</w:t>
      </w:r>
    </w:p>
    <w:p w14:paraId="660FE2B3" w14:textId="77777777" w:rsidR="00AB324A" w:rsidRPr="00AB324A" w:rsidRDefault="00AB324A" w:rsidP="00AB324A">
      <w:pPr>
        <w:spacing w:after="0"/>
        <w:rPr>
          <w:rFonts w:ascii="Times New Roman" w:hAnsi="Times New Roman" w:cs="Times New Roman"/>
          <w:szCs w:val="24"/>
        </w:rPr>
      </w:pPr>
      <w:r w:rsidRPr="00AB324A">
        <w:rPr>
          <w:rFonts w:ascii="Times New Roman" w:hAnsi="Times New Roman" w:cs="Times New Roman"/>
          <w:szCs w:val="24"/>
          <w:vertAlign w:val="superscript"/>
        </w:rPr>
        <w:t>2</w:t>
      </w:r>
      <w:r w:rsidRPr="00AB324A">
        <w:rPr>
          <w:rFonts w:ascii="Times New Roman" w:hAnsi="Times New Roman" w:cs="Times New Roman"/>
          <w:szCs w:val="24"/>
        </w:rPr>
        <w:t>Applied Research Associated Southeast Division, Raleigh, North Carolina, USA</w:t>
      </w:r>
    </w:p>
    <w:p w14:paraId="0A78E764" w14:textId="77777777" w:rsidR="00AB324A" w:rsidRPr="00AB324A" w:rsidRDefault="00AB324A" w:rsidP="00AB324A">
      <w:pPr>
        <w:spacing w:after="0"/>
        <w:rPr>
          <w:rFonts w:ascii="Times New Roman" w:hAnsi="Times New Roman" w:cs="Times New Roman"/>
          <w:szCs w:val="24"/>
        </w:rPr>
      </w:pPr>
      <w:r w:rsidRPr="00AB324A">
        <w:rPr>
          <w:rFonts w:ascii="Times New Roman" w:hAnsi="Times New Roman" w:cs="Times New Roman"/>
          <w:szCs w:val="24"/>
          <w:vertAlign w:val="superscript"/>
        </w:rPr>
        <w:t>3</w:t>
      </w:r>
      <w:r w:rsidRPr="00AB324A">
        <w:rPr>
          <w:rFonts w:ascii="Times New Roman" w:hAnsi="Times New Roman" w:cs="Times New Roman"/>
          <w:szCs w:val="24"/>
        </w:rPr>
        <w:t>University of Washington Department of Surgery, Division of Trauma, Burn, and Critical Care Surgery, Seattle, Washington, USA</w:t>
      </w:r>
    </w:p>
    <w:p w14:paraId="0C0A2AC2" w14:textId="77777777" w:rsidR="00AB324A" w:rsidRPr="00AB324A" w:rsidRDefault="00AB324A" w:rsidP="00AB324A">
      <w:pPr>
        <w:rPr>
          <w:rFonts w:ascii="Times New Roman" w:hAnsi="Times New Roman" w:cs="Times New Roman"/>
        </w:rPr>
      </w:pPr>
    </w:p>
    <w:p w14:paraId="5BF0072D" w14:textId="6FFB3109" w:rsidR="00D80597" w:rsidRPr="00AB324A" w:rsidRDefault="00D80597" w:rsidP="00B85A76">
      <w:pPr>
        <w:pStyle w:val="Heading1"/>
        <w:rPr>
          <w:rFonts w:ascii="Times New Roman" w:hAnsi="Times New Roman" w:cs="Times New Roman"/>
        </w:rPr>
      </w:pPr>
      <w:r w:rsidRPr="00AB324A">
        <w:rPr>
          <w:rFonts w:ascii="Times New Roman" w:hAnsi="Times New Roman" w:cs="Times New Roman"/>
        </w:rPr>
        <w:t xml:space="preserve">Supplemental </w:t>
      </w:r>
      <w:r w:rsidR="0010588B">
        <w:rPr>
          <w:rFonts w:ascii="Times New Roman" w:hAnsi="Times New Roman" w:cs="Times New Roman"/>
        </w:rPr>
        <w:t>Note</w:t>
      </w:r>
      <w:r w:rsidRPr="00AB324A">
        <w:rPr>
          <w:rFonts w:ascii="Times New Roman" w:hAnsi="Times New Roman" w:cs="Times New Roman"/>
        </w:rPr>
        <w:t xml:space="preserve"> 1 – </w:t>
      </w:r>
      <w:r w:rsidR="00E72F03" w:rsidRPr="00AB324A">
        <w:rPr>
          <w:rFonts w:ascii="Times New Roman" w:hAnsi="Times New Roman" w:cs="Times New Roman"/>
        </w:rPr>
        <w:t xml:space="preserve">write </w:t>
      </w:r>
      <w:proofErr w:type="gramStart"/>
      <w:r w:rsidR="00E72F03" w:rsidRPr="00AB324A">
        <w:rPr>
          <w:rFonts w:ascii="Times New Roman" w:hAnsi="Times New Roman" w:cs="Times New Roman"/>
        </w:rPr>
        <w:t>up</w:t>
      </w:r>
      <w:proofErr w:type="gramEnd"/>
    </w:p>
    <w:p w14:paraId="2EF3FC92" w14:textId="77777777" w:rsidR="00E72F03" w:rsidRPr="00AB324A" w:rsidRDefault="00E72F03" w:rsidP="00B85A76">
      <w:pPr>
        <w:pStyle w:val="AuthorList"/>
      </w:pPr>
      <w:r w:rsidRPr="00AB324A">
        <w:t>Transport (Cardiovascular, Respiration and substance)</w:t>
      </w:r>
    </w:p>
    <w:p w14:paraId="2D5C23DB" w14:textId="7F081B63" w:rsidR="00BD6507" w:rsidRPr="00AB324A" w:rsidRDefault="00BD6507" w:rsidP="00BD6507">
      <w:pPr>
        <w:shd w:val="clear" w:color="auto" w:fill="FFFFFF"/>
        <w:spacing w:after="165" w:line="330" w:lineRule="atLeast"/>
        <w:rPr>
          <w:rFonts w:ascii="Times New Roman" w:hAnsi="Times New Roman" w:cs="Times New Roman"/>
        </w:rPr>
      </w:pPr>
      <w:r w:rsidRPr="00AB324A">
        <w:rPr>
          <w:rFonts w:ascii="Times New Roman" w:hAnsi="Times New Roman" w:cs="Times New Roman"/>
        </w:rPr>
        <w:t>The solver performs numerical integration through linearization (first order approximations) by assuming a direct current (DC) solution for the given time step</w:t>
      </w:r>
      <w:r w:rsidR="00E72F03" w:rsidRPr="00AB324A">
        <w:rPr>
          <w:rFonts w:ascii="Times New Roman" w:hAnsi="Times New Roman" w:cs="Times New Roman"/>
        </w:rPr>
        <w:t xml:space="preserve">, </w:t>
      </w:r>
      <w:r w:rsidR="00E72F03" w:rsidRPr="00AB324A">
        <w:rPr>
          <w:rFonts w:ascii="Times New Roman" w:hAnsi="Times New Roman" w:cs="Times New Roman"/>
        </w:rPr>
        <w:fldChar w:fldCharType="begin"/>
      </w:r>
      <w:r w:rsidR="00E72F03" w:rsidRPr="00AB324A">
        <w:rPr>
          <w:rFonts w:ascii="Times New Roman" w:hAnsi="Times New Roman" w:cs="Times New Roman"/>
        </w:rPr>
        <w:instrText xml:space="preserve"> REF _Ref162871227 \h </w:instrText>
      </w:r>
      <w:r w:rsidR="00AB324A">
        <w:rPr>
          <w:rFonts w:ascii="Times New Roman" w:hAnsi="Times New Roman" w:cs="Times New Roman"/>
        </w:rPr>
        <w:instrText xml:space="preserve"> \* MERGEFORMAT </w:instrText>
      </w:r>
      <w:r w:rsidR="00E72F03" w:rsidRPr="00AB324A">
        <w:rPr>
          <w:rFonts w:ascii="Times New Roman" w:hAnsi="Times New Roman" w:cs="Times New Roman"/>
        </w:rPr>
      </w:r>
      <w:r w:rsidR="00E72F03" w:rsidRPr="00AB324A">
        <w:rPr>
          <w:rFonts w:ascii="Times New Roman" w:hAnsi="Times New Roman" w:cs="Times New Roman"/>
        </w:rPr>
        <w:fldChar w:fldCharType="separate"/>
      </w:r>
      <w:r w:rsidR="00360F7D">
        <w:rPr>
          <w:rFonts w:ascii="Times New Roman" w:hAnsi="Times New Roman" w:cs="Times New Roman"/>
        </w:rPr>
        <w:t xml:space="preserve">Supplemental </w:t>
      </w:r>
      <w:r w:rsidR="00360F7D" w:rsidRPr="00AB324A">
        <w:rPr>
          <w:rFonts w:ascii="Times New Roman" w:hAnsi="Times New Roman" w:cs="Times New Roman"/>
          <w:noProof/>
        </w:rPr>
        <w:t>Figure</w:t>
      </w:r>
      <w:r w:rsidR="00360F7D" w:rsidRPr="00AB324A">
        <w:rPr>
          <w:rFonts w:ascii="Times New Roman" w:hAnsi="Times New Roman" w:cs="Times New Roman"/>
        </w:rPr>
        <w:t xml:space="preserve"> </w:t>
      </w:r>
      <w:r w:rsidR="00360F7D" w:rsidRPr="00AB324A">
        <w:rPr>
          <w:rFonts w:ascii="Times New Roman" w:hAnsi="Times New Roman" w:cs="Times New Roman"/>
          <w:noProof/>
        </w:rPr>
        <w:t>1</w:t>
      </w:r>
      <w:r w:rsidR="00E72F03" w:rsidRPr="00AB324A">
        <w:rPr>
          <w:rFonts w:ascii="Times New Roman" w:hAnsi="Times New Roman" w:cs="Times New Roman"/>
        </w:rPr>
        <w:fldChar w:fldCharType="end"/>
      </w:r>
      <w:r w:rsidRPr="00AB324A">
        <w:rPr>
          <w:rFonts w:ascii="Times New Roman" w:hAnsi="Times New Roman" w:cs="Times New Roman"/>
        </w:rPr>
        <w:t xml:space="preserve">. The Modified Nodal Analysis (MNA) approach is used to determine the state of every node and path within the circuit. The steps for solving a circuit </w:t>
      </w:r>
      <w:r w:rsidR="006A67DD" w:rsidRPr="00AB324A">
        <w:rPr>
          <w:rFonts w:ascii="Times New Roman" w:hAnsi="Times New Roman" w:cs="Times New Roman"/>
        </w:rPr>
        <w:t>in each</w:t>
      </w:r>
      <w:r w:rsidRPr="00AB324A">
        <w:rPr>
          <w:rFonts w:ascii="Times New Roman" w:hAnsi="Times New Roman" w:cs="Times New Roman"/>
        </w:rPr>
        <w:t xml:space="preserve"> time step are:</w:t>
      </w:r>
    </w:p>
    <w:p w14:paraId="7A0DC2D0" w14:textId="6C6C907E" w:rsidR="00E005C6" w:rsidRPr="00AB324A" w:rsidRDefault="00BD6507" w:rsidP="007B38CD">
      <w:pPr>
        <w:numPr>
          <w:ilvl w:val="0"/>
          <w:numId w:val="4"/>
        </w:numPr>
        <w:shd w:val="clear" w:color="auto" w:fill="FFFFFF"/>
        <w:spacing w:before="30" w:after="165" w:line="330" w:lineRule="atLeast"/>
        <w:rPr>
          <w:rFonts w:ascii="Times New Roman" w:hAnsi="Times New Roman" w:cs="Times New Roman"/>
        </w:rPr>
      </w:pPr>
      <w:r w:rsidRPr="00AB324A">
        <w:rPr>
          <w:rFonts w:ascii="Times New Roman" w:hAnsi="Times New Roman" w:cs="Times New Roman"/>
        </w:rPr>
        <w:t>Perform numerical integration by using linearization (first order approximations) through MNA, using the matrix algebra equation</w:t>
      </w:r>
      <w:r w:rsidR="00E005C6" w:rsidRPr="00AB324A">
        <w:rPr>
          <w:rFonts w:ascii="Times New Roman" w:hAnsi="Times New Roman" w:cs="Times New Roman"/>
        </w:rPr>
        <w:t xml:space="preserve"> Ax=b.</w:t>
      </w:r>
    </w:p>
    <w:p w14:paraId="51AC42D8" w14:textId="2DA9E685" w:rsidR="00BD6507" w:rsidRPr="00AB324A" w:rsidRDefault="00BD6507" w:rsidP="00E005C6">
      <w:pPr>
        <w:pStyle w:val="ListParagraph"/>
        <w:numPr>
          <w:ilvl w:val="0"/>
          <w:numId w:val="4"/>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Use Kirkoff’s Current Laws (KCL)</w:t>
      </w:r>
      <w:r w:rsidR="00E005C6" w:rsidRPr="00AB324A">
        <w:rPr>
          <w:rFonts w:ascii="Times New Roman" w:hAnsi="Times New Roman" w:cs="Times New Roman"/>
        </w:rPr>
        <w:t>, figure 1,</w:t>
      </w:r>
      <w:r w:rsidRPr="00AB324A">
        <w:rPr>
          <w:rFonts w:ascii="Times New Roman" w:hAnsi="Times New Roman" w:cs="Times New Roman"/>
        </w:rPr>
        <w:t xml:space="preserve"> (sum of the currents is zero at each node) to populate the</w:t>
      </w:r>
      <w:r w:rsidR="00E005C6" w:rsidRPr="00AB324A">
        <w:rPr>
          <w:rFonts w:ascii="Times New Roman" w:hAnsi="Times New Roman" w:cs="Times New Roman"/>
        </w:rPr>
        <w:t xml:space="preserve"> </w:t>
      </w:r>
      <w:r w:rsidRPr="00AB324A">
        <w:rPr>
          <w:rFonts w:ascii="Times New Roman" w:hAnsi="Times New Roman" w:cs="Times New Roman"/>
        </w:rPr>
        <w:t>A</w:t>
      </w:r>
      <w:r w:rsidR="00E005C6" w:rsidRPr="00AB324A">
        <w:rPr>
          <w:rFonts w:ascii="Times New Roman" w:hAnsi="Times New Roman" w:cs="Times New Roman"/>
        </w:rPr>
        <w:t xml:space="preserve"> </w:t>
      </w:r>
      <w:r w:rsidRPr="00AB324A">
        <w:rPr>
          <w:rFonts w:ascii="Times New Roman" w:hAnsi="Times New Roman" w:cs="Times New Roman"/>
        </w:rPr>
        <w:t>matrix and</w:t>
      </w:r>
      <w:r w:rsidR="00E005C6" w:rsidRPr="00AB324A">
        <w:rPr>
          <w:rFonts w:ascii="Times New Roman" w:hAnsi="Times New Roman" w:cs="Times New Roman"/>
        </w:rPr>
        <w:t xml:space="preserve"> </w:t>
      </w:r>
      <w:r w:rsidRPr="00AB324A">
        <w:rPr>
          <w:rFonts w:ascii="Times New Roman" w:hAnsi="Times New Roman" w:cs="Times New Roman"/>
        </w:rPr>
        <w:t>b</w:t>
      </w:r>
      <w:r w:rsidR="00E005C6" w:rsidRPr="00AB324A">
        <w:rPr>
          <w:rFonts w:ascii="Times New Roman" w:hAnsi="Times New Roman" w:cs="Times New Roman"/>
        </w:rPr>
        <w:t xml:space="preserve"> </w:t>
      </w:r>
      <w:r w:rsidRPr="00AB324A">
        <w:rPr>
          <w:rFonts w:ascii="Times New Roman" w:hAnsi="Times New Roman" w:cs="Times New Roman"/>
        </w:rPr>
        <w:t>vector</w:t>
      </w:r>
      <w:r w:rsidR="00E005C6" w:rsidRPr="00AB324A">
        <w:rPr>
          <w:rFonts w:ascii="Times New Roman" w:hAnsi="Times New Roman" w:cs="Times New Roman"/>
        </w:rPr>
        <w:t>. Figure 2</w:t>
      </w:r>
      <w:r w:rsidRPr="00AB324A">
        <w:rPr>
          <w:rFonts w:ascii="Times New Roman" w:hAnsi="Times New Roman" w:cs="Times New Roman"/>
        </w:rPr>
        <w:t xml:space="preserve"> shows the equations used for determining flows, where flows (F) are equivalent to currents, and pressures (P) are equivalent to voltages</w:t>
      </w:r>
      <w:r w:rsidR="00E72F03" w:rsidRPr="00AB324A">
        <w:rPr>
          <w:rFonts w:ascii="Times New Roman" w:hAnsi="Times New Roman" w:cs="Times New Roman"/>
        </w:rPr>
        <w:t xml:space="preserve">, </w:t>
      </w:r>
      <w:r w:rsidR="00E72F03" w:rsidRPr="00AB324A">
        <w:rPr>
          <w:rFonts w:ascii="Times New Roman" w:hAnsi="Times New Roman" w:cs="Times New Roman"/>
        </w:rPr>
        <w:fldChar w:fldCharType="begin"/>
      </w:r>
      <w:r w:rsidR="00E72F03" w:rsidRPr="00AB324A">
        <w:rPr>
          <w:rFonts w:ascii="Times New Roman" w:hAnsi="Times New Roman" w:cs="Times New Roman"/>
        </w:rPr>
        <w:instrText xml:space="preserve"> REF _Ref162871567 \h </w:instrText>
      </w:r>
      <w:r w:rsidR="00AB324A">
        <w:rPr>
          <w:rFonts w:ascii="Times New Roman" w:hAnsi="Times New Roman" w:cs="Times New Roman"/>
        </w:rPr>
        <w:instrText xml:space="preserve"> \* MERGEFORMAT </w:instrText>
      </w:r>
      <w:r w:rsidR="00E72F03" w:rsidRPr="00AB324A">
        <w:rPr>
          <w:rFonts w:ascii="Times New Roman" w:hAnsi="Times New Roman" w:cs="Times New Roman"/>
        </w:rPr>
      </w:r>
      <w:r w:rsidR="00E72F03" w:rsidRPr="00AB324A">
        <w:rPr>
          <w:rFonts w:ascii="Times New Roman" w:hAnsi="Times New Roman" w:cs="Times New Roman"/>
        </w:rPr>
        <w:fldChar w:fldCharType="separate"/>
      </w:r>
      <w:r w:rsidR="00360F7D">
        <w:rPr>
          <w:rFonts w:ascii="Times New Roman" w:hAnsi="Times New Roman" w:cs="Times New Roman"/>
        </w:rPr>
        <w:t xml:space="preserve">Supplemental </w:t>
      </w:r>
      <w:r w:rsidR="00360F7D" w:rsidRPr="00AB324A">
        <w:rPr>
          <w:rFonts w:ascii="Times New Roman" w:hAnsi="Times New Roman" w:cs="Times New Roman"/>
          <w:noProof/>
        </w:rPr>
        <w:t>Figure</w:t>
      </w:r>
      <w:r w:rsidR="00360F7D" w:rsidRPr="00AB324A">
        <w:rPr>
          <w:rFonts w:ascii="Times New Roman" w:hAnsi="Times New Roman" w:cs="Times New Roman"/>
        </w:rPr>
        <w:t xml:space="preserve"> </w:t>
      </w:r>
      <w:r w:rsidR="00360F7D" w:rsidRPr="00AB324A">
        <w:rPr>
          <w:rFonts w:ascii="Times New Roman" w:hAnsi="Times New Roman" w:cs="Times New Roman"/>
          <w:noProof/>
        </w:rPr>
        <w:t>2</w:t>
      </w:r>
      <w:r w:rsidR="00E72F03" w:rsidRPr="00AB324A">
        <w:rPr>
          <w:rFonts w:ascii="Times New Roman" w:hAnsi="Times New Roman" w:cs="Times New Roman"/>
        </w:rPr>
        <w:fldChar w:fldCharType="end"/>
      </w:r>
      <w:r w:rsidRPr="00AB324A">
        <w:rPr>
          <w:rFonts w:ascii="Times New Roman" w:hAnsi="Times New Roman" w:cs="Times New Roman"/>
        </w:rPr>
        <w:t>.</w:t>
      </w:r>
    </w:p>
    <w:p w14:paraId="4CAFFB4A" w14:textId="28350715" w:rsidR="00BD6507" w:rsidRPr="00AB324A" w:rsidRDefault="00BD6507" w:rsidP="003B549B">
      <w:pPr>
        <w:pStyle w:val="ListParagraph"/>
        <w:numPr>
          <w:ilvl w:val="0"/>
          <w:numId w:val="4"/>
        </w:numPr>
        <w:shd w:val="clear" w:color="auto" w:fill="FFFFFF"/>
        <w:spacing w:before="100" w:beforeAutospacing="1" w:after="165" w:afterAutospacing="1" w:line="330" w:lineRule="atLeast"/>
        <w:rPr>
          <w:rFonts w:ascii="Times New Roman" w:hAnsi="Times New Roman" w:cs="Times New Roman"/>
        </w:rPr>
      </w:pPr>
      <w:r w:rsidRPr="00AB324A">
        <w:rPr>
          <w:rFonts w:ascii="Times New Roman" w:hAnsi="Times New Roman" w:cs="Times New Roman"/>
        </w:rPr>
        <w:t>Leverage the Eigen templated library LU decomposition linear solver to solve for unknown variables (i.e., voltages and currents)</w:t>
      </w:r>
      <w:r w:rsidR="007B38CD" w:rsidRPr="00AB324A">
        <w:rPr>
          <w:rFonts w:ascii="Times New Roman" w:hAnsi="Times New Roman" w:cs="Times New Roman"/>
        </w:rPr>
        <w:t xml:space="preserve"> given variable pressures generated through the driver functions</w:t>
      </w:r>
      <w:r w:rsidRPr="00AB324A">
        <w:rPr>
          <w:rFonts w:ascii="Times New Roman" w:hAnsi="Times New Roman" w:cs="Times New Roman"/>
        </w:rPr>
        <w:t xml:space="preserve">. This decomposition represents an LU decomposition of </w:t>
      </w:r>
      <w:r w:rsidR="007B38CD" w:rsidRPr="00AB324A">
        <w:rPr>
          <w:rFonts w:ascii="Times New Roman" w:hAnsi="Times New Roman" w:cs="Times New Roman"/>
        </w:rPr>
        <w:t>the constructed</w:t>
      </w:r>
      <w:r w:rsidRPr="00AB324A">
        <w:rPr>
          <w:rFonts w:ascii="Times New Roman" w:hAnsi="Times New Roman" w:cs="Times New Roman"/>
        </w:rPr>
        <w:t xml:space="preserve"> matrix with complete pivoting. </w:t>
      </w:r>
    </w:p>
    <w:p w14:paraId="077CD979" w14:textId="2C6BF6BC" w:rsidR="00BD6507" w:rsidRPr="00AB324A" w:rsidRDefault="00BD6507" w:rsidP="007B38CD">
      <w:pPr>
        <w:numPr>
          <w:ilvl w:val="0"/>
          <w:numId w:val="4"/>
        </w:numPr>
        <w:shd w:val="clear" w:color="auto" w:fill="FFFFFF"/>
        <w:spacing w:before="30" w:after="165" w:line="330" w:lineRule="atLeast"/>
        <w:rPr>
          <w:rFonts w:ascii="Times New Roman" w:hAnsi="Times New Roman" w:cs="Times New Roman"/>
        </w:rPr>
      </w:pPr>
      <w:r w:rsidRPr="00AB324A">
        <w:rPr>
          <w:rFonts w:ascii="Times New Roman" w:hAnsi="Times New Roman" w:cs="Times New Roman"/>
        </w:rPr>
        <w:t>Calculate remaining unknown currents using the Trapezoidal Rule, where applicable. For nonlinear elements from time</w:t>
      </w:r>
      <w:r w:rsidR="007B38CD" w:rsidRPr="00AB324A">
        <w:rPr>
          <w:rFonts w:ascii="Times New Roman" w:hAnsi="Times New Roman" w:cs="Times New Roman"/>
        </w:rPr>
        <w:t xml:space="preserve"> </w:t>
      </w:r>
      <w:r w:rsidRPr="00AB324A">
        <w:rPr>
          <w:rFonts w:ascii="Times New Roman" w:hAnsi="Times New Roman" w:cs="Times New Roman"/>
        </w:rPr>
        <w:t>a</w:t>
      </w:r>
      <w:r w:rsidR="007B38CD" w:rsidRPr="00AB324A">
        <w:rPr>
          <w:rFonts w:ascii="Times New Roman" w:hAnsi="Times New Roman" w:cs="Times New Roman"/>
        </w:rPr>
        <w:t xml:space="preserve"> </w:t>
      </w:r>
      <w:r w:rsidRPr="00AB324A">
        <w:rPr>
          <w:rFonts w:ascii="Times New Roman" w:hAnsi="Times New Roman" w:cs="Times New Roman"/>
        </w:rPr>
        <w:t>to</w:t>
      </w:r>
      <w:r w:rsidR="007B38CD" w:rsidRPr="00AB324A">
        <w:rPr>
          <w:rFonts w:ascii="Times New Roman" w:hAnsi="Times New Roman" w:cs="Times New Roman"/>
        </w:rPr>
        <w:t xml:space="preserve"> </w:t>
      </w:r>
      <w:r w:rsidRPr="00AB324A">
        <w:rPr>
          <w:rFonts w:ascii="Times New Roman" w:hAnsi="Times New Roman" w:cs="Times New Roman"/>
        </w:rPr>
        <w:t>b</w:t>
      </w:r>
      <w:r w:rsidR="007B38CD" w:rsidRPr="00AB324A">
        <w:rPr>
          <w:rFonts w:ascii="Times New Roman" w:hAnsi="Times New Roman" w:cs="Times New Roman"/>
        </w:rPr>
        <w:t>.</w:t>
      </w:r>
    </w:p>
    <w:p w14:paraId="5BAFA2F0" w14:textId="77777777" w:rsidR="00BD6507" w:rsidRPr="00AB324A" w:rsidRDefault="00BD6507" w:rsidP="00BD6507">
      <w:pPr>
        <w:numPr>
          <w:ilvl w:val="0"/>
          <w:numId w:val="4"/>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Calculate diode currents using assumed open or closed switch states (cannot be solved directly). Iterate Steps 1–3 until a satisfactory solution is attained.</w:t>
      </w:r>
    </w:p>
    <w:p w14:paraId="7C0AC2ED" w14:textId="2E03329D" w:rsidR="00BD6507" w:rsidRPr="00AB324A" w:rsidRDefault="00BD6507" w:rsidP="00BD6507">
      <w:pPr>
        <w:numPr>
          <w:ilvl w:val="0"/>
          <w:numId w:val="4"/>
        </w:numPr>
        <w:shd w:val="clear" w:color="auto" w:fill="FFFFFF"/>
        <w:spacing w:before="30" w:after="165" w:line="330" w:lineRule="atLeast"/>
        <w:rPr>
          <w:rFonts w:ascii="Times New Roman" w:hAnsi="Times New Roman" w:cs="Times New Roman"/>
        </w:rPr>
      </w:pPr>
      <w:r w:rsidRPr="00AB324A">
        <w:rPr>
          <w:rFonts w:ascii="Times New Roman" w:hAnsi="Times New Roman" w:cs="Times New Roman"/>
        </w:rPr>
        <w:t xml:space="preserve">Calculate the change in charge (Q) across capacitors based on the capacitance (C) and voltage (V) </w:t>
      </w:r>
      <w:r w:rsidR="007B38CD" w:rsidRPr="00AB324A">
        <w:rPr>
          <w:rFonts w:ascii="Times New Roman" w:hAnsi="Times New Roman" w:cs="Times New Roman"/>
        </w:rPr>
        <w:t>change and</w:t>
      </w:r>
      <w:r w:rsidRPr="00AB324A">
        <w:rPr>
          <w:rFonts w:ascii="Times New Roman" w:hAnsi="Times New Roman" w:cs="Times New Roman"/>
        </w:rPr>
        <w:t xml:space="preserve"> increment the total charge. The charge is conserved on the source and target nodes by incrementing/decrementing this amount. Selecting which node gains charge and which loses is done by the direction of the current in the path.</w:t>
      </w:r>
    </w:p>
    <w:p w14:paraId="7EDFDB49" w14:textId="5EBB21E4" w:rsidR="00BD6507" w:rsidRPr="00AB324A" w:rsidRDefault="007B38CD" w:rsidP="007B38CD">
      <w:pPr>
        <w:pStyle w:val="MTDisplayEquation"/>
      </w:pPr>
      <w:r w:rsidRPr="00AB324A">
        <w:fldChar w:fldCharType="begin"/>
      </w:r>
      <w:r w:rsidRPr="00AB324A">
        <w:instrText xml:space="preserve"> MACROBUTTON MTPlaceRef \* MERGEFORMAT </w:instrText>
      </w:r>
      <w:r w:rsidRPr="00AB324A">
        <w:fldChar w:fldCharType="begin"/>
      </w:r>
      <w:r w:rsidRPr="00AB324A">
        <w:instrText xml:space="preserve"> SEQ MTEqn \h \* MERGEFORMAT </w:instrText>
      </w:r>
      <w:r w:rsidRPr="00AB324A">
        <w:fldChar w:fldCharType="end"/>
      </w:r>
      <w:r w:rsidRPr="00AB324A">
        <w:instrText>(</w:instrText>
      </w:r>
      <w:fldSimple w:instr=" SEQ MTSec \c \* Arabic \* MERGEFORMAT ">
        <w:r w:rsidRPr="00AB324A">
          <w:rPr>
            <w:noProof/>
          </w:rPr>
          <w:instrText>1</w:instrText>
        </w:r>
      </w:fldSimple>
      <w:r w:rsidRPr="00AB324A">
        <w:instrText>.</w:instrText>
      </w:r>
      <w:fldSimple w:instr=" SEQ MTEqn \c \* Arabic \* MERGEFORMAT ">
        <w:r w:rsidRPr="00AB324A">
          <w:rPr>
            <w:noProof/>
          </w:rPr>
          <w:instrText>1</w:instrText>
        </w:r>
      </w:fldSimple>
      <w:r w:rsidRPr="00AB324A">
        <w:instrText>)</w:instrText>
      </w:r>
      <w:r w:rsidRPr="00AB324A">
        <w:fldChar w:fldCharType="end"/>
      </w:r>
      <w:r w:rsidRPr="00AB324A">
        <w:tab/>
      </w:r>
      <w:r w:rsidRPr="00AB324A">
        <w:rPr>
          <w:position w:val="-10"/>
        </w:rPr>
        <w:object w:dxaOrig="1320" w:dyaOrig="320" w14:anchorId="777AA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6pt;height:16.2pt" o:ole="">
            <v:imagedata r:id="rId6" o:title=""/>
          </v:shape>
          <o:OLEObject Type="Embed" ProgID="Equation.DSMT4" ShapeID="_x0000_i1025" DrawAspect="Content" ObjectID="_1778069174" r:id="rId7"/>
        </w:object>
      </w:r>
    </w:p>
    <w:p w14:paraId="6CEC8903" w14:textId="77777777" w:rsidR="00BD6507" w:rsidRPr="00AB324A" w:rsidRDefault="00BD6507" w:rsidP="00BD6507">
      <w:pPr>
        <w:numPr>
          <w:ilvl w:val="0"/>
          <w:numId w:val="4"/>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lastRenderedPageBreak/>
        <w:t>Invalidate the current on any path the user has specified to ignore. Note that this is to prevent unwanted transport to the reference node (i.e., ground).</w:t>
      </w:r>
    </w:p>
    <w:p w14:paraId="35DB67F3" w14:textId="5DFE45B0" w:rsidR="007B38CD" w:rsidRPr="00AB324A" w:rsidRDefault="007B38CD" w:rsidP="00B85A76">
      <w:pPr>
        <w:pStyle w:val="AuthorList"/>
      </w:pPr>
      <w:r w:rsidRPr="00AB324A">
        <w:t>Respiratory Driver</w:t>
      </w:r>
    </w:p>
    <w:p w14:paraId="352F2FDA" w14:textId="77777777" w:rsidR="00C91622" w:rsidRPr="00AB324A" w:rsidRDefault="00C91622" w:rsidP="00C91622">
      <w:pPr>
        <w:pStyle w:val="NormalWeb"/>
        <w:shd w:val="clear" w:color="auto" w:fill="FFFFFF"/>
        <w:spacing w:before="0" w:beforeAutospacing="0" w:after="165" w:afterAutospacing="0" w:line="330" w:lineRule="atLeast"/>
        <w:rPr>
          <w:rFonts w:eastAsiaTheme="minorHAnsi"/>
          <w:sz w:val="22"/>
          <w:szCs w:val="22"/>
        </w:rPr>
      </w:pPr>
      <w:r w:rsidRPr="00AB324A">
        <w:rPr>
          <w:rFonts w:eastAsiaTheme="minorHAnsi"/>
          <w:sz w:val="22"/>
          <w:szCs w:val="22"/>
        </w:rPr>
        <w:t xml:space="preserve">The </w:t>
      </w:r>
      <w:proofErr w:type="spellStart"/>
      <w:r w:rsidRPr="00AB324A">
        <w:rPr>
          <w:rFonts w:eastAsiaTheme="minorHAnsi"/>
          <w:sz w:val="22"/>
          <w:szCs w:val="22"/>
        </w:rPr>
        <w:t>BioGears</w:t>
      </w:r>
      <w:proofErr w:type="spellEnd"/>
      <w:r w:rsidRPr="00AB324A">
        <w:rPr>
          <w:rFonts w:eastAsiaTheme="minorHAnsi"/>
          <w:sz w:val="22"/>
          <w:szCs w:val="22"/>
        </w:rPr>
        <w:t xml:space="preserve"> Respiratory System interacts with other systems in the engine to receive feedback and adjust spontaneous breathing for homeostasis. To accurately model the respiratory response under various physiological and pathological conditions, a robust Respiratory Model that responds to mechanical stresses and chemical stimuli is required. To this end, the </w:t>
      </w:r>
      <w:proofErr w:type="spellStart"/>
      <w:r w:rsidRPr="00AB324A">
        <w:rPr>
          <w:rFonts w:eastAsiaTheme="minorHAnsi"/>
          <w:sz w:val="22"/>
          <w:szCs w:val="22"/>
        </w:rPr>
        <w:t>BioGears</w:t>
      </w:r>
      <w:proofErr w:type="spellEnd"/>
      <w:r w:rsidRPr="00AB324A">
        <w:rPr>
          <w:rFonts w:eastAsiaTheme="minorHAnsi"/>
          <w:sz w:val="22"/>
          <w:szCs w:val="22"/>
        </w:rPr>
        <w:t xml:space="preserve"> Respiratory System employs a time-dependent pressure source based on a chemical feedback mechanism that mimics the respiratory response to blood gas levels as sensed by the central and peripheral chemoreceptors. The pressure source represents the muscle pressure source signal and serves as an input power source to drive the inspiration and expiration phases of the breathing cycle.</w:t>
      </w:r>
    </w:p>
    <w:p w14:paraId="6E4B8E4B" w14:textId="77777777" w:rsidR="00C91622" w:rsidRPr="00AB324A" w:rsidRDefault="00C91622" w:rsidP="00C91622">
      <w:pPr>
        <w:pStyle w:val="NormalWeb"/>
        <w:shd w:val="clear" w:color="auto" w:fill="FFFFFF"/>
        <w:spacing w:before="0" w:beforeAutospacing="0" w:after="165" w:afterAutospacing="0" w:line="330" w:lineRule="atLeast"/>
        <w:rPr>
          <w:rFonts w:eastAsiaTheme="minorHAnsi"/>
          <w:sz w:val="22"/>
          <w:szCs w:val="22"/>
        </w:rPr>
      </w:pPr>
      <w:r w:rsidRPr="00AB324A">
        <w:rPr>
          <w:rFonts w:eastAsiaTheme="minorHAnsi"/>
          <w:sz w:val="22"/>
          <w:szCs w:val="22"/>
        </w:rPr>
        <w:t>During inhalation, the driver pressure source is set to a negative value. The end of the exhalation cycle represents the initial conditions of free breathing, where the alveolar pressure equals the atmospheric pressure and no air flows into the lungs. When the inspiratory muscles are not contracting, the mechanical interaction between the lungs and the chest wall creates a sub-atmospheric intrapleural pressure. The value of the driver pressure in the model is selected to meet the unstressed condition at the pleural node. </w:t>
      </w:r>
    </w:p>
    <w:p w14:paraId="22EB877A" w14:textId="77777777" w:rsidR="00C91622" w:rsidRPr="00AB324A" w:rsidRDefault="00C91622" w:rsidP="00C91622">
      <w:pPr>
        <w:rPr>
          <w:rFonts w:ascii="Times New Roman" w:hAnsi="Times New Roman" w:cs="Times New Roman"/>
        </w:rPr>
      </w:pPr>
    </w:p>
    <w:p w14:paraId="7F75FA4F" w14:textId="7CFB3EFD" w:rsidR="00D25B34" w:rsidRPr="00AB324A" w:rsidRDefault="00D25B34" w:rsidP="00D25B34">
      <w:pPr>
        <w:pStyle w:val="NormalWeb"/>
        <w:shd w:val="clear" w:color="auto" w:fill="FFFFFF"/>
        <w:spacing w:before="0" w:beforeAutospacing="0" w:after="165" w:afterAutospacing="0" w:line="330" w:lineRule="atLeast"/>
        <w:rPr>
          <w:rFonts w:eastAsiaTheme="minorHAnsi"/>
          <w:sz w:val="22"/>
          <w:szCs w:val="22"/>
        </w:rPr>
      </w:pPr>
      <w:r w:rsidRPr="00AB324A">
        <w:rPr>
          <w:rFonts w:eastAsiaTheme="minorHAnsi"/>
          <w:sz w:val="22"/>
          <w:szCs w:val="22"/>
        </w:rPr>
        <w:t xml:space="preserve">For a realistic muscle pressure source signal, the </w:t>
      </w:r>
      <w:proofErr w:type="spellStart"/>
      <w:r w:rsidRPr="00AB324A">
        <w:rPr>
          <w:rFonts w:eastAsiaTheme="minorHAnsi"/>
          <w:sz w:val="22"/>
          <w:szCs w:val="22"/>
        </w:rPr>
        <w:t>BioGears</w:t>
      </w:r>
      <w:proofErr w:type="spellEnd"/>
      <w:r w:rsidRPr="00AB324A">
        <w:rPr>
          <w:rFonts w:eastAsiaTheme="minorHAnsi"/>
          <w:sz w:val="22"/>
          <w:szCs w:val="22"/>
        </w:rPr>
        <w:t xml:space="preserve"> Respiratory System adopted the mathematical model proposed by which is based on clinical data. Accordingly, the time series of the respiratory muscle pressure, </w:t>
      </w:r>
      <w:proofErr w:type="spellStart"/>
      <w:r w:rsidRPr="00AB324A">
        <w:rPr>
          <w:rFonts w:eastAsiaTheme="minorHAnsi"/>
          <w:i/>
          <w:iCs/>
          <w:sz w:val="22"/>
          <w:szCs w:val="22"/>
        </w:rPr>
        <w:t>Pmus</w:t>
      </w:r>
      <w:proofErr w:type="spellEnd"/>
      <w:r w:rsidRPr="00AB324A">
        <w:rPr>
          <w:rFonts w:eastAsiaTheme="minorHAnsi"/>
          <w:sz w:val="22"/>
          <w:szCs w:val="22"/>
        </w:rPr>
        <w:t>, is given by,</w:t>
      </w:r>
    </w:p>
    <w:p w14:paraId="43F6F109" w14:textId="6316818C" w:rsidR="00D25B34" w:rsidRPr="00AB324A" w:rsidRDefault="00D25B34" w:rsidP="00D25B34">
      <w:pPr>
        <w:pStyle w:val="NormalWeb"/>
        <w:shd w:val="clear" w:color="auto" w:fill="FFFFFF"/>
        <w:spacing w:before="0" w:beforeAutospacing="0" w:after="165" w:afterAutospacing="0" w:line="330" w:lineRule="atLeast"/>
        <w:rPr>
          <w:rFonts w:eastAsiaTheme="minorHAnsi"/>
          <w:sz w:val="22"/>
          <w:szCs w:val="22"/>
        </w:rPr>
      </w:pPr>
    </w:p>
    <w:p w14:paraId="7174C27B" w14:textId="021DF7D9" w:rsidR="00C91622" w:rsidRPr="00AB324A" w:rsidRDefault="00C91622" w:rsidP="00C91622">
      <w:pPr>
        <w:pStyle w:val="MTDisplayEquation"/>
        <w:rPr>
          <w:rFonts w:eastAsiaTheme="minorHAnsi"/>
        </w:rPr>
      </w:pPr>
      <w:r w:rsidRPr="00AB324A">
        <w:rPr>
          <w:rFonts w:eastAsiaTheme="minorHAnsi"/>
        </w:rPr>
        <w:fldChar w:fldCharType="begin"/>
      </w:r>
      <w:r w:rsidRPr="00AB324A">
        <w:rPr>
          <w:rFonts w:eastAsiaTheme="minorHAnsi"/>
        </w:rPr>
        <w:instrText xml:space="preserve"> MACROBUTTON MTPlaceRef \* MERGEFORMAT </w:instrText>
      </w:r>
      <w:r w:rsidRPr="00AB324A">
        <w:rPr>
          <w:rFonts w:eastAsiaTheme="minorHAnsi"/>
        </w:rPr>
        <w:fldChar w:fldCharType="begin"/>
      </w:r>
      <w:r w:rsidRPr="00AB324A">
        <w:rPr>
          <w:rFonts w:eastAsiaTheme="minorHAnsi"/>
        </w:rPr>
        <w:instrText xml:space="preserve"> SEQ MTEqn \h \* MERGEFORMAT </w:instrText>
      </w:r>
      <w:r w:rsidRPr="00AB324A">
        <w:rPr>
          <w:rFonts w:eastAsiaTheme="minorHAnsi"/>
        </w:rPr>
        <w:fldChar w:fldCharType="end"/>
      </w:r>
      <w:r w:rsidRPr="00AB324A">
        <w:rPr>
          <w:rFonts w:eastAsiaTheme="minorHAnsi"/>
        </w:rPr>
        <w:instrText>(</w:instrText>
      </w:r>
      <w:r w:rsidRPr="00AB324A">
        <w:rPr>
          <w:rFonts w:eastAsiaTheme="minorHAnsi"/>
        </w:rPr>
        <w:fldChar w:fldCharType="begin"/>
      </w:r>
      <w:r w:rsidRPr="00AB324A">
        <w:rPr>
          <w:rFonts w:eastAsiaTheme="minorHAnsi"/>
        </w:rPr>
        <w:instrText xml:space="preserve"> SEQ MTSec \c \* Arabic \* MERGEFORMAT </w:instrText>
      </w:r>
      <w:r w:rsidRPr="00AB324A">
        <w:rPr>
          <w:rFonts w:eastAsiaTheme="minorHAnsi"/>
        </w:rPr>
        <w:fldChar w:fldCharType="separate"/>
      </w:r>
      <w:r w:rsidR="007B38CD" w:rsidRPr="00AB324A">
        <w:rPr>
          <w:rFonts w:eastAsiaTheme="minorHAnsi"/>
          <w:noProof/>
        </w:rPr>
        <w:instrText>1</w:instrText>
      </w:r>
      <w:r w:rsidRPr="00AB324A">
        <w:rPr>
          <w:rFonts w:eastAsiaTheme="minorHAnsi"/>
        </w:rPr>
        <w:fldChar w:fldCharType="end"/>
      </w:r>
      <w:r w:rsidRPr="00AB324A">
        <w:rPr>
          <w:rFonts w:eastAsiaTheme="minorHAnsi"/>
        </w:rPr>
        <w:instrText>.</w:instrText>
      </w:r>
      <w:r w:rsidRPr="00AB324A">
        <w:rPr>
          <w:rFonts w:eastAsiaTheme="minorHAnsi"/>
        </w:rPr>
        <w:fldChar w:fldCharType="begin"/>
      </w:r>
      <w:r w:rsidRPr="00AB324A">
        <w:rPr>
          <w:rFonts w:eastAsiaTheme="minorHAnsi"/>
        </w:rPr>
        <w:instrText xml:space="preserve"> SEQ MTEqn \c \* Arabic \* MERGEFORMAT </w:instrText>
      </w:r>
      <w:r w:rsidRPr="00AB324A">
        <w:rPr>
          <w:rFonts w:eastAsiaTheme="minorHAnsi"/>
        </w:rPr>
        <w:fldChar w:fldCharType="separate"/>
      </w:r>
      <w:r w:rsidR="007B38CD" w:rsidRPr="00AB324A">
        <w:rPr>
          <w:rFonts w:eastAsiaTheme="minorHAnsi"/>
          <w:noProof/>
        </w:rPr>
        <w:instrText>2</w:instrText>
      </w:r>
      <w:r w:rsidRPr="00AB324A">
        <w:rPr>
          <w:rFonts w:eastAsiaTheme="minorHAnsi"/>
        </w:rPr>
        <w:fldChar w:fldCharType="end"/>
      </w:r>
      <w:r w:rsidRPr="00AB324A">
        <w:rPr>
          <w:rFonts w:eastAsiaTheme="minorHAnsi"/>
        </w:rPr>
        <w:instrText>)</w:instrText>
      </w:r>
      <w:r w:rsidRPr="00AB324A">
        <w:rPr>
          <w:rFonts w:eastAsiaTheme="minorHAnsi"/>
        </w:rPr>
        <w:fldChar w:fldCharType="end"/>
      </w:r>
      <w:r w:rsidRPr="00AB324A">
        <w:rPr>
          <w:rFonts w:eastAsiaTheme="minorHAnsi"/>
        </w:rPr>
        <w:tab/>
      </w:r>
      <w:r w:rsidR="005B6A08" w:rsidRPr="00AB324A">
        <w:rPr>
          <w:rFonts w:eastAsiaTheme="minorHAnsi"/>
          <w:position w:val="-80"/>
        </w:rPr>
        <w:object w:dxaOrig="5360" w:dyaOrig="1719" w14:anchorId="7B196B7C">
          <v:shape id="_x0000_i1026" type="#_x0000_t75" style="width:268.2pt;height:85.8pt" o:ole="">
            <v:imagedata r:id="rId8" o:title=""/>
          </v:shape>
          <o:OLEObject Type="Embed" ProgID="Equation.DSMT4" ShapeID="_x0000_i1026" DrawAspect="Content" ObjectID="_1778069175" r:id="rId9"/>
        </w:object>
      </w:r>
    </w:p>
    <w:p w14:paraId="54CAE77F" w14:textId="77777777" w:rsidR="00D25B34" w:rsidRPr="00AB324A" w:rsidRDefault="00D25B34" w:rsidP="00D25B34">
      <w:pPr>
        <w:shd w:val="clear" w:color="auto" w:fill="FFFFFF"/>
        <w:spacing w:line="240" w:lineRule="auto"/>
        <w:jc w:val="center"/>
        <w:rPr>
          <w:rFonts w:ascii="Times New Roman" w:hAnsi="Times New Roman" w:cs="Times New Roman"/>
        </w:rPr>
      </w:pPr>
      <w:r w:rsidRPr="00AB324A">
        <w:rPr>
          <w:rFonts w:ascii="Times New Roman" w:hAnsi="Times New Roman" w:cs="Times New Roman"/>
          <w:i/>
          <w:iCs/>
        </w:rPr>
        <w:t>Equation 6.</w:t>
      </w:r>
    </w:p>
    <w:p w14:paraId="071FD4C6" w14:textId="77777777" w:rsidR="00D25B34" w:rsidRPr="00AB324A" w:rsidRDefault="00D25B34" w:rsidP="00D25B34">
      <w:pPr>
        <w:pStyle w:val="NormalWeb"/>
        <w:shd w:val="clear" w:color="auto" w:fill="FFFFFF"/>
        <w:spacing w:before="0" w:beforeAutospacing="0" w:after="165" w:afterAutospacing="0" w:line="330" w:lineRule="atLeast"/>
        <w:rPr>
          <w:rFonts w:eastAsiaTheme="minorHAnsi"/>
          <w:sz w:val="22"/>
          <w:szCs w:val="22"/>
        </w:rPr>
      </w:pPr>
    </w:p>
    <w:p w14:paraId="6B32570A" w14:textId="7AA0C91B" w:rsidR="00D25B34" w:rsidRPr="00AB324A" w:rsidRDefault="00D25B34" w:rsidP="00D25B34">
      <w:pPr>
        <w:pStyle w:val="NormalWeb"/>
        <w:shd w:val="clear" w:color="auto" w:fill="FFFFFF"/>
        <w:spacing w:before="0" w:beforeAutospacing="0" w:after="165" w:afterAutospacing="0" w:line="330" w:lineRule="atLeast"/>
        <w:rPr>
          <w:rFonts w:eastAsiaTheme="minorHAnsi"/>
          <w:sz w:val="22"/>
          <w:szCs w:val="22"/>
        </w:rPr>
      </w:pPr>
      <w:r w:rsidRPr="00AB324A">
        <w:rPr>
          <w:rFonts w:eastAsiaTheme="minorHAnsi"/>
          <w:sz w:val="22"/>
          <w:szCs w:val="22"/>
        </w:rPr>
        <w:t>Where I, E, and T are the inspiratory, expiratory, and total respiration times, respectively. The value τ is a time constant for the expiration period and is estimated as E / 5. The total breathing cycle time T is obtained from the inverse of the respiration rate determined by the </w:t>
      </w:r>
      <w:hyperlink r:id="rId10" w:anchor="nervous-features-chemoreceptors" w:history="1">
        <w:r w:rsidRPr="00AB324A">
          <w:rPr>
            <w:rFonts w:eastAsiaTheme="minorHAnsi"/>
            <w:sz w:val="22"/>
            <w:szCs w:val="22"/>
          </w:rPr>
          <w:t>chemoreceptor model</w:t>
        </w:r>
      </w:hyperlink>
      <w:r w:rsidRPr="00AB324A">
        <w:rPr>
          <w:rFonts w:eastAsiaTheme="minorHAnsi"/>
          <w:sz w:val="22"/>
          <w:szCs w:val="22"/>
        </w:rPr>
        <w:t xml:space="preserve">. I and E are calculated using the </w:t>
      </w:r>
      <w:r w:rsidR="00C91622" w:rsidRPr="00AB324A">
        <w:rPr>
          <w:rFonts w:eastAsiaTheme="minorHAnsi"/>
          <w:sz w:val="22"/>
          <w:szCs w:val="22"/>
        </w:rPr>
        <w:t>inspiratory: expiratory</w:t>
      </w:r>
      <w:r w:rsidRPr="00AB324A">
        <w:rPr>
          <w:rFonts w:eastAsiaTheme="minorHAnsi"/>
          <w:sz w:val="22"/>
          <w:szCs w:val="22"/>
        </w:rPr>
        <w:t xml:space="preserve"> ratio from the previous time step, which is modified by irregular physiology like asthma and COPD. The chemoreceptor model also updates the driver amplitude, </w:t>
      </w:r>
      <w:r w:rsidRPr="00AB324A">
        <w:rPr>
          <w:rFonts w:eastAsiaTheme="minorHAnsi"/>
          <w:sz w:val="22"/>
          <w:szCs w:val="22"/>
        </w:rPr>
        <w:lastRenderedPageBreak/>
        <w:t xml:space="preserve">Pmax. The baseline value of Pmax for each virtual patient is determined during engine initialization by </w:t>
      </w:r>
      <w:r w:rsidR="005B6A08" w:rsidRPr="00AB324A">
        <w:rPr>
          <w:rFonts w:eastAsiaTheme="minorHAnsi"/>
          <w:sz w:val="22"/>
          <w:szCs w:val="22"/>
        </w:rPr>
        <w:t>modifying</w:t>
      </w:r>
      <w:r w:rsidRPr="00AB324A">
        <w:rPr>
          <w:rFonts w:eastAsiaTheme="minorHAnsi"/>
          <w:sz w:val="22"/>
          <w:szCs w:val="22"/>
        </w:rPr>
        <w:t xml:space="preserve"> the amplitude at the requested patient respiration rate until a stable tidal volume is obtained.</w:t>
      </w:r>
    </w:p>
    <w:p w14:paraId="22F67A56" w14:textId="7EC455DD" w:rsidR="00D80597" w:rsidRPr="00AB324A" w:rsidRDefault="0059104A" w:rsidP="00B85A76">
      <w:pPr>
        <w:pStyle w:val="AuthorList"/>
      </w:pPr>
      <w:r w:rsidRPr="00AB324A">
        <w:t>Substance Transport</w:t>
      </w:r>
    </w:p>
    <w:p w14:paraId="5200EED9" w14:textId="77777777" w:rsidR="0059104A" w:rsidRPr="00AB324A" w:rsidRDefault="0059104A" w:rsidP="0059104A">
      <w:pPr>
        <w:pStyle w:val="NormalWeb"/>
        <w:shd w:val="clear" w:color="auto" w:fill="FFFFFF"/>
        <w:spacing w:before="0" w:beforeAutospacing="0" w:after="165" w:afterAutospacing="0" w:line="330" w:lineRule="atLeast"/>
        <w:rPr>
          <w:rFonts w:eastAsiaTheme="minorHAnsi"/>
          <w:sz w:val="22"/>
          <w:szCs w:val="22"/>
        </w:rPr>
      </w:pPr>
      <w:r w:rsidRPr="00AB324A">
        <w:rPr>
          <w:rFonts w:eastAsiaTheme="minorHAnsi"/>
          <w:sz w:val="22"/>
          <w:szCs w:val="22"/>
        </w:rPr>
        <w:t xml:space="preserve">Given the overall goals of </w:t>
      </w:r>
      <w:proofErr w:type="spellStart"/>
      <w:r w:rsidRPr="00AB324A">
        <w:rPr>
          <w:rFonts w:eastAsiaTheme="minorHAnsi"/>
          <w:sz w:val="22"/>
          <w:szCs w:val="22"/>
        </w:rPr>
        <w:t>BioGears</w:t>
      </w:r>
      <w:proofErr w:type="spellEnd"/>
      <w:r w:rsidRPr="00AB324A">
        <w:rPr>
          <w:rFonts w:eastAsiaTheme="minorHAnsi"/>
          <w:sz w:val="22"/>
          <w:szCs w:val="22"/>
        </w:rPr>
        <w:t>, we set out to create a generic and reusable substance transporter. Some high-level requirements include:</w:t>
      </w:r>
    </w:p>
    <w:p w14:paraId="08D7D4D3" w14:textId="3756661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Generic - All systems should be able to use the same basic transporter engine. This allows rapid </w:t>
      </w:r>
      <w:r w:rsidR="007B38CD" w:rsidRPr="00AB324A">
        <w:rPr>
          <w:rFonts w:ascii="Times New Roman" w:hAnsi="Times New Roman" w:cs="Times New Roman"/>
        </w:rPr>
        <w:t>development and</w:t>
      </w:r>
      <w:r w:rsidRPr="00AB324A">
        <w:rPr>
          <w:rFonts w:ascii="Times New Roman" w:hAnsi="Times New Roman" w:cs="Times New Roman"/>
        </w:rPr>
        <w:t xml:space="preserve"> makes engine outputs much easier to validate and verify.</w:t>
      </w:r>
    </w:p>
    <w:p w14:paraId="5B0C5BE5" w14:textId="7777777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Computational Speed - </w:t>
      </w:r>
      <w:proofErr w:type="spellStart"/>
      <w:r w:rsidRPr="00AB324A">
        <w:rPr>
          <w:rFonts w:ascii="Times New Roman" w:hAnsi="Times New Roman" w:cs="Times New Roman"/>
        </w:rPr>
        <w:t>BioGears</w:t>
      </w:r>
      <w:proofErr w:type="spellEnd"/>
      <w:r w:rsidRPr="00AB324A">
        <w:rPr>
          <w:rFonts w:ascii="Times New Roman" w:hAnsi="Times New Roman" w:cs="Times New Roman"/>
        </w:rPr>
        <w:t xml:space="preserve"> is required to maintain a transient full-body solution faster than real time on typical personal computers.</w:t>
      </w:r>
    </w:p>
    <w:p w14:paraId="042E57B5" w14:textId="7777777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Modular - Using the same basis for design and construction will aid in keeping the system decoupled.</w:t>
      </w:r>
    </w:p>
    <w:p w14:paraId="00E7635F" w14:textId="7777777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Extensible - We must take future growth into consideration and allow users and developers the proper tools and building blocks on which to add new functionality.</w:t>
      </w:r>
    </w:p>
    <w:p w14:paraId="47DBD1DC" w14:textId="7777777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Dynamic - Feedback mechanisms are required for each system. It is beneficial to be able to dynamically change, add, or remove compartments and links.</w:t>
      </w:r>
    </w:p>
    <w:p w14:paraId="570EAE0D" w14:textId="7777777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Conservation - We must uphold sound scientific principles and conserve mass.</w:t>
      </w:r>
    </w:p>
    <w:p w14:paraId="693818D0" w14:textId="0C419AB5"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Common Data Model - The entire solution must reside within and effectively use the </w:t>
      </w:r>
      <w:hyperlink r:id="rId11" w:history="1">
        <w:r w:rsidRPr="00AB324A">
          <w:rPr>
            <w:rFonts w:ascii="Times New Roman" w:hAnsi="Times New Roman" w:cs="Times New Roman"/>
          </w:rPr>
          <w:t>Common Data Model</w:t>
        </w:r>
      </w:hyperlink>
      <w:r w:rsidRPr="00AB324A">
        <w:rPr>
          <w:rFonts w:ascii="Times New Roman" w:hAnsi="Times New Roman" w:cs="Times New Roman"/>
        </w:rPr>
        <w:t>.</w:t>
      </w:r>
    </w:p>
    <w:p w14:paraId="281CD994" w14:textId="7777777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Fluid types - </w:t>
      </w:r>
      <w:proofErr w:type="spellStart"/>
      <w:r w:rsidRPr="00AB324A">
        <w:rPr>
          <w:rFonts w:ascii="Times New Roman" w:hAnsi="Times New Roman" w:cs="Times New Roman"/>
        </w:rPr>
        <w:t>BioGears</w:t>
      </w:r>
      <w:proofErr w:type="spellEnd"/>
      <w:r w:rsidRPr="00AB324A">
        <w:rPr>
          <w:rFonts w:ascii="Times New Roman" w:hAnsi="Times New Roman" w:cs="Times New Roman"/>
        </w:rPr>
        <w:t xml:space="preserve"> will include liquid and gas systems. It is beneficial to use the same solver for both types.</w:t>
      </w:r>
    </w:p>
    <w:p w14:paraId="75D3B976" w14:textId="7777777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Bifurcations - Each compartment can have an unlimited number of links providing flow/substances both in (</w:t>
      </w:r>
      <w:proofErr w:type="spellStart"/>
      <w:r w:rsidRPr="00AB324A">
        <w:rPr>
          <w:rFonts w:ascii="Times New Roman" w:hAnsi="Times New Roman" w:cs="Times New Roman"/>
        </w:rPr>
        <w:t>up stream</w:t>
      </w:r>
      <w:proofErr w:type="spellEnd"/>
      <w:r w:rsidRPr="00AB324A">
        <w:rPr>
          <w:rFonts w:ascii="Times New Roman" w:hAnsi="Times New Roman" w:cs="Times New Roman"/>
        </w:rPr>
        <w:t>) and out (</w:t>
      </w:r>
      <w:proofErr w:type="spellStart"/>
      <w:r w:rsidRPr="00AB324A">
        <w:rPr>
          <w:rFonts w:ascii="Times New Roman" w:hAnsi="Times New Roman" w:cs="Times New Roman"/>
        </w:rPr>
        <w:t>down stream</w:t>
      </w:r>
      <w:proofErr w:type="spellEnd"/>
      <w:r w:rsidRPr="00AB324A">
        <w:rPr>
          <w:rFonts w:ascii="Times New Roman" w:hAnsi="Times New Roman" w:cs="Times New Roman"/>
        </w:rPr>
        <w:t>).</w:t>
      </w:r>
    </w:p>
    <w:p w14:paraId="567ED4A2" w14:textId="77777777" w:rsidR="0059104A" w:rsidRPr="00AB324A" w:rsidRDefault="0059104A" w:rsidP="0059104A">
      <w:pPr>
        <w:numPr>
          <w:ilvl w:val="0"/>
          <w:numId w:val="1"/>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Large flows - The transporter must be able to handle any size flows, including instances where significantly more volume is moved than exists </w:t>
      </w:r>
      <w:proofErr w:type="gramStart"/>
      <w:r w:rsidRPr="00AB324A">
        <w:rPr>
          <w:rFonts w:ascii="Times New Roman" w:hAnsi="Times New Roman" w:cs="Times New Roman"/>
        </w:rPr>
        <w:t>in a given</w:t>
      </w:r>
      <w:proofErr w:type="gramEnd"/>
      <w:r w:rsidRPr="00AB324A">
        <w:rPr>
          <w:rFonts w:ascii="Times New Roman" w:hAnsi="Times New Roman" w:cs="Times New Roman"/>
        </w:rPr>
        <w:t xml:space="preserve"> compartment for a given time-step.</w:t>
      </w:r>
    </w:p>
    <w:p w14:paraId="1E842CBA" w14:textId="7C2DB565" w:rsidR="0059104A" w:rsidRPr="00AB324A" w:rsidRDefault="0059104A" w:rsidP="0059104A">
      <w:pPr>
        <w:pStyle w:val="NormalWeb"/>
        <w:shd w:val="clear" w:color="auto" w:fill="FFFFFF"/>
        <w:spacing w:before="0" w:beforeAutospacing="0" w:after="165" w:afterAutospacing="0" w:line="330" w:lineRule="atLeast"/>
        <w:rPr>
          <w:rFonts w:eastAsiaTheme="minorHAnsi"/>
          <w:sz w:val="22"/>
          <w:szCs w:val="22"/>
        </w:rPr>
      </w:pPr>
      <w:r w:rsidRPr="00AB324A">
        <w:rPr>
          <w:rFonts w:eastAsiaTheme="minorHAnsi"/>
          <w:sz w:val="22"/>
          <w:szCs w:val="22"/>
        </w:rPr>
        <w:t>The Transporter is implemented generically for both liquid and gas systems using the same high-level definitions for substance properties, which are:</w:t>
      </w:r>
    </w:p>
    <w:p w14:paraId="4FB4AAD8" w14:textId="77777777" w:rsidR="0059104A" w:rsidRPr="00AB324A" w:rsidRDefault="0059104A" w:rsidP="0059104A">
      <w:pPr>
        <w:numPr>
          <w:ilvl w:val="0"/>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Extensive property: additive for independent, non-interacting subsystems - proportional to the amount of material in the system</w:t>
      </w:r>
    </w:p>
    <w:p w14:paraId="610B010D" w14:textId="77777777" w:rsidR="0059104A" w:rsidRPr="00AB324A" w:rsidRDefault="0059104A" w:rsidP="0059104A">
      <w:pPr>
        <w:numPr>
          <w:ilvl w:val="1"/>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Property changes with amount change</w:t>
      </w:r>
    </w:p>
    <w:p w14:paraId="7E342EBA" w14:textId="77777777" w:rsidR="0059104A" w:rsidRPr="00AB324A" w:rsidRDefault="0059104A" w:rsidP="0059104A">
      <w:pPr>
        <w:numPr>
          <w:ilvl w:val="1"/>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Pouring some out will change the </w:t>
      </w:r>
      <w:proofErr w:type="gramStart"/>
      <w:r w:rsidRPr="00AB324A">
        <w:rPr>
          <w:rFonts w:ascii="Times New Roman" w:hAnsi="Times New Roman" w:cs="Times New Roman"/>
        </w:rPr>
        <w:t>value</w:t>
      </w:r>
      <w:proofErr w:type="gramEnd"/>
    </w:p>
    <w:p w14:paraId="32F1A210" w14:textId="77777777" w:rsidR="0059104A" w:rsidRPr="00AB324A" w:rsidRDefault="0059104A" w:rsidP="0059104A">
      <w:pPr>
        <w:numPr>
          <w:ilvl w:val="1"/>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Examples: Mass, Volume, Length, Amount</w:t>
      </w:r>
    </w:p>
    <w:p w14:paraId="7AE30977" w14:textId="77777777" w:rsidR="0059104A" w:rsidRPr="00AB324A" w:rsidRDefault="0059104A" w:rsidP="0059104A">
      <w:pPr>
        <w:numPr>
          <w:ilvl w:val="0"/>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Intensive property: a bulk property, meaning that it is a physical property of a system that does not depend on the system size or the amount of material in the </w:t>
      </w:r>
      <w:proofErr w:type="gramStart"/>
      <w:r w:rsidRPr="00AB324A">
        <w:rPr>
          <w:rFonts w:ascii="Times New Roman" w:hAnsi="Times New Roman" w:cs="Times New Roman"/>
        </w:rPr>
        <w:t>system</w:t>
      </w:r>
      <w:proofErr w:type="gramEnd"/>
    </w:p>
    <w:p w14:paraId="72EF0945" w14:textId="77777777" w:rsidR="0059104A" w:rsidRPr="00AB324A" w:rsidRDefault="0059104A" w:rsidP="0059104A">
      <w:pPr>
        <w:numPr>
          <w:ilvl w:val="1"/>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Property doesn't change with amount </w:t>
      </w:r>
      <w:proofErr w:type="gramStart"/>
      <w:r w:rsidRPr="00AB324A">
        <w:rPr>
          <w:rFonts w:ascii="Times New Roman" w:hAnsi="Times New Roman" w:cs="Times New Roman"/>
        </w:rPr>
        <w:t>change</w:t>
      </w:r>
      <w:proofErr w:type="gramEnd"/>
    </w:p>
    <w:p w14:paraId="5743A3C3" w14:textId="77777777" w:rsidR="0059104A" w:rsidRPr="00AB324A" w:rsidRDefault="0059104A" w:rsidP="0059104A">
      <w:pPr>
        <w:numPr>
          <w:ilvl w:val="1"/>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Defines and identifies </w:t>
      </w:r>
      <w:proofErr w:type="gramStart"/>
      <w:r w:rsidRPr="00AB324A">
        <w:rPr>
          <w:rFonts w:ascii="Times New Roman" w:hAnsi="Times New Roman" w:cs="Times New Roman"/>
        </w:rPr>
        <w:t>substances</w:t>
      </w:r>
      <w:proofErr w:type="gramEnd"/>
    </w:p>
    <w:p w14:paraId="58EE47E1" w14:textId="77777777" w:rsidR="0059104A" w:rsidRPr="00AB324A" w:rsidRDefault="0059104A" w:rsidP="0059104A">
      <w:pPr>
        <w:numPr>
          <w:ilvl w:val="1"/>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Pouring some out will not change the </w:t>
      </w:r>
      <w:proofErr w:type="gramStart"/>
      <w:r w:rsidRPr="00AB324A">
        <w:rPr>
          <w:rFonts w:ascii="Times New Roman" w:hAnsi="Times New Roman" w:cs="Times New Roman"/>
        </w:rPr>
        <w:t>value</w:t>
      </w:r>
      <w:proofErr w:type="gramEnd"/>
    </w:p>
    <w:p w14:paraId="48486CFD" w14:textId="77777777" w:rsidR="0059104A" w:rsidRPr="00AB324A" w:rsidRDefault="0059104A" w:rsidP="0059104A">
      <w:pPr>
        <w:numPr>
          <w:ilvl w:val="1"/>
          <w:numId w:val="2"/>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 xml:space="preserve">Examples: Concentration, </w:t>
      </w:r>
      <w:proofErr w:type="spellStart"/>
      <w:r w:rsidRPr="00AB324A">
        <w:rPr>
          <w:rFonts w:ascii="Times New Roman" w:hAnsi="Times New Roman" w:cs="Times New Roman"/>
        </w:rPr>
        <w:t>VolumeFraction</w:t>
      </w:r>
      <w:proofErr w:type="spellEnd"/>
      <w:r w:rsidRPr="00AB324A">
        <w:rPr>
          <w:rFonts w:ascii="Times New Roman" w:hAnsi="Times New Roman" w:cs="Times New Roman"/>
        </w:rPr>
        <w:t>, and Temperature</w:t>
      </w:r>
    </w:p>
    <w:p w14:paraId="1D89EF1E" w14:textId="514DD566" w:rsidR="0059104A" w:rsidRPr="00AB324A" w:rsidRDefault="0059104A" w:rsidP="0059104A">
      <w:pPr>
        <w:pStyle w:val="NormalWeb"/>
        <w:shd w:val="clear" w:color="auto" w:fill="FFFFFF"/>
        <w:spacing w:before="0" w:beforeAutospacing="0" w:after="165" w:afterAutospacing="0" w:line="330" w:lineRule="atLeast"/>
        <w:rPr>
          <w:rFonts w:eastAsiaTheme="minorHAnsi"/>
          <w:sz w:val="22"/>
          <w:szCs w:val="22"/>
        </w:rPr>
      </w:pPr>
      <w:r w:rsidRPr="00AB324A">
        <w:rPr>
          <w:rFonts w:eastAsiaTheme="minorHAnsi"/>
          <w:sz w:val="22"/>
          <w:szCs w:val="22"/>
        </w:rPr>
        <w:t>The Transporter assumes that fluid movement (</w:t>
      </w:r>
      <w:proofErr w:type="gramStart"/>
      <w:r w:rsidRPr="00AB324A">
        <w:rPr>
          <w:rFonts w:eastAsiaTheme="minorHAnsi"/>
          <w:sz w:val="22"/>
          <w:szCs w:val="22"/>
        </w:rPr>
        <w:t>i.e.</w:t>
      </w:r>
      <w:proofErr w:type="gramEnd"/>
      <w:r w:rsidRPr="00AB324A">
        <w:rPr>
          <w:rFonts w:eastAsiaTheme="minorHAnsi"/>
          <w:sz w:val="22"/>
          <w:szCs w:val="22"/>
        </w:rPr>
        <w:t xml:space="preserve"> convection) has already taken place - generally calculated and updated inside the system by the circuit solver. Once the convective fluid movement properties of compartment volume and link flow are updated for the current time-step being analyzed, the extensive and intensive substance values at each compartment can be determined by using the previous </w:t>
      </w:r>
      <w:r w:rsidRPr="00AB324A">
        <w:rPr>
          <w:rFonts w:eastAsiaTheme="minorHAnsi"/>
          <w:sz w:val="22"/>
          <w:szCs w:val="22"/>
        </w:rPr>
        <w:lastRenderedPageBreak/>
        <w:t xml:space="preserve">time-step state. </w:t>
      </w:r>
      <w:r w:rsidR="00E72F03" w:rsidRPr="00AB324A">
        <w:rPr>
          <w:rFonts w:eastAsiaTheme="minorHAnsi"/>
          <w:sz w:val="22"/>
          <w:szCs w:val="22"/>
        </w:rPr>
        <w:fldChar w:fldCharType="begin"/>
      </w:r>
      <w:r w:rsidR="00E72F03" w:rsidRPr="00AB324A">
        <w:rPr>
          <w:rFonts w:eastAsiaTheme="minorHAnsi"/>
          <w:sz w:val="22"/>
          <w:szCs w:val="22"/>
        </w:rPr>
        <w:instrText xml:space="preserve"> REF _Ref162871651 \h </w:instrText>
      </w:r>
      <w:r w:rsidR="00AB324A">
        <w:rPr>
          <w:rFonts w:eastAsiaTheme="minorHAnsi"/>
          <w:sz w:val="22"/>
          <w:szCs w:val="22"/>
        </w:rPr>
        <w:instrText xml:space="preserve"> \* MERGEFORMAT </w:instrText>
      </w:r>
      <w:r w:rsidR="00E72F03" w:rsidRPr="00AB324A">
        <w:rPr>
          <w:rFonts w:eastAsiaTheme="minorHAnsi"/>
          <w:sz w:val="22"/>
          <w:szCs w:val="22"/>
        </w:rPr>
      </w:r>
      <w:r w:rsidR="00E72F03" w:rsidRPr="00AB324A">
        <w:rPr>
          <w:rFonts w:eastAsiaTheme="minorHAnsi"/>
          <w:sz w:val="22"/>
          <w:szCs w:val="22"/>
        </w:rPr>
        <w:fldChar w:fldCharType="separate"/>
      </w:r>
      <w:r w:rsidR="00360F7D">
        <w:t xml:space="preserve">Supplemental </w:t>
      </w:r>
      <w:r w:rsidR="00360F7D" w:rsidRPr="00AB324A">
        <w:rPr>
          <w:noProof/>
        </w:rPr>
        <w:t>Table</w:t>
      </w:r>
      <w:r w:rsidR="00360F7D" w:rsidRPr="00AB324A">
        <w:t xml:space="preserve"> </w:t>
      </w:r>
      <w:r w:rsidR="00360F7D" w:rsidRPr="00AB324A">
        <w:rPr>
          <w:noProof/>
        </w:rPr>
        <w:t>2</w:t>
      </w:r>
      <w:r w:rsidR="00E72F03" w:rsidRPr="00AB324A">
        <w:rPr>
          <w:rFonts w:eastAsiaTheme="minorHAnsi"/>
          <w:sz w:val="22"/>
          <w:szCs w:val="22"/>
        </w:rPr>
        <w:fldChar w:fldCharType="end"/>
      </w:r>
      <w:r w:rsidRPr="00AB324A">
        <w:rPr>
          <w:rFonts w:eastAsiaTheme="minorHAnsi"/>
          <w:sz w:val="22"/>
          <w:szCs w:val="22"/>
        </w:rPr>
        <w:t xml:space="preserve"> shows the parameters needed to calculate the advective transport by bulk flow.</w:t>
      </w:r>
    </w:p>
    <w:p w14:paraId="6072605E" w14:textId="0B26218A" w:rsidR="0059104A" w:rsidRPr="00AB324A" w:rsidRDefault="0059104A" w:rsidP="0059104A">
      <w:pPr>
        <w:rPr>
          <w:rFonts w:ascii="Times New Roman" w:hAnsi="Times New Roman" w:cs="Times New Roman"/>
        </w:rPr>
      </w:pPr>
      <w:r w:rsidRPr="00AB324A">
        <w:rPr>
          <w:rFonts w:ascii="Times New Roman" w:hAnsi="Times New Roman" w:cs="Times New Roman"/>
        </w:rPr>
        <w:t>The instantaneous substance quantity values can be determined in each compartment of a graph by doing a mass balance calculation where </w:t>
      </w:r>
      <w:r w:rsidRPr="00AB324A">
        <w:rPr>
          <w:rFonts w:ascii="Times New Roman" w:hAnsi="Times New Roman" w:cs="Times New Roman"/>
          <w:i/>
          <w:iCs/>
        </w:rPr>
        <w:t>m</w:t>
      </w:r>
      <w:r w:rsidRPr="00AB324A">
        <w:rPr>
          <w:rFonts w:ascii="Times New Roman" w:hAnsi="Times New Roman" w:cs="Times New Roman"/>
        </w:rPr>
        <w:t> is the mass on the current compartment and both </w:t>
      </w:r>
      <w:r w:rsidRPr="00AB324A">
        <w:rPr>
          <w:rFonts w:ascii="Times New Roman" w:hAnsi="Times New Roman" w:cs="Times New Roman"/>
          <w:i/>
          <w:iCs/>
        </w:rPr>
        <w:t>min</w:t>
      </w:r>
      <w:r w:rsidRPr="00AB324A">
        <w:rPr>
          <w:rFonts w:ascii="Times New Roman" w:hAnsi="Times New Roman" w:cs="Times New Roman"/>
        </w:rPr>
        <w:t> and </w:t>
      </w:r>
      <w:proofErr w:type="spellStart"/>
      <w:r w:rsidRPr="00AB324A">
        <w:rPr>
          <w:rFonts w:ascii="Times New Roman" w:hAnsi="Times New Roman" w:cs="Times New Roman"/>
          <w:i/>
          <w:iCs/>
        </w:rPr>
        <w:t>m</w:t>
      </w:r>
      <w:r w:rsidRPr="00AB324A">
        <w:rPr>
          <w:rFonts w:ascii="Times New Roman" w:hAnsi="Times New Roman" w:cs="Times New Roman"/>
          <w:i/>
          <w:iCs/>
          <w:vertAlign w:val="subscript"/>
        </w:rPr>
        <w:t>out</w:t>
      </w:r>
      <w:proofErr w:type="spellEnd"/>
      <w:r w:rsidRPr="00AB324A">
        <w:rPr>
          <w:rFonts w:ascii="Times New Roman" w:hAnsi="Times New Roman" w:cs="Times New Roman"/>
          <w:vertAlign w:val="subscript"/>
        </w:rPr>
        <w:t> </w:t>
      </w:r>
      <w:r w:rsidRPr="00AB324A">
        <w:rPr>
          <w:rFonts w:ascii="Times New Roman" w:hAnsi="Times New Roman" w:cs="Times New Roman"/>
        </w:rPr>
        <w:t>are provided by links to any number of other compartments:</w:t>
      </w:r>
    </w:p>
    <w:p w14:paraId="50E15D1C" w14:textId="2BE1D243" w:rsidR="0059104A" w:rsidRPr="00AB324A" w:rsidRDefault="0059104A" w:rsidP="0059104A">
      <w:pPr>
        <w:pStyle w:val="MTDisplayEquation"/>
      </w:pPr>
      <w:r w:rsidRPr="00AB324A">
        <w:fldChar w:fldCharType="begin"/>
      </w:r>
      <w:r w:rsidRPr="00AB324A">
        <w:instrText xml:space="preserve"> MACROBUTTON MTPlaceRef \* MERGEFORMAT </w:instrText>
      </w:r>
      <w:r w:rsidRPr="00AB324A">
        <w:fldChar w:fldCharType="begin"/>
      </w:r>
      <w:r w:rsidRPr="00AB324A">
        <w:instrText xml:space="preserve"> SEQ MTEqn \h \* MERGEFORMAT </w:instrText>
      </w:r>
      <w:r w:rsidRPr="00AB324A">
        <w:fldChar w:fldCharType="end"/>
      </w:r>
      <w:r w:rsidRPr="00AB324A">
        <w:instrText>(</w:instrText>
      </w:r>
      <w:fldSimple w:instr=" SEQ MTSec \c \* Arabic \* MERGEFORMAT ">
        <w:r w:rsidR="007B38CD" w:rsidRPr="00AB324A">
          <w:rPr>
            <w:noProof/>
          </w:rPr>
          <w:instrText>1</w:instrText>
        </w:r>
      </w:fldSimple>
      <w:r w:rsidRPr="00AB324A">
        <w:instrText>.</w:instrText>
      </w:r>
      <w:fldSimple w:instr=" SEQ MTEqn \c \* Arabic \* MERGEFORMAT ">
        <w:r w:rsidR="007B38CD" w:rsidRPr="00AB324A">
          <w:rPr>
            <w:noProof/>
          </w:rPr>
          <w:instrText>3</w:instrText>
        </w:r>
      </w:fldSimple>
      <w:r w:rsidRPr="00AB324A">
        <w:instrText>)</w:instrText>
      </w:r>
      <w:r w:rsidRPr="00AB324A">
        <w:fldChar w:fldCharType="end"/>
      </w:r>
      <w:r w:rsidRPr="00AB324A">
        <w:tab/>
      </w:r>
      <w:r w:rsidR="007B38CD" w:rsidRPr="00AB324A">
        <w:rPr>
          <w:position w:val="-14"/>
        </w:rPr>
        <w:object w:dxaOrig="2100" w:dyaOrig="400" w14:anchorId="50D1906D">
          <v:shape id="_x0000_i1027" type="#_x0000_t75" style="width:105pt;height:19.8pt" o:ole="">
            <v:imagedata r:id="rId12" o:title=""/>
          </v:shape>
          <o:OLEObject Type="Embed" ProgID="Equation.DSMT4" ShapeID="_x0000_i1027" DrawAspect="Content" ObjectID="_1778069176" r:id="rId13"/>
        </w:object>
      </w:r>
    </w:p>
    <w:p w14:paraId="2A9B13FE" w14:textId="031D5DA4" w:rsidR="0059104A" w:rsidRPr="00AB324A" w:rsidRDefault="0059104A" w:rsidP="0059104A">
      <w:pPr>
        <w:rPr>
          <w:rFonts w:ascii="Times New Roman" w:hAnsi="Times New Roman" w:cs="Times New Roman"/>
        </w:rPr>
      </w:pPr>
      <w:r w:rsidRPr="00AB324A">
        <w:rPr>
          <w:rFonts w:ascii="Times New Roman" w:hAnsi="Times New Roman" w:cs="Times New Roman"/>
        </w:rPr>
        <w:t xml:space="preserve">Using table 1 we can break this equation down into its components: </w:t>
      </w:r>
    </w:p>
    <w:p w14:paraId="189E02DF" w14:textId="35E359B6" w:rsidR="0059104A" w:rsidRPr="00AB324A" w:rsidRDefault="0059104A" w:rsidP="0059104A">
      <w:pPr>
        <w:pStyle w:val="MTDisplayEquation"/>
      </w:pPr>
      <w:r w:rsidRPr="00AB324A">
        <w:fldChar w:fldCharType="begin"/>
      </w:r>
      <w:r w:rsidRPr="00AB324A">
        <w:instrText xml:space="preserve"> MACROBUTTON MTPlaceRef \* MERGEFORMAT </w:instrText>
      </w:r>
      <w:r w:rsidRPr="00AB324A">
        <w:fldChar w:fldCharType="begin"/>
      </w:r>
      <w:r w:rsidRPr="00AB324A">
        <w:instrText xml:space="preserve"> SEQ MTEqn \h \* MERGEFORMAT </w:instrText>
      </w:r>
      <w:r w:rsidRPr="00AB324A">
        <w:fldChar w:fldCharType="end"/>
      </w:r>
      <w:r w:rsidRPr="00AB324A">
        <w:instrText>(</w:instrText>
      </w:r>
      <w:fldSimple w:instr=" SEQ MTSec \c \* Arabic \* MERGEFORMAT ">
        <w:r w:rsidR="007B38CD" w:rsidRPr="00AB324A">
          <w:rPr>
            <w:noProof/>
          </w:rPr>
          <w:instrText>1</w:instrText>
        </w:r>
      </w:fldSimple>
      <w:r w:rsidRPr="00AB324A">
        <w:instrText>.</w:instrText>
      </w:r>
      <w:fldSimple w:instr=" SEQ MTEqn \c \* Arabic \* MERGEFORMAT ">
        <w:r w:rsidR="007B38CD" w:rsidRPr="00AB324A">
          <w:rPr>
            <w:noProof/>
          </w:rPr>
          <w:instrText>4</w:instrText>
        </w:r>
      </w:fldSimple>
      <w:r w:rsidRPr="00AB324A">
        <w:instrText>)</w:instrText>
      </w:r>
      <w:r w:rsidRPr="00AB324A">
        <w:fldChar w:fldCharType="end"/>
      </w:r>
      <w:r w:rsidRPr="00AB324A">
        <w:tab/>
      </w:r>
      <w:r w:rsidRPr="00AB324A">
        <w:rPr>
          <w:position w:val="-14"/>
        </w:rPr>
        <w:object w:dxaOrig="3379" w:dyaOrig="400" w14:anchorId="22041839">
          <v:shape id="_x0000_i1028" type="#_x0000_t75" style="width:168.6pt;height:19.8pt" o:ole="">
            <v:imagedata r:id="rId14" o:title=""/>
          </v:shape>
          <o:OLEObject Type="Embed" ProgID="Equation.DSMT4" ShapeID="_x0000_i1028" DrawAspect="Content" ObjectID="_1778069177" r:id="rId15"/>
        </w:object>
      </w:r>
    </w:p>
    <w:p w14:paraId="3E84BB8C" w14:textId="12BB18B0" w:rsidR="0059104A" w:rsidRPr="00AB324A" w:rsidRDefault="0059104A" w:rsidP="0059104A">
      <w:pPr>
        <w:rPr>
          <w:rFonts w:ascii="Times New Roman" w:hAnsi="Times New Roman" w:cs="Times New Roman"/>
        </w:rPr>
      </w:pPr>
      <w:r w:rsidRPr="00AB324A">
        <w:rPr>
          <w:rFonts w:ascii="Times New Roman" w:hAnsi="Times New Roman" w:cs="Times New Roman"/>
        </w:rPr>
        <w:t xml:space="preserve">We can then rearrange this equation to obtain: </w:t>
      </w:r>
    </w:p>
    <w:p w14:paraId="770F4A85" w14:textId="4E9B21CF" w:rsidR="0059104A" w:rsidRPr="00AB324A" w:rsidRDefault="0059104A" w:rsidP="0059104A">
      <w:pPr>
        <w:pStyle w:val="MTDisplayEquation"/>
      </w:pPr>
      <w:r w:rsidRPr="00AB324A">
        <w:fldChar w:fldCharType="begin"/>
      </w:r>
      <w:r w:rsidRPr="00AB324A">
        <w:instrText xml:space="preserve"> MACROBUTTON MTPlaceRef \* MERGEFORMAT </w:instrText>
      </w:r>
      <w:r w:rsidRPr="00AB324A">
        <w:fldChar w:fldCharType="begin"/>
      </w:r>
      <w:r w:rsidRPr="00AB324A">
        <w:instrText xml:space="preserve"> SEQ MTEqn \h \* MERGEFORMAT </w:instrText>
      </w:r>
      <w:r w:rsidRPr="00AB324A">
        <w:fldChar w:fldCharType="end"/>
      </w:r>
      <w:r w:rsidRPr="00AB324A">
        <w:instrText>(</w:instrText>
      </w:r>
      <w:fldSimple w:instr=" SEQ MTSec \c \* Arabic \* MERGEFORMAT ">
        <w:r w:rsidR="007B38CD" w:rsidRPr="00AB324A">
          <w:rPr>
            <w:noProof/>
          </w:rPr>
          <w:instrText>1</w:instrText>
        </w:r>
      </w:fldSimple>
      <w:r w:rsidRPr="00AB324A">
        <w:instrText>.</w:instrText>
      </w:r>
      <w:fldSimple w:instr=" SEQ MTEqn \c \* Arabic \* MERGEFORMAT ">
        <w:r w:rsidR="007B38CD" w:rsidRPr="00AB324A">
          <w:rPr>
            <w:noProof/>
          </w:rPr>
          <w:instrText>5</w:instrText>
        </w:r>
      </w:fldSimple>
      <w:r w:rsidRPr="00AB324A">
        <w:instrText>)</w:instrText>
      </w:r>
      <w:r w:rsidRPr="00AB324A">
        <w:fldChar w:fldCharType="end"/>
      </w:r>
      <w:r w:rsidRPr="00AB324A">
        <w:tab/>
      </w:r>
      <w:r w:rsidRPr="00AB324A">
        <w:rPr>
          <w:position w:val="-14"/>
        </w:rPr>
        <w:object w:dxaOrig="3379" w:dyaOrig="400" w14:anchorId="376FD5C3">
          <v:shape id="_x0000_i1029" type="#_x0000_t75" style="width:168.6pt;height:19.8pt" o:ole="">
            <v:imagedata r:id="rId16" o:title=""/>
          </v:shape>
          <o:OLEObject Type="Embed" ProgID="Equation.DSMT4" ShapeID="_x0000_i1029" DrawAspect="Content" ObjectID="_1778069178" r:id="rId17"/>
        </w:object>
      </w:r>
    </w:p>
    <w:p w14:paraId="58518607" w14:textId="48AF36A0" w:rsidR="0059104A" w:rsidRPr="00AB324A" w:rsidRDefault="0059104A" w:rsidP="0059104A">
      <w:pPr>
        <w:rPr>
          <w:rFonts w:ascii="Times New Roman" w:hAnsi="Times New Roman" w:cs="Times New Roman"/>
        </w:rPr>
      </w:pPr>
      <w:r w:rsidRPr="00AB324A">
        <w:rPr>
          <w:rFonts w:ascii="Times New Roman" w:hAnsi="Times New Roman" w:cs="Times New Roman"/>
        </w:rPr>
        <w:t>By combining these equations for all compartments in the graph, a set of linear equations can be written in the form of Ax=b to solve for the new intensive properties. Here, A is a matrix of constants that is invertible, x is a vector of intensive properties and b is the know previous time step properties.</w:t>
      </w:r>
    </w:p>
    <w:p w14:paraId="6677A986" w14:textId="418FA9CD" w:rsidR="00485038" w:rsidRPr="00AB324A" w:rsidRDefault="00485038" w:rsidP="00485038">
      <w:pPr>
        <w:shd w:val="clear" w:color="auto" w:fill="FFFFFF"/>
        <w:spacing w:after="165" w:line="330" w:lineRule="atLeast"/>
        <w:rPr>
          <w:rFonts w:ascii="Times New Roman" w:hAnsi="Times New Roman" w:cs="Times New Roman"/>
        </w:rPr>
      </w:pPr>
      <w:r w:rsidRPr="00AB324A">
        <w:rPr>
          <w:rFonts w:ascii="Times New Roman" w:hAnsi="Times New Roman" w:cs="Times New Roman"/>
        </w:rPr>
        <w:t xml:space="preserve"> The </w:t>
      </w:r>
      <w:r w:rsidR="002D122C" w:rsidRPr="00AB324A">
        <w:rPr>
          <w:rFonts w:ascii="Times New Roman" w:hAnsi="Times New Roman" w:cs="Times New Roman"/>
        </w:rPr>
        <w:t xml:space="preserve">algorithm, implemented in C++ in the </w:t>
      </w:r>
      <w:proofErr w:type="spellStart"/>
      <w:r w:rsidR="002D122C" w:rsidRPr="00AB324A">
        <w:rPr>
          <w:rFonts w:ascii="Times New Roman" w:hAnsi="Times New Roman" w:cs="Times New Roman"/>
        </w:rPr>
        <w:t>BioGears</w:t>
      </w:r>
      <w:proofErr w:type="spellEnd"/>
      <w:r w:rsidR="002D122C" w:rsidRPr="00AB324A">
        <w:rPr>
          <w:rFonts w:ascii="Times New Roman" w:hAnsi="Times New Roman" w:cs="Times New Roman"/>
        </w:rPr>
        <w:t xml:space="preserve"> engine, </w:t>
      </w:r>
      <w:r w:rsidRPr="00AB324A">
        <w:rPr>
          <w:rFonts w:ascii="Times New Roman" w:hAnsi="Times New Roman" w:cs="Times New Roman"/>
        </w:rPr>
        <w:t xml:space="preserve">used by the transporter to solve a graph using </w:t>
      </w:r>
      <w:r w:rsidR="002D122C" w:rsidRPr="00AB324A">
        <w:rPr>
          <w:rFonts w:ascii="Times New Roman" w:hAnsi="Times New Roman" w:cs="Times New Roman"/>
        </w:rPr>
        <w:t>1.4 for</w:t>
      </w:r>
      <w:r w:rsidRPr="00AB324A">
        <w:rPr>
          <w:rFonts w:ascii="Times New Roman" w:hAnsi="Times New Roman" w:cs="Times New Roman"/>
        </w:rPr>
        <w:t xml:space="preserve"> each time-step are:</w:t>
      </w:r>
    </w:p>
    <w:p w14:paraId="17AF77C9" w14:textId="695E2BC1" w:rsidR="00485038" w:rsidRPr="00AB324A" w:rsidRDefault="00485038" w:rsidP="00485038">
      <w:pPr>
        <w:numPr>
          <w:ilvl w:val="0"/>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Loop over compartments to populate the A matrix (one row per compartment) - this is the same for all substances.</w:t>
      </w:r>
    </w:p>
    <w:p w14:paraId="41932865" w14:textId="270AAE4D" w:rsidR="00485038" w:rsidRPr="00AB324A" w:rsidRDefault="00485038" w:rsidP="00485038">
      <w:pPr>
        <w:numPr>
          <w:ilvl w:val="1"/>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Handle infinite volume (often the environment) by setting intensive property constant.</w:t>
      </w:r>
    </w:p>
    <w:p w14:paraId="45818461" w14:textId="2919FD20" w:rsidR="00485038" w:rsidRPr="00AB324A" w:rsidRDefault="00485038" w:rsidP="00485038">
      <w:pPr>
        <w:numPr>
          <w:ilvl w:val="1"/>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Handle no volume by using an approximate zero (1e-20) value to prevent a singular matrix.</w:t>
      </w:r>
    </w:p>
    <w:p w14:paraId="14C06757" w14:textId="77777777" w:rsidR="00485038" w:rsidRPr="00AB324A" w:rsidRDefault="00485038" w:rsidP="00485038">
      <w:pPr>
        <w:numPr>
          <w:ilvl w:val="1"/>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Handle source link flows (out of the compartment)</w:t>
      </w:r>
    </w:p>
    <w:p w14:paraId="34492FE0" w14:textId="77777777" w:rsidR="00485038" w:rsidRPr="00AB324A" w:rsidRDefault="00485038" w:rsidP="00485038">
      <w:pPr>
        <w:numPr>
          <w:ilvl w:val="1"/>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Handle target link flows (into the compartment)</w:t>
      </w:r>
    </w:p>
    <w:p w14:paraId="76BE71D9" w14:textId="77777777" w:rsidR="00485038" w:rsidRPr="00AB324A" w:rsidRDefault="00485038" w:rsidP="00485038">
      <w:pPr>
        <w:numPr>
          <w:ilvl w:val="0"/>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Loop over all substances</w:t>
      </w:r>
    </w:p>
    <w:p w14:paraId="03228AFF" w14:textId="26ED1BD4" w:rsidR="00485038" w:rsidRPr="00AB324A" w:rsidRDefault="00485038" w:rsidP="00485038">
      <w:pPr>
        <w:numPr>
          <w:ilvl w:val="1"/>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Populate b vector with previous time-step masses.</w:t>
      </w:r>
    </w:p>
    <w:p w14:paraId="5F3B012C" w14:textId="202044FF" w:rsidR="00485038" w:rsidRPr="00AB324A" w:rsidRDefault="00485038" w:rsidP="00485038">
      <w:pPr>
        <w:numPr>
          <w:ilvl w:val="1"/>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Solve for x vector intensive properties.</w:t>
      </w:r>
    </w:p>
    <w:p w14:paraId="75A8D917" w14:textId="2CC5F27F" w:rsidR="00485038" w:rsidRPr="00AB324A" w:rsidRDefault="00485038" w:rsidP="00485038">
      <w:pPr>
        <w:numPr>
          <w:ilvl w:val="1"/>
          <w:numId w:val="3"/>
        </w:numPr>
        <w:shd w:val="clear" w:color="auto" w:fill="FFFFFF"/>
        <w:spacing w:before="100" w:beforeAutospacing="1" w:after="100" w:afterAutospacing="1" w:line="240" w:lineRule="auto"/>
        <w:rPr>
          <w:rFonts w:ascii="Times New Roman" w:hAnsi="Times New Roman" w:cs="Times New Roman"/>
        </w:rPr>
      </w:pPr>
      <w:r w:rsidRPr="00AB324A">
        <w:rPr>
          <w:rFonts w:ascii="Times New Roman" w:hAnsi="Times New Roman" w:cs="Times New Roman"/>
        </w:rPr>
        <w:t>Parse intensive properties and calculate new extensive properties.</w:t>
      </w:r>
    </w:p>
    <w:p w14:paraId="699D2B9B" w14:textId="5C45CAB6" w:rsidR="00485038" w:rsidRPr="00AB324A" w:rsidRDefault="00485038" w:rsidP="00485038">
      <w:pPr>
        <w:shd w:val="clear" w:color="auto" w:fill="FFFFFF"/>
        <w:spacing w:after="165" w:line="330" w:lineRule="atLeast"/>
        <w:rPr>
          <w:rFonts w:ascii="Times New Roman" w:hAnsi="Times New Roman" w:cs="Times New Roman"/>
        </w:rPr>
      </w:pPr>
      <w:r w:rsidRPr="00AB324A">
        <w:rPr>
          <w:rFonts w:ascii="Times New Roman" w:hAnsi="Times New Roman" w:cs="Times New Roman"/>
        </w:rPr>
        <w:t>Each individual system uses the Calculate Substance Transport function to generically complete transport during the Process step</w:t>
      </w:r>
      <w:r w:rsidR="002D122C" w:rsidRPr="00AB324A">
        <w:rPr>
          <w:rFonts w:ascii="Times New Roman" w:hAnsi="Times New Roman" w:cs="Times New Roman"/>
        </w:rPr>
        <w:t>, which is an intermediate compute step between timesteps and after the generic fluid calculations</w:t>
      </w:r>
      <w:r w:rsidRPr="00AB324A">
        <w:rPr>
          <w:rFonts w:ascii="Times New Roman" w:hAnsi="Times New Roman" w:cs="Times New Roman"/>
        </w:rPr>
        <w:t>.</w:t>
      </w:r>
    </w:p>
    <w:p w14:paraId="04CF6C20" w14:textId="1E33FB2F" w:rsidR="00485038" w:rsidRPr="00AB324A" w:rsidRDefault="00EB28B8" w:rsidP="0059104A">
      <w:pPr>
        <w:rPr>
          <w:rFonts w:ascii="Times New Roman" w:hAnsi="Times New Roman" w:cs="Times New Roman"/>
        </w:rPr>
      </w:pPr>
      <w:r w:rsidRPr="00AB324A">
        <w:rPr>
          <w:rFonts w:ascii="Times New Roman" w:hAnsi="Times New Roman" w:cs="Times New Roman"/>
        </w:rPr>
        <w:t xml:space="preserve">In addition to transport, </w:t>
      </w:r>
      <w:proofErr w:type="spellStart"/>
      <w:r w:rsidRPr="00AB324A">
        <w:rPr>
          <w:rFonts w:ascii="Times New Roman" w:hAnsi="Times New Roman" w:cs="Times New Roman"/>
        </w:rPr>
        <w:t>BioGears</w:t>
      </w:r>
      <w:proofErr w:type="spellEnd"/>
      <w:r w:rsidRPr="00AB324A">
        <w:rPr>
          <w:rFonts w:ascii="Times New Roman" w:hAnsi="Times New Roman" w:cs="Times New Roman"/>
        </w:rPr>
        <w:t xml:space="preserve"> implements a generic substance definition to aid in extending the engine for additional substances (additional opiates may be implemented using these definitions)</w:t>
      </w:r>
      <w:r w:rsidR="008710A5" w:rsidRPr="00AB324A">
        <w:rPr>
          <w:rFonts w:ascii="Times New Roman" w:hAnsi="Times New Roman" w:cs="Times New Roman"/>
        </w:rPr>
        <w:t xml:space="preserve">, </w:t>
      </w:r>
      <w:r w:rsidR="00B85A76">
        <w:rPr>
          <w:rFonts w:ascii="Times New Roman" w:hAnsi="Times New Roman" w:cs="Times New Roman"/>
        </w:rPr>
        <w:t>Supplementary Figure 7.</w:t>
      </w:r>
      <w:r w:rsidRPr="00AB324A">
        <w:rPr>
          <w:rFonts w:ascii="Times New Roman" w:hAnsi="Times New Roman" w:cs="Times New Roman"/>
        </w:rPr>
        <w:t xml:space="preserve"> </w:t>
      </w:r>
    </w:p>
    <w:p w14:paraId="1C6AC3D0" w14:textId="46E6D68F" w:rsidR="00EB28B8" w:rsidRPr="00AB324A" w:rsidRDefault="00EB28B8" w:rsidP="0059104A">
      <w:pPr>
        <w:rPr>
          <w:rFonts w:ascii="Times New Roman" w:hAnsi="Times New Roman" w:cs="Times New Roman"/>
        </w:rPr>
      </w:pPr>
    </w:p>
    <w:p w14:paraId="45ABA5E2" w14:textId="77777777" w:rsidR="0041720C" w:rsidRDefault="0041720C" w:rsidP="0041720C"/>
    <w:p w14:paraId="65079814" w14:textId="77777777" w:rsidR="0041720C" w:rsidRPr="0041720C" w:rsidRDefault="0041720C" w:rsidP="00B85A76">
      <w:pPr>
        <w:pStyle w:val="AuthorList"/>
      </w:pPr>
      <w:r w:rsidRPr="0041720C">
        <w:t>Cardiovascular Function</w:t>
      </w:r>
    </w:p>
    <w:p w14:paraId="6F623452" w14:textId="0923E40B" w:rsidR="0041720C" w:rsidRDefault="0041720C" w:rsidP="0041720C">
      <w:r>
        <w:lastRenderedPageBreak/>
        <w:t xml:space="preserve">The cardiovascular model is regulated by the baroreceptors, which work to regulate elastance during a cardiac cycle. Although not affected by the opioid directly the cardiac output is seen to increase for large opiate use scenarios, Supplemental Figure </w:t>
      </w:r>
      <w:r w:rsidR="00B85A76">
        <w:t>3</w:t>
      </w:r>
      <w:r>
        <w:t>. This corresponds to the decrease in blood pressure (seen by the decrease in overall systemic resistance) and the slight reduction in heart rate during the early stages of the fentanyl progression. Cardiac output in the physiology engine is computed to be the stroke volume multiplied by heart rate. Even though the heart rate decreases slightly for high levels of opioid use, the stroke volume increases due to lower blood pressure. Stroke volume and most systemic cardiovascular effects are unchanged for opiate doses below the 1 mg threshold. In addition, as oxygen is depleted due to the respiratory depression, the nervous system adjusts the resistance into the myocardium increase fluid flow into the heart muscle tissue to maintain oxygenation.</w:t>
      </w:r>
    </w:p>
    <w:p w14:paraId="257E0DB3" w14:textId="3253D8C8" w:rsidR="0041720C" w:rsidRDefault="0041720C" w:rsidP="0041720C">
      <w:pPr>
        <w:rPr>
          <w:szCs w:val="24"/>
        </w:rPr>
      </w:pPr>
      <w:r>
        <w:t xml:space="preserve">Fentanyl pharmacodynamics provide some depression to the main drivers of the circulation, namely heart rate and blood pressure. Although small, these changes can be seen for opioid doses over 1 mg, </w:t>
      </w:r>
      <w:r w:rsidR="00B85A76">
        <w:rPr>
          <w:szCs w:val="24"/>
        </w:rPr>
        <w:t>Supplementary Figure 4</w:t>
      </w:r>
      <w:r>
        <w:rPr>
          <w:szCs w:val="24"/>
        </w:rPr>
        <w:t>. As the opiate is cleared in the body and the respiratory depression is reversed with naloxone, the nervous system can compensate for the lack of oxygen in the blood by spiking the heart rate. We note that this increase is moderate and is an artifact of the injury that the patient has just sustained during the overdose episode. Relaxation of the heart and the vascular resistance is seen as the patient fully recovers at the end of the episode.</w:t>
      </w:r>
    </w:p>
    <w:p w14:paraId="6FE052AF" w14:textId="629A902F" w:rsidR="0041720C" w:rsidRPr="00133D71" w:rsidRDefault="0041720C" w:rsidP="0041720C">
      <w:r w:rsidRPr="008209FF">
        <w:rPr>
          <w:szCs w:val="24"/>
        </w:rPr>
        <w:t>Additional cardiovascular markers follow this trend. An increase in output, followed by a relaxation period as respiratory depression is normalized due to the Naloxone treatment. Cardiac output and vascular resistance are two such metrics. The two measurements follow almost mirror image trajectories throughout the treatment period. Cardiac output sees a nearly linear response due to stroke volume and systemic vascular resistance changes. Even though the heart is not beating as frequently, the volume of fluid is increasing due to the resistance changes downstream. Oscillations seen are due to the forcing on the system through the nervous baroreceptor model. Larger oscillations are seen in the higher Fentanyl doses because the work on the system is increasing due to the reduction in oxygen transport in the system.</w:t>
      </w:r>
    </w:p>
    <w:p w14:paraId="532158D9" w14:textId="699F83B8" w:rsidR="00C71B87" w:rsidRDefault="00C71B87">
      <w:pPr>
        <w:rPr>
          <w:rFonts w:ascii="Times New Roman" w:hAnsi="Times New Roman" w:cs="Times New Roman"/>
        </w:rPr>
      </w:pPr>
      <w:r>
        <w:rPr>
          <w:rFonts w:ascii="Times New Roman" w:hAnsi="Times New Roman" w:cs="Times New Roman"/>
        </w:rPr>
        <w:br w:type="page"/>
      </w:r>
    </w:p>
    <w:p w14:paraId="0D4B285B" w14:textId="77777777" w:rsidR="00A768D5" w:rsidRPr="00AB324A" w:rsidRDefault="00A768D5" w:rsidP="00A768D5">
      <w:pPr>
        <w:rPr>
          <w:rFonts w:ascii="Times New Roman" w:hAnsi="Times New Roman" w:cs="Times New Roman"/>
        </w:rPr>
      </w:pPr>
    </w:p>
    <w:p w14:paraId="1757F0D2" w14:textId="6D60CEDC" w:rsidR="00A768D5" w:rsidRPr="00AB324A" w:rsidRDefault="00A768D5" w:rsidP="00A768D5">
      <w:pPr>
        <w:pStyle w:val="Caption"/>
        <w:keepNext/>
        <w:rPr>
          <w:rFonts w:ascii="Times New Roman" w:hAnsi="Times New Roman" w:cs="Times New Roman"/>
        </w:rPr>
      </w:pPr>
      <w:bookmarkStart w:id="0" w:name="_Ref162871291"/>
      <w:r>
        <w:rPr>
          <w:rFonts w:ascii="Times New Roman" w:hAnsi="Times New Roman" w:cs="Times New Roman"/>
        </w:rPr>
        <w:t xml:space="preserve">Supplementary </w:t>
      </w:r>
      <w:r w:rsidRPr="00AB324A">
        <w:rPr>
          <w:rFonts w:ascii="Times New Roman" w:hAnsi="Times New Roman" w:cs="Times New Roman"/>
        </w:rPr>
        <w:t xml:space="preserve">Table </w:t>
      </w:r>
      <w:bookmarkEnd w:id="0"/>
      <w:r>
        <w:rPr>
          <w:rFonts w:ascii="Times New Roman" w:hAnsi="Times New Roman" w:cs="Times New Roman"/>
        </w:rPr>
        <w:t>1</w:t>
      </w:r>
      <w:r w:rsidRPr="00AB324A">
        <w:rPr>
          <w:rFonts w:ascii="Times New Roman" w:hAnsi="Times New Roman" w:cs="Times New Roman"/>
        </w:rPr>
        <w:t xml:space="preserve"> – pharmacodynamic parameters available in the </w:t>
      </w:r>
      <w:proofErr w:type="spellStart"/>
      <w:r w:rsidRPr="00AB324A">
        <w:rPr>
          <w:rFonts w:ascii="Times New Roman" w:hAnsi="Times New Roman" w:cs="Times New Roman"/>
        </w:rPr>
        <w:t>biogears</w:t>
      </w:r>
      <w:proofErr w:type="spellEnd"/>
      <w:r w:rsidRPr="00AB324A">
        <w:rPr>
          <w:rFonts w:ascii="Times New Roman" w:hAnsi="Times New Roman" w:cs="Times New Roman"/>
        </w:rPr>
        <w:t xml:space="preserve"> engine, coupled with their definition.</w:t>
      </w:r>
    </w:p>
    <w:tbl>
      <w:tblPr>
        <w:tblStyle w:val="TableGridLight"/>
        <w:tblW w:w="0" w:type="auto"/>
        <w:tblLook w:val="04A0" w:firstRow="1" w:lastRow="0" w:firstColumn="1" w:lastColumn="0" w:noHBand="0" w:noVBand="1"/>
      </w:tblPr>
      <w:tblGrid>
        <w:gridCol w:w="4675"/>
        <w:gridCol w:w="4675"/>
      </w:tblGrid>
      <w:tr w:rsidR="00A768D5" w:rsidRPr="00AB324A" w14:paraId="6C670DC0" w14:textId="77777777" w:rsidTr="00EE022D">
        <w:tc>
          <w:tcPr>
            <w:tcW w:w="4675" w:type="dxa"/>
          </w:tcPr>
          <w:p w14:paraId="23BE5FE3"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 xml:space="preserve">Effect Name </w:t>
            </w:r>
          </w:p>
        </w:tc>
        <w:tc>
          <w:tcPr>
            <w:tcW w:w="4675" w:type="dxa"/>
          </w:tcPr>
          <w:p w14:paraId="597158C3"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Description</w:t>
            </w:r>
          </w:p>
        </w:tc>
      </w:tr>
      <w:tr w:rsidR="00A768D5" w:rsidRPr="00AB324A" w14:paraId="712E192E" w14:textId="77777777" w:rsidTr="00EE022D">
        <w:tc>
          <w:tcPr>
            <w:tcW w:w="4675" w:type="dxa"/>
          </w:tcPr>
          <w:p w14:paraId="48876195"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Effect Site Rate Constant</w:t>
            </w:r>
          </w:p>
        </w:tc>
        <w:tc>
          <w:tcPr>
            <w:tcW w:w="4675" w:type="dxa"/>
          </w:tcPr>
          <w:p w14:paraId="0CB75B16"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Describes the speed of equilibrium between plasma concentration and site of action of a drug</w:t>
            </w:r>
          </w:p>
        </w:tc>
      </w:tr>
      <w:tr w:rsidR="00A768D5" w:rsidRPr="00AB324A" w14:paraId="6BECF0CF" w14:textId="77777777" w:rsidTr="00EE022D">
        <w:tc>
          <w:tcPr>
            <w:tcW w:w="4675" w:type="dxa"/>
          </w:tcPr>
          <w:p w14:paraId="1088F0C6"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Emax Shape Parameter</w:t>
            </w:r>
          </w:p>
        </w:tc>
        <w:tc>
          <w:tcPr>
            <w:tcW w:w="4675" w:type="dxa"/>
          </w:tcPr>
          <w:p w14:paraId="7089A788"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 xml:space="preserve">Adjusts the sigmoidal response in the </w:t>
            </w:r>
            <w:proofErr w:type="spellStart"/>
            <w:r w:rsidRPr="00AB324A">
              <w:rPr>
                <w:rFonts w:ascii="Times New Roman" w:hAnsi="Times New Roman" w:cs="Times New Roman"/>
              </w:rPr>
              <w:t>deltaE</w:t>
            </w:r>
            <w:proofErr w:type="spellEnd"/>
            <w:r w:rsidRPr="00AB324A">
              <w:rPr>
                <w:rFonts w:ascii="Times New Roman" w:hAnsi="Times New Roman" w:cs="Times New Roman"/>
              </w:rPr>
              <w:t xml:space="preserve"> functional relationship</w:t>
            </w:r>
          </w:p>
        </w:tc>
      </w:tr>
      <w:tr w:rsidR="00A768D5" w:rsidRPr="00AB324A" w14:paraId="10A6FF5F" w14:textId="77777777" w:rsidTr="00EE022D">
        <w:tc>
          <w:tcPr>
            <w:tcW w:w="4675" w:type="dxa"/>
          </w:tcPr>
          <w:p w14:paraId="7BDF1E52"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Antibacterial Effect</w:t>
            </w:r>
          </w:p>
        </w:tc>
        <w:tc>
          <w:tcPr>
            <w:tcW w:w="4675" w:type="dxa"/>
          </w:tcPr>
          <w:p w14:paraId="399B29FF"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The enhancement in the bacterial death rate caused by an antibiotic</w:t>
            </w:r>
          </w:p>
        </w:tc>
      </w:tr>
      <w:tr w:rsidR="00A768D5" w:rsidRPr="00AB324A" w14:paraId="581EB1D2" w14:textId="77777777" w:rsidTr="00EE022D">
        <w:tc>
          <w:tcPr>
            <w:tcW w:w="4675" w:type="dxa"/>
          </w:tcPr>
          <w:p w14:paraId="719F89EB" w14:textId="77777777" w:rsidR="00A768D5" w:rsidRPr="00AB324A" w:rsidRDefault="00A768D5" w:rsidP="00EE022D">
            <w:pPr>
              <w:rPr>
                <w:rFonts w:ascii="Times New Roman" w:hAnsi="Times New Roman" w:cs="Times New Roman"/>
              </w:rPr>
            </w:pPr>
            <w:proofErr w:type="spellStart"/>
            <w:r w:rsidRPr="00AB324A">
              <w:rPr>
                <w:rFonts w:ascii="Times New Roman" w:hAnsi="Times New Roman" w:cs="Times New Roman"/>
              </w:rPr>
              <w:t>Bronchodialation</w:t>
            </w:r>
            <w:proofErr w:type="spellEnd"/>
            <w:r w:rsidRPr="00AB324A">
              <w:rPr>
                <w:rFonts w:ascii="Times New Roman" w:hAnsi="Times New Roman" w:cs="Times New Roman"/>
              </w:rPr>
              <w:t xml:space="preserve"> </w:t>
            </w:r>
          </w:p>
        </w:tc>
        <w:tc>
          <w:tcPr>
            <w:tcW w:w="4675" w:type="dxa"/>
          </w:tcPr>
          <w:p w14:paraId="107AF53C"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 xml:space="preserve">Dilation of the trachea resistance pathway in the respiratory circuit </w:t>
            </w:r>
          </w:p>
        </w:tc>
      </w:tr>
      <w:tr w:rsidR="00A768D5" w:rsidRPr="00AB324A" w14:paraId="2DF585C1" w14:textId="77777777" w:rsidTr="00EE022D">
        <w:tc>
          <w:tcPr>
            <w:tcW w:w="4675" w:type="dxa"/>
          </w:tcPr>
          <w:p w14:paraId="2C98B9E1"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Central Nervous Modifier</w:t>
            </w:r>
          </w:p>
        </w:tc>
        <w:tc>
          <w:tcPr>
            <w:tcW w:w="4675" w:type="dxa"/>
          </w:tcPr>
          <w:p w14:paraId="7A1FB87D"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Drug depressant effect on receptors in the central nervous system directing chemoreceptor action</w:t>
            </w:r>
          </w:p>
        </w:tc>
      </w:tr>
      <w:tr w:rsidR="00A768D5" w:rsidRPr="00AB324A" w14:paraId="1819A3F0" w14:textId="77777777" w:rsidTr="00EE022D">
        <w:tc>
          <w:tcPr>
            <w:tcW w:w="4675" w:type="dxa"/>
          </w:tcPr>
          <w:p w14:paraId="3F18F7C8"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Diastolic Pressure</w:t>
            </w:r>
          </w:p>
        </w:tc>
        <w:tc>
          <w:tcPr>
            <w:tcW w:w="4675" w:type="dxa"/>
          </w:tcPr>
          <w:p w14:paraId="3BE6961D"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 xml:space="preserve">Change in diastolic pressure </w:t>
            </w:r>
          </w:p>
        </w:tc>
      </w:tr>
      <w:tr w:rsidR="00A768D5" w:rsidRPr="00AB324A" w14:paraId="1C1CABD2" w14:textId="77777777" w:rsidTr="00EE022D">
        <w:tc>
          <w:tcPr>
            <w:tcW w:w="4675" w:type="dxa"/>
          </w:tcPr>
          <w:p w14:paraId="2AB2FA04"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Heart Rate</w:t>
            </w:r>
          </w:p>
        </w:tc>
        <w:tc>
          <w:tcPr>
            <w:tcW w:w="4675" w:type="dxa"/>
          </w:tcPr>
          <w:p w14:paraId="2F2E3E66"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 xml:space="preserve">Change in heart rate </w:t>
            </w:r>
          </w:p>
        </w:tc>
      </w:tr>
      <w:tr w:rsidR="00A768D5" w:rsidRPr="00AB324A" w14:paraId="380EA7FB" w14:textId="77777777" w:rsidTr="00EE022D">
        <w:tc>
          <w:tcPr>
            <w:tcW w:w="4675" w:type="dxa"/>
          </w:tcPr>
          <w:p w14:paraId="12F845D3"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Hemorrhage Flow</w:t>
            </w:r>
          </w:p>
        </w:tc>
        <w:tc>
          <w:tcPr>
            <w:tcW w:w="4675" w:type="dxa"/>
          </w:tcPr>
          <w:p w14:paraId="599B5B69"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Change in the hemorrhage bleeding rate (flow to ground from the vascular structure)</w:t>
            </w:r>
          </w:p>
        </w:tc>
      </w:tr>
      <w:tr w:rsidR="00A768D5" w:rsidRPr="00AB324A" w14:paraId="2EFBDCA2" w14:textId="77777777" w:rsidTr="00EE022D">
        <w:tc>
          <w:tcPr>
            <w:tcW w:w="4675" w:type="dxa"/>
          </w:tcPr>
          <w:p w14:paraId="254F240C"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 xml:space="preserve">Neuromuscular Block </w:t>
            </w:r>
          </w:p>
        </w:tc>
        <w:tc>
          <w:tcPr>
            <w:tcW w:w="4675" w:type="dxa"/>
          </w:tcPr>
          <w:p w14:paraId="6826AE5C"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 xml:space="preserve">Effect to cause paralysis </w:t>
            </w:r>
          </w:p>
        </w:tc>
      </w:tr>
      <w:tr w:rsidR="00A768D5" w:rsidRPr="00AB324A" w14:paraId="4D77EB08" w14:textId="77777777" w:rsidTr="00EE022D">
        <w:tc>
          <w:tcPr>
            <w:tcW w:w="4675" w:type="dxa"/>
          </w:tcPr>
          <w:p w14:paraId="0F4C0B32"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Pupil Size Modifier</w:t>
            </w:r>
          </w:p>
        </w:tc>
        <w:tc>
          <w:tcPr>
            <w:tcW w:w="4675" w:type="dxa"/>
          </w:tcPr>
          <w:p w14:paraId="7356368E"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Effect on pupil size</w:t>
            </w:r>
          </w:p>
        </w:tc>
      </w:tr>
      <w:tr w:rsidR="00A768D5" w:rsidRPr="00AB324A" w14:paraId="37ACE0A1" w14:textId="77777777" w:rsidTr="00EE022D">
        <w:tc>
          <w:tcPr>
            <w:tcW w:w="4675" w:type="dxa"/>
          </w:tcPr>
          <w:p w14:paraId="0C807F15"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Pupil Reactivity Modifier</w:t>
            </w:r>
          </w:p>
        </w:tc>
        <w:tc>
          <w:tcPr>
            <w:tcW w:w="4675" w:type="dxa"/>
          </w:tcPr>
          <w:p w14:paraId="3897EEB1"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Effect on reactivity to light</w:t>
            </w:r>
          </w:p>
        </w:tc>
      </w:tr>
      <w:tr w:rsidR="00A768D5" w:rsidRPr="00AB324A" w14:paraId="714166C3" w14:textId="77777777" w:rsidTr="00EE022D">
        <w:tc>
          <w:tcPr>
            <w:tcW w:w="4675" w:type="dxa"/>
          </w:tcPr>
          <w:p w14:paraId="7E3262A4"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Sedation</w:t>
            </w:r>
          </w:p>
        </w:tc>
        <w:tc>
          <w:tcPr>
            <w:tcW w:w="4675" w:type="dxa"/>
          </w:tcPr>
          <w:p w14:paraId="6DFF2BD4"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Effect to cause sedation (during ventilation)</w:t>
            </w:r>
          </w:p>
        </w:tc>
      </w:tr>
      <w:tr w:rsidR="00A768D5" w:rsidRPr="00AB324A" w14:paraId="3B53E16D" w14:textId="77777777" w:rsidTr="00EE022D">
        <w:tc>
          <w:tcPr>
            <w:tcW w:w="4675" w:type="dxa"/>
          </w:tcPr>
          <w:p w14:paraId="751045B1"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Systolic Pressure</w:t>
            </w:r>
          </w:p>
        </w:tc>
        <w:tc>
          <w:tcPr>
            <w:tcW w:w="4675" w:type="dxa"/>
          </w:tcPr>
          <w:p w14:paraId="0C4E8513"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Change in systolic pressure</w:t>
            </w:r>
          </w:p>
        </w:tc>
      </w:tr>
      <w:tr w:rsidR="00A768D5" w:rsidRPr="00AB324A" w14:paraId="38D04172" w14:textId="77777777" w:rsidTr="00EE022D">
        <w:tc>
          <w:tcPr>
            <w:tcW w:w="4675" w:type="dxa"/>
          </w:tcPr>
          <w:p w14:paraId="1BFBDCEE"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Tidal Volume</w:t>
            </w:r>
          </w:p>
        </w:tc>
        <w:tc>
          <w:tcPr>
            <w:tcW w:w="4675" w:type="dxa"/>
          </w:tcPr>
          <w:p w14:paraId="28575122"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 xml:space="preserve">Adjustment to the possible tidal volume the patient can achieve </w:t>
            </w:r>
          </w:p>
        </w:tc>
      </w:tr>
      <w:tr w:rsidR="00A768D5" w:rsidRPr="00AB324A" w14:paraId="60A7FF0F" w14:textId="77777777" w:rsidTr="00EE022D">
        <w:tc>
          <w:tcPr>
            <w:tcW w:w="4675" w:type="dxa"/>
          </w:tcPr>
          <w:p w14:paraId="286B7FD1"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Tubular permeability</w:t>
            </w:r>
          </w:p>
        </w:tc>
        <w:tc>
          <w:tcPr>
            <w:tcW w:w="4675" w:type="dxa"/>
          </w:tcPr>
          <w:p w14:paraId="3F1340C1" w14:textId="77777777" w:rsidR="00A768D5" w:rsidRPr="00AB324A" w:rsidRDefault="00A768D5" w:rsidP="00EE022D">
            <w:pPr>
              <w:rPr>
                <w:rFonts w:ascii="Times New Roman" w:hAnsi="Times New Roman" w:cs="Times New Roman"/>
              </w:rPr>
            </w:pPr>
            <w:r w:rsidRPr="00AB324A">
              <w:rPr>
                <w:rFonts w:ascii="Times New Roman" w:hAnsi="Times New Roman" w:cs="Times New Roman"/>
              </w:rPr>
              <w:t>Localized effect on tubular permeability in the renal system</w:t>
            </w:r>
          </w:p>
        </w:tc>
      </w:tr>
    </w:tbl>
    <w:p w14:paraId="27F0BF36" w14:textId="77777777" w:rsidR="00A768D5" w:rsidRPr="00AB324A" w:rsidRDefault="00A768D5" w:rsidP="00A768D5">
      <w:pPr>
        <w:rPr>
          <w:rFonts w:ascii="Times New Roman" w:hAnsi="Times New Roman" w:cs="Times New Roman"/>
        </w:rPr>
      </w:pPr>
    </w:p>
    <w:p w14:paraId="59E44F82" w14:textId="77777777" w:rsidR="00A768D5" w:rsidRDefault="00A768D5" w:rsidP="00A768D5">
      <w:pPr>
        <w:rPr>
          <w:rFonts w:ascii="Times New Roman" w:hAnsi="Times New Roman" w:cs="Times New Roman"/>
        </w:rPr>
      </w:pPr>
      <w:r>
        <w:rPr>
          <w:rFonts w:ascii="Times New Roman" w:hAnsi="Times New Roman" w:cs="Times New Roman"/>
        </w:rPr>
        <w:br w:type="page"/>
      </w:r>
    </w:p>
    <w:p w14:paraId="1E810765" w14:textId="77777777" w:rsidR="00E13082" w:rsidRDefault="00E13082" w:rsidP="00E13082"/>
    <w:p w14:paraId="57056CEE" w14:textId="5A98F0F4" w:rsidR="00E13082" w:rsidRDefault="00E13082" w:rsidP="00E13082">
      <w:pPr>
        <w:pStyle w:val="Caption"/>
        <w:keepNext/>
      </w:pPr>
      <w:r>
        <w:t xml:space="preserve">Supplementary Table </w:t>
      </w:r>
      <w:r w:rsidR="00A768D5">
        <w:t>2</w:t>
      </w:r>
      <w:r>
        <w:t xml:space="preserve"> - </w:t>
      </w:r>
      <w:r w:rsidRPr="00D97F6C">
        <w:rPr>
          <w:sz w:val="20"/>
          <w:szCs w:val="20"/>
        </w:rPr>
        <w:t xml:space="preserve">Clearance and physiochemical properties of </w:t>
      </w:r>
      <w:r>
        <w:rPr>
          <w:sz w:val="20"/>
          <w:szCs w:val="20"/>
        </w:rPr>
        <w:t>naloxone</w:t>
      </w:r>
      <w:r w:rsidRPr="00D97F6C">
        <w:rPr>
          <w:sz w:val="20"/>
          <w:szCs w:val="20"/>
        </w:rPr>
        <w:t xml:space="preserve">. Some parameters have small deviations from reported literature but are generally within the error deviation reported. Changes are due to matching concentration profiles of </w:t>
      </w:r>
      <w:r>
        <w:rPr>
          <w:sz w:val="20"/>
          <w:szCs w:val="20"/>
        </w:rPr>
        <w:t>naloxone</w:t>
      </w:r>
      <w:r w:rsidRPr="00D97F6C">
        <w:rPr>
          <w:sz w:val="20"/>
          <w:szCs w:val="20"/>
        </w:rPr>
        <w:t xml:space="preserve"> in the blood</w:t>
      </w:r>
      <w:r>
        <w:rPr>
          <w:sz w:val="20"/>
          <w:szCs w:val="20"/>
        </w:rPr>
        <w:t>.</w:t>
      </w:r>
    </w:p>
    <w:tbl>
      <w:tblPr>
        <w:tblStyle w:val="TableGridLight"/>
        <w:tblW w:w="0" w:type="auto"/>
        <w:tblLook w:val="04A0" w:firstRow="1" w:lastRow="0" w:firstColumn="1" w:lastColumn="0" w:noHBand="0" w:noVBand="1"/>
      </w:tblPr>
      <w:tblGrid>
        <w:gridCol w:w="1640"/>
        <w:gridCol w:w="1325"/>
        <w:gridCol w:w="1382"/>
        <w:gridCol w:w="1768"/>
        <w:gridCol w:w="925"/>
        <w:gridCol w:w="2310"/>
      </w:tblGrid>
      <w:tr w:rsidR="00E13082" w:rsidRPr="00D97F6C" w14:paraId="5D6FE946" w14:textId="77777777" w:rsidTr="00EE022D">
        <w:tc>
          <w:tcPr>
            <w:tcW w:w="4347" w:type="dxa"/>
            <w:gridSpan w:val="3"/>
          </w:tcPr>
          <w:p w14:paraId="0630CBFE" w14:textId="77777777" w:rsidR="00E13082" w:rsidRPr="00D97F6C" w:rsidRDefault="00E13082" w:rsidP="00EE022D">
            <w:pPr>
              <w:rPr>
                <w:sz w:val="20"/>
                <w:szCs w:val="20"/>
              </w:rPr>
            </w:pPr>
            <w:r w:rsidRPr="00D97F6C">
              <w:rPr>
                <w:sz w:val="20"/>
                <w:szCs w:val="20"/>
              </w:rPr>
              <w:t>Systemic Clearance Values</w:t>
            </w:r>
          </w:p>
        </w:tc>
        <w:tc>
          <w:tcPr>
            <w:tcW w:w="5003" w:type="dxa"/>
            <w:gridSpan w:val="3"/>
          </w:tcPr>
          <w:p w14:paraId="190E8779" w14:textId="77777777" w:rsidR="00E13082" w:rsidRPr="00D97F6C" w:rsidRDefault="00E13082" w:rsidP="00EE022D">
            <w:pPr>
              <w:rPr>
                <w:sz w:val="20"/>
                <w:szCs w:val="20"/>
              </w:rPr>
            </w:pPr>
            <w:r w:rsidRPr="00D97F6C">
              <w:rPr>
                <w:sz w:val="20"/>
                <w:szCs w:val="20"/>
              </w:rPr>
              <w:t>Physiochemical properties</w:t>
            </w:r>
          </w:p>
        </w:tc>
      </w:tr>
      <w:tr w:rsidR="00E13082" w:rsidRPr="00D97F6C" w14:paraId="22198C71" w14:textId="77777777" w:rsidTr="00EE022D">
        <w:tc>
          <w:tcPr>
            <w:tcW w:w="1640" w:type="dxa"/>
          </w:tcPr>
          <w:p w14:paraId="295504BD" w14:textId="77777777" w:rsidR="00E13082" w:rsidRPr="00D97F6C" w:rsidRDefault="00E13082" w:rsidP="00EE022D">
            <w:pPr>
              <w:rPr>
                <w:sz w:val="20"/>
                <w:szCs w:val="20"/>
              </w:rPr>
            </w:pPr>
            <w:r w:rsidRPr="00D97F6C">
              <w:rPr>
                <w:sz w:val="20"/>
                <w:szCs w:val="20"/>
              </w:rPr>
              <w:t>Name</w:t>
            </w:r>
          </w:p>
        </w:tc>
        <w:tc>
          <w:tcPr>
            <w:tcW w:w="1325" w:type="dxa"/>
          </w:tcPr>
          <w:p w14:paraId="3DA38620" w14:textId="77777777" w:rsidR="00E13082" w:rsidRPr="00D97F6C" w:rsidRDefault="00E13082" w:rsidP="00EE022D">
            <w:pPr>
              <w:rPr>
                <w:b/>
                <w:bCs/>
                <w:sz w:val="20"/>
                <w:szCs w:val="20"/>
              </w:rPr>
            </w:pPr>
            <w:r w:rsidRPr="00D97F6C">
              <w:rPr>
                <w:b/>
                <w:bCs/>
                <w:color w:val="FFFFFF" w:themeColor="background1"/>
                <w:sz w:val="20"/>
                <w:szCs w:val="20"/>
              </w:rPr>
              <w:t>Value (mL/min kg)</w:t>
            </w:r>
          </w:p>
        </w:tc>
        <w:tc>
          <w:tcPr>
            <w:tcW w:w="1382" w:type="dxa"/>
          </w:tcPr>
          <w:p w14:paraId="455D4DB2" w14:textId="77777777" w:rsidR="00E13082" w:rsidRPr="00D97F6C" w:rsidRDefault="00E13082" w:rsidP="00EE022D">
            <w:pPr>
              <w:rPr>
                <w:b/>
                <w:bCs/>
                <w:sz w:val="20"/>
                <w:szCs w:val="20"/>
              </w:rPr>
            </w:pPr>
            <w:r w:rsidRPr="00D97F6C">
              <w:rPr>
                <w:b/>
                <w:bCs/>
                <w:color w:val="FFFFFF" w:themeColor="background1"/>
                <w:sz w:val="20"/>
                <w:szCs w:val="20"/>
              </w:rPr>
              <w:t>Reference</w:t>
            </w:r>
          </w:p>
        </w:tc>
        <w:tc>
          <w:tcPr>
            <w:tcW w:w="1768" w:type="dxa"/>
          </w:tcPr>
          <w:p w14:paraId="277A77DD" w14:textId="77777777" w:rsidR="00E13082" w:rsidRPr="00D97F6C" w:rsidRDefault="00E13082" w:rsidP="00EE022D">
            <w:pPr>
              <w:rPr>
                <w:b/>
                <w:bCs/>
                <w:sz w:val="20"/>
                <w:szCs w:val="20"/>
              </w:rPr>
            </w:pPr>
            <w:r w:rsidRPr="00D97F6C">
              <w:rPr>
                <w:b/>
                <w:bCs/>
                <w:color w:val="FFFFFF" w:themeColor="background1"/>
                <w:sz w:val="20"/>
                <w:szCs w:val="20"/>
              </w:rPr>
              <w:t xml:space="preserve">Name </w:t>
            </w:r>
          </w:p>
        </w:tc>
        <w:tc>
          <w:tcPr>
            <w:tcW w:w="925" w:type="dxa"/>
          </w:tcPr>
          <w:p w14:paraId="205516BB" w14:textId="77777777" w:rsidR="00E13082" w:rsidRPr="00D97F6C" w:rsidRDefault="00E13082" w:rsidP="00EE022D">
            <w:pPr>
              <w:rPr>
                <w:b/>
                <w:bCs/>
                <w:sz w:val="20"/>
                <w:szCs w:val="20"/>
              </w:rPr>
            </w:pPr>
            <w:r w:rsidRPr="00D97F6C">
              <w:rPr>
                <w:b/>
                <w:bCs/>
                <w:color w:val="FFFFFF" w:themeColor="background1"/>
                <w:sz w:val="20"/>
                <w:szCs w:val="20"/>
              </w:rPr>
              <w:t xml:space="preserve">Value </w:t>
            </w:r>
          </w:p>
        </w:tc>
        <w:tc>
          <w:tcPr>
            <w:tcW w:w="2310" w:type="dxa"/>
          </w:tcPr>
          <w:p w14:paraId="7B55B54F" w14:textId="77777777" w:rsidR="00E13082" w:rsidRPr="00D97F6C" w:rsidRDefault="00E13082" w:rsidP="00EE022D">
            <w:pPr>
              <w:rPr>
                <w:b/>
                <w:bCs/>
                <w:sz w:val="20"/>
                <w:szCs w:val="20"/>
              </w:rPr>
            </w:pPr>
            <w:r w:rsidRPr="00D97F6C">
              <w:rPr>
                <w:b/>
                <w:bCs/>
                <w:color w:val="FFFFFF" w:themeColor="background1"/>
                <w:sz w:val="20"/>
                <w:szCs w:val="20"/>
              </w:rPr>
              <w:t>Reference</w:t>
            </w:r>
          </w:p>
        </w:tc>
      </w:tr>
      <w:tr w:rsidR="00E13082" w:rsidRPr="00D97F6C" w14:paraId="1B8163A2" w14:textId="77777777" w:rsidTr="00EE022D">
        <w:tc>
          <w:tcPr>
            <w:tcW w:w="1640" w:type="dxa"/>
          </w:tcPr>
          <w:p w14:paraId="492D7E87" w14:textId="77777777" w:rsidR="00E13082" w:rsidRPr="00D97F6C" w:rsidRDefault="00E13082" w:rsidP="00EE022D">
            <w:pPr>
              <w:rPr>
                <w:sz w:val="20"/>
                <w:szCs w:val="20"/>
              </w:rPr>
            </w:pPr>
            <w:r w:rsidRPr="00D97F6C">
              <w:rPr>
                <w:sz w:val="20"/>
                <w:szCs w:val="20"/>
              </w:rPr>
              <w:t xml:space="preserve">Fraction Unbound </w:t>
            </w:r>
            <w:proofErr w:type="gramStart"/>
            <w:r w:rsidRPr="00D97F6C">
              <w:rPr>
                <w:sz w:val="20"/>
                <w:szCs w:val="20"/>
              </w:rPr>
              <w:t>In</w:t>
            </w:r>
            <w:proofErr w:type="gramEnd"/>
            <w:r w:rsidRPr="00D97F6C">
              <w:rPr>
                <w:sz w:val="20"/>
                <w:szCs w:val="20"/>
              </w:rPr>
              <w:t xml:space="preserve"> Plasma</w:t>
            </w:r>
          </w:p>
        </w:tc>
        <w:tc>
          <w:tcPr>
            <w:tcW w:w="1325" w:type="dxa"/>
          </w:tcPr>
          <w:p w14:paraId="715BD2B6" w14:textId="77777777" w:rsidR="00E13082" w:rsidRPr="00D97F6C" w:rsidRDefault="00E13082" w:rsidP="00EE022D">
            <w:pPr>
              <w:rPr>
                <w:sz w:val="20"/>
                <w:szCs w:val="20"/>
              </w:rPr>
            </w:pPr>
            <w:r w:rsidRPr="00D97F6C">
              <w:rPr>
                <w:sz w:val="20"/>
                <w:szCs w:val="20"/>
              </w:rPr>
              <w:t>0.62</w:t>
            </w:r>
          </w:p>
        </w:tc>
        <w:tc>
          <w:tcPr>
            <w:tcW w:w="1382" w:type="dxa"/>
          </w:tcPr>
          <w:p w14:paraId="6AAF8FDE" w14:textId="77777777" w:rsidR="00E13082" w:rsidRPr="00D97F6C" w:rsidRDefault="00E13082" w:rsidP="00EE022D">
            <w:pPr>
              <w:rPr>
                <w:sz w:val="20"/>
                <w:szCs w:val="20"/>
              </w:rPr>
            </w:pPr>
            <w:r w:rsidRPr="00D97F6C">
              <w:rPr>
                <w:sz w:val="20"/>
                <w:szCs w:val="20"/>
              </w:rPr>
              <w:fldChar w:fldCharType="begin"/>
            </w:r>
            <w:r w:rsidRPr="00D97F6C">
              <w:rPr>
                <w:sz w:val="20"/>
                <w:szCs w:val="20"/>
              </w:rPr>
              <w:instrText xml:space="preserve"> ADDIN ZOTERO_ITEM CSL_CITATION {"citationID":"zdOEn0UF","properties":{"formattedCitation":"(Blanchard et al., 2006)","plainCitation":"(Blanchard et al., 2006)","noteIndex":0},"citationItems":[{"id":743,"uris":["http://zotero.org/users/7027660/items/RZWECZC4"],"itemData":{"id":743,"type":"article-journal","abstract":"Cryopreserved human hepatocytes have been used to predict hepatic in-vivo clearance. Physiologically-based direct scaling methods generally underestimate human in-vivo hepatic clearance. Cryopreserved human hepatocytes were incubated in 100% serum and in serum-free medium to predict the in-vivo hepatic clearance of six compounds (phenazone (antipyrine), bosentan, mibefradil, midazolam, naloxone and oxazepam). Monte Carlo simulations were performed in an attempt to incorporate the variability and uncertainty in the measured parameters to the prediction of hepatic clearance. The intrinsic clearance (CLint) and the associated variability of the six compounds decreased in the presence of serum and the values were reproducible across donors. The predicted CLhep, in-vivo obtained with hepatocytes from donors incubated in serum was more accurate than the prediction obtained in the absence of serum. For example, the CLhep, in-vivo of mibefradil in donor GNG was 4.27 mL min−1 kg−1 in the presence of serum and 0.46 mL min−1 kg−1 in the absence of serum (4.88 mL min−1 kg−1 observed in-vivo). Using the results obtained in this study together with an extended data set (26 compounds), the clearance of 77% of the compounds was predicted within a 2-fold error in the absence of serum. In the presence of serum, 85% of the compounds were successfully predicted within a 2-fold error. In conclusion, cryopreserved human hepatocyte suspensions represented a convenient and predictive model to assess human drug clearance.","container-title":"Journal of Pharmacy and Pharmacology","DOI":"10.1211/jpp.58.5.0008","ISSN":"2042-7158","issue":"5","language":"en","note":"_eprint: https://onlinelibrary.wiley.com/doi/pdf/10.1211/jpp.58.5.0008","page":"633-641","source":"Wiley Online Library","title":"Prediction of hepatic clearance using cryopreserved human hepatocytes: a comparison of serum and serum-free incubations","title-short":"Prediction of hepatic clearance using cryopreserved human hepatocytes","volume":"58","author":[{"family":"Blanchard","given":"Nadège"},{"family":"Hewitt","given":"Nicola J."},{"family":"Silber","given":"Paul"},{"family":"Jones","given":"Hannah"},{"family":"Coassolo","given":"Philippe"},{"family":"Lave","given":"Thierry"}],"issued":{"date-parts":[["2006"]]},"citation-key":"blanchardPredictionHepaticClearance2006"}}],"schema":"https://github.com/citation-style-language/schema/raw/master/csl-citation.json"} </w:instrText>
            </w:r>
            <w:r w:rsidRPr="00D97F6C">
              <w:rPr>
                <w:sz w:val="20"/>
                <w:szCs w:val="20"/>
              </w:rPr>
              <w:fldChar w:fldCharType="separate"/>
            </w:r>
            <w:r w:rsidRPr="00D97F6C">
              <w:rPr>
                <w:rFonts w:cs="Times New Roman"/>
                <w:sz w:val="20"/>
                <w:szCs w:val="20"/>
              </w:rPr>
              <w:t>(Blanchard et al., 2006)</w:t>
            </w:r>
            <w:r w:rsidRPr="00D97F6C">
              <w:rPr>
                <w:sz w:val="20"/>
                <w:szCs w:val="20"/>
              </w:rPr>
              <w:fldChar w:fldCharType="end"/>
            </w:r>
          </w:p>
        </w:tc>
        <w:tc>
          <w:tcPr>
            <w:tcW w:w="1768" w:type="dxa"/>
          </w:tcPr>
          <w:p w14:paraId="6C2F2C4F" w14:textId="77777777" w:rsidR="00E13082" w:rsidRPr="00D97F6C" w:rsidRDefault="00E13082" w:rsidP="00EE022D">
            <w:pPr>
              <w:rPr>
                <w:b/>
                <w:bCs/>
                <w:color w:val="FFFFFF" w:themeColor="background1"/>
                <w:sz w:val="20"/>
                <w:szCs w:val="20"/>
              </w:rPr>
            </w:pPr>
            <w:r w:rsidRPr="00D97F6C">
              <w:rPr>
                <w:b/>
                <w:bCs/>
                <w:color w:val="FFFFFF" w:themeColor="background1"/>
                <w:sz w:val="20"/>
                <w:szCs w:val="20"/>
              </w:rPr>
              <w:t>Acid Dissociation Constant</w:t>
            </w:r>
          </w:p>
        </w:tc>
        <w:tc>
          <w:tcPr>
            <w:tcW w:w="925" w:type="dxa"/>
          </w:tcPr>
          <w:p w14:paraId="68C3CBC8" w14:textId="77777777" w:rsidR="00E13082" w:rsidRPr="00D97F6C" w:rsidRDefault="00E13082" w:rsidP="00EE022D">
            <w:pPr>
              <w:rPr>
                <w:sz w:val="20"/>
                <w:szCs w:val="20"/>
              </w:rPr>
            </w:pPr>
            <w:r w:rsidRPr="00D97F6C">
              <w:rPr>
                <w:sz w:val="20"/>
                <w:szCs w:val="20"/>
              </w:rPr>
              <w:t>7.94</w:t>
            </w:r>
          </w:p>
        </w:tc>
        <w:tc>
          <w:tcPr>
            <w:tcW w:w="2310" w:type="dxa"/>
          </w:tcPr>
          <w:p w14:paraId="3A6DA5E0" w14:textId="77777777" w:rsidR="00E13082" w:rsidRPr="00D97F6C" w:rsidRDefault="00E13082" w:rsidP="00EE022D">
            <w:pPr>
              <w:rPr>
                <w:sz w:val="20"/>
                <w:szCs w:val="20"/>
              </w:rPr>
            </w:pPr>
            <w:r w:rsidRPr="00D97F6C">
              <w:rPr>
                <w:sz w:val="20"/>
                <w:szCs w:val="20"/>
              </w:rPr>
              <w:fldChar w:fldCharType="begin"/>
            </w:r>
            <w:r w:rsidRPr="00D97F6C">
              <w:rPr>
                <w:sz w:val="20"/>
                <w:szCs w:val="20"/>
              </w:rPr>
              <w:instrText xml:space="preserve"> ADDIN ZOTERO_ITEM CSL_CITATION {"citationID":"azzc9ycr","properties":{"formattedCitation":"(PubChem, n.d.)","plainCitation":"(PubChem, n.d.)","noteIndex":0},"citationItems":[{"id":765,"uris":["http://zotero.org/users/7027660/items/XDTRWT8V"],"itemData":{"id":765,"type":"webpage","abstract":"Naloxone | C19H21NO4 | CID 5284596 - structure, chemical names, physical and chemical properties, classification, patents, literature, biological activities, safety/hazards/toxicity information, supplier lists, and more.","language":"en","title":"Naloxone","URL":"https://pubchem.ncbi.nlm.nih.gov/compound/5284596","author":[{"family":"PubChem","given":""}],"accessed":{"date-parts":[["2022",1,26]]},"citation-key":"pubchemNaloxone"}}],"schema":"https://github.com/citation-style-language/schema/raw/master/csl-citation.json"} </w:instrText>
            </w:r>
            <w:r w:rsidRPr="00D97F6C">
              <w:rPr>
                <w:sz w:val="20"/>
                <w:szCs w:val="20"/>
              </w:rPr>
              <w:fldChar w:fldCharType="separate"/>
            </w:r>
            <w:r w:rsidRPr="00D97F6C">
              <w:rPr>
                <w:rFonts w:ascii="Calibri" w:hAnsi="Calibri" w:cs="Calibri"/>
                <w:sz w:val="20"/>
                <w:szCs w:val="20"/>
              </w:rPr>
              <w:t>(PubChem, n.d.)</w:t>
            </w:r>
            <w:r w:rsidRPr="00D97F6C">
              <w:rPr>
                <w:sz w:val="20"/>
                <w:szCs w:val="20"/>
              </w:rPr>
              <w:fldChar w:fldCharType="end"/>
            </w:r>
          </w:p>
        </w:tc>
      </w:tr>
      <w:tr w:rsidR="00E13082" w:rsidRPr="00D97F6C" w14:paraId="7BE3A652" w14:textId="77777777" w:rsidTr="00EE022D">
        <w:tc>
          <w:tcPr>
            <w:tcW w:w="1640" w:type="dxa"/>
          </w:tcPr>
          <w:p w14:paraId="4DD80ED9" w14:textId="77777777" w:rsidR="00E13082" w:rsidRPr="00D97F6C" w:rsidRDefault="00E13082" w:rsidP="00EE022D">
            <w:pPr>
              <w:rPr>
                <w:sz w:val="20"/>
                <w:szCs w:val="20"/>
              </w:rPr>
            </w:pPr>
            <w:r w:rsidRPr="00D97F6C">
              <w:rPr>
                <w:sz w:val="20"/>
                <w:szCs w:val="20"/>
              </w:rPr>
              <w:t>Intrinsic Clearance</w:t>
            </w:r>
          </w:p>
        </w:tc>
        <w:tc>
          <w:tcPr>
            <w:tcW w:w="1325" w:type="dxa"/>
          </w:tcPr>
          <w:p w14:paraId="74BE823B" w14:textId="77777777" w:rsidR="00E13082" w:rsidRPr="00D97F6C" w:rsidRDefault="00E13082" w:rsidP="00EE022D">
            <w:pPr>
              <w:rPr>
                <w:sz w:val="20"/>
                <w:szCs w:val="20"/>
              </w:rPr>
            </w:pPr>
            <w:r w:rsidRPr="00D97F6C">
              <w:rPr>
                <w:sz w:val="20"/>
                <w:szCs w:val="20"/>
              </w:rPr>
              <w:t xml:space="preserve">400 </w:t>
            </w:r>
          </w:p>
        </w:tc>
        <w:tc>
          <w:tcPr>
            <w:tcW w:w="1382" w:type="dxa"/>
          </w:tcPr>
          <w:p w14:paraId="4B9704BF" w14:textId="77777777" w:rsidR="00E13082" w:rsidRPr="00D97F6C" w:rsidRDefault="00E13082" w:rsidP="00EE022D">
            <w:pPr>
              <w:rPr>
                <w:sz w:val="20"/>
                <w:szCs w:val="20"/>
              </w:rPr>
            </w:pPr>
            <w:r w:rsidRPr="00D97F6C">
              <w:rPr>
                <w:sz w:val="20"/>
                <w:szCs w:val="20"/>
              </w:rPr>
              <w:fldChar w:fldCharType="begin"/>
            </w:r>
            <w:r w:rsidRPr="00D97F6C">
              <w:rPr>
                <w:sz w:val="20"/>
                <w:szCs w:val="20"/>
              </w:rPr>
              <w:instrText xml:space="preserve"> ADDIN ZOTERO_ITEM CSL_CITATION {"citationID":"GC8ZmfVH","properties":{"formattedCitation":"(Mistry and Houston, 1987)","plainCitation":"(Mistry and Houston, 1987)","noteIndex":0},"citationItems":[{"id":1610,"uris":["http://zotero.org/users/7027660/items/L7ITJUXF"],"itemData":{"id":1610,"type":"article-journal","abstract":"The glucuronidation of morphine, naloxone, and buprenorphine by the liver and intestine has been assessed both in vitro and in vivo in the rat. Using microsomes, Vmax/Km ratios were estimated as measures of intrinsic enzyme activity, and a wide range of ratios were obtained (500-fold). The ratio for the intestine was consistently less than for the liver, and the rank order of activities within each tissue was morphine less than naloxone less than buprenorphine. Using various routes of administration, plasma concentration-time profiles for each compound were determined and used to estimate hepatic and intestinal extraction ratios. These extraction ratios were dose-independent and more substantial for the liver than the intestine. For each tissue, buprenorphine and naloxone showed similar extraction, whereas morphine was less. Plasma binding and blood/plasma concentration ratios were determined, and perfusion models were used to calculate intrinsic clearance. This in vivo parameter of enzyme activity showed a wide range (200-fold), comparable to the spread of microsomal Vmax/Km ratios. Although the in vivo parameters consistently gave measures 10- to 30-fold higher than the in vitro parameters, the rank order was identical for the two sets. These data suggest that a comparative approach to correlate in vitro and in vivo data has advantages over the use of absolute drug characteristics.","container-title":"Drug Metabolism and Disposition: The Biological Fate of Chemicals","ISSN":"0090-9556","issue":"5","journalAbbreviation":"Drug Metab Dispos","language":"eng","note":"PMID: 2891490","page":"710-717","source":"PubMed","title":"Glucuronidation in vitro and in vivo. Comparison of intestinal and hepatic conjugation of morphine, naloxone, and buprenorphine","volume":"15","author":[{"family":"Mistry","given":"M."},{"family":"Houston","given":"J. B."}],"issued":{"date-parts":[["1987",10]]},"citation-key":"mistryGlucuronidationVitroVivo1987"}}],"schema":"https://github.com/citation-style-language/schema/raw/master/csl-citation.json"} </w:instrText>
            </w:r>
            <w:r w:rsidRPr="00D97F6C">
              <w:rPr>
                <w:sz w:val="20"/>
                <w:szCs w:val="20"/>
              </w:rPr>
              <w:fldChar w:fldCharType="separate"/>
            </w:r>
            <w:r w:rsidRPr="00D97F6C">
              <w:rPr>
                <w:rFonts w:cs="Times New Roman"/>
                <w:sz w:val="20"/>
                <w:szCs w:val="20"/>
              </w:rPr>
              <w:t>(Mistry and Houston, 1987)</w:t>
            </w:r>
            <w:r w:rsidRPr="00D97F6C">
              <w:rPr>
                <w:sz w:val="20"/>
                <w:szCs w:val="20"/>
              </w:rPr>
              <w:fldChar w:fldCharType="end"/>
            </w:r>
          </w:p>
        </w:tc>
        <w:tc>
          <w:tcPr>
            <w:tcW w:w="1768" w:type="dxa"/>
          </w:tcPr>
          <w:p w14:paraId="7B9E0234" w14:textId="77777777" w:rsidR="00E13082" w:rsidRPr="00D97F6C" w:rsidRDefault="00E13082" w:rsidP="00EE022D">
            <w:pPr>
              <w:rPr>
                <w:b/>
                <w:bCs/>
                <w:color w:val="FFFFFF" w:themeColor="background1"/>
                <w:sz w:val="20"/>
                <w:szCs w:val="20"/>
              </w:rPr>
            </w:pPr>
            <w:r w:rsidRPr="00D97F6C">
              <w:rPr>
                <w:b/>
                <w:bCs/>
                <w:color w:val="FFFFFF" w:themeColor="background1"/>
                <w:sz w:val="20"/>
                <w:szCs w:val="20"/>
              </w:rPr>
              <w:t>Binding Protein</w:t>
            </w:r>
          </w:p>
        </w:tc>
        <w:tc>
          <w:tcPr>
            <w:tcW w:w="925" w:type="dxa"/>
          </w:tcPr>
          <w:p w14:paraId="77C77787" w14:textId="77777777" w:rsidR="00E13082" w:rsidRPr="00D97F6C" w:rsidRDefault="00E13082" w:rsidP="00EE022D">
            <w:pPr>
              <w:rPr>
                <w:sz w:val="20"/>
                <w:szCs w:val="20"/>
              </w:rPr>
            </w:pPr>
            <w:r w:rsidRPr="00D97F6C">
              <w:rPr>
                <w:sz w:val="20"/>
                <w:szCs w:val="20"/>
              </w:rPr>
              <w:t>Albumin</w:t>
            </w:r>
          </w:p>
        </w:tc>
        <w:tc>
          <w:tcPr>
            <w:tcW w:w="2310" w:type="dxa"/>
          </w:tcPr>
          <w:p w14:paraId="3A4172F3" w14:textId="77777777" w:rsidR="00E13082" w:rsidRPr="00D97F6C" w:rsidRDefault="00E13082" w:rsidP="00EE022D">
            <w:pPr>
              <w:rPr>
                <w:sz w:val="20"/>
                <w:szCs w:val="20"/>
              </w:rPr>
            </w:pPr>
            <w:r w:rsidRPr="00D97F6C">
              <w:rPr>
                <w:sz w:val="20"/>
                <w:szCs w:val="20"/>
              </w:rPr>
              <w:fldChar w:fldCharType="begin"/>
            </w:r>
            <w:r w:rsidRPr="00D97F6C">
              <w:rPr>
                <w:sz w:val="20"/>
                <w:szCs w:val="20"/>
              </w:rPr>
              <w:instrText xml:space="preserve"> ADDIN ZOTERO_ITEM CSL_CITATION {"citationID":"APlfS6uW","properties":{"formattedCitation":"(PubChem, n.d.)","plainCitation":"(PubChem, n.d.)","noteIndex":0},"citationItems":[{"id":765,"uris":["http://zotero.org/users/7027660/items/XDTRWT8V"],"itemData":{"id":765,"type":"webpage","abstract":"Naloxone | C19H21NO4 | CID 5284596 - structure, chemical names, physical and chemical properties, classification, patents, literature, biological activities, safety/hazards/toxicity information, supplier lists, and more.","language":"en","title":"Naloxone","URL":"https://pubchem.ncbi.nlm.nih.gov/compound/5284596","author":[{"family":"PubChem","given":""}],"accessed":{"date-parts":[["2022",1,26]]},"citation-key":"pubchemNaloxone"}}],"schema":"https://github.com/citation-style-language/schema/raw/master/csl-citation.json"} </w:instrText>
            </w:r>
            <w:r w:rsidRPr="00D97F6C">
              <w:rPr>
                <w:sz w:val="20"/>
                <w:szCs w:val="20"/>
              </w:rPr>
              <w:fldChar w:fldCharType="separate"/>
            </w:r>
            <w:r w:rsidRPr="00D97F6C">
              <w:rPr>
                <w:rFonts w:ascii="Calibri" w:hAnsi="Calibri" w:cs="Calibri"/>
                <w:sz w:val="20"/>
                <w:szCs w:val="20"/>
              </w:rPr>
              <w:t>(PubChem, n.d.)</w:t>
            </w:r>
            <w:r w:rsidRPr="00D97F6C">
              <w:rPr>
                <w:sz w:val="20"/>
                <w:szCs w:val="20"/>
              </w:rPr>
              <w:fldChar w:fldCharType="end"/>
            </w:r>
          </w:p>
        </w:tc>
      </w:tr>
      <w:tr w:rsidR="00E13082" w:rsidRPr="00D97F6C" w14:paraId="35C6FDAE" w14:textId="77777777" w:rsidTr="00EE022D">
        <w:tc>
          <w:tcPr>
            <w:tcW w:w="1640" w:type="dxa"/>
          </w:tcPr>
          <w:p w14:paraId="67709405" w14:textId="77777777" w:rsidR="00E13082" w:rsidRPr="00D97F6C" w:rsidRDefault="00E13082" w:rsidP="00EE022D">
            <w:pPr>
              <w:rPr>
                <w:sz w:val="20"/>
                <w:szCs w:val="20"/>
              </w:rPr>
            </w:pPr>
            <w:r w:rsidRPr="00D97F6C">
              <w:rPr>
                <w:sz w:val="20"/>
                <w:szCs w:val="20"/>
              </w:rPr>
              <w:t>Renal Clearance</w:t>
            </w:r>
          </w:p>
        </w:tc>
        <w:tc>
          <w:tcPr>
            <w:tcW w:w="1325" w:type="dxa"/>
          </w:tcPr>
          <w:p w14:paraId="64EB63F3" w14:textId="77777777" w:rsidR="00E13082" w:rsidRPr="00D97F6C" w:rsidRDefault="00E13082" w:rsidP="00EE022D">
            <w:pPr>
              <w:rPr>
                <w:sz w:val="20"/>
                <w:szCs w:val="20"/>
              </w:rPr>
            </w:pPr>
            <w:r w:rsidRPr="00D97F6C">
              <w:rPr>
                <w:sz w:val="20"/>
                <w:szCs w:val="20"/>
              </w:rPr>
              <w:t>0.5</w:t>
            </w:r>
          </w:p>
        </w:tc>
        <w:tc>
          <w:tcPr>
            <w:tcW w:w="1382" w:type="dxa"/>
          </w:tcPr>
          <w:p w14:paraId="35663CD7" w14:textId="77777777" w:rsidR="00E13082" w:rsidRPr="00D97F6C" w:rsidRDefault="00E13082" w:rsidP="00EE022D">
            <w:pPr>
              <w:rPr>
                <w:sz w:val="20"/>
                <w:szCs w:val="20"/>
              </w:rPr>
            </w:pPr>
            <w:r w:rsidRPr="00D97F6C">
              <w:rPr>
                <w:sz w:val="20"/>
                <w:szCs w:val="20"/>
              </w:rPr>
              <w:t>Computed</w:t>
            </w:r>
          </w:p>
        </w:tc>
        <w:tc>
          <w:tcPr>
            <w:tcW w:w="1768" w:type="dxa"/>
          </w:tcPr>
          <w:p w14:paraId="2E38DC99" w14:textId="77777777" w:rsidR="00E13082" w:rsidRPr="00D97F6C" w:rsidRDefault="00E13082" w:rsidP="00EE022D">
            <w:pPr>
              <w:rPr>
                <w:b/>
                <w:bCs/>
                <w:color w:val="FFFFFF" w:themeColor="background1"/>
                <w:sz w:val="20"/>
                <w:szCs w:val="20"/>
              </w:rPr>
            </w:pPr>
            <w:r w:rsidRPr="00D97F6C">
              <w:rPr>
                <w:b/>
                <w:bCs/>
                <w:color w:val="FFFFFF" w:themeColor="background1"/>
                <w:sz w:val="20"/>
                <w:szCs w:val="20"/>
              </w:rPr>
              <w:t>Blood Plasma Ratio</w:t>
            </w:r>
          </w:p>
        </w:tc>
        <w:tc>
          <w:tcPr>
            <w:tcW w:w="925" w:type="dxa"/>
          </w:tcPr>
          <w:p w14:paraId="5673A0EA" w14:textId="77777777" w:rsidR="00E13082" w:rsidRPr="00D97F6C" w:rsidRDefault="00E13082" w:rsidP="00EE022D">
            <w:pPr>
              <w:rPr>
                <w:sz w:val="20"/>
                <w:szCs w:val="20"/>
              </w:rPr>
            </w:pPr>
            <w:r w:rsidRPr="00D97F6C">
              <w:rPr>
                <w:sz w:val="20"/>
                <w:szCs w:val="20"/>
              </w:rPr>
              <w:t>1.08</w:t>
            </w:r>
          </w:p>
        </w:tc>
        <w:tc>
          <w:tcPr>
            <w:tcW w:w="2310" w:type="dxa"/>
          </w:tcPr>
          <w:p w14:paraId="2CF107DA" w14:textId="77777777" w:rsidR="00E13082" w:rsidRPr="00D97F6C" w:rsidRDefault="00E13082" w:rsidP="00EE022D">
            <w:pPr>
              <w:rPr>
                <w:sz w:val="20"/>
                <w:szCs w:val="20"/>
              </w:rPr>
            </w:pPr>
            <w:r w:rsidRPr="00D97F6C">
              <w:rPr>
                <w:sz w:val="20"/>
                <w:szCs w:val="20"/>
              </w:rPr>
              <w:fldChar w:fldCharType="begin"/>
            </w:r>
            <w:r w:rsidRPr="00D97F6C">
              <w:rPr>
                <w:sz w:val="20"/>
                <w:szCs w:val="20"/>
              </w:rPr>
              <w:instrText xml:space="preserve"> ADDIN ZOTERO_ITEM CSL_CITATION {"citationID":"Iwf1exID","properties":{"formattedCitation":"(Mistry and Houston, 1987)","plainCitation":"(Mistry and Houston, 1987)","noteIndex":0},"citationItems":[{"id":1610,"uris":["http://zotero.org/users/7027660/items/L7ITJUXF"],"itemData":{"id":1610,"type":"article-journal","abstract":"The glucuronidation of morphine, naloxone, and buprenorphine by the liver and intestine has been assessed both in vitro and in vivo in the rat. Using microsomes, Vmax/Km ratios were estimated as measures of intrinsic enzyme activity, and a wide range of ratios were obtained (500-fold). The ratio for the intestine was consistently less than for the liver, and the rank order of activities within each tissue was morphine less than naloxone less than buprenorphine. Using various routes of administration, plasma concentration-time profiles for each compound were determined and used to estimate hepatic and intestinal extraction ratios. These extraction ratios were dose-independent and more substantial for the liver than the intestine. For each tissue, buprenorphine and naloxone showed similar extraction, whereas morphine was less. Plasma binding and blood/plasma concentration ratios were determined, and perfusion models were used to calculate intrinsic clearance. This in vivo parameter of enzyme activity showed a wide range (200-fold), comparable to the spread of microsomal Vmax/Km ratios. Although the in vivo parameters consistently gave measures 10- to 30-fold higher than the in vitro parameters, the rank order was identical for the two sets. These data suggest that a comparative approach to correlate in vitro and in vivo data has advantages over the use of absolute drug characteristics.","container-title":"Drug Metabolism and Disposition: The Biological Fate of Chemicals","ISSN":"0090-9556","issue":"5","journalAbbreviation":"Drug Metab Dispos","language":"eng","note":"PMID: 2891490","page":"710-717","source":"PubMed","title":"Glucuronidation in vitro and in vivo. Comparison of intestinal and hepatic conjugation of morphine, naloxone, and buprenorphine","volume":"15","author":[{"family":"Mistry","given":"M."},{"family":"Houston","given":"J. B."}],"issued":{"date-parts":[["1987",10]]},"citation-key":"mistryGlucuronidationVitroVivo1987"}}],"schema":"https://github.com/citation-style-language/schema/raw/master/csl-citation.json"} </w:instrText>
            </w:r>
            <w:r w:rsidRPr="00D97F6C">
              <w:rPr>
                <w:sz w:val="20"/>
                <w:szCs w:val="20"/>
              </w:rPr>
              <w:fldChar w:fldCharType="separate"/>
            </w:r>
            <w:r w:rsidRPr="00D97F6C">
              <w:rPr>
                <w:rFonts w:cs="Times New Roman"/>
                <w:sz w:val="20"/>
                <w:szCs w:val="20"/>
              </w:rPr>
              <w:t>(Mistry and Houston, 1987)</w:t>
            </w:r>
            <w:r w:rsidRPr="00D97F6C">
              <w:rPr>
                <w:sz w:val="20"/>
                <w:szCs w:val="20"/>
              </w:rPr>
              <w:fldChar w:fldCharType="end"/>
            </w:r>
          </w:p>
        </w:tc>
      </w:tr>
      <w:tr w:rsidR="00E13082" w:rsidRPr="00D97F6C" w14:paraId="50B6C6FC" w14:textId="77777777" w:rsidTr="00EE022D">
        <w:tc>
          <w:tcPr>
            <w:tcW w:w="1640" w:type="dxa"/>
          </w:tcPr>
          <w:p w14:paraId="2DFEBAA1" w14:textId="77777777" w:rsidR="00E13082" w:rsidRPr="00D97F6C" w:rsidRDefault="00E13082" w:rsidP="00EE022D">
            <w:pPr>
              <w:rPr>
                <w:sz w:val="20"/>
                <w:szCs w:val="20"/>
              </w:rPr>
            </w:pPr>
            <w:r w:rsidRPr="00D97F6C">
              <w:rPr>
                <w:sz w:val="20"/>
                <w:szCs w:val="20"/>
              </w:rPr>
              <w:t>Systemic Clearance</w:t>
            </w:r>
          </w:p>
        </w:tc>
        <w:tc>
          <w:tcPr>
            <w:tcW w:w="1325" w:type="dxa"/>
          </w:tcPr>
          <w:p w14:paraId="204A71BB" w14:textId="77777777" w:rsidR="00E13082" w:rsidRPr="00D97F6C" w:rsidRDefault="00E13082" w:rsidP="00EE022D">
            <w:pPr>
              <w:rPr>
                <w:sz w:val="20"/>
                <w:szCs w:val="20"/>
              </w:rPr>
            </w:pPr>
            <w:r w:rsidRPr="00D97F6C">
              <w:rPr>
                <w:sz w:val="20"/>
                <w:szCs w:val="20"/>
              </w:rPr>
              <w:t>27.5</w:t>
            </w:r>
          </w:p>
        </w:tc>
        <w:tc>
          <w:tcPr>
            <w:tcW w:w="1382" w:type="dxa"/>
          </w:tcPr>
          <w:p w14:paraId="62F9D219" w14:textId="77777777" w:rsidR="00E13082" w:rsidRPr="00D97F6C" w:rsidRDefault="00E13082" w:rsidP="00EE022D">
            <w:pPr>
              <w:rPr>
                <w:sz w:val="20"/>
                <w:szCs w:val="20"/>
              </w:rPr>
            </w:pPr>
            <w:r w:rsidRPr="00D97F6C">
              <w:rPr>
                <w:sz w:val="20"/>
                <w:szCs w:val="20"/>
              </w:rPr>
              <w:fldChar w:fldCharType="begin"/>
            </w:r>
            <w:r>
              <w:rPr>
                <w:sz w:val="20"/>
                <w:szCs w:val="20"/>
              </w:rPr>
              <w:instrText xml:space="preserve"> ADDIN ZOTERO_ITEM CSL_CITATION {"citationID":"KV8Z2k5n","properties":{"formattedCitation":"(Ziesenitz et al., 2015a)","plainCitation":"(Ziesenitz et al., 2015a)","noteIndex":0},"citationItems":[{"id":761,"uris":["http://zotero.org/users/7027660/items/IPLU6K88"],"itemData":{"id":761,"type":"article-journal","abstract":"Fentanyl is primarily metabolized by CYP3A, but has also been suggested to act as a weak inhibitor of CYP3A. We investigated the influence of CYP3A inhibition by ketoconazole on the pharmacokinetics of intravenously administered fentanyl and the effect of fentanyl on CYP3A activity. A prospective, open-label, randomized, monocentre, crossover study was conducted in 16 healthy volunteers. They received fentanyl alone (5 microgram per kilogram) or fentanyl plus ketoconazole (200 milligram orally B.I.D. over 2 days). Naloxone (2 × 0.2 milligram i.v.) was given simultaneously with fentanyl to mitigate any opioid effect. Midazolam was administered as a CYP3A probe drug. Fentanyl and its metabolites were quantified by LC/MS/MS in blood and urine samples obtained over 24 hour. Exposure of fentanyl (AUC0-∞) was significantly increased to 133% and systemic clearance was reduced to 78% by ketoconazole, norfentanyl formation was significantly delayed and partial metabolic clearance decreased to 18%. Fentanyl had no influence on midazolam exposure and CYP3A activity whereas ketoconazole decreased CYP3A activity to 13%. Although fentanyl N-dealkylation is substantially inhibited by ketoconazole, exposure of fentanyl itself increased by one third only. Clinically fentanyl dosage adjustments may become necessary when ketoconazole or other strong CYP3A inhibitors are given simultaneously. Fentanyl itself does not influence CYP3A activity.","container-title":"The Journal of Clinical Pharmacology","DOI":"10.1002/jcph.469","ISSN":"1552-4604","issue":"6","language":"en","note":"_eprint: https://accp1.onlinelibrary.wiley.com/doi/pdf/10.1002/jcph.469","page":"708-717","source":"Wiley Online Library","title":"Pharmacokinetic interaction of intravenous fentanyl with ketoconazole","volume":"55","author":[{"family":"Ziesenitz","given":"Victoria C."},{"family":"König","given":"Sonja K."},{"family":"Mahlke","given":"Nina S."},{"family":"Skopp","given":"Gisela"},{"family":"Haefeli","given":"Walter E."},{"family":"Mikus","given":"Gerd"}],"issued":{"date-parts":[["2015"]]},"citation-key":"ziesenitzPharmacokineticInteractionIntravenous2015a"}}],"schema":"https://github.com/citation-style-language/schema/raw/master/csl-citation.json"} </w:instrText>
            </w:r>
            <w:r w:rsidRPr="00D97F6C">
              <w:rPr>
                <w:sz w:val="20"/>
                <w:szCs w:val="20"/>
              </w:rPr>
              <w:fldChar w:fldCharType="separate"/>
            </w:r>
            <w:r w:rsidRPr="00AE6056">
              <w:rPr>
                <w:rFonts w:cs="Times New Roman"/>
                <w:sz w:val="20"/>
              </w:rPr>
              <w:t>(Ziesenitz et al., 2015a)</w:t>
            </w:r>
            <w:r w:rsidRPr="00D97F6C">
              <w:rPr>
                <w:sz w:val="20"/>
                <w:szCs w:val="20"/>
              </w:rPr>
              <w:fldChar w:fldCharType="end"/>
            </w:r>
          </w:p>
        </w:tc>
        <w:tc>
          <w:tcPr>
            <w:tcW w:w="1768" w:type="dxa"/>
          </w:tcPr>
          <w:p w14:paraId="24FDE7A5" w14:textId="77777777" w:rsidR="00E13082" w:rsidRPr="00D97F6C" w:rsidRDefault="00E13082" w:rsidP="00EE022D">
            <w:pPr>
              <w:rPr>
                <w:b/>
                <w:bCs/>
                <w:color w:val="FFFFFF" w:themeColor="background1"/>
                <w:sz w:val="20"/>
                <w:szCs w:val="20"/>
              </w:rPr>
            </w:pPr>
            <w:r w:rsidRPr="00D97F6C">
              <w:rPr>
                <w:b/>
                <w:bCs/>
                <w:color w:val="FFFFFF" w:themeColor="background1"/>
                <w:sz w:val="20"/>
                <w:szCs w:val="20"/>
              </w:rPr>
              <w:t>Ionic State</w:t>
            </w:r>
          </w:p>
        </w:tc>
        <w:tc>
          <w:tcPr>
            <w:tcW w:w="925" w:type="dxa"/>
          </w:tcPr>
          <w:p w14:paraId="3BAC6142" w14:textId="77777777" w:rsidR="00E13082" w:rsidRPr="00D97F6C" w:rsidRDefault="00E13082" w:rsidP="00EE022D">
            <w:pPr>
              <w:rPr>
                <w:sz w:val="20"/>
                <w:szCs w:val="20"/>
              </w:rPr>
            </w:pPr>
            <w:r w:rsidRPr="00D97F6C">
              <w:rPr>
                <w:sz w:val="20"/>
                <w:szCs w:val="20"/>
              </w:rPr>
              <w:t>Weak Base</w:t>
            </w:r>
          </w:p>
        </w:tc>
        <w:tc>
          <w:tcPr>
            <w:tcW w:w="2310" w:type="dxa"/>
          </w:tcPr>
          <w:p w14:paraId="5F1C0348" w14:textId="77777777" w:rsidR="00E13082" w:rsidRPr="00D97F6C" w:rsidRDefault="00E13082" w:rsidP="00EE022D">
            <w:pPr>
              <w:rPr>
                <w:sz w:val="20"/>
                <w:szCs w:val="20"/>
              </w:rPr>
            </w:pPr>
            <w:r w:rsidRPr="00D97F6C">
              <w:rPr>
                <w:sz w:val="20"/>
                <w:szCs w:val="20"/>
              </w:rPr>
              <w:fldChar w:fldCharType="begin"/>
            </w:r>
            <w:r w:rsidRPr="00D97F6C">
              <w:rPr>
                <w:sz w:val="20"/>
                <w:szCs w:val="20"/>
              </w:rPr>
              <w:instrText xml:space="preserve"> ADDIN ZOTERO_ITEM CSL_CITATION {"citationID":"PlmNIcue","properties":{"formattedCitation":"(PubChem, n.d.)","plainCitation":"(PubChem, n.d.)","noteIndex":0},"citationItems":[{"id":765,"uris":["http://zotero.org/users/7027660/items/XDTRWT8V"],"itemData":{"id":765,"type":"webpage","abstract":"Naloxone | C19H21NO4 | CID 5284596 - structure, chemical names, physical and chemical properties, classification, patents, literature, biological activities, safety/hazards/toxicity information, supplier lists, and more.","language":"en","title":"Naloxone","URL":"https://pubchem.ncbi.nlm.nih.gov/compound/5284596","author":[{"family":"PubChem","given":""}],"accessed":{"date-parts":[["2022",1,26]]},"citation-key":"pubchemNaloxone"}}],"schema":"https://github.com/citation-style-language/schema/raw/master/csl-citation.json"} </w:instrText>
            </w:r>
            <w:r w:rsidRPr="00D97F6C">
              <w:rPr>
                <w:sz w:val="20"/>
                <w:szCs w:val="20"/>
              </w:rPr>
              <w:fldChar w:fldCharType="separate"/>
            </w:r>
            <w:r w:rsidRPr="00D97F6C">
              <w:rPr>
                <w:rFonts w:ascii="Calibri" w:hAnsi="Calibri" w:cs="Calibri"/>
                <w:sz w:val="20"/>
                <w:szCs w:val="20"/>
              </w:rPr>
              <w:t>(PubChem, n.d.)</w:t>
            </w:r>
            <w:r w:rsidRPr="00D97F6C">
              <w:rPr>
                <w:sz w:val="20"/>
                <w:szCs w:val="20"/>
              </w:rPr>
              <w:fldChar w:fldCharType="end"/>
            </w:r>
          </w:p>
        </w:tc>
      </w:tr>
      <w:tr w:rsidR="00E13082" w:rsidRPr="00D97F6C" w14:paraId="1CF408C4" w14:textId="77777777" w:rsidTr="00EE022D">
        <w:tc>
          <w:tcPr>
            <w:tcW w:w="1640" w:type="dxa"/>
          </w:tcPr>
          <w:p w14:paraId="0EFC859F" w14:textId="77777777" w:rsidR="00E13082" w:rsidRPr="00D97F6C" w:rsidRDefault="00E13082" w:rsidP="00EE022D">
            <w:pPr>
              <w:rPr>
                <w:sz w:val="20"/>
                <w:szCs w:val="20"/>
              </w:rPr>
            </w:pPr>
          </w:p>
        </w:tc>
        <w:tc>
          <w:tcPr>
            <w:tcW w:w="1325" w:type="dxa"/>
          </w:tcPr>
          <w:p w14:paraId="089ED099" w14:textId="77777777" w:rsidR="00E13082" w:rsidRPr="00D97F6C" w:rsidRDefault="00E13082" w:rsidP="00EE022D">
            <w:pPr>
              <w:rPr>
                <w:sz w:val="20"/>
                <w:szCs w:val="20"/>
              </w:rPr>
            </w:pPr>
          </w:p>
        </w:tc>
        <w:tc>
          <w:tcPr>
            <w:tcW w:w="1382" w:type="dxa"/>
          </w:tcPr>
          <w:p w14:paraId="4FB53B06" w14:textId="77777777" w:rsidR="00E13082" w:rsidRPr="00D97F6C" w:rsidRDefault="00E13082" w:rsidP="00EE022D">
            <w:pPr>
              <w:rPr>
                <w:sz w:val="20"/>
                <w:szCs w:val="20"/>
              </w:rPr>
            </w:pPr>
          </w:p>
        </w:tc>
        <w:tc>
          <w:tcPr>
            <w:tcW w:w="1768" w:type="dxa"/>
          </w:tcPr>
          <w:p w14:paraId="76A62CEB" w14:textId="77777777" w:rsidR="00E13082" w:rsidRPr="00D97F6C" w:rsidRDefault="00E13082" w:rsidP="00EE022D">
            <w:pPr>
              <w:rPr>
                <w:b/>
                <w:bCs/>
                <w:color w:val="FFFFFF" w:themeColor="background1"/>
                <w:sz w:val="20"/>
                <w:szCs w:val="20"/>
              </w:rPr>
            </w:pPr>
            <w:proofErr w:type="spellStart"/>
            <w:r w:rsidRPr="00D97F6C">
              <w:rPr>
                <w:b/>
                <w:bCs/>
                <w:color w:val="FFFFFF" w:themeColor="background1"/>
                <w:sz w:val="20"/>
                <w:szCs w:val="20"/>
              </w:rPr>
              <w:t>LogP</w:t>
            </w:r>
            <w:proofErr w:type="spellEnd"/>
          </w:p>
        </w:tc>
        <w:tc>
          <w:tcPr>
            <w:tcW w:w="925" w:type="dxa"/>
          </w:tcPr>
          <w:p w14:paraId="6016281C" w14:textId="77777777" w:rsidR="00E13082" w:rsidRPr="00D97F6C" w:rsidRDefault="00E13082" w:rsidP="00EE022D">
            <w:pPr>
              <w:rPr>
                <w:sz w:val="20"/>
                <w:szCs w:val="20"/>
              </w:rPr>
            </w:pPr>
            <w:r w:rsidRPr="00D97F6C">
              <w:rPr>
                <w:sz w:val="20"/>
                <w:szCs w:val="20"/>
              </w:rPr>
              <w:t>1.92</w:t>
            </w:r>
          </w:p>
        </w:tc>
        <w:tc>
          <w:tcPr>
            <w:tcW w:w="2310" w:type="dxa"/>
          </w:tcPr>
          <w:p w14:paraId="4D0D9403" w14:textId="77777777" w:rsidR="00E13082" w:rsidRPr="00D97F6C" w:rsidRDefault="00E13082" w:rsidP="00EE022D">
            <w:pPr>
              <w:rPr>
                <w:sz w:val="20"/>
                <w:szCs w:val="20"/>
              </w:rPr>
            </w:pPr>
            <w:r w:rsidRPr="00D97F6C">
              <w:rPr>
                <w:sz w:val="20"/>
                <w:szCs w:val="20"/>
              </w:rPr>
              <w:fldChar w:fldCharType="begin"/>
            </w:r>
            <w:r w:rsidRPr="00D97F6C">
              <w:rPr>
                <w:sz w:val="20"/>
                <w:szCs w:val="20"/>
              </w:rPr>
              <w:instrText xml:space="preserve"> ADDIN ZOTERO_ITEM CSL_CITATION {"citationID":"gRxdPP9u","properties":{"formattedCitation":"(Wermeling, 2013)","plainCitation":"(Wermeling, 2013)","noteIndex":0},"citationItems":[{"id":767,"uris":["http://zotero.org/users/7027660/items/47F4NI29"],"itemData":{"id":767,"type":"article-journal","abstract":"Opioid overdose morbidity and mortality is recognized to have epidemic proportions. Medical and public health agencies are adopting opioid harm reduction strategies to reduce the morbidity and mortality associated with overdose. One strategy developed by emergency medical services and public health agencies is to deliver the opioid antidote naloxone injection intranasally to reverse the effects of opioids. Paramedics have used this route to quickly administer naloxone in a needle-free system and avoiding needlestick injuries and contracting a blood-born pathogen disease such as hepatitis or human immunodeficiency virus. Public health officials advocate broader lay person access since civilians are likely witnesses or first responders to an opioid overdose in a time-acute setting. The barrier to greater use of naloxone is that a suitable and optimized needle-free drug delivery system is unavailable. The scientific basis for design and study of an intranasal naloxone product is described. Lessons from nasal delivery of opioid analgesics are applied to the consideration of naloxone nasal spray.","container-title":"Drug Delivery and Translational Research","DOI":"10.1007/s13346-012-0092-0","ISSN":"2190-3948","issue":"1","journalAbbreviation":"Drug Deliv. and Transl. Res.","language":"en","page":"63-74","source":"Springer Link","title":"A response to the opioid overdose epidemic: naloxone nasal spray","title-short":"A response to the opioid overdose epidemic","volume":"3","author":[{"family":"Wermeling","given":"Daniel P."}],"issued":{"date-parts":[["2013",2,1]]},"citation-key":"wermelingResponseOpioidOverdose2013"}}],"schema":"https://github.com/citation-style-language/schema/raw/master/csl-citation.json"} </w:instrText>
            </w:r>
            <w:r w:rsidRPr="00D97F6C">
              <w:rPr>
                <w:sz w:val="20"/>
                <w:szCs w:val="20"/>
              </w:rPr>
              <w:fldChar w:fldCharType="separate"/>
            </w:r>
            <w:r w:rsidRPr="00D97F6C">
              <w:rPr>
                <w:rFonts w:ascii="Calibri" w:hAnsi="Calibri" w:cs="Calibri"/>
                <w:sz w:val="20"/>
                <w:szCs w:val="20"/>
              </w:rPr>
              <w:t>(Wermeling, 2013)</w:t>
            </w:r>
            <w:r w:rsidRPr="00D97F6C">
              <w:rPr>
                <w:sz w:val="20"/>
                <w:szCs w:val="20"/>
              </w:rPr>
              <w:fldChar w:fldCharType="end"/>
            </w:r>
          </w:p>
        </w:tc>
      </w:tr>
    </w:tbl>
    <w:p w14:paraId="278D0CD3" w14:textId="48D75A26" w:rsidR="00E13082" w:rsidRDefault="00E13082" w:rsidP="0059104A">
      <w:pPr>
        <w:rPr>
          <w:rFonts w:ascii="Times New Roman" w:hAnsi="Times New Roman" w:cs="Times New Roman"/>
        </w:rPr>
      </w:pPr>
    </w:p>
    <w:p w14:paraId="08AA2FC9" w14:textId="77777777" w:rsidR="00E13082" w:rsidRDefault="00E13082">
      <w:pPr>
        <w:rPr>
          <w:rFonts w:ascii="Times New Roman" w:hAnsi="Times New Roman" w:cs="Times New Roman"/>
        </w:rPr>
      </w:pPr>
      <w:r>
        <w:rPr>
          <w:rFonts w:ascii="Times New Roman" w:hAnsi="Times New Roman" w:cs="Times New Roman"/>
        </w:rPr>
        <w:br w:type="page"/>
      </w:r>
    </w:p>
    <w:p w14:paraId="3AE7E273" w14:textId="32CB4022" w:rsidR="00C71B87" w:rsidRDefault="00C71B87"/>
    <w:p w14:paraId="0B7F048B" w14:textId="617BD911" w:rsidR="00C71B87" w:rsidRDefault="00C71B87">
      <w:pPr>
        <w:rPr>
          <w:rFonts w:ascii="Times New Roman" w:hAnsi="Times New Roman" w:cs="Times New Roman"/>
        </w:rPr>
      </w:pPr>
    </w:p>
    <w:p w14:paraId="39CFF2E7" w14:textId="77777777" w:rsidR="00E72F03" w:rsidRDefault="00E72F03" w:rsidP="00E72F03">
      <w:pPr>
        <w:rPr>
          <w:rFonts w:ascii="Times New Roman" w:hAnsi="Times New Roman" w:cs="Times New Roman"/>
        </w:rPr>
      </w:pPr>
    </w:p>
    <w:p w14:paraId="5A0D18E1" w14:textId="179AB6AC" w:rsidR="003557F0" w:rsidRDefault="00605E86" w:rsidP="003557F0">
      <w:pPr>
        <w:pStyle w:val="Caption"/>
        <w:keepNext/>
      </w:pPr>
      <w:r>
        <w:t>S</w:t>
      </w:r>
      <w:r w:rsidR="003557F0">
        <w:t>upplementa</w:t>
      </w:r>
      <w:r w:rsidR="00164828">
        <w:t>ry</w:t>
      </w:r>
      <w:r w:rsidR="003557F0">
        <w:t xml:space="preserve"> Table </w:t>
      </w:r>
      <w:r w:rsidR="00716817">
        <w:t>3</w:t>
      </w:r>
      <w:r w:rsidR="003557F0">
        <w:t xml:space="preserve"> - </w:t>
      </w:r>
      <w:r w:rsidR="003557F0" w:rsidRPr="005F172D">
        <w:rPr>
          <w:color w:val="auto"/>
          <w:sz w:val="20"/>
          <w:szCs w:val="20"/>
        </w:rPr>
        <w:t xml:space="preserve">Kinetic rate parameters used for the nasal administration </w:t>
      </w:r>
      <w:proofErr w:type="gramStart"/>
      <w:r w:rsidR="003557F0" w:rsidRPr="005F172D">
        <w:rPr>
          <w:color w:val="auto"/>
          <w:sz w:val="20"/>
          <w:szCs w:val="20"/>
        </w:rPr>
        <w:t>model</w:t>
      </w:r>
      <w:proofErr w:type="gramEnd"/>
    </w:p>
    <w:tbl>
      <w:tblPr>
        <w:tblStyle w:val="TableGridLight"/>
        <w:tblpPr w:leftFromText="180" w:rightFromText="180" w:vertAnchor="text" w:horzAnchor="margin" w:tblpXSpec="right" w:tblpY="4"/>
        <w:tblW w:w="0" w:type="auto"/>
        <w:tblLook w:val="04A0" w:firstRow="1" w:lastRow="0" w:firstColumn="1" w:lastColumn="0" w:noHBand="0" w:noVBand="1"/>
      </w:tblPr>
      <w:tblGrid>
        <w:gridCol w:w="3235"/>
        <w:gridCol w:w="2610"/>
        <w:gridCol w:w="1620"/>
        <w:gridCol w:w="1862"/>
      </w:tblGrid>
      <w:tr w:rsidR="003557F0" w:rsidRPr="00D97F6C" w14:paraId="35799AE7" w14:textId="77777777" w:rsidTr="00C71B87">
        <w:tc>
          <w:tcPr>
            <w:tcW w:w="3235" w:type="dxa"/>
          </w:tcPr>
          <w:p w14:paraId="7D785BF0" w14:textId="77777777" w:rsidR="003557F0" w:rsidRPr="001E6BC1" w:rsidRDefault="003557F0" w:rsidP="00B45C7C">
            <w:pPr>
              <w:jc w:val="center"/>
              <w:rPr>
                <w:szCs w:val="20"/>
              </w:rPr>
            </w:pPr>
            <w:r w:rsidRPr="001E6BC1">
              <w:rPr>
                <w:szCs w:val="20"/>
              </w:rPr>
              <w:t>Symbol</w:t>
            </w:r>
          </w:p>
        </w:tc>
        <w:tc>
          <w:tcPr>
            <w:tcW w:w="2610" w:type="dxa"/>
          </w:tcPr>
          <w:p w14:paraId="0D6C027F" w14:textId="77777777" w:rsidR="003557F0" w:rsidRPr="001E6BC1" w:rsidRDefault="003557F0" w:rsidP="00B45C7C">
            <w:pPr>
              <w:jc w:val="center"/>
              <w:rPr>
                <w:szCs w:val="20"/>
              </w:rPr>
            </w:pPr>
            <w:r w:rsidRPr="001E6BC1">
              <w:rPr>
                <w:szCs w:val="20"/>
              </w:rPr>
              <w:t>Value</w:t>
            </w:r>
          </w:p>
        </w:tc>
        <w:tc>
          <w:tcPr>
            <w:tcW w:w="1620" w:type="dxa"/>
          </w:tcPr>
          <w:p w14:paraId="03A882CE" w14:textId="77777777" w:rsidR="003557F0" w:rsidRPr="001E6BC1" w:rsidRDefault="003557F0" w:rsidP="00B45C7C">
            <w:pPr>
              <w:jc w:val="center"/>
              <w:rPr>
                <w:szCs w:val="20"/>
              </w:rPr>
            </w:pPr>
            <w:r w:rsidRPr="001E6BC1">
              <w:rPr>
                <w:szCs w:val="20"/>
              </w:rPr>
              <w:t>Symbol</w:t>
            </w:r>
          </w:p>
        </w:tc>
        <w:tc>
          <w:tcPr>
            <w:tcW w:w="1862" w:type="dxa"/>
          </w:tcPr>
          <w:p w14:paraId="72AEC2F1" w14:textId="77777777" w:rsidR="003557F0" w:rsidRPr="001E6BC1" w:rsidRDefault="003557F0" w:rsidP="00B45C7C">
            <w:pPr>
              <w:jc w:val="center"/>
              <w:rPr>
                <w:szCs w:val="20"/>
              </w:rPr>
            </w:pPr>
            <w:r w:rsidRPr="001E6BC1">
              <w:rPr>
                <w:szCs w:val="20"/>
              </w:rPr>
              <w:t>Value</w:t>
            </w:r>
          </w:p>
        </w:tc>
      </w:tr>
      <w:tr w:rsidR="003557F0" w:rsidRPr="00D97F6C" w14:paraId="37F50045" w14:textId="77777777" w:rsidTr="00C71B87">
        <w:tc>
          <w:tcPr>
            <w:tcW w:w="3235" w:type="dxa"/>
          </w:tcPr>
          <w:p w14:paraId="1538536E" w14:textId="77777777" w:rsidR="003557F0" w:rsidRPr="00D97F6C" w:rsidRDefault="003557F0" w:rsidP="00B45C7C">
            <w:pPr>
              <w:jc w:val="center"/>
              <w:rPr>
                <w:szCs w:val="20"/>
                <w:vertAlign w:val="subscript"/>
              </w:rPr>
            </w:pPr>
            <w:r w:rsidRPr="00D97F6C">
              <w:rPr>
                <w:szCs w:val="20"/>
              </w:rPr>
              <w:t>k</w:t>
            </w:r>
            <w:r w:rsidRPr="00D97F6C">
              <w:rPr>
                <w:szCs w:val="20"/>
                <w:vertAlign w:val="subscript"/>
              </w:rPr>
              <w:t>1</w:t>
            </w:r>
          </w:p>
        </w:tc>
        <w:tc>
          <w:tcPr>
            <w:tcW w:w="2610" w:type="dxa"/>
          </w:tcPr>
          <w:p w14:paraId="2CE56FB0" w14:textId="77777777" w:rsidR="003557F0" w:rsidRPr="00D97F6C" w:rsidRDefault="003557F0" w:rsidP="00B45C7C">
            <w:pPr>
              <w:jc w:val="center"/>
              <w:rPr>
                <w:szCs w:val="20"/>
              </w:rPr>
            </w:pPr>
            <w:r w:rsidRPr="00D97F6C">
              <w:rPr>
                <w:szCs w:val="20"/>
              </w:rPr>
              <w:t>0.00001736</w:t>
            </w:r>
          </w:p>
        </w:tc>
        <w:tc>
          <w:tcPr>
            <w:tcW w:w="1620" w:type="dxa"/>
          </w:tcPr>
          <w:p w14:paraId="78FA8CC6" w14:textId="77777777" w:rsidR="003557F0" w:rsidRPr="00D97F6C" w:rsidRDefault="003557F0" w:rsidP="00B45C7C">
            <w:pPr>
              <w:jc w:val="center"/>
              <w:rPr>
                <w:b/>
                <w:bCs/>
                <w:szCs w:val="20"/>
              </w:rPr>
            </w:pPr>
            <w:r w:rsidRPr="00D97F6C">
              <w:rPr>
                <w:b/>
                <w:bCs/>
                <w:szCs w:val="20"/>
              </w:rPr>
              <w:t>k</w:t>
            </w:r>
            <w:r w:rsidRPr="00D97F6C">
              <w:rPr>
                <w:b/>
                <w:bCs/>
                <w:szCs w:val="20"/>
                <w:vertAlign w:val="subscript"/>
              </w:rPr>
              <w:t>9</w:t>
            </w:r>
          </w:p>
        </w:tc>
        <w:tc>
          <w:tcPr>
            <w:tcW w:w="1862" w:type="dxa"/>
          </w:tcPr>
          <w:p w14:paraId="3EF77FF7" w14:textId="77777777" w:rsidR="003557F0" w:rsidRPr="00D97F6C" w:rsidRDefault="003557F0" w:rsidP="00B45C7C">
            <w:pPr>
              <w:jc w:val="center"/>
              <w:rPr>
                <w:szCs w:val="20"/>
              </w:rPr>
            </w:pPr>
            <w:r w:rsidRPr="00D97F6C">
              <w:rPr>
                <w:szCs w:val="20"/>
              </w:rPr>
              <w:t>1000000</w:t>
            </w:r>
          </w:p>
        </w:tc>
      </w:tr>
      <w:tr w:rsidR="001E6BC1" w:rsidRPr="00D97F6C" w14:paraId="6B3BA88A" w14:textId="77777777" w:rsidTr="00C71B87">
        <w:tc>
          <w:tcPr>
            <w:tcW w:w="3235" w:type="dxa"/>
          </w:tcPr>
          <w:p w14:paraId="4D18333A" w14:textId="77777777" w:rsidR="003557F0" w:rsidRPr="00D97F6C" w:rsidRDefault="003557F0" w:rsidP="00B45C7C">
            <w:pPr>
              <w:jc w:val="center"/>
              <w:rPr>
                <w:szCs w:val="20"/>
                <w:vertAlign w:val="subscript"/>
              </w:rPr>
            </w:pPr>
            <w:r w:rsidRPr="00D97F6C">
              <w:rPr>
                <w:szCs w:val="20"/>
              </w:rPr>
              <w:t>k</w:t>
            </w:r>
            <w:r w:rsidRPr="00D97F6C">
              <w:rPr>
                <w:szCs w:val="20"/>
                <w:vertAlign w:val="subscript"/>
              </w:rPr>
              <w:t>2</w:t>
            </w:r>
          </w:p>
        </w:tc>
        <w:tc>
          <w:tcPr>
            <w:tcW w:w="2610" w:type="dxa"/>
          </w:tcPr>
          <w:p w14:paraId="347221F2" w14:textId="77777777" w:rsidR="003557F0" w:rsidRPr="00D97F6C" w:rsidRDefault="003557F0" w:rsidP="00B45C7C">
            <w:pPr>
              <w:jc w:val="center"/>
              <w:rPr>
                <w:szCs w:val="20"/>
              </w:rPr>
            </w:pPr>
            <w:r w:rsidRPr="00D97F6C">
              <w:rPr>
                <w:szCs w:val="20"/>
              </w:rPr>
              <w:t>1000000</w:t>
            </w:r>
          </w:p>
        </w:tc>
        <w:tc>
          <w:tcPr>
            <w:tcW w:w="1620" w:type="dxa"/>
          </w:tcPr>
          <w:p w14:paraId="198D0DA5" w14:textId="77777777" w:rsidR="003557F0" w:rsidRPr="00D97F6C" w:rsidRDefault="003557F0" w:rsidP="00B45C7C">
            <w:pPr>
              <w:jc w:val="center"/>
              <w:rPr>
                <w:b/>
                <w:bCs/>
                <w:szCs w:val="20"/>
              </w:rPr>
            </w:pPr>
            <w:r w:rsidRPr="00D97F6C">
              <w:rPr>
                <w:b/>
                <w:bCs/>
                <w:szCs w:val="20"/>
              </w:rPr>
              <w:t>k</w:t>
            </w:r>
            <w:r w:rsidRPr="00D97F6C">
              <w:rPr>
                <w:b/>
                <w:bCs/>
                <w:szCs w:val="20"/>
                <w:vertAlign w:val="subscript"/>
              </w:rPr>
              <w:t>10</w:t>
            </w:r>
          </w:p>
        </w:tc>
        <w:tc>
          <w:tcPr>
            <w:tcW w:w="1862" w:type="dxa"/>
          </w:tcPr>
          <w:p w14:paraId="5351266B" w14:textId="77777777" w:rsidR="003557F0" w:rsidRPr="00D97F6C" w:rsidRDefault="003557F0" w:rsidP="00B45C7C">
            <w:pPr>
              <w:jc w:val="center"/>
              <w:rPr>
                <w:szCs w:val="20"/>
              </w:rPr>
            </w:pPr>
            <w:r w:rsidRPr="00D97F6C">
              <w:rPr>
                <w:szCs w:val="20"/>
              </w:rPr>
              <w:t>0.000000027</w:t>
            </w:r>
          </w:p>
        </w:tc>
      </w:tr>
      <w:tr w:rsidR="003557F0" w:rsidRPr="00D97F6C" w14:paraId="7ADA08E5" w14:textId="77777777" w:rsidTr="00C71B87">
        <w:tc>
          <w:tcPr>
            <w:tcW w:w="3235" w:type="dxa"/>
          </w:tcPr>
          <w:p w14:paraId="6ABDB5E2" w14:textId="77777777" w:rsidR="003557F0" w:rsidRPr="00D97F6C" w:rsidRDefault="003557F0" w:rsidP="00B45C7C">
            <w:pPr>
              <w:jc w:val="center"/>
              <w:rPr>
                <w:szCs w:val="20"/>
              </w:rPr>
            </w:pPr>
            <w:r w:rsidRPr="00D97F6C">
              <w:rPr>
                <w:szCs w:val="20"/>
              </w:rPr>
              <w:t>k</w:t>
            </w:r>
            <w:r w:rsidRPr="00D97F6C">
              <w:rPr>
                <w:szCs w:val="20"/>
                <w:vertAlign w:val="subscript"/>
              </w:rPr>
              <w:t>3</w:t>
            </w:r>
          </w:p>
        </w:tc>
        <w:tc>
          <w:tcPr>
            <w:tcW w:w="2610" w:type="dxa"/>
          </w:tcPr>
          <w:p w14:paraId="0AF793C5" w14:textId="77777777" w:rsidR="003557F0" w:rsidRPr="00D97F6C" w:rsidRDefault="003557F0" w:rsidP="00B45C7C">
            <w:pPr>
              <w:jc w:val="center"/>
              <w:rPr>
                <w:szCs w:val="20"/>
              </w:rPr>
            </w:pPr>
            <w:r w:rsidRPr="00D97F6C">
              <w:rPr>
                <w:szCs w:val="20"/>
              </w:rPr>
              <w:t>0.00001736</w:t>
            </w:r>
          </w:p>
        </w:tc>
        <w:tc>
          <w:tcPr>
            <w:tcW w:w="1620" w:type="dxa"/>
          </w:tcPr>
          <w:p w14:paraId="56EC98EC" w14:textId="77777777" w:rsidR="003557F0" w:rsidRPr="00D97F6C" w:rsidRDefault="003557F0" w:rsidP="00B45C7C">
            <w:pPr>
              <w:jc w:val="center"/>
              <w:rPr>
                <w:b/>
                <w:bCs/>
                <w:szCs w:val="20"/>
              </w:rPr>
            </w:pPr>
            <w:r w:rsidRPr="00D97F6C">
              <w:rPr>
                <w:b/>
                <w:bCs/>
                <w:szCs w:val="20"/>
              </w:rPr>
              <w:t>k</w:t>
            </w:r>
            <w:r w:rsidRPr="00D97F6C">
              <w:rPr>
                <w:b/>
                <w:bCs/>
                <w:szCs w:val="20"/>
                <w:vertAlign w:val="subscript"/>
              </w:rPr>
              <w:t>11</w:t>
            </w:r>
          </w:p>
        </w:tc>
        <w:tc>
          <w:tcPr>
            <w:tcW w:w="1862" w:type="dxa"/>
          </w:tcPr>
          <w:p w14:paraId="4DB383F4" w14:textId="77777777" w:rsidR="003557F0" w:rsidRPr="00D97F6C" w:rsidRDefault="003557F0" w:rsidP="00B45C7C">
            <w:pPr>
              <w:jc w:val="center"/>
              <w:rPr>
                <w:szCs w:val="20"/>
              </w:rPr>
            </w:pPr>
            <w:r w:rsidRPr="00D97F6C">
              <w:rPr>
                <w:szCs w:val="20"/>
              </w:rPr>
              <w:t>0.00001</w:t>
            </w:r>
          </w:p>
        </w:tc>
      </w:tr>
      <w:tr w:rsidR="001E6BC1" w:rsidRPr="00D97F6C" w14:paraId="71B7D7D0" w14:textId="77777777" w:rsidTr="00C71B87">
        <w:tc>
          <w:tcPr>
            <w:tcW w:w="3235" w:type="dxa"/>
          </w:tcPr>
          <w:p w14:paraId="1994308E" w14:textId="77777777" w:rsidR="003557F0" w:rsidRPr="00D97F6C" w:rsidRDefault="003557F0" w:rsidP="00B45C7C">
            <w:pPr>
              <w:jc w:val="center"/>
              <w:rPr>
                <w:szCs w:val="20"/>
              </w:rPr>
            </w:pPr>
            <w:r w:rsidRPr="00D97F6C">
              <w:rPr>
                <w:szCs w:val="20"/>
              </w:rPr>
              <w:t>k</w:t>
            </w:r>
            <w:r w:rsidRPr="00D97F6C">
              <w:rPr>
                <w:szCs w:val="20"/>
                <w:vertAlign w:val="subscript"/>
              </w:rPr>
              <w:t>4</w:t>
            </w:r>
          </w:p>
        </w:tc>
        <w:tc>
          <w:tcPr>
            <w:tcW w:w="2610" w:type="dxa"/>
          </w:tcPr>
          <w:p w14:paraId="651778B2" w14:textId="77777777" w:rsidR="003557F0" w:rsidRPr="00D97F6C" w:rsidRDefault="003557F0" w:rsidP="00B45C7C">
            <w:pPr>
              <w:jc w:val="center"/>
              <w:rPr>
                <w:szCs w:val="20"/>
              </w:rPr>
            </w:pPr>
            <w:r w:rsidRPr="00D97F6C">
              <w:rPr>
                <w:szCs w:val="20"/>
              </w:rPr>
              <w:t>0.000173</w:t>
            </w:r>
          </w:p>
        </w:tc>
        <w:tc>
          <w:tcPr>
            <w:tcW w:w="1620" w:type="dxa"/>
          </w:tcPr>
          <w:p w14:paraId="507E3EF2" w14:textId="77777777" w:rsidR="003557F0" w:rsidRPr="00D97F6C" w:rsidRDefault="003557F0" w:rsidP="00B45C7C">
            <w:pPr>
              <w:jc w:val="center"/>
              <w:rPr>
                <w:b/>
                <w:bCs/>
                <w:szCs w:val="20"/>
              </w:rPr>
            </w:pPr>
            <w:r w:rsidRPr="00D97F6C">
              <w:rPr>
                <w:b/>
                <w:bCs/>
                <w:szCs w:val="20"/>
              </w:rPr>
              <w:t>k</w:t>
            </w:r>
            <w:r w:rsidRPr="00D97F6C">
              <w:rPr>
                <w:b/>
                <w:bCs/>
                <w:szCs w:val="20"/>
                <w:vertAlign w:val="subscript"/>
              </w:rPr>
              <w:t>12</w:t>
            </w:r>
          </w:p>
        </w:tc>
        <w:tc>
          <w:tcPr>
            <w:tcW w:w="1862" w:type="dxa"/>
          </w:tcPr>
          <w:p w14:paraId="1641B48A" w14:textId="77777777" w:rsidR="003557F0" w:rsidRPr="00D97F6C" w:rsidRDefault="003557F0" w:rsidP="00B45C7C">
            <w:pPr>
              <w:jc w:val="center"/>
              <w:rPr>
                <w:szCs w:val="20"/>
              </w:rPr>
            </w:pPr>
            <w:r w:rsidRPr="00D97F6C">
              <w:rPr>
                <w:szCs w:val="20"/>
              </w:rPr>
              <w:t>0.00001</w:t>
            </w:r>
          </w:p>
        </w:tc>
      </w:tr>
      <w:tr w:rsidR="003557F0" w:rsidRPr="00D97F6C" w14:paraId="420248F8" w14:textId="77777777" w:rsidTr="00C71B87">
        <w:tc>
          <w:tcPr>
            <w:tcW w:w="3235" w:type="dxa"/>
          </w:tcPr>
          <w:p w14:paraId="34DF43EB" w14:textId="77777777" w:rsidR="003557F0" w:rsidRPr="00D97F6C" w:rsidRDefault="003557F0" w:rsidP="00B45C7C">
            <w:pPr>
              <w:jc w:val="center"/>
              <w:rPr>
                <w:szCs w:val="20"/>
              </w:rPr>
            </w:pPr>
            <w:r w:rsidRPr="00D97F6C">
              <w:rPr>
                <w:szCs w:val="20"/>
              </w:rPr>
              <w:t>k</w:t>
            </w:r>
            <w:r w:rsidRPr="00D97F6C">
              <w:rPr>
                <w:szCs w:val="20"/>
                <w:vertAlign w:val="subscript"/>
              </w:rPr>
              <w:t>5</w:t>
            </w:r>
          </w:p>
        </w:tc>
        <w:tc>
          <w:tcPr>
            <w:tcW w:w="2610" w:type="dxa"/>
          </w:tcPr>
          <w:p w14:paraId="743D63DD" w14:textId="77777777" w:rsidR="003557F0" w:rsidRPr="00D97F6C" w:rsidRDefault="003557F0" w:rsidP="00B45C7C">
            <w:pPr>
              <w:jc w:val="center"/>
              <w:rPr>
                <w:szCs w:val="20"/>
              </w:rPr>
            </w:pPr>
            <w:r w:rsidRPr="00D97F6C">
              <w:rPr>
                <w:szCs w:val="20"/>
              </w:rPr>
              <w:t>0.0011575</w:t>
            </w:r>
          </w:p>
        </w:tc>
        <w:tc>
          <w:tcPr>
            <w:tcW w:w="1620" w:type="dxa"/>
          </w:tcPr>
          <w:p w14:paraId="722CF8CA" w14:textId="77777777" w:rsidR="003557F0" w:rsidRPr="00D97F6C" w:rsidRDefault="003557F0" w:rsidP="00B45C7C">
            <w:pPr>
              <w:jc w:val="center"/>
              <w:rPr>
                <w:b/>
                <w:bCs/>
                <w:szCs w:val="20"/>
              </w:rPr>
            </w:pPr>
            <w:r w:rsidRPr="00D97F6C">
              <w:rPr>
                <w:b/>
                <w:bCs/>
                <w:szCs w:val="20"/>
              </w:rPr>
              <w:t>k</w:t>
            </w:r>
            <w:r w:rsidRPr="00D97F6C">
              <w:rPr>
                <w:b/>
                <w:bCs/>
                <w:szCs w:val="20"/>
                <w:vertAlign w:val="subscript"/>
              </w:rPr>
              <w:t>13</w:t>
            </w:r>
          </w:p>
        </w:tc>
        <w:tc>
          <w:tcPr>
            <w:tcW w:w="1862" w:type="dxa"/>
          </w:tcPr>
          <w:p w14:paraId="42513F9D" w14:textId="77777777" w:rsidR="003557F0" w:rsidRPr="00D97F6C" w:rsidRDefault="003557F0" w:rsidP="00B45C7C">
            <w:pPr>
              <w:jc w:val="center"/>
              <w:rPr>
                <w:szCs w:val="20"/>
              </w:rPr>
            </w:pPr>
            <w:r w:rsidRPr="00D97F6C">
              <w:rPr>
                <w:szCs w:val="20"/>
              </w:rPr>
              <w:t>0.00001</w:t>
            </w:r>
          </w:p>
        </w:tc>
      </w:tr>
      <w:tr w:rsidR="001E6BC1" w:rsidRPr="00D97F6C" w14:paraId="4EFD7AE8" w14:textId="77777777" w:rsidTr="00C71B87">
        <w:tc>
          <w:tcPr>
            <w:tcW w:w="3235" w:type="dxa"/>
          </w:tcPr>
          <w:p w14:paraId="6CB63140" w14:textId="77777777" w:rsidR="003557F0" w:rsidRPr="00D97F6C" w:rsidRDefault="003557F0" w:rsidP="00B45C7C">
            <w:pPr>
              <w:jc w:val="center"/>
              <w:rPr>
                <w:szCs w:val="20"/>
              </w:rPr>
            </w:pPr>
            <w:r w:rsidRPr="00D97F6C">
              <w:rPr>
                <w:szCs w:val="20"/>
              </w:rPr>
              <w:t>k</w:t>
            </w:r>
            <w:r w:rsidRPr="00D97F6C">
              <w:rPr>
                <w:szCs w:val="20"/>
                <w:vertAlign w:val="subscript"/>
              </w:rPr>
              <w:t>6</w:t>
            </w:r>
          </w:p>
        </w:tc>
        <w:tc>
          <w:tcPr>
            <w:tcW w:w="2610" w:type="dxa"/>
          </w:tcPr>
          <w:p w14:paraId="248C5851" w14:textId="77777777" w:rsidR="003557F0" w:rsidRPr="00D97F6C" w:rsidRDefault="003557F0" w:rsidP="00B45C7C">
            <w:pPr>
              <w:jc w:val="center"/>
              <w:rPr>
                <w:szCs w:val="20"/>
              </w:rPr>
            </w:pPr>
            <w:r w:rsidRPr="00D97F6C">
              <w:rPr>
                <w:szCs w:val="20"/>
              </w:rPr>
              <w:t>1000000</w:t>
            </w:r>
          </w:p>
        </w:tc>
        <w:tc>
          <w:tcPr>
            <w:tcW w:w="1620" w:type="dxa"/>
          </w:tcPr>
          <w:p w14:paraId="3724DCD7" w14:textId="77777777" w:rsidR="003557F0" w:rsidRPr="00D97F6C" w:rsidRDefault="003557F0" w:rsidP="00B45C7C">
            <w:pPr>
              <w:jc w:val="center"/>
              <w:rPr>
                <w:b/>
                <w:bCs/>
                <w:szCs w:val="20"/>
              </w:rPr>
            </w:pPr>
            <w:r w:rsidRPr="00D97F6C">
              <w:rPr>
                <w:b/>
                <w:bCs/>
                <w:szCs w:val="20"/>
              </w:rPr>
              <w:t>k</w:t>
            </w:r>
            <w:r w:rsidRPr="00D97F6C">
              <w:rPr>
                <w:b/>
                <w:bCs/>
                <w:szCs w:val="20"/>
                <w:vertAlign w:val="subscript"/>
              </w:rPr>
              <w:t>14</w:t>
            </w:r>
          </w:p>
        </w:tc>
        <w:tc>
          <w:tcPr>
            <w:tcW w:w="1862" w:type="dxa"/>
          </w:tcPr>
          <w:p w14:paraId="1C38ED8A" w14:textId="77777777" w:rsidR="003557F0" w:rsidRPr="00D97F6C" w:rsidRDefault="003557F0" w:rsidP="00B45C7C">
            <w:pPr>
              <w:jc w:val="center"/>
              <w:rPr>
                <w:szCs w:val="20"/>
              </w:rPr>
            </w:pPr>
            <w:r w:rsidRPr="00D97F6C">
              <w:rPr>
                <w:szCs w:val="20"/>
              </w:rPr>
              <w:t>0.0000278</w:t>
            </w:r>
          </w:p>
        </w:tc>
      </w:tr>
      <w:tr w:rsidR="001E6BC1" w:rsidRPr="00D97F6C" w14:paraId="25F87CF2" w14:textId="77777777" w:rsidTr="00C71B87">
        <w:trPr>
          <w:trHeight w:val="479"/>
        </w:trPr>
        <w:tc>
          <w:tcPr>
            <w:tcW w:w="3235" w:type="dxa"/>
          </w:tcPr>
          <w:p w14:paraId="6D6103D3" w14:textId="77777777" w:rsidR="003557F0" w:rsidRPr="00D97F6C" w:rsidRDefault="003557F0" w:rsidP="00B45C7C">
            <w:pPr>
              <w:jc w:val="center"/>
              <w:rPr>
                <w:szCs w:val="20"/>
              </w:rPr>
            </w:pPr>
            <w:r w:rsidRPr="00D97F6C">
              <w:rPr>
                <w:szCs w:val="20"/>
              </w:rPr>
              <w:t>k</w:t>
            </w:r>
            <w:r w:rsidRPr="00D97F6C">
              <w:rPr>
                <w:szCs w:val="20"/>
                <w:vertAlign w:val="subscript"/>
              </w:rPr>
              <w:t>7</w:t>
            </w:r>
          </w:p>
        </w:tc>
        <w:tc>
          <w:tcPr>
            <w:tcW w:w="2610" w:type="dxa"/>
          </w:tcPr>
          <w:p w14:paraId="3DDCA4EC" w14:textId="77777777" w:rsidR="003557F0" w:rsidRPr="00D97F6C" w:rsidRDefault="003557F0" w:rsidP="00B45C7C">
            <w:pPr>
              <w:jc w:val="center"/>
              <w:rPr>
                <w:szCs w:val="20"/>
              </w:rPr>
            </w:pPr>
            <w:r w:rsidRPr="00D97F6C">
              <w:rPr>
                <w:szCs w:val="20"/>
              </w:rPr>
              <w:t>0.0011575</w:t>
            </w:r>
          </w:p>
        </w:tc>
        <w:tc>
          <w:tcPr>
            <w:tcW w:w="1620" w:type="dxa"/>
          </w:tcPr>
          <w:p w14:paraId="54AFC188" w14:textId="77777777" w:rsidR="003557F0" w:rsidRPr="00D97F6C" w:rsidRDefault="003557F0" w:rsidP="00B45C7C">
            <w:pPr>
              <w:jc w:val="center"/>
              <w:rPr>
                <w:b/>
                <w:bCs/>
                <w:szCs w:val="20"/>
              </w:rPr>
            </w:pPr>
            <w:r w:rsidRPr="00D97F6C">
              <w:rPr>
                <w:b/>
                <w:bCs/>
                <w:szCs w:val="20"/>
              </w:rPr>
              <w:t>k</w:t>
            </w:r>
            <w:r w:rsidRPr="00D97F6C">
              <w:rPr>
                <w:b/>
                <w:bCs/>
                <w:szCs w:val="20"/>
                <w:vertAlign w:val="subscript"/>
              </w:rPr>
              <w:t>15</w:t>
            </w:r>
          </w:p>
        </w:tc>
        <w:tc>
          <w:tcPr>
            <w:tcW w:w="1862" w:type="dxa"/>
          </w:tcPr>
          <w:p w14:paraId="75A06967" w14:textId="77777777" w:rsidR="003557F0" w:rsidRPr="00D97F6C" w:rsidRDefault="003557F0" w:rsidP="00B45C7C">
            <w:pPr>
              <w:jc w:val="center"/>
              <w:rPr>
                <w:szCs w:val="20"/>
              </w:rPr>
            </w:pPr>
            <w:r w:rsidRPr="00D97F6C">
              <w:rPr>
                <w:szCs w:val="20"/>
              </w:rPr>
              <w:t>0.0000278</w:t>
            </w:r>
          </w:p>
        </w:tc>
      </w:tr>
      <w:tr w:rsidR="001E6BC1" w:rsidRPr="00D97F6C" w14:paraId="1D1A9124" w14:textId="77777777" w:rsidTr="00C71B87">
        <w:tc>
          <w:tcPr>
            <w:tcW w:w="3235" w:type="dxa"/>
          </w:tcPr>
          <w:p w14:paraId="48DE1260" w14:textId="77777777" w:rsidR="003557F0" w:rsidRPr="00D97F6C" w:rsidRDefault="003557F0" w:rsidP="00B45C7C">
            <w:pPr>
              <w:jc w:val="center"/>
              <w:rPr>
                <w:szCs w:val="20"/>
              </w:rPr>
            </w:pPr>
            <w:r w:rsidRPr="00D97F6C">
              <w:rPr>
                <w:szCs w:val="20"/>
              </w:rPr>
              <w:t>k</w:t>
            </w:r>
            <w:r w:rsidRPr="00D97F6C">
              <w:rPr>
                <w:szCs w:val="20"/>
                <w:vertAlign w:val="subscript"/>
              </w:rPr>
              <w:t>8</w:t>
            </w:r>
          </w:p>
        </w:tc>
        <w:tc>
          <w:tcPr>
            <w:tcW w:w="2610" w:type="dxa"/>
          </w:tcPr>
          <w:p w14:paraId="0A73CB23" w14:textId="77777777" w:rsidR="003557F0" w:rsidRPr="00D97F6C" w:rsidRDefault="003557F0" w:rsidP="00B45C7C">
            <w:pPr>
              <w:jc w:val="center"/>
              <w:rPr>
                <w:szCs w:val="20"/>
              </w:rPr>
            </w:pPr>
            <w:r w:rsidRPr="00D97F6C">
              <w:rPr>
                <w:szCs w:val="20"/>
              </w:rPr>
              <w:t>0.0000260</w:t>
            </w:r>
          </w:p>
        </w:tc>
        <w:tc>
          <w:tcPr>
            <w:tcW w:w="1620" w:type="dxa"/>
          </w:tcPr>
          <w:p w14:paraId="1744C486" w14:textId="77777777" w:rsidR="003557F0" w:rsidRPr="00D97F6C" w:rsidRDefault="003557F0" w:rsidP="00B45C7C">
            <w:pPr>
              <w:jc w:val="center"/>
              <w:rPr>
                <w:b/>
                <w:bCs/>
                <w:szCs w:val="20"/>
              </w:rPr>
            </w:pPr>
          </w:p>
        </w:tc>
        <w:tc>
          <w:tcPr>
            <w:tcW w:w="1862" w:type="dxa"/>
          </w:tcPr>
          <w:p w14:paraId="4434151B" w14:textId="77777777" w:rsidR="003557F0" w:rsidRPr="00D97F6C" w:rsidRDefault="003557F0" w:rsidP="00B45C7C">
            <w:pPr>
              <w:jc w:val="center"/>
              <w:rPr>
                <w:szCs w:val="20"/>
              </w:rPr>
            </w:pPr>
          </w:p>
        </w:tc>
      </w:tr>
    </w:tbl>
    <w:p w14:paraId="0AEF27FD" w14:textId="77777777" w:rsidR="003557F0" w:rsidRDefault="003557F0" w:rsidP="00E72F03">
      <w:pPr>
        <w:rPr>
          <w:rFonts w:ascii="Times New Roman" w:hAnsi="Times New Roman" w:cs="Times New Roman"/>
        </w:rPr>
      </w:pPr>
    </w:p>
    <w:p w14:paraId="3DED34AE" w14:textId="77777777" w:rsidR="003557F0" w:rsidRDefault="003557F0" w:rsidP="00E72F03">
      <w:pPr>
        <w:rPr>
          <w:rFonts w:ascii="Times New Roman" w:hAnsi="Times New Roman" w:cs="Times New Roman"/>
        </w:rPr>
      </w:pPr>
    </w:p>
    <w:p w14:paraId="4B0845A0" w14:textId="77777777" w:rsidR="003557F0" w:rsidRDefault="003557F0" w:rsidP="00E72F03">
      <w:pPr>
        <w:rPr>
          <w:rFonts w:ascii="Times New Roman" w:hAnsi="Times New Roman" w:cs="Times New Roman"/>
        </w:rPr>
      </w:pPr>
    </w:p>
    <w:p w14:paraId="6F8CFB4E" w14:textId="3394CB28" w:rsidR="00C71B87" w:rsidRDefault="00C71B87">
      <w:pPr>
        <w:rPr>
          <w:rFonts w:ascii="Times New Roman" w:hAnsi="Times New Roman" w:cs="Times New Roman"/>
        </w:rPr>
      </w:pPr>
      <w:r>
        <w:rPr>
          <w:rFonts w:ascii="Times New Roman" w:hAnsi="Times New Roman" w:cs="Times New Roman"/>
        </w:rPr>
        <w:br w:type="page"/>
      </w:r>
    </w:p>
    <w:p w14:paraId="34326BA7" w14:textId="77777777" w:rsidR="00716817" w:rsidRDefault="00716817" w:rsidP="00716817">
      <w:pPr>
        <w:rPr>
          <w:rFonts w:ascii="Times New Roman" w:hAnsi="Times New Roman" w:cs="Times New Roman"/>
        </w:rPr>
      </w:pPr>
    </w:p>
    <w:p w14:paraId="0D58A416" w14:textId="21CB0F34" w:rsidR="00716817" w:rsidRDefault="00716817" w:rsidP="00716817">
      <w:pPr>
        <w:pStyle w:val="Caption"/>
        <w:keepNext/>
      </w:pPr>
      <w:r>
        <w:t xml:space="preserve">Supplemental Table 4 - </w:t>
      </w:r>
      <w:r w:rsidRPr="008E070F">
        <w:rPr>
          <w:color w:val="auto"/>
          <w:sz w:val="20"/>
        </w:rPr>
        <w:t xml:space="preserve">p-values reported for average </w:t>
      </w:r>
      <w:r>
        <w:rPr>
          <w:color w:val="auto"/>
          <w:sz w:val="20"/>
        </w:rPr>
        <w:t>naloxone</w:t>
      </w:r>
      <w:r w:rsidRPr="008E070F">
        <w:rPr>
          <w:color w:val="auto"/>
          <w:sz w:val="20"/>
        </w:rPr>
        <w:t xml:space="preserve"> dose required between the given </w:t>
      </w:r>
      <w:r>
        <w:rPr>
          <w:color w:val="auto"/>
          <w:sz w:val="20"/>
        </w:rPr>
        <w:t>fentanyl</w:t>
      </w:r>
      <w:r w:rsidRPr="008E070F">
        <w:rPr>
          <w:color w:val="auto"/>
          <w:sz w:val="20"/>
        </w:rPr>
        <w:t xml:space="preserve"> ranges reported. Values calculated via the </w:t>
      </w:r>
      <w:proofErr w:type="spellStart"/>
      <w:r w:rsidRPr="008E070F">
        <w:rPr>
          <w:color w:val="auto"/>
          <w:sz w:val="20"/>
        </w:rPr>
        <w:t>medcalc</w:t>
      </w:r>
      <w:proofErr w:type="spellEnd"/>
      <w:r w:rsidRPr="008E070F">
        <w:rPr>
          <w:color w:val="auto"/>
          <w:sz w:val="20"/>
        </w:rPr>
        <w:t xml:space="preserve"> online utility.</w:t>
      </w:r>
    </w:p>
    <w:tbl>
      <w:tblPr>
        <w:tblStyle w:val="TableGridLight"/>
        <w:tblpPr w:leftFromText="180" w:rightFromText="180" w:vertAnchor="text" w:horzAnchor="page" w:tblpX="1344" w:tblpY="317"/>
        <w:tblW w:w="0" w:type="auto"/>
        <w:tblLook w:val="04A0" w:firstRow="1" w:lastRow="0" w:firstColumn="1" w:lastColumn="0" w:noHBand="0" w:noVBand="1"/>
      </w:tblPr>
      <w:tblGrid>
        <w:gridCol w:w="7333"/>
        <w:gridCol w:w="1830"/>
      </w:tblGrid>
      <w:tr w:rsidR="00716817" w:rsidRPr="00AD7D73" w14:paraId="2791DEEE" w14:textId="77777777" w:rsidTr="00EE022D">
        <w:trPr>
          <w:trHeight w:val="986"/>
        </w:trPr>
        <w:tc>
          <w:tcPr>
            <w:tcW w:w="7333" w:type="dxa"/>
          </w:tcPr>
          <w:p w14:paraId="1C9B9F3C" w14:textId="77777777" w:rsidR="00716817" w:rsidRPr="001E6BC1" w:rsidRDefault="00716817" w:rsidP="00EE022D">
            <w:pPr>
              <w:rPr>
                <w:szCs w:val="20"/>
              </w:rPr>
            </w:pPr>
            <w:r w:rsidRPr="001E6BC1">
              <w:rPr>
                <w:szCs w:val="20"/>
              </w:rPr>
              <w:t>Fentanyl Range Comparison</w:t>
            </w:r>
          </w:p>
        </w:tc>
        <w:tc>
          <w:tcPr>
            <w:tcW w:w="1830" w:type="dxa"/>
          </w:tcPr>
          <w:p w14:paraId="19387FF7" w14:textId="77777777" w:rsidR="00716817" w:rsidRPr="001E6BC1" w:rsidRDefault="00716817" w:rsidP="00EE022D">
            <w:pPr>
              <w:rPr>
                <w:szCs w:val="20"/>
              </w:rPr>
            </w:pPr>
            <w:r w:rsidRPr="001E6BC1">
              <w:rPr>
                <w:szCs w:val="20"/>
              </w:rPr>
              <w:t>p-value</w:t>
            </w:r>
          </w:p>
        </w:tc>
      </w:tr>
      <w:tr w:rsidR="00716817" w:rsidRPr="00AD7D73" w14:paraId="33F6A369" w14:textId="77777777" w:rsidTr="00EE022D">
        <w:trPr>
          <w:trHeight w:val="427"/>
        </w:trPr>
        <w:tc>
          <w:tcPr>
            <w:tcW w:w="7333" w:type="dxa"/>
          </w:tcPr>
          <w:p w14:paraId="22220CC8" w14:textId="77777777" w:rsidR="00716817" w:rsidRPr="00AD7D73" w:rsidRDefault="00716817" w:rsidP="00EE022D">
            <w:pPr>
              <w:rPr>
                <w:szCs w:val="20"/>
              </w:rPr>
            </w:pPr>
            <w:r w:rsidRPr="00AD7D73">
              <w:rPr>
                <w:szCs w:val="20"/>
              </w:rPr>
              <w:t>0.2-0.7 v 0.8-1.3</w:t>
            </w:r>
          </w:p>
        </w:tc>
        <w:tc>
          <w:tcPr>
            <w:tcW w:w="1830" w:type="dxa"/>
          </w:tcPr>
          <w:p w14:paraId="0F51109A" w14:textId="77777777" w:rsidR="00716817" w:rsidRPr="00AD7D73" w:rsidRDefault="00716817" w:rsidP="00EE022D">
            <w:pPr>
              <w:rPr>
                <w:szCs w:val="20"/>
              </w:rPr>
            </w:pPr>
            <w:r w:rsidRPr="00AD7D73">
              <w:rPr>
                <w:szCs w:val="20"/>
              </w:rPr>
              <w:t>0.0006</w:t>
            </w:r>
          </w:p>
        </w:tc>
      </w:tr>
      <w:tr w:rsidR="00716817" w:rsidRPr="00AD7D73" w14:paraId="6E00B126" w14:textId="77777777" w:rsidTr="00EE022D">
        <w:trPr>
          <w:trHeight w:val="528"/>
        </w:trPr>
        <w:tc>
          <w:tcPr>
            <w:tcW w:w="7333" w:type="dxa"/>
          </w:tcPr>
          <w:p w14:paraId="17E7C738" w14:textId="77777777" w:rsidR="00716817" w:rsidRPr="00AD7D73" w:rsidRDefault="00716817" w:rsidP="00EE022D">
            <w:pPr>
              <w:rPr>
                <w:szCs w:val="20"/>
              </w:rPr>
            </w:pPr>
            <w:r w:rsidRPr="00AD7D73">
              <w:rPr>
                <w:szCs w:val="20"/>
              </w:rPr>
              <w:t>0.8-1.3 v 1.4-1.9</w:t>
            </w:r>
          </w:p>
        </w:tc>
        <w:tc>
          <w:tcPr>
            <w:tcW w:w="1830" w:type="dxa"/>
          </w:tcPr>
          <w:p w14:paraId="31D25B2E" w14:textId="77777777" w:rsidR="00716817" w:rsidRPr="00AD7D73" w:rsidRDefault="00716817" w:rsidP="00EE022D">
            <w:pPr>
              <w:rPr>
                <w:szCs w:val="20"/>
              </w:rPr>
            </w:pPr>
            <w:r w:rsidRPr="00AD7D73">
              <w:rPr>
                <w:szCs w:val="20"/>
              </w:rPr>
              <w:t>0.0018</w:t>
            </w:r>
          </w:p>
        </w:tc>
      </w:tr>
    </w:tbl>
    <w:p w14:paraId="2B98FCE9" w14:textId="77777777" w:rsidR="00716817" w:rsidRDefault="00716817" w:rsidP="00716817">
      <w:pPr>
        <w:rPr>
          <w:rFonts w:ascii="Times New Roman" w:hAnsi="Times New Roman" w:cs="Times New Roman"/>
        </w:rPr>
      </w:pPr>
    </w:p>
    <w:p w14:paraId="272B4519" w14:textId="77777777" w:rsidR="00716817" w:rsidRDefault="00716817" w:rsidP="00716817">
      <w:pPr>
        <w:rPr>
          <w:rFonts w:ascii="Times New Roman" w:hAnsi="Times New Roman" w:cs="Times New Roman"/>
        </w:rPr>
      </w:pPr>
    </w:p>
    <w:p w14:paraId="42068A60" w14:textId="77777777" w:rsidR="00716817" w:rsidRDefault="00716817" w:rsidP="00716817">
      <w:pPr>
        <w:rPr>
          <w:rFonts w:ascii="Times New Roman" w:hAnsi="Times New Roman" w:cs="Times New Roman"/>
        </w:rPr>
      </w:pPr>
      <w:r>
        <w:rPr>
          <w:rFonts w:ascii="Times New Roman" w:hAnsi="Times New Roman" w:cs="Times New Roman"/>
        </w:rPr>
        <w:br w:type="page"/>
      </w:r>
    </w:p>
    <w:tbl>
      <w:tblPr>
        <w:tblStyle w:val="TableGrid"/>
        <w:tblpPr w:leftFromText="180" w:rightFromText="180" w:vertAnchor="text" w:horzAnchor="margin" w:tblpY="358"/>
        <w:tblW w:w="0" w:type="auto"/>
        <w:tblLook w:val="04A0" w:firstRow="1" w:lastRow="0" w:firstColumn="1" w:lastColumn="0" w:noHBand="0" w:noVBand="1"/>
      </w:tblPr>
      <w:tblGrid>
        <w:gridCol w:w="9350"/>
      </w:tblGrid>
      <w:tr w:rsidR="00E46377" w14:paraId="1F9C105F" w14:textId="77777777" w:rsidTr="00EE022D">
        <w:tc>
          <w:tcPr>
            <w:tcW w:w="9767" w:type="dxa"/>
          </w:tcPr>
          <w:p w14:paraId="2AD09976" w14:textId="77777777" w:rsidR="00E46377" w:rsidRDefault="00E46377" w:rsidP="00EE022D">
            <w:pPr>
              <w:keepNext/>
            </w:pPr>
            <w:r>
              <w:rPr>
                <w:noProof/>
              </w:rPr>
              <w:lastRenderedPageBreak/>
              <w:drawing>
                <wp:inline distT="0" distB="0" distL="0" distR="0" wp14:anchorId="188E740C" wp14:editId="2C06A2F0">
                  <wp:extent cx="6137069" cy="652577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60389" cy="6550575"/>
                          </a:xfrm>
                          <a:prstGeom prst="rect">
                            <a:avLst/>
                          </a:prstGeom>
                          <a:noFill/>
                          <a:ln>
                            <a:noFill/>
                          </a:ln>
                        </pic:spPr>
                      </pic:pic>
                    </a:graphicData>
                  </a:graphic>
                </wp:inline>
              </w:drawing>
            </w:r>
          </w:p>
        </w:tc>
      </w:tr>
      <w:tr w:rsidR="00E46377" w14:paraId="6F6BE072" w14:textId="77777777" w:rsidTr="00EE022D">
        <w:tc>
          <w:tcPr>
            <w:tcW w:w="9767" w:type="dxa"/>
          </w:tcPr>
          <w:p w14:paraId="412CD172" w14:textId="0D5D3736" w:rsidR="00E46377" w:rsidRDefault="00E46377" w:rsidP="00EE022D">
            <w:pPr>
              <w:pStyle w:val="Caption"/>
            </w:pPr>
            <w:bookmarkStart w:id="1" w:name="_Ref132029099"/>
            <w:r>
              <w:rPr>
                <w:sz w:val="20"/>
                <w:szCs w:val="20"/>
              </w:rPr>
              <w:t xml:space="preserve">Supplementary </w:t>
            </w:r>
            <w:r w:rsidRPr="00D97F6C">
              <w:rPr>
                <w:sz w:val="20"/>
                <w:szCs w:val="20"/>
              </w:rPr>
              <w:t xml:space="preserve">Figure </w:t>
            </w:r>
            <w:bookmarkEnd w:id="1"/>
            <w:r>
              <w:rPr>
                <w:sz w:val="20"/>
                <w:szCs w:val="20"/>
              </w:rPr>
              <w:t>1</w:t>
            </w:r>
            <w:r w:rsidRPr="00D97F6C">
              <w:rPr>
                <w:sz w:val="20"/>
                <w:szCs w:val="20"/>
              </w:rPr>
              <w:t xml:space="preserve"> – Circuit diagram of the </w:t>
            </w:r>
            <w:proofErr w:type="spellStart"/>
            <w:r w:rsidRPr="00D97F6C">
              <w:rPr>
                <w:sz w:val="20"/>
                <w:szCs w:val="20"/>
              </w:rPr>
              <w:t>BioGears</w:t>
            </w:r>
            <w:proofErr w:type="spellEnd"/>
            <w:r w:rsidRPr="00D97F6C">
              <w:rPr>
                <w:sz w:val="20"/>
                <w:szCs w:val="20"/>
              </w:rPr>
              <w:t xml:space="preserve"> circulatory system. The additional boxes denote broken out circuit structure for each of the noted biological system, the renal, tissue, and respiratory (gas) systems have their own separate circuits that connect to the vasculature through various junctions not shown here.</w:t>
            </w:r>
          </w:p>
        </w:tc>
      </w:tr>
    </w:tbl>
    <w:p w14:paraId="263B5DE5" w14:textId="60C8325F" w:rsidR="00C71B87" w:rsidRDefault="00C71B87">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247E30" w14:paraId="542F7C34" w14:textId="77777777" w:rsidTr="00EE022D">
        <w:trPr>
          <w:trHeight w:val="5818"/>
        </w:trPr>
        <w:tc>
          <w:tcPr>
            <w:tcW w:w="7105" w:type="dxa"/>
          </w:tcPr>
          <w:p w14:paraId="51200368" w14:textId="77777777" w:rsidR="00247E30" w:rsidRDefault="00247E30" w:rsidP="00EE022D">
            <w:pPr>
              <w:keepNext/>
              <w:jc w:val="center"/>
            </w:pPr>
            <w:r>
              <w:rPr>
                <w:noProof/>
              </w:rPr>
              <w:lastRenderedPageBreak/>
              <w:drawing>
                <wp:inline distT="0" distB="0" distL="0" distR="0" wp14:anchorId="6C563F37" wp14:editId="43C40635">
                  <wp:extent cx="5826569" cy="3566167"/>
                  <wp:effectExtent l="0" t="0" r="3175" b="0"/>
                  <wp:docPr id="1"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different colored line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26569" cy="3566167"/>
                          </a:xfrm>
                          <a:prstGeom prst="rect">
                            <a:avLst/>
                          </a:prstGeom>
                        </pic:spPr>
                      </pic:pic>
                    </a:graphicData>
                  </a:graphic>
                </wp:inline>
              </w:drawing>
            </w:r>
          </w:p>
        </w:tc>
      </w:tr>
      <w:tr w:rsidR="00247E30" w14:paraId="30EE23EA" w14:textId="77777777" w:rsidTr="00EE022D">
        <w:trPr>
          <w:trHeight w:val="670"/>
        </w:trPr>
        <w:tc>
          <w:tcPr>
            <w:tcW w:w="7105" w:type="dxa"/>
          </w:tcPr>
          <w:p w14:paraId="3CBCC569" w14:textId="63E111FB" w:rsidR="00247E30" w:rsidRPr="00B96518" w:rsidRDefault="00247E30" w:rsidP="00EE022D">
            <w:pPr>
              <w:pStyle w:val="Caption"/>
              <w:rPr>
                <w:rFonts w:ascii="Times New Roman" w:hAnsi="Times New Roman" w:cs="Times New Roman"/>
              </w:rPr>
            </w:pPr>
            <w:r>
              <w:t xml:space="preserve">Supplementary Figure </w:t>
            </w:r>
            <w:r w:rsidR="00E46377">
              <w:t>2</w:t>
            </w:r>
            <w:r w:rsidRPr="00D45415">
              <w:rPr>
                <w:sz w:val="20"/>
                <w:szCs w:val="20"/>
              </w:rPr>
              <w:t xml:space="preserve">– 6-hour simulation of </w:t>
            </w:r>
            <w:r>
              <w:rPr>
                <w:sz w:val="20"/>
                <w:szCs w:val="20"/>
              </w:rPr>
              <w:t>naloxone</w:t>
            </w:r>
            <w:r w:rsidRPr="00D45415">
              <w:rPr>
                <w:sz w:val="20"/>
                <w:szCs w:val="20"/>
              </w:rPr>
              <w:t xml:space="preserve"> for 16 mg (orange) and 8 mg (blue) metered nasal spray doses. 16 mg simulated data clearly overshoots the peak profile of the experimental data. Both simulations match the early onset growth and long-term dynamics well.</w:t>
            </w:r>
          </w:p>
        </w:tc>
      </w:tr>
    </w:tbl>
    <w:p w14:paraId="3AE48886" w14:textId="77777777" w:rsidR="00247E30" w:rsidRDefault="00247E30" w:rsidP="00247E30">
      <w:pPr>
        <w:rPr>
          <w:rFonts w:ascii="Times New Roman" w:hAnsi="Times New Roman" w:cs="Times New Roman"/>
        </w:rPr>
      </w:pPr>
    </w:p>
    <w:p w14:paraId="37BFB8C4" w14:textId="77777777" w:rsidR="00247E30" w:rsidRDefault="00247E30">
      <w:pPr>
        <w:rPr>
          <w:rFonts w:ascii="Times New Roman" w:hAnsi="Times New Roman" w:cs="Times New Roman"/>
        </w:rPr>
      </w:pPr>
    </w:p>
    <w:p w14:paraId="742DCBD6" w14:textId="77777777" w:rsidR="003557F0" w:rsidRDefault="003557F0" w:rsidP="00E72F03">
      <w:pPr>
        <w:rPr>
          <w:rFonts w:ascii="Times New Roman" w:hAnsi="Times New Roman" w:cs="Times New Roman"/>
        </w:rPr>
      </w:pPr>
    </w:p>
    <w:p w14:paraId="26798AA2" w14:textId="77777777" w:rsidR="003557F0" w:rsidRDefault="003557F0" w:rsidP="003557F0"/>
    <w:tbl>
      <w:tblPr>
        <w:tblStyle w:val="TableGrid"/>
        <w:tblW w:w="0" w:type="auto"/>
        <w:tblLook w:val="04A0" w:firstRow="1" w:lastRow="0" w:firstColumn="1" w:lastColumn="0" w:noHBand="0" w:noVBand="1"/>
      </w:tblPr>
      <w:tblGrid>
        <w:gridCol w:w="7831"/>
      </w:tblGrid>
      <w:tr w:rsidR="00E13082" w14:paraId="1BDFFE82" w14:textId="77777777" w:rsidTr="00EE022D">
        <w:trPr>
          <w:trHeight w:val="4760"/>
        </w:trPr>
        <w:tc>
          <w:tcPr>
            <w:tcW w:w="7195" w:type="dxa"/>
          </w:tcPr>
          <w:p w14:paraId="4A1ED50C" w14:textId="77777777" w:rsidR="00E13082" w:rsidRDefault="00E13082" w:rsidP="00EE022D">
            <w:pPr>
              <w:keepNext/>
            </w:pPr>
            <w:r>
              <w:rPr>
                <w:noProof/>
              </w:rPr>
              <w:lastRenderedPageBreak/>
              <w:drawing>
                <wp:inline distT="0" distB="0" distL="0" distR="0" wp14:anchorId="3BA1E027" wp14:editId="4C20FD67">
                  <wp:extent cx="4835662" cy="3233935"/>
                  <wp:effectExtent l="0" t="0" r="0" b="0"/>
                  <wp:docPr id="2"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grap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35662" cy="3233935"/>
                          </a:xfrm>
                          <a:prstGeom prst="rect">
                            <a:avLst/>
                          </a:prstGeom>
                        </pic:spPr>
                      </pic:pic>
                    </a:graphicData>
                  </a:graphic>
                </wp:inline>
              </w:drawing>
            </w:r>
          </w:p>
        </w:tc>
      </w:tr>
      <w:tr w:rsidR="00E13082" w14:paraId="042FDF9B" w14:textId="77777777" w:rsidTr="00EE022D">
        <w:trPr>
          <w:trHeight w:val="895"/>
        </w:trPr>
        <w:tc>
          <w:tcPr>
            <w:tcW w:w="7195" w:type="dxa"/>
          </w:tcPr>
          <w:p w14:paraId="7B339033" w14:textId="3ECBE64A" w:rsidR="00E13082" w:rsidRPr="00B96518" w:rsidRDefault="00E13082" w:rsidP="00EE022D">
            <w:pPr>
              <w:pStyle w:val="Caption"/>
              <w:rPr>
                <w:rFonts w:ascii="Times New Roman" w:hAnsi="Times New Roman" w:cs="Times New Roman"/>
              </w:rPr>
            </w:pPr>
            <w:r>
              <w:t xml:space="preserve">Supplementary Figure </w:t>
            </w:r>
            <w:r w:rsidR="00E46377">
              <w:t>3</w:t>
            </w:r>
            <w:r>
              <w:t xml:space="preserve"> </w:t>
            </w:r>
            <w:r w:rsidRPr="009F1863">
              <w:rPr>
                <w:sz w:val="20"/>
                <w:szCs w:val="20"/>
              </w:rPr>
              <w:t xml:space="preserve">– Peripheral pressure changes react to the reduction in oxygen and correspondingly provide changes to the respiratory driver pressure, leading to an increase in tidal </w:t>
            </w:r>
            <w:proofErr w:type="gramStart"/>
            <w:r w:rsidRPr="009F1863">
              <w:rPr>
                <w:sz w:val="20"/>
                <w:szCs w:val="20"/>
              </w:rPr>
              <w:t>volume .</w:t>
            </w:r>
            <w:proofErr w:type="gramEnd"/>
          </w:p>
        </w:tc>
      </w:tr>
    </w:tbl>
    <w:p w14:paraId="78C5C463" w14:textId="77777777" w:rsidR="003557F0" w:rsidRDefault="003557F0" w:rsidP="00E13082">
      <w:pPr>
        <w:jc w:val="both"/>
      </w:pPr>
    </w:p>
    <w:tbl>
      <w:tblPr>
        <w:tblStyle w:val="TableGrid"/>
        <w:tblW w:w="0" w:type="auto"/>
        <w:jc w:val="right"/>
        <w:tblLook w:val="04A0" w:firstRow="1" w:lastRow="0" w:firstColumn="1" w:lastColumn="0" w:noHBand="0" w:noVBand="1"/>
      </w:tblPr>
      <w:tblGrid>
        <w:gridCol w:w="7843"/>
      </w:tblGrid>
      <w:tr w:rsidR="00E13082" w14:paraId="1A6E92AD" w14:textId="77777777" w:rsidTr="00E13082">
        <w:trPr>
          <w:trHeight w:val="4666"/>
          <w:jc w:val="right"/>
        </w:trPr>
        <w:tc>
          <w:tcPr>
            <w:tcW w:w="7843" w:type="dxa"/>
          </w:tcPr>
          <w:p w14:paraId="7DFAD29B" w14:textId="77777777" w:rsidR="00E13082" w:rsidRDefault="00E13082" w:rsidP="00E13082">
            <w:pPr>
              <w:keepNext/>
              <w:jc w:val="both"/>
            </w:pPr>
            <w:r>
              <w:rPr>
                <w:noProof/>
              </w:rPr>
              <w:drawing>
                <wp:inline distT="0" distB="0" distL="0" distR="0" wp14:anchorId="7965DF8B" wp14:editId="543DD35A">
                  <wp:extent cx="4843282" cy="3233935"/>
                  <wp:effectExtent l="0" t="0" r="0" b="0"/>
                  <wp:docPr id="4"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graph&#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43282" cy="3233935"/>
                          </a:xfrm>
                          <a:prstGeom prst="rect">
                            <a:avLst/>
                          </a:prstGeom>
                        </pic:spPr>
                      </pic:pic>
                    </a:graphicData>
                  </a:graphic>
                </wp:inline>
              </w:drawing>
            </w:r>
          </w:p>
        </w:tc>
      </w:tr>
      <w:tr w:rsidR="00E13082" w14:paraId="05287C12" w14:textId="77777777" w:rsidTr="00E13082">
        <w:trPr>
          <w:trHeight w:val="994"/>
          <w:jc w:val="right"/>
        </w:trPr>
        <w:tc>
          <w:tcPr>
            <w:tcW w:w="7843" w:type="dxa"/>
          </w:tcPr>
          <w:p w14:paraId="1EFDAED2" w14:textId="737F986F" w:rsidR="00E13082" w:rsidRPr="0041720C" w:rsidRDefault="00E13082" w:rsidP="00E13082">
            <w:pPr>
              <w:pStyle w:val="Caption"/>
              <w:jc w:val="both"/>
              <w:rPr>
                <w:rFonts w:ascii="Times New Roman" w:hAnsi="Times New Roman" w:cs="Times New Roman"/>
              </w:rPr>
            </w:pPr>
            <w:bookmarkStart w:id="2" w:name="_Ref162945551"/>
            <w:r>
              <w:t xml:space="preserve">Supplementary Figure </w:t>
            </w:r>
            <w:bookmarkEnd w:id="2"/>
            <w:r w:rsidR="00E46377">
              <w:t>4</w:t>
            </w:r>
            <w:r w:rsidRPr="006E0821">
              <w:rPr>
                <w:sz w:val="20"/>
                <w:szCs w:val="20"/>
              </w:rPr>
              <w:t xml:space="preserve"> – Cardiac output and systemic vascular resistance seen for varying levels of </w:t>
            </w:r>
            <w:r>
              <w:rPr>
                <w:sz w:val="20"/>
                <w:szCs w:val="20"/>
              </w:rPr>
              <w:t>fentanyl</w:t>
            </w:r>
            <w:r w:rsidRPr="006E0821">
              <w:rPr>
                <w:sz w:val="20"/>
                <w:szCs w:val="20"/>
              </w:rPr>
              <w:t xml:space="preserve"> administration. Rising cardiac output tries to compensate for the reduction in oxygen content in the blood.</w:t>
            </w:r>
          </w:p>
        </w:tc>
      </w:tr>
    </w:tbl>
    <w:p w14:paraId="7D2C607A" w14:textId="77777777" w:rsidR="00E13082" w:rsidRDefault="00E13082" w:rsidP="00E13082">
      <w:pPr>
        <w:jc w:val="both"/>
        <w:rPr>
          <w:rFonts w:ascii="Times New Roman" w:hAnsi="Times New Roman" w:cs="Times New Roman"/>
        </w:rPr>
      </w:pPr>
    </w:p>
    <w:tbl>
      <w:tblPr>
        <w:tblStyle w:val="TableGrid"/>
        <w:tblW w:w="0" w:type="auto"/>
        <w:jc w:val="right"/>
        <w:tblLook w:val="04A0" w:firstRow="1" w:lastRow="0" w:firstColumn="1" w:lastColumn="0" w:noHBand="0" w:noVBand="1"/>
      </w:tblPr>
      <w:tblGrid>
        <w:gridCol w:w="7776"/>
      </w:tblGrid>
      <w:tr w:rsidR="00E13082" w14:paraId="46863B99" w14:textId="77777777" w:rsidTr="00E13082">
        <w:trPr>
          <w:trHeight w:val="4936"/>
          <w:jc w:val="right"/>
        </w:trPr>
        <w:tc>
          <w:tcPr>
            <w:tcW w:w="7776" w:type="dxa"/>
          </w:tcPr>
          <w:p w14:paraId="2A7E3364" w14:textId="77777777" w:rsidR="00E13082" w:rsidRDefault="00E13082" w:rsidP="00E13082">
            <w:pPr>
              <w:keepNext/>
              <w:jc w:val="both"/>
            </w:pPr>
            <w:r>
              <w:rPr>
                <w:noProof/>
              </w:rPr>
              <w:lastRenderedPageBreak/>
              <w:drawing>
                <wp:inline distT="0" distB="0" distL="0" distR="0" wp14:anchorId="62E20746" wp14:editId="143DF1A2">
                  <wp:extent cx="4796038" cy="3249175"/>
                  <wp:effectExtent l="0" t="0" r="5080" b="0"/>
                  <wp:docPr id="6"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graph&#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96038" cy="3249175"/>
                          </a:xfrm>
                          <a:prstGeom prst="rect">
                            <a:avLst/>
                          </a:prstGeom>
                        </pic:spPr>
                      </pic:pic>
                    </a:graphicData>
                  </a:graphic>
                </wp:inline>
              </w:drawing>
            </w:r>
          </w:p>
        </w:tc>
      </w:tr>
      <w:tr w:rsidR="00E13082" w14:paraId="46F8239E" w14:textId="77777777" w:rsidTr="00E13082">
        <w:trPr>
          <w:trHeight w:val="913"/>
          <w:jc w:val="right"/>
        </w:trPr>
        <w:tc>
          <w:tcPr>
            <w:tcW w:w="7776" w:type="dxa"/>
          </w:tcPr>
          <w:p w14:paraId="26A9463C" w14:textId="238873B0" w:rsidR="00E13082" w:rsidRPr="0041720C" w:rsidRDefault="00E13082" w:rsidP="00E13082">
            <w:pPr>
              <w:pStyle w:val="Caption"/>
              <w:jc w:val="both"/>
              <w:rPr>
                <w:rFonts w:ascii="Times New Roman" w:hAnsi="Times New Roman" w:cs="Times New Roman"/>
              </w:rPr>
            </w:pPr>
            <w:bookmarkStart w:id="3" w:name="_Ref162945442"/>
            <w:r>
              <w:t xml:space="preserve">Supplementary Figure </w:t>
            </w:r>
            <w:bookmarkEnd w:id="3"/>
            <w:r w:rsidR="00E46377">
              <w:t>5</w:t>
            </w:r>
            <w:r w:rsidRPr="002A2AF1">
              <w:rPr>
                <w:sz w:val="20"/>
                <w:szCs w:val="20"/>
              </w:rPr>
              <w:t xml:space="preserve"> – Mean atrial pressure and heart rate for varying levels of opioid administration in the patient. Initial depression is due to the opioid with a recovery period following clearance and reversal.</w:t>
            </w:r>
          </w:p>
        </w:tc>
      </w:tr>
    </w:tbl>
    <w:p w14:paraId="387B4A9A" w14:textId="77777777" w:rsidR="00E13082" w:rsidRDefault="00E13082" w:rsidP="00E13082">
      <w:pPr>
        <w:jc w:val="both"/>
        <w:rPr>
          <w:rFonts w:ascii="Times New Roman" w:hAnsi="Times New Roman" w:cs="Times New Roman"/>
        </w:rPr>
      </w:pPr>
    </w:p>
    <w:p w14:paraId="6CE9C67E" w14:textId="77777777" w:rsidR="00E13082" w:rsidRDefault="00E13082" w:rsidP="00E13082">
      <w:pPr>
        <w:jc w:val="both"/>
        <w:rPr>
          <w:rFonts w:ascii="Times New Roman" w:hAnsi="Times New Roman" w:cs="Times New Roman"/>
        </w:rPr>
      </w:pPr>
    </w:p>
    <w:p w14:paraId="5F70B3BA" w14:textId="77777777" w:rsidR="00E13082" w:rsidRDefault="00E13082" w:rsidP="00E13082">
      <w:pPr>
        <w:jc w:val="both"/>
        <w:rPr>
          <w:rFonts w:ascii="Times New Roman" w:hAnsi="Times New Roman" w:cs="Times New Roman"/>
        </w:rPr>
      </w:pPr>
    </w:p>
    <w:p w14:paraId="01ABCC67" w14:textId="77777777" w:rsidR="00E13082" w:rsidRDefault="00E13082" w:rsidP="00E13082">
      <w:pPr>
        <w:jc w:val="both"/>
        <w:rPr>
          <w:rFonts w:ascii="Times New Roman" w:hAnsi="Times New Roman" w:cs="Times New Roman"/>
        </w:rPr>
      </w:pPr>
    </w:p>
    <w:tbl>
      <w:tblPr>
        <w:tblStyle w:val="TableGrid"/>
        <w:tblW w:w="0" w:type="auto"/>
        <w:jc w:val="right"/>
        <w:tblLook w:val="04A0" w:firstRow="1" w:lastRow="0" w:firstColumn="1" w:lastColumn="0" w:noHBand="0" w:noVBand="1"/>
      </w:tblPr>
      <w:tblGrid>
        <w:gridCol w:w="7836"/>
      </w:tblGrid>
      <w:tr w:rsidR="00E13082" w14:paraId="7A1552D2" w14:textId="77777777" w:rsidTr="00E13082">
        <w:trPr>
          <w:trHeight w:val="5210"/>
          <w:jc w:val="right"/>
        </w:trPr>
        <w:tc>
          <w:tcPr>
            <w:tcW w:w="7836" w:type="dxa"/>
          </w:tcPr>
          <w:p w14:paraId="36CD3920" w14:textId="77777777" w:rsidR="00E13082" w:rsidRDefault="00E13082" w:rsidP="00E13082">
            <w:pPr>
              <w:keepNext/>
              <w:jc w:val="both"/>
            </w:pPr>
            <w:r>
              <w:rPr>
                <w:noProof/>
              </w:rPr>
              <w:lastRenderedPageBreak/>
              <w:drawing>
                <wp:inline distT="0" distB="0" distL="0" distR="0" wp14:anchorId="276B883A" wp14:editId="6355F1A2">
                  <wp:extent cx="4835662" cy="3337567"/>
                  <wp:effectExtent l="0" t="0" r="3175" b="0"/>
                  <wp:docPr id="7"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graph&#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35662" cy="3337567"/>
                          </a:xfrm>
                          <a:prstGeom prst="rect">
                            <a:avLst/>
                          </a:prstGeom>
                        </pic:spPr>
                      </pic:pic>
                    </a:graphicData>
                  </a:graphic>
                </wp:inline>
              </w:drawing>
            </w:r>
          </w:p>
        </w:tc>
      </w:tr>
      <w:tr w:rsidR="00E13082" w14:paraId="598FB6D5" w14:textId="77777777" w:rsidTr="00E13082">
        <w:trPr>
          <w:trHeight w:val="895"/>
          <w:jc w:val="right"/>
        </w:trPr>
        <w:tc>
          <w:tcPr>
            <w:tcW w:w="7836" w:type="dxa"/>
          </w:tcPr>
          <w:p w14:paraId="1F173D19" w14:textId="1884960C" w:rsidR="00E13082" w:rsidRPr="003530CF" w:rsidRDefault="00E13082" w:rsidP="00E13082">
            <w:pPr>
              <w:pStyle w:val="Caption"/>
              <w:jc w:val="both"/>
              <w:rPr>
                <w:rFonts w:ascii="Times New Roman" w:hAnsi="Times New Roman" w:cs="Times New Roman"/>
              </w:rPr>
            </w:pPr>
            <w:r>
              <w:t xml:space="preserve">Supplementary Figure </w:t>
            </w:r>
            <w:r w:rsidR="00601826">
              <w:t xml:space="preserve">6 </w:t>
            </w:r>
            <w:r w:rsidR="00601826" w:rsidRPr="006E0821">
              <w:rPr>
                <w:sz w:val="20"/>
                <w:szCs w:val="20"/>
              </w:rPr>
              <w:t>–</w:t>
            </w:r>
            <w:r w:rsidRPr="006E0821">
              <w:rPr>
                <w:sz w:val="20"/>
                <w:szCs w:val="20"/>
              </w:rPr>
              <w:t xml:space="preserve"> Central frequency function is reduced during the initial onset of the opioid. </w:t>
            </w:r>
            <w:r>
              <w:rPr>
                <w:sz w:val="20"/>
                <w:szCs w:val="20"/>
              </w:rPr>
              <w:t>Because the opioid only targets the central nervous system, the peripheral frequency responds to the overdose event</w:t>
            </w:r>
            <w:r w:rsidRPr="006E0821">
              <w:rPr>
                <w:sz w:val="20"/>
                <w:szCs w:val="20"/>
              </w:rPr>
              <w:t>.</w:t>
            </w:r>
          </w:p>
        </w:tc>
      </w:tr>
    </w:tbl>
    <w:p w14:paraId="6A6EC02E" w14:textId="77777777" w:rsidR="003557F0" w:rsidRDefault="003557F0" w:rsidP="00E13082">
      <w:pPr>
        <w:jc w:val="both"/>
      </w:pPr>
    </w:p>
    <w:tbl>
      <w:tblPr>
        <w:tblStyle w:val="TableGrid"/>
        <w:tblW w:w="0" w:type="auto"/>
        <w:jc w:val="right"/>
        <w:tblLook w:val="04A0" w:firstRow="1" w:lastRow="0" w:firstColumn="1" w:lastColumn="0" w:noHBand="0" w:noVBand="1"/>
      </w:tblPr>
      <w:tblGrid>
        <w:gridCol w:w="9264"/>
      </w:tblGrid>
      <w:tr w:rsidR="005B2B4B" w14:paraId="64A0E7C7" w14:textId="77777777" w:rsidTr="00EE022D">
        <w:trPr>
          <w:trHeight w:val="3680"/>
          <w:jc w:val="right"/>
        </w:trPr>
        <w:tc>
          <w:tcPr>
            <w:tcW w:w="7151" w:type="dxa"/>
          </w:tcPr>
          <w:p w14:paraId="05248221" w14:textId="77777777" w:rsidR="005B2B4B" w:rsidRDefault="005B2B4B" w:rsidP="00EE022D">
            <w:pPr>
              <w:keepNext/>
            </w:pPr>
            <w:r>
              <w:rPr>
                <w:noProof/>
              </w:rPr>
              <w:drawing>
                <wp:inline distT="0" distB="0" distL="0" distR="0" wp14:anchorId="33B101E2" wp14:editId="28A21CA9">
                  <wp:extent cx="5745492" cy="3011430"/>
                  <wp:effectExtent l="0" t="0" r="0" b="0"/>
                  <wp:docPr id="8" name="Picture 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graph&#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45492" cy="3011430"/>
                          </a:xfrm>
                          <a:prstGeom prst="rect">
                            <a:avLst/>
                          </a:prstGeom>
                        </pic:spPr>
                      </pic:pic>
                    </a:graphicData>
                  </a:graphic>
                </wp:inline>
              </w:drawing>
            </w:r>
          </w:p>
        </w:tc>
      </w:tr>
      <w:tr w:rsidR="005B2B4B" w14:paraId="7A6FC62B" w14:textId="77777777" w:rsidTr="00EE022D">
        <w:trPr>
          <w:trHeight w:val="652"/>
          <w:jc w:val="right"/>
        </w:trPr>
        <w:tc>
          <w:tcPr>
            <w:tcW w:w="7151" w:type="dxa"/>
          </w:tcPr>
          <w:p w14:paraId="0BE8BB8D" w14:textId="0909F0F1" w:rsidR="005B2B4B" w:rsidRPr="00241AB5" w:rsidRDefault="005B2B4B" w:rsidP="00EE022D">
            <w:pPr>
              <w:pStyle w:val="Caption"/>
              <w:rPr>
                <w:rFonts w:ascii="Times New Roman" w:hAnsi="Times New Roman" w:cs="Times New Roman"/>
              </w:rPr>
            </w:pPr>
            <w:r>
              <w:t xml:space="preserve">Supplementary Figure </w:t>
            </w:r>
            <w:r w:rsidR="00E46377">
              <w:t>7</w:t>
            </w:r>
            <w:r w:rsidRPr="006E0821">
              <w:rPr>
                <w:sz w:val="20"/>
                <w:szCs w:val="20"/>
              </w:rPr>
              <w:t xml:space="preserve"> – Total rescue dose administered for each fentanyl dose. A nonlinear response is seen as we transition from 0.8 to 1.1 mg amounts. Bars are colored as a function of total </w:t>
            </w:r>
            <w:r>
              <w:rPr>
                <w:sz w:val="20"/>
                <w:szCs w:val="20"/>
              </w:rPr>
              <w:t>naloxone</w:t>
            </w:r>
            <w:r w:rsidRPr="006E0821">
              <w:rPr>
                <w:sz w:val="20"/>
                <w:szCs w:val="20"/>
              </w:rPr>
              <w:t xml:space="preserve"> dose.</w:t>
            </w:r>
          </w:p>
        </w:tc>
      </w:tr>
    </w:tbl>
    <w:p w14:paraId="175DC19E" w14:textId="77777777" w:rsidR="00543E5E" w:rsidRPr="00543E5E" w:rsidRDefault="00543E5E" w:rsidP="00543E5E"/>
    <w:p w14:paraId="7EE5D32B" w14:textId="77777777" w:rsidR="008710A5" w:rsidRPr="00AB324A" w:rsidRDefault="008710A5" w:rsidP="008710A5">
      <w:pPr>
        <w:keepNext/>
        <w:rPr>
          <w:rFonts w:ascii="Times New Roman" w:hAnsi="Times New Roman" w:cs="Times New Roman"/>
        </w:rPr>
      </w:pPr>
      <w:r w:rsidRPr="00AB324A">
        <w:rPr>
          <w:rFonts w:ascii="Times New Roman" w:hAnsi="Times New Roman" w:cs="Times New Roman"/>
          <w:noProof/>
        </w:rPr>
        <w:lastRenderedPageBreak/>
        <w:drawing>
          <wp:inline distT="0" distB="0" distL="0" distR="0" wp14:anchorId="10926486" wp14:editId="30EBAA10">
            <wp:extent cx="5669280" cy="3986667"/>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70165" cy="3987289"/>
                    </a:xfrm>
                    <a:prstGeom prst="rect">
                      <a:avLst/>
                    </a:prstGeom>
                  </pic:spPr>
                </pic:pic>
              </a:graphicData>
            </a:graphic>
          </wp:inline>
        </w:drawing>
      </w:r>
    </w:p>
    <w:p w14:paraId="51E31B12" w14:textId="3AE9CE6A" w:rsidR="008710A5" w:rsidRPr="00AB324A" w:rsidRDefault="0010588B" w:rsidP="008710A5">
      <w:pPr>
        <w:pStyle w:val="Caption"/>
        <w:rPr>
          <w:rFonts w:ascii="Times New Roman" w:hAnsi="Times New Roman" w:cs="Times New Roman"/>
        </w:rPr>
      </w:pPr>
      <w:bookmarkStart w:id="4" w:name="_Ref162871770"/>
      <w:r>
        <w:rPr>
          <w:rFonts w:ascii="Times New Roman" w:hAnsi="Times New Roman" w:cs="Times New Roman"/>
        </w:rPr>
        <w:t>Supplementa</w:t>
      </w:r>
      <w:r w:rsidR="00164828">
        <w:rPr>
          <w:rFonts w:ascii="Times New Roman" w:hAnsi="Times New Roman" w:cs="Times New Roman"/>
        </w:rPr>
        <w:t>ry</w:t>
      </w:r>
      <w:r>
        <w:rPr>
          <w:rFonts w:ascii="Times New Roman" w:hAnsi="Times New Roman" w:cs="Times New Roman"/>
        </w:rPr>
        <w:t xml:space="preserve"> </w:t>
      </w:r>
      <w:r w:rsidR="008710A5" w:rsidRPr="00AB324A">
        <w:rPr>
          <w:rFonts w:ascii="Times New Roman" w:hAnsi="Times New Roman" w:cs="Times New Roman"/>
        </w:rPr>
        <w:t>Figure</w:t>
      </w:r>
      <w:bookmarkEnd w:id="4"/>
      <w:r w:rsidR="00247E30">
        <w:rPr>
          <w:rFonts w:ascii="Times New Roman" w:hAnsi="Times New Roman" w:cs="Times New Roman"/>
        </w:rPr>
        <w:t xml:space="preserve"> </w:t>
      </w:r>
      <w:r w:rsidR="00E46377">
        <w:rPr>
          <w:rFonts w:ascii="Times New Roman" w:hAnsi="Times New Roman" w:cs="Times New Roman"/>
        </w:rPr>
        <w:t>8</w:t>
      </w:r>
      <w:r w:rsidR="008710A5" w:rsidRPr="00AB324A">
        <w:rPr>
          <w:rFonts w:ascii="Times New Roman" w:hAnsi="Times New Roman" w:cs="Times New Roman"/>
        </w:rPr>
        <w:t xml:space="preserve"> – Generalized substance definition standard that is used to create substances in the </w:t>
      </w:r>
      <w:proofErr w:type="spellStart"/>
      <w:r w:rsidR="008710A5" w:rsidRPr="00AB324A">
        <w:rPr>
          <w:rFonts w:ascii="Times New Roman" w:hAnsi="Times New Roman" w:cs="Times New Roman"/>
        </w:rPr>
        <w:t>BioGears</w:t>
      </w:r>
      <w:proofErr w:type="spellEnd"/>
      <w:r w:rsidR="008710A5" w:rsidRPr="00AB324A">
        <w:rPr>
          <w:rFonts w:ascii="Times New Roman" w:hAnsi="Times New Roman" w:cs="Times New Roman"/>
        </w:rPr>
        <w:t xml:space="preserve"> engine. The definition defines how a substance is handled amongst various models implemented in the engine.</w:t>
      </w:r>
    </w:p>
    <w:p w14:paraId="28F176C1" w14:textId="77777777" w:rsidR="00E72F03" w:rsidRDefault="00E72F03" w:rsidP="00E72F03">
      <w:pPr>
        <w:rPr>
          <w:rFonts w:ascii="Times New Roman" w:hAnsi="Times New Roman" w:cs="Times New Roman"/>
        </w:rPr>
      </w:pPr>
    </w:p>
    <w:p w14:paraId="2DB7BCAC" w14:textId="77777777" w:rsidR="008236CD" w:rsidRDefault="008236CD" w:rsidP="00E72F03">
      <w:pPr>
        <w:rPr>
          <w:rFonts w:ascii="Times New Roman" w:hAnsi="Times New Roman" w:cs="Times New Roman"/>
        </w:rPr>
      </w:pPr>
    </w:p>
    <w:p w14:paraId="692A559F" w14:textId="77777777" w:rsidR="00543E5E" w:rsidRDefault="00543E5E" w:rsidP="00E72F03">
      <w:pPr>
        <w:rPr>
          <w:rFonts w:ascii="Times New Roman" w:hAnsi="Times New Roman" w:cs="Times New Roman"/>
        </w:rPr>
      </w:pPr>
    </w:p>
    <w:p w14:paraId="2958C224" w14:textId="77777777" w:rsidR="00543E5E" w:rsidRDefault="00543E5E" w:rsidP="00E72F03">
      <w:pPr>
        <w:rPr>
          <w:rFonts w:ascii="Times New Roman" w:hAnsi="Times New Roman" w:cs="Times New Roman"/>
        </w:rPr>
      </w:pPr>
    </w:p>
    <w:p w14:paraId="0A6B9F67" w14:textId="77777777" w:rsidR="00543E5E" w:rsidRDefault="00543E5E" w:rsidP="00E72F03">
      <w:pPr>
        <w:rPr>
          <w:rFonts w:ascii="Times New Roman" w:hAnsi="Times New Roman" w:cs="Times New Roman"/>
        </w:rPr>
      </w:pPr>
    </w:p>
    <w:p w14:paraId="642B6150" w14:textId="77777777" w:rsidR="00543E5E" w:rsidRDefault="00543E5E" w:rsidP="00E72F03">
      <w:pPr>
        <w:rPr>
          <w:rFonts w:ascii="Times New Roman" w:hAnsi="Times New Roman" w:cs="Times New Roman"/>
        </w:rPr>
      </w:pPr>
    </w:p>
    <w:p w14:paraId="05FC7431" w14:textId="77777777" w:rsidR="00543E5E" w:rsidRDefault="00543E5E" w:rsidP="00E72F03">
      <w:pPr>
        <w:rPr>
          <w:rFonts w:ascii="Times New Roman" w:hAnsi="Times New Roman" w:cs="Times New Roman"/>
        </w:rPr>
      </w:pPr>
    </w:p>
    <w:p w14:paraId="584AB374" w14:textId="77777777" w:rsidR="00543E5E" w:rsidRDefault="00543E5E" w:rsidP="00E72F03">
      <w:pPr>
        <w:rPr>
          <w:rFonts w:ascii="Times New Roman" w:hAnsi="Times New Roman" w:cs="Times New Roman"/>
        </w:rPr>
      </w:pPr>
    </w:p>
    <w:p w14:paraId="76B50037" w14:textId="77777777" w:rsidR="00543E5E" w:rsidRDefault="00543E5E" w:rsidP="00E72F03">
      <w:pPr>
        <w:rPr>
          <w:rFonts w:ascii="Times New Roman" w:hAnsi="Times New Roman" w:cs="Times New Roman"/>
        </w:rPr>
      </w:pPr>
    </w:p>
    <w:p w14:paraId="27453FA0" w14:textId="77777777" w:rsidR="008236CD" w:rsidRDefault="008236CD" w:rsidP="00E72F03">
      <w:pPr>
        <w:rPr>
          <w:rFonts w:ascii="Times New Roman" w:hAnsi="Times New Roman" w:cs="Times New Roman"/>
        </w:rPr>
      </w:pPr>
    </w:p>
    <w:p w14:paraId="7874B8F8" w14:textId="77777777" w:rsidR="008236CD" w:rsidRDefault="008236CD" w:rsidP="00E72F03">
      <w:pPr>
        <w:rPr>
          <w:rFonts w:ascii="Times New Roman" w:hAnsi="Times New Roman" w:cs="Times New Roman"/>
        </w:rPr>
      </w:pPr>
    </w:p>
    <w:p w14:paraId="32E0E90A" w14:textId="77777777" w:rsidR="008236CD" w:rsidRDefault="008236CD" w:rsidP="00E72F03">
      <w:pPr>
        <w:rPr>
          <w:rFonts w:ascii="Times New Roman" w:hAnsi="Times New Roman" w:cs="Times New Roman"/>
        </w:rPr>
      </w:pPr>
    </w:p>
    <w:p w14:paraId="65E23CBB" w14:textId="77777777" w:rsidR="008236CD" w:rsidRDefault="008236CD" w:rsidP="00E72F03">
      <w:pPr>
        <w:rPr>
          <w:rFonts w:ascii="Times New Roman" w:hAnsi="Times New Roman" w:cs="Times New Roman"/>
        </w:rPr>
      </w:pPr>
    </w:p>
    <w:p w14:paraId="5651F6D6" w14:textId="77777777" w:rsidR="008236CD" w:rsidRDefault="008236CD" w:rsidP="00E72F03">
      <w:pPr>
        <w:rPr>
          <w:rFonts w:ascii="Times New Roman" w:hAnsi="Times New Roman" w:cs="Times New Roman"/>
        </w:rPr>
      </w:pPr>
    </w:p>
    <w:p w14:paraId="7BE0C1AC" w14:textId="77777777" w:rsidR="008236CD" w:rsidRDefault="008236CD" w:rsidP="00E72F03">
      <w:pPr>
        <w:rPr>
          <w:rFonts w:ascii="Times New Roman" w:hAnsi="Times New Roman" w:cs="Times New Roman"/>
        </w:rPr>
      </w:pPr>
    </w:p>
    <w:p w14:paraId="6998B410" w14:textId="77777777" w:rsidR="008236CD" w:rsidRDefault="008236CD" w:rsidP="00E72F03">
      <w:pPr>
        <w:rPr>
          <w:rFonts w:ascii="Times New Roman" w:hAnsi="Times New Roman" w:cs="Times New Roman"/>
        </w:rPr>
      </w:pPr>
    </w:p>
    <w:p w14:paraId="286AE5F5" w14:textId="77777777" w:rsidR="008236CD" w:rsidRDefault="008236CD" w:rsidP="00E72F03">
      <w:pPr>
        <w:rPr>
          <w:rFonts w:ascii="Times New Roman" w:hAnsi="Times New Roman" w:cs="Times New Roman"/>
        </w:rPr>
      </w:pPr>
    </w:p>
    <w:p w14:paraId="575426BF" w14:textId="77777777" w:rsidR="008236CD" w:rsidRPr="00AB324A" w:rsidRDefault="008236CD" w:rsidP="00E72F03">
      <w:pPr>
        <w:rPr>
          <w:rFonts w:ascii="Times New Roman" w:hAnsi="Times New Roman" w:cs="Times New Roman"/>
        </w:rPr>
      </w:pPr>
    </w:p>
    <w:sectPr w:rsidR="008236CD" w:rsidRPr="00AB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61E8"/>
    <w:multiLevelType w:val="multilevel"/>
    <w:tmpl w:val="8DA473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66606E"/>
    <w:multiLevelType w:val="multilevel"/>
    <w:tmpl w:val="31EE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C621C"/>
    <w:multiLevelType w:val="hybridMultilevel"/>
    <w:tmpl w:val="145C61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592745"/>
    <w:multiLevelType w:val="multilevel"/>
    <w:tmpl w:val="67964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FA554E"/>
    <w:multiLevelType w:val="hybridMultilevel"/>
    <w:tmpl w:val="CA7C78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DB30B14"/>
    <w:multiLevelType w:val="multilevel"/>
    <w:tmpl w:val="5900DF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1431710">
    <w:abstractNumId w:val="1"/>
  </w:num>
  <w:num w:numId="2" w16cid:durableId="2130514809">
    <w:abstractNumId w:val="3"/>
  </w:num>
  <w:num w:numId="3" w16cid:durableId="836001433">
    <w:abstractNumId w:val="0"/>
  </w:num>
  <w:num w:numId="4" w16cid:durableId="1874342112">
    <w:abstractNumId w:val="5"/>
  </w:num>
  <w:num w:numId="5" w16cid:durableId="947472426">
    <w:abstractNumId w:val="2"/>
  </w:num>
  <w:num w:numId="6" w16cid:durableId="808939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zMDEyNDEzNDQwtTRU0lEKTi0uzszPAymwqAUAPZX1zSwAAAA="/>
  </w:docVars>
  <w:rsids>
    <w:rsidRoot w:val="00D80597"/>
    <w:rsid w:val="0010588B"/>
    <w:rsid w:val="00164828"/>
    <w:rsid w:val="001E6BC1"/>
    <w:rsid w:val="00231CBD"/>
    <w:rsid w:val="00241AB5"/>
    <w:rsid w:val="00247E30"/>
    <w:rsid w:val="002D122C"/>
    <w:rsid w:val="003530CF"/>
    <w:rsid w:val="003557F0"/>
    <w:rsid w:val="00360F7D"/>
    <w:rsid w:val="00373CB1"/>
    <w:rsid w:val="003A46E6"/>
    <w:rsid w:val="0041720C"/>
    <w:rsid w:val="00485038"/>
    <w:rsid w:val="00543E5E"/>
    <w:rsid w:val="0059104A"/>
    <w:rsid w:val="005A5C2D"/>
    <w:rsid w:val="005B2B4B"/>
    <w:rsid w:val="005B6A08"/>
    <w:rsid w:val="00601826"/>
    <w:rsid w:val="00605E86"/>
    <w:rsid w:val="006A67DD"/>
    <w:rsid w:val="006A7B75"/>
    <w:rsid w:val="006D0577"/>
    <w:rsid w:val="006E7FD4"/>
    <w:rsid w:val="00716817"/>
    <w:rsid w:val="0079629B"/>
    <w:rsid w:val="007B00D5"/>
    <w:rsid w:val="007B38CD"/>
    <w:rsid w:val="008236CD"/>
    <w:rsid w:val="008710A5"/>
    <w:rsid w:val="00872BC7"/>
    <w:rsid w:val="008E1E65"/>
    <w:rsid w:val="00A31BBA"/>
    <w:rsid w:val="00A768D5"/>
    <w:rsid w:val="00AB324A"/>
    <w:rsid w:val="00B85A76"/>
    <w:rsid w:val="00B96518"/>
    <w:rsid w:val="00BD6507"/>
    <w:rsid w:val="00C71B87"/>
    <w:rsid w:val="00C74BDF"/>
    <w:rsid w:val="00C91622"/>
    <w:rsid w:val="00D25B34"/>
    <w:rsid w:val="00D80597"/>
    <w:rsid w:val="00E005C6"/>
    <w:rsid w:val="00E13082"/>
    <w:rsid w:val="00E46377"/>
    <w:rsid w:val="00E72F03"/>
    <w:rsid w:val="00EB28B8"/>
    <w:rsid w:val="00ED2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D4852"/>
  <w15:chartTrackingRefBased/>
  <w15:docId w15:val="{CCEE72D3-77E0-4313-891D-4DDAD6309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5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10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72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59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D8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34"/>
    <w:rPr>
      <w:color w:val="0563C1" w:themeColor="hyperlink"/>
      <w:u w:val="single"/>
    </w:rPr>
  </w:style>
  <w:style w:type="character" w:styleId="UnresolvedMention">
    <w:name w:val="Unresolved Mention"/>
    <w:basedOn w:val="DefaultParagraphFont"/>
    <w:uiPriority w:val="99"/>
    <w:semiHidden/>
    <w:unhideWhenUsed/>
    <w:rsid w:val="00D25B34"/>
    <w:rPr>
      <w:color w:val="605E5C"/>
      <w:shd w:val="clear" w:color="auto" w:fill="E1DFDD"/>
    </w:rPr>
  </w:style>
  <w:style w:type="paragraph" w:styleId="NormalWeb">
    <w:name w:val="Normal (Web)"/>
    <w:basedOn w:val="Normal"/>
    <w:link w:val="NormalWebChar"/>
    <w:uiPriority w:val="99"/>
    <w:unhideWhenUsed/>
    <w:rsid w:val="00D25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25B34"/>
    <w:rPr>
      <w:i/>
      <w:iCs/>
    </w:rPr>
  </w:style>
  <w:style w:type="character" w:customStyle="1" w:styleId="MTEquationSection">
    <w:name w:val="MTEquationSection"/>
    <w:basedOn w:val="DefaultParagraphFont"/>
    <w:rsid w:val="00C91622"/>
    <w:rPr>
      <w:vanish/>
      <w:color w:val="FF0000"/>
    </w:rPr>
  </w:style>
  <w:style w:type="paragraph" w:customStyle="1" w:styleId="MTDisplayEquation">
    <w:name w:val="MTDisplayEquation"/>
    <w:basedOn w:val="NormalWeb"/>
    <w:next w:val="Normal"/>
    <w:link w:val="MTDisplayEquationChar"/>
    <w:rsid w:val="00C91622"/>
    <w:pPr>
      <w:shd w:val="clear" w:color="auto" w:fill="FFFFFF"/>
      <w:tabs>
        <w:tab w:val="center" w:pos="4680"/>
        <w:tab w:val="right" w:pos="9360"/>
      </w:tabs>
      <w:spacing w:before="0" w:beforeAutospacing="0" w:after="165" w:afterAutospacing="0" w:line="330" w:lineRule="atLeast"/>
    </w:pPr>
  </w:style>
  <w:style w:type="character" w:customStyle="1" w:styleId="NormalWebChar">
    <w:name w:val="Normal (Web) Char"/>
    <w:basedOn w:val="DefaultParagraphFont"/>
    <w:link w:val="NormalWeb"/>
    <w:uiPriority w:val="99"/>
    <w:rsid w:val="00C91622"/>
    <w:rPr>
      <w:rFonts w:ascii="Times New Roman" w:eastAsia="Times New Roman" w:hAnsi="Times New Roman" w:cs="Times New Roman"/>
      <w:sz w:val="24"/>
      <w:szCs w:val="24"/>
    </w:rPr>
  </w:style>
  <w:style w:type="character" w:customStyle="1" w:styleId="MTDisplayEquationChar">
    <w:name w:val="MTDisplayEquation Char"/>
    <w:basedOn w:val="NormalWebChar"/>
    <w:link w:val="MTDisplayEquation"/>
    <w:rsid w:val="00C91622"/>
    <w:rPr>
      <w:rFonts w:ascii="Times New Roman" w:eastAsia="Times New Roman" w:hAnsi="Times New Roman" w:cs="Times New Roman"/>
      <w:sz w:val="24"/>
      <w:szCs w:val="24"/>
      <w:shd w:val="clear" w:color="auto" w:fill="FFFFFF"/>
    </w:rPr>
  </w:style>
  <w:style w:type="character" w:customStyle="1" w:styleId="Heading2Char">
    <w:name w:val="Heading 2 Char"/>
    <w:basedOn w:val="DefaultParagraphFont"/>
    <w:link w:val="Heading2"/>
    <w:uiPriority w:val="9"/>
    <w:rsid w:val="0059104A"/>
    <w:rPr>
      <w:rFonts w:asciiTheme="majorHAnsi" w:eastAsiaTheme="majorEastAsia" w:hAnsiTheme="majorHAnsi" w:cstheme="majorBidi"/>
      <w:color w:val="2F5496" w:themeColor="accent1" w:themeShade="BF"/>
      <w:sz w:val="26"/>
      <w:szCs w:val="26"/>
    </w:rPr>
  </w:style>
  <w:style w:type="paragraph" w:customStyle="1" w:styleId="startli">
    <w:name w:val="startli"/>
    <w:basedOn w:val="Normal"/>
    <w:rsid w:val="00BD6507"/>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6A67DD"/>
    <w:pPr>
      <w:spacing w:after="200" w:line="240" w:lineRule="auto"/>
    </w:pPr>
    <w:rPr>
      <w:i/>
      <w:iCs/>
      <w:color w:val="44546A" w:themeColor="text2"/>
      <w:sz w:val="18"/>
      <w:szCs w:val="18"/>
    </w:rPr>
  </w:style>
  <w:style w:type="paragraph" w:styleId="ListParagraph">
    <w:name w:val="List Paragraph"/>
    <w:basedOn w:val="Normal"/>
    <w:uiPriority w:val="34"/>
    <w:qFormat/>
    <w:rsid w:val="00E005C6"/>
    <w:pPr>
      <w:ind w:left="720"/>
      <w:contextualSpacing/>
    </w:pPr>
  </w:style>
  <w:style w:type="paragraph" w:styleId="Title">
    <w:name w:val="Title"/>
    <w:basedOn w:val="Normal"/>
    <w:next w:val="Normal"/>
    <w:link w:val="TitleChar"/>
    <w:uiPriority w:val="10"/>
    <w:qFormat/>
    <w:rsid w:val="00AB32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24A"/>
    <w:rPr>
      <w:rFonts w:asciiTheme="majorHAnsi" w:eastAsiaTheme="majorEastAsia" w:hAnsiTheme="majorHAnsi" w:cstheme="majorBidi"/>
      <w:spacing w:val="-10"/>
      <w:kern w:val="28"/>
      <w:sz w:val="56"/>
      <w:szCs w:val="56"/>
    </w:rPr>
  </w:style>
  <w:style w:type="paragraph" w:customStyle="1" w:styleId="AuthorList">
    <w:name w:val="Author List"/>
    <w:aliases w:val="Keywords,Abstract"/>
    <w:basedOn w:val="Subtitle"/>
    <w:next w:val="Normal"/>
    <w:uiPriority w:val="1"/>
    <w:qFormat/>
    <w:rsid w:val="00AB324A"/>
    <w:pPr>
      <w:numPr>
        <w:ilvl w:val="0"/>
      </w:numPr>
      <w:spacing w:before="240" w:after="240" w:line="240" w:lineRule="auto"/>
    </w:pPr>
    <w:rPr>
      <w:rFonts w:ascii="Times New Roman" w:eastAsiaTheme="minorHAnsi" w:hAnsi="Times New Roman" w:cs="Times New Roman"/>
      <w:b/>
      <w:color w:val="auto"/>
      <w:spacing w:val="0"/>
      <w:sz w:val="24"/>
      <w:szCs w:val="24"/>
    </w:rPr>
  </w:style>
  <w:style w:type="paragraph" w:styleId="Subtitle">
    <w:name w:val="Subtitle"/>
    <w:basedOn w:val="Normal"/>
    <w:next w:val="Normal"/>
    <w:link w:val="SubtitleChar"/>
    <w:uiPriority w:val="11"/>
    <w:qFormat/>
    <w:rsid w:val="00AB324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324A"/>
    <w:rPr>
      <w:rFonts w:eastAsiaTheme="minorEastAsia"/>
      <w:color w:val="5A5A5A" w:themeColor="text1" w:themeTint="A5"/>
      <w:spacing w:val="15"/>
    </w:rPr>
  </w:style>
  <w:style w:type="table" w:styleId="GridTable5Dark-Accent5">
    <w:name w:val="Grid Table 5 Dark Accent 5"/>
    <w:basedOn w:val="TableNormal"/>
    <w:uiPriority w:val="50"/>
    <w:rsid w:val="003557F0"/>
    <w:pPr>
      <w:spacing w:after="0" w:line="240" w:lineRule="auto"/>
    </w:pPr>
    <w:rPr>
      <w:rFonts w:asciiTheme="majorHAnsi" w:hAnsiTheme="maj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3557F0"/>
    <w:pPr>
      <w:spacing w:after="0" w:line="240" w:lineRule="auto"/>
    </w:pPr>
    <w:rPr>
      <w:rFonts w:asciiTheme="majorHAnsi" w:hAnsiTheme="majorHAns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3Char">
    <w:name w:val="Heading 3 Char"/>
    <w:basedOn w:val="DefaultParagraphFont"/>
    <w:link w:val="Heading3"/>
    <w:uiPriority w:val="9"/>
    <w:semiHidden/>
    <w:rsid w:val="0041720C"/>
    <w:rPr>
      <w:rFonts w:asciiTheme="majorHAnsi" w:eastAsiaTheme="majorEastAsia" w:hAnsiTheme="majorHAnsi" w:cstheme="majorBidi"/>
      <w:color w:val="1F3763" w:themeColor="accent1" w:themeShade="7F"/>
      <w:sz w:val="24"/>
      <w:szCs w:val="24"/>
    </w:rPr>
  </w:style>
  <w:style w:type="table" w:styleId="TableGridLight">
    <w:name w:val="Grid Table Light"/>
    <w:basedOn w:val="TableNormal"/>
    <w:uiPriority w:val="40"/>
    <w:rsid w:val="001E6B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1648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659">
      <w:bodyDiv w:val="1"/>
      <w:marLeft w:val="0"/>
      <w:marRight w:val="0"/>
      <w:marTop w:val="0"/>
      <w:marBottom w:val="0"/>
      <w:divBdr>
        <w:top w:val="none" w:sz="0" w:space="0" w:color="auto"/>
        <w:left w:val="none" w:sz="0" w:space="0" w:color="auto"/>
        <w:bottom w:val="none" w:sz="0" w:space="0" w:color="auto"/>
        <w:right w:val="none" w:sz="0" w:space="0" w:color="auto"/>
      </w:divBdr>
    </w:div>
    <w:div w:id="260723052">
      <w:bodyDiv w:val="1"/>
      <w:marLeft w:val="0"/>
      <w:marRight w:val="0"/>
      <w:marTop w:val="0"/>
      <w:marBottom w:val="0"/>
      <w:divBdr>
        <w:top w:val="none" w:sz="0" w:space="0" w:color="auto"/>
        <w:left w:val="none" w:sz="0" w:space="0" w:color="auto"/>
        <w:bottom w:val="none" w:sz="0" w:space="0" w:color="auto"/>
        <w:right w:val="none" w:sz="0" w:space="0" w:color="auto"/>
      </w:divBdr>
      <w:divsChild>
        <w:div w:id="1201286921">
          <w:marLeft w:val="0"/>
          <w:marRight w:val="0"/>
          <w:marTop w:val="240"/>
          <w:marBottom w:val="240"/>
          <w:divBdr>
            <w:top w:val="none" w:sz="0" w:space="0" w:color="auto"/>
            <w:left w:val="none" w:sz="0" w:space="0" w:color="auto"/>
            <w:bottom w:val="none" w:sz="0" w:space="0" w:color="auto"/>
            <w:right w:val="none" w:sz="0" w:space="0" w:color="auto"/>
          </w:divBdr>
        </w:div>
      </w:divsChild>
    </w:div>
    <w:div w:id="479493903">
      <w:bodyDiv w:val="1"/>
      <w:marLeft w:val="0"/>
      <w:marRight w:val="0"/>
      <w:marTop w:val="0"/>
      <w:marBottom w:val="0"/>
      <w:divBdr>
        <w:top w:val="none" w:sz="0" w:space="0" w:color="auto"/>
        <w:left w:val="none" w:sz="0" w:space="0" w:color="auto"/>
        <w:bottom w:val="none" w:sz="0" w:space="0" w:color="auto"/>
        <w:right w:val="none" w:sz="0" w:space="0" w:color="auto"/>
      </w:divBdr>
    </w:div>
    <w:div w:id="658073696">
      <w:bodyDiv w:val="1"/>
      <w:marLeft w:val="0"/>
      <w:marRight w:val="0"/>
      <w:marTop w:val="0"/>
      <w:marBottom w:val="0"/>
      <w:divBdr>
        <w:top w:val="none" w:sz="0" w:space="0" w:color="auto"/>
        <w:left w:val="none" w:sz="0" w:space="0" w:color="auto"/>
        <w:bottom w:val="none" w:sz="0" w:space="0" w:color="auto"/>
        <w:right w:val="none" w:sz="0" w:space="0" w:color="auto"/>
      </w:divBdr>
    </w:div>
    <w:div w:id="824200172">
      <w:bodyDiv w:val="1"/>
      <w:marLeft w:val="0"/>
      <w:marRight w:val="0"/>
      <w:marTop w:val="0"/>
      <w:marBottom w:val="0"/>
      <w:divBdr>
        <w:top w:val="none" w:sz="0" w:space="0" w:color="auto"/>
        <w:left w:val="none" w:sz="0" w:space="0" w:color="auto"/>
        <w:bottom w:val="none" w:sz="0" w:space="0" w:color="auto"/>
        <w:right w:val="none" w:sz="0" w:space="0" w:color="auto"/>
      </w:divBdr>
    </w:div>
    <w:div w:id="852720681">
      <w:bodyDiv w:val="1"/>
      <w:marLeft w:val="0"/>
      <w:marRight w:val="0"/>
      <w:marTop w:val="0"/>
      <w:marBottom w:val="0"/>
      <w:divBdr>
        <w:top w:val="none" w:sz="0" w:space="0" w:color="auto"/>
        <w:left w:val="none" w:sz="0" w:space="0" w:color="auto"/>
        <w:bottom w:val="none" w:sz="0" w:space="0" w:color="auto"/>
        <w:right w:val="none" w:sz="0" w:space="0" w:color="auto"/>
      </w:divBdr>
      <w:divsChild>
        <w:div w:id="1648128051">
          <w:marLeft w:val="0"/>
          <w:marRight w:val="0"/>
          <w:marTop w:val="240"/>
          <w:marBottom w:val="240"/>
          <w:divBdr>
            <w:top w:val="none" w:sz="0" w:space="0" w:color="auto"/>
            <w:left w:val="none" w:sz="0" w:space="0" w:color="auto"/>
            <w:bottom w:val="none" w:sz="0" w:space="0" w:color="auto"/>
            <w:right w:val="none" w:sz="0" w:space="0" w:color="auto"/>
          </w:divBdr>
        </w:div>
        <w:div w:id="270673544">
          <w:marLeft w:val="0"/>
          <w:marRight w:val="0"/>
          <w:marTop w:val="240"/>
          <w:marBottom w:val="240"/>
          <w:divBdr>
            <w:top w:val="none" w:sz="0" w:space="0" w:color="auto"/>
            <w:left w:val="none" w:sz="0" w:space="0" w:color="auto"/>
            <w:bottom w:val="none" w:sz="0" w:space="0" w:color="auto"/>
            <w:right w:val="none" w:sz="0" w:space="0" w:color="auto"/>
          </w:divBdr>
        </w:div>
        <w:div w:id="903219019">
          <w:marLeft w:val="0"/>
          <w:marRight w:val="0"/>
          <w:marTop w:val="240"/>
          <w:marBottom w:val="240"/>
          <w:divBdr>
            <w:top w:val="none" w:sz="0" w:space="0" w:color="auto"/>
            <w:left w:val="none" w:sz="0" w:space="0" w:color="auto"/>
            <w:bottom w:val="none" w:sz="0" w:space="0" w:color="auto"/>
            <w:right w:val="none" w:sz="0" w:space="0" w:color="auto"/>
          </w:divBdr>
        </w:div>
        <w:div w:id="1421289269">
          <w:marLeft w:val="0"/>
          <w:marRight w:val="0"/>
          <w:marTop w:val="240"/>
          <w:marBottom w:val="240"/>
          <w:divBdr>
            <w:top w:val="none" w:sz="0" w:space="0" w:color="auto"/>
            <w:left w:val="none" w:sz="0" w:space="0" w:color="auto"/>
            <w:bottom w:val="none" w:sz="0" w:space="0" w:color="auto"/>
            <w:right w:val="none" w:sz="0" w:space="0" w:color="auto"/>
          </w:divBdr>
        </w:div>
      </w:divsChild>
    </w:div>
    <w:div w:id="149645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oleObject" Target="embeddings/oleObject1.bin"/><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www.biogearsengine.com/documentation/_c_d_m.html"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png"/><Relationship Id="rId10" Type="http://schemas.openxmlformats.org/officeDocument/2006/relationships/hyperlink" Target="https://www.biogearsengine.com/documentation/_nervous_methodology.html"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92BD6-9C7C-4853-BA5F-911CE2B17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16</Pages>
  <Words>4838</Words>
  <Characters>27583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J Baird</dc:creator>
  <cp:keywords/>
  <dc:description/>
  <cp:lastModifiedBy>Austin J Baird</cp:lastModifiedBy>
  <cp:revision>40</cp:revision>
  <dcterms:created xsi:type="dcterms:W3CDTF">2023-09-07T23:50:00Z</dcterms:created>
  <dcterms:modified xsi:type="dcterms:W3CDTF">2024-05-24T22:07:00Z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nNumsOnRight">
    <vt:bool>false</vt:bool>
  </property>
  <property fmtid="{D5CDD505-2E9C-101B-9397-08002B2CF9AE}" pid="3" name="MTEquationNumber2">
    <vt:lpwstr>(#S1.#E1)</vt:lpwstr>
  </property>
  <property fmtid="{D5CDD505-2E9C-101B-9397-08002B2CF9AE}" pid="4" name="MTEquationSection">
    <vt:lpwstr>1</vt:lpwstr>
  </property>
  <property fmtid="{D5CDD505-2E9C-101B-9397-08002B2CF9AE}" pid="5" name="MTWinEqns">
    <vt:bool>true</vt:bool>
  </property>
</Properties>
</file>