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D8B73" w14:textId="77777777" w:rsidR="00AD61AF" w:rsidRDefault="00AD61AF" w:rsidP="0061163C">
      <w:pPr>
        <w:spacing w:line="360" w:lineRule="auto"/>
        <w:jc w:val="both"/>
        <w:rPr>
          <w:rFonts w:asciiTheme="minorBidi" w:hAnsiTheme="minorBidi" w:cstheme="minorBidi"/>
          <w:b/>
          <w:bCs/>
          <w:sz w:val="26"/>
          <w:szCs w:val="26"/>
        </w:rPr>
      </w:pPr>
      <w:r>
        <w:rPr>
          <w:rFonts w:asciiTheme="minorBidi" w:hAnsiTheme="minorBidi" w:cstheme="minorBidi"/>
          <w:b/>
          <w:bCs/>
          <w:sz w:val="26"/>
          <w:szCs w:val="26"/>
        </w:rPr>
        <w:t xml:space="preserve">Supplementary material for </w:t>
      </w:r>
    </w:p>
    <w:p w14:paraId="6262EEE2" w14:textId="687F0B33" w:rsidR="0061163C" w:rsidRPr="004D0E34" w:rsidRDefault="0061163C" w:rsidP="0061163C">
      <w:pPr>
        <w:spacing w:line="360" w:lineRule="auto"/>
        <w:jc w:val="both"/>
        <w:rPr>
          <w:rFonts w:asciiTheme="minorBidi" w:hAnsiTheme="minorBidi" w:cstheme="minorBidi"/>
          <w:b/>
          <w:bCs/>
          <w:sz w:val="26"/>
          <w:szCs w:val="26"/>
        </w:rPr>
      </w:pPr>
      <w:r w:rsidRPr="004D0E34">
        <w:rPr>
          <w:rFonts w:asciiTheme="minorBidi" w:hAnsiTheme="minorBidi" w:cstheme="minorBidi"/>
          <w:b/>
          <w:bCs/>
          <w:sz w:val="26"/>
          <w:szCs w:val="26"/>
        </w:rPr>
        <w:t>Touchless monitoring of rapid dynamics in pupil size and gaze direction through closed eyes via short-wave infrared (SWIR) imaging</w:t>
      </w:r>
    </w:p>
    <w:p w14:paraId="087340E7" w14:textId="25E2F709" w:rsidR="0061163C" w:rsidRPr="004D0E34" w:rsidRDefault="0061163C" w:rsidP="0061163C">
      <w:pPr>
        <w:spacing w:line="360" w:lineRule="auto"/>
        <w:jc w:val="both"/>
        <w:rPr>
          <w:rFonts w:asciiTheme="minorBidi" w:hAnsiTheme="minorBidi" w:cstheme="minorBidi"/>
          <w:sz w:val="20"/>
          <w:szCs w:val="20"/>
        </w:rPr>
      </w:pPr>
      <w:r w:rsidRPr="004D0E34">
        <w:rPr>
          <w:rFonts w:asciiTheme="minorBidi" w:hAnsiTheme="minorBidi" w:cstheme="minorBidi"/>
          <w:sz w:val="20"/>
          <w:szCs w:val="20"/>
        </w:rPr>
        <w:t>Omer Ben Barak-Dror</w:t>
      </w:r>
      <w:r w:rsidRPr="004D0E34">
        <w:rPr>
          <w:rFonts w:asciiTheme="minorBidi" w:hAnsiTheme="minorBidi" w:cstheme="minorBidi"/>
          <w:sz w:val="20"/>
          <w:szCs w:val="20"/>
          <w:vertAlign w:val="superscript"/>
        </w:rPr>
        <w:t>1</w:t>
      </w:r>
      <w:r w:rsidRPr="004D0E34">
        <w:rPr>
          <w:rFonts w:asciiTheme="minorBidi" w:hAnsiTheme="minorBidi" w:cstheme="minorBidi"/>
          <w:sz w:val="20"/>
          <w:szCs w:val="20"/>
        </w:rPr>
        <w:t>, Barak Hadad</w:t>
      </w:r>
      <w:r w:rsidRPr="004D0E34">
        <w:rPr>
          <w:rFonts w:asciiTheme="minorBidi" w:hAnsiTheme="minorBidi" w:cstheme="minorBidi"/>
          <w:sz w:val="20"/>
          <w:szCs w:val="20"/>
          <w:vertAlign w:val="superscript"/>
        </w:rPr>
        <w:t>1</w:t>
      </w:r>
      <w:r w:rsidRPr="004D0E34">
        <w:rPr>
          <w:rFonts w:asciiTheme="minorBidi" w:hAnsiTheme="minorBidi" w:cstheme="minorBidi"/>
          <w:sz w:val="20"/>
          <w:szCs w:val="20"/>
        </w:rPr>
        <w:t>, Hani Barhom</w:t>
      </w:r>
      <w:r w:rsidRPr="004D0E34">
        <w:rPr>
          <w:rFonts w:asciiTheme="minorBidi" w:hAnsiTheme="minorBidi" w:cstheme="minorBidi"/>
          <w:sz w:val="20"/>
          <w:szCs w:val="20"/>
          <w:vertAlign w:val="superscript"/>
        </w:rPr>
        <w:t xml:space="preserve">2,3 </w:t>
      </w:r>
      <w:r w:rsidRPr="004D0E34">
        <w:rPr>
          <w:rFonts w:asciiTheme="minorBidi" w:hAnsiTheme="minorBidi" w:cstheme="minorBidi"/>
          <w:sz w:val="20"/>
          <w:szCs w:val="20"/>
        </w:rPr>
        <w:t xml:space="preserve">, </w:t>
      </w:r>
      <w:r w:rsidR="001D02CB" w:rsidRPr="004D0E34">
        <w:rPr>
          <w:rFonts w:asciiTheme="minorBidi" w:hAnsiTheme="minorBidi" w:cstheme="minorBidi"/>
          <w:sz w:val="20"/>
          <w:szCs w:val="20"/>
        </w:rPr>
        <w:t>David Haggiag</w:t>
      </w:r>
      <w:r w:rsidR="001D02CB" w:rsidRPr="004D0E34">
        <w:rPr>
          <w:rFonts w:asciiTheme="minorBidi" w:hAnsiTheme="minorBidi" w:cstheme="minorBidi"/>
          <w:sz w:val="20"/>
          <w:szCs w:val="20"/>
          <w:vertAlign w:val="superscript"/>
        </w:rPr>
        <w:t>4</w:t>
      </w:r>
      <w:r w:rsidR="001D02CB" w:rsidRPr="004D0E34">
        <w:rPr>
          <w:rFonts w:asciiTheme="minorBidi" w:hAnsiTheme="minorBidi" w:cstheme="minorBidi"/>
          <w:sz w:val="20"/>
          <w:szCs w:val="20"/>
        </w:rPr>
        <w:t xml:space="preserve">, </w:t>
      </w:r>
      <w:r w:rsidRPr="004D0E34">
        <w:rPr>
          <w:rFonts w:asciiTheme="minorBidi" w:hAnsiTheme="minorBidi" w:cstheme="minorBidi"/>
          <w:sz w:val="20"/>
          <w:szCs w:val="20"/>
        </w:rPr>
        <w:t>Michal Tepper</w:t>
      </w:r>
      <w:r w:rsidRPr="004D0E34">
        <w:rPr>
          <w:rFonts w:asciiTheme="minorBidi" w:hAnsiTheme="minorBidi" w:cstheme="minorBidi"/>
          <w:sz w:val="20"/>
          <w:szCs w:val="20"/>
          <w:vertAlign w:val="superscript"/>
        </w:rPr>
        <w:t>4</w:t>
      </w:r>
      <w:r w:rsidRPr="004D0E34">
        <w:rPr>
          <w:rFonts w:asciiTheme="minorBidi" w:hAnsiTheme="minorBidi" w:cstheme="minorBidi"/>
          <w:sz w:val="20"/>
          <w:szCs w:val="20"/>
        </w:rPr>
        <w:t>, Israel Gannot</w:t>
      </w:r>
      <w:r w:rsidRPr="004D0E34">
        <w:rPr>
          <w:rFonts w:asciiTheme="minorBidi" w:hAnsiTheme="minorBidi" w:cstheme="minorBidi"/>
          <w:sz w:val="20"/>
          <w:szCs w:val="20"/>
          <w:vertAlign w:val="superscript"/>
        </w:rPr>
        <w:t>4,*</w:t>
      </w:r>
      <w:r w:rsidRPr="004D0E34">
        <w:rPr>
          <w:rFonts w:asciiTheme="minorBidi" w:hAnsiTheme="minorBidi" w:cstheme="minorBidi"/>
          <w:sz w:val="20"/>
          <w:szCs w:val="20"/>
        </w:rPr>
        <w:t>, Yuval Nir</w:t>
      </w:r>
      <w:r w:rsidRPr="004D0E34">
        <w:rPr>
          <w:rFonts w:asciiTheme="minorBidi" w:hAnsiTheme="minorBidi" w:cstheme="minorBidi"/>
          <w:sz w:val="20"/>
          <w:szCs w:val="20"/>
          <w:vertAlign w:val="superscript"/>
        </w:rPr>
        <w:t>1,4,5,*</w:t>
      </w:r>
    </w:p>
    <w:p w14:paraId="488D8781" w14:textId="77777777" w:rsidR="0061163C" w:rsidRPr="004D0E34" w:rsidRDefault="0061163C" w:rsidP="0061163C">
      <w:pPr>
        <w:spacing w:after="0"/>
        <w:jc w:val="both"/>
        <w:rPr>
          <w:rFonts w:asciiTheme="minorBidi" w:hAnsiTheme="minorBidi" w:cstheme="minorBidi"/>
          <w:sz w:val="18"/>
          <w:szCs w:val="18"/>
        </w:rPr>
      </w:pPr>
      <w:r w:rsidRPr="004D0E34">
        <w:rPr>
          <w:rFonts w:asciiTheme="minorBidi" w:hAnsiTheme="minorBidi" w:cstheme="minorBidi"/>
          <w:sz w:val="18"/>
          <w:szCs w:val="18"/>
        </w:rPr>
        <w:t>1. Department of Physiology and Pharmacology, Faculty of Medicine, Tel Aviv University, Tel Aviv 699780, Israel</w:t>
      </w:r>
    </w:p>
    <w:p w14:paraId="7894326E" w14:textId="77777777" w:rsidR="0061163C" w:rsidRPr="004D0E34" w:rsidRDefault="0061163C" w:rsidP="0061163C">
      <w:pPr>
        <w:contextualSpacing/>
        <w:jc w:val="both"/>
        <w:rPr>
          <w:rFonts w:asciiTheme="minorBidi" w:hAnsiTheme="minorBidi" w:cstheme="minorBidi"/>
          <w:sz w:val="18"/>
          <w:szCs w:val="18"/>
        </w:rPr>
      </w:pPr>
      <w:r w:rsidRPr="004D0E34">
        <w:rPr>
          <w:rFonts w:asciiTheme="minorBidi" w:hAnsiTheme="minorBidi" w:cstheme="minorBidi"/>
          <w:sz w:val="18"/>
          <w:szCs w:val="18"/>
        </w:rPr>
        <w:t>2. School of Electrical Engineering, Faculty of Engineering, Tel Aviv University, Tel Aviv 6997801, Israel</w:t>
      </w:r>
    </w:p>
    <w:p w14:paraId="685FAC9B" w14:textId="77777777" w:rsidR="0061163C" w:rsidRPr="004D0E34" w:rsidRDefault="0061163C" w:rsidP="0061163C">
      <w:pPr>
        <w:contextualSpacing/>
        <w:jc w:val="both"/>
        <w:rPr>
          <w:rFonts w:asciiTheme="minorBidi" w:hAnsiTheme="minorBidi" w:cstheme="minorBidi"/>
          <w:sz w:val="18"/>
          <w:szCs w:val="18"/>
        </w:rPr>
      </w:pPr>
      <w:r w:rsidRPr="004D0E34">
        <w:rPr>
          <w:rFonts w:asciiTheme="minorBidi" w:hAnsiTheme="minorBidi" w:cstheme="minorBidi"/>
          <w:sz w:val="18"/>
          <w:szCs w:val="18"/>
        </w:rPr>
        <w:t>3. Triangle Regional Research and Development Center, Kfar Qara, 3007500, Israel</w:t>
      </w:r>
    </w:p>
    <w:p w14:paraId="396D9FE2" w14:textId="77777777" w:rsidR="0061163C" w:rsidRPr="004D0E34" w:rsidRDefault="0061163C" w:rsidP="0061163C">
      <w:pPr>
        <w:spacing w:after="0"/>
        <w:jc w:val="both"/>
        <w:rPr>
          <w:rFonts w:asciiTheme="minorBidi" w:hAnsiTheme="minorBidi" w:cstheme="minorBidi"/>
          <w:sz w:val="18"/>
          <w:szCs w:val="18"/>
        </w:rPr>
      </w:pPr>
      <w:r w:rsidRPr="004D0E34">
        <w:rPr>
          <w:rFonts w:asciiTheme="minorBidi" w:hAnsiTheme="minorBidi" w:cstheme="minorBidi"/>
          <w:sz w:val="18"/>
          <w:szCs w:val="18"/>
        </w:rPr>
        <w:t>4. Department of Biomedical Engineering, Faculty of Engineering, Tel Aviv University, Tel Aviv 6997801, Israel</w:t>
      </w:r>
    </w:p>
    <w:p w14:paraId="3D9B7852" w14:textId="77777777" w:rsidR="0061163C" w:rsidRPr="004D0E34" w:rsidRDefault="0061163C" w:rsidP="0061163C">
      <w:pPr>
        <w:spacing w:after="0"/>
        <w:jc w:val="both"/>
        <w:rPr>
          <w:rFonts w:asciiTheme="minorBidi" w:hAnsiTheme="minorBidi" w:cstheme="minorBidi"/>
          <w:sz w:val="18"/>
          <w:szCs w:val="18"/>
        </w:rPr>
      </w:pPr>
      <w:r w:rsidRPr="004D0E34">
        <w:rPr>
          <w:rFonts w:asciiTheme="minorBidi" w:hAnsiTheme="minorBidi" w:cstheme="minorBidi"/>
          <w:sz w:val="18"/>
          <w:szCs w:val="18"/>
        </w:rPr>
        <w:t>5. Sagol School of Neuroscience, Tel Aviv University, Tel Aviv 6997801, Israel</w:t>
      </w:r>
    </w:p>
    <w:p w14:paraId="1063A5C1" w14:textId="77777777" w:rsidR="0061163C" w:rsidRPr="004D0E34" w:rsidRDefault="0061163C" w:rsidP="0061163C">
      <w:pPr>
        <w:jc w:val="both"/>
        <w:rPr>
          <w:rFonts w:asciiTheme="minorBidi" w:hAnsiTheme="minorBidi" w:cstheme="minorBidi"/>
          <w:sz w:val="18"/>
          <w:szCs w:val="18"/>
        </w:rPr>
      </w:pPr>
    </w:p>
    <w:p w14:paraId="59DA86EC" w14:textId="77777777" w:rsidR="0061163C" w:rsidRPr="004D0E34" w:rsidRDefault="0061163C" w:rsidP="0061163C">
      <w:pPr>
        <w:pBdr>
          <w:top w:val="nil"/>
          <w:left w:val="nil"/>
          <w:bottom w:val="nil"/>
          <w:right w:val="nil"/>
          <w:between w:val="nil"/>
        </w:pBdr>
        <w:spacing w:after="360" w:line="360" w:lineRule="auto"/>
        <w:jc w:val="both"/>
        <w:rPr>
          <w:rFonts w:asciiTheme="minorBidi" w:hAnsiTheme="minorBidi" w:cstheme="minorBidi"/>
          <w:color w:val="0000FF"/>
          <w:sz w:val="18"/>
          <w:szCs w:val="18"/>
          <w:u w:val="single"/>
        </w:rPr>
      </w:pPr>
      <w:r w:rsidRPr="004D0E34">
        <w:rPr>
          <w:rFonts w:asciiTheme="minorBidi" w:hAnsiTheme="minorBidi" w:cstheme="minorBidi"/>
          <w:color w:val="000000"/>
          <w:sz w:val="18"/>
          <w:szCs w:val="18"/>
        </w:rPr>
        <w:t xml:space="preserve">*Corresponding authors: Yuval Nir, </w:t>
      </w:r>
      <w:r w:rsidRPr="004D0E34">
        <w:rPr>
          <w:rFonts w:asciiTheme="minorBidi" w:hAnsiTheme="minorBidi" w:cstheme="minorBidi"/>
          <w:color w:val="0000FF"/>
          <w:sz w:val="18"/>
          <w:szCs w:val="18"/>
          <w:u w:val="single"/>
        </w:rPr>
        <w:t>ynir@tauex.tau.ac.il;</w:t>
      </w:r>
      <w:r w:rsidRPr="004D0E34">
        <w:rPr>
          <w:rFonts w:asciiTheme="minorBidi" w:hAnsiTheme="minorBidi" w:cstheme="minorBidi"/>
          <w:color w:val="000000"/>
          <w:sz w:val="18"/>
          <w:szCs w:val="18"/>
        </w:rPr>
        <w:t xml:space="preserve"> Israel Gannot, </w:t>
      </w:r>
      <w:r w:rsidRPr="004D0E34">
        <w:rPr>
          <w:rFonts w:asciiTheme="minorBidi" w:hAnsiTheme="minorBidi" w:cstheme="minorBidi"/>
          <w:color w:val="0000FF"/>
          <w:sz w:val="18"/>
          <w:szCs w:val="18"/>
          <w:u w:val="single"/>
        </w:rPr>
        <w:t>gannoti@tauex.tau.ac.il</w:t>
      </w:r>
    </w:p>
    <w:p w14:paraId="671853A9" w14:textId="77777777" w:rsidR="00275364" w:rsidRDefault="00AD61AF" w:rsidP="009A7758">
      <w:pPr>
        <w:spacing w:after="160" w:line="259" w:lineRule="auto"/>
        <w:rPr>
          <w:rFonts w:asciiTheme="minorBidi" w:hAnsiTheme="minorBidi" w:cstheme="minorBidi"/>
          <w:b/>
          <w:color w:val="000000"/>
          <w:u w:val="single"/>
        </w:rPr>
      </w:pPr>
      <w:bookmarkStart w:id="0" w:name="bookmark=id.30j0zll" w:colFirst="0" w:colLast="0"/>
      <w:bookmarkStart w:id="1" w:name="bookmark=id.gjdgxs" w:colFirst="0" w:colLast="0"/>
      <w:bookmarkStart w:id="2" w:name="bookmark=id.1fob9te" w:colFirst="0" w:colLast="0"/>
      <w:bookmarkStart w:id="3" w:name="bookmark=id.3znysh7" w:colFirst="0" w:colLast="0"/>
      <w:bookmarkEnd w:id="0"/>
      <w:bookmarkEnd w:id="1"/>
      <w:bookmarkEnd w:id="2"/>
      <w:bookmarkEnd w:id="3"/>
      <w:r>
        <w:rPr>
          <w:rFonts w:asciiTheme="minorBidi" w:hAnsiTheme="minorBidi" w:cstheme="minorBidi"/>
          <w:b/>
          <w:color w:val="000000"/>
          <w:u w:val="single"/>
        </w:rPr>
        <w:br w:type="page"/>
      </w:r>
    </w:p>
    <w:p w14:paraId="3739D550" w14:textId="28FEC4B3" w:rsidR="00275364" w:rsidRPr="004D0E34" w:rsidRDefault="00275364" w:rsidP="00275364">
      <w:pPr>
        <w:keepNext/>
        <w:pBdr>
          <w:top w:val="nil"/>
          <w:left w:val="nil"/>
          <w:bottom w:val="nil"/>
          <w:right w:val="nil"/>
          <w:between w:val="nil"/>
        </w:pBdr>
        <w:spacing w:after="0"/>
        <w:rPr>
          <w:rFonts w:asciiTheme="minorBidi" w:hAnsiTheme="minorBidi" w:cstheme="minorBidi"/>
          <w:b/>
          <w:color w:val="000000"/>
          <w:u w:val="single"/>
        </w:rPr>
      </w:pPr>
      <w:r>
        <w:rPr>
          <w:rFonts w:asciiTheme="minorBidi" w:hAnsiTheme="minorBidi" w:cstheme="minorBidi"/>
          <w:b/>
          <w:color w:val="000000"/>
          <w:u w:val="single"/>
        </w:rPr>
        <w:lastRenderedPageBreak/>
        <w:t xml:space="preserve">Supplementary Note </w:t>
      </w:r>
      <w:r w:rsidR="00F5391E">
        <w:rPr>
          <w:rFonts w:asciiTheme="minorBidi" w:hAnsiTheme="minorBidi" w:cstheme="minorBidi"/>
          <w:b/>
          <w:color w:val="000000"/>
          <w:u w:val="single"/>
        </w:rPr>
        <w:t xml:space="preserve">1 </w:t>
      </w:r>
      <w:r>
        <w:rPr>
          <w:rFonts w:asciiTheme="minorBidi" w:hAnsiTheme="minorBidi" w:cstheme="minorBidi"/>
          <w:b/>
          <w:color w:val="000000"/>
          <w:u w:val="single"/>
        </w:rPr>
        <w:t xml:space="preserve">- Safety and IR exposure </w:t>
      </w:r>
    </w:p>
    <w:p w14:paraId="40B93581" w14:textId="77777777" w:rsidR="00275364" w:rsidRPr="00AD61AF" w:rsidRDefault="00275364" w:rsidP="00275364">
      <w:pPr>
        <w:spacing w:after="0" w:line="276" w:lineRule="auto"/>
        <w:rPr>
          <w:rFonts w:asciiTheme="minorBidi" w:hAnsiTheme="minorBidi" w:cstheme="minorBidi"/>
          <w:noProof/>
          <w:lang w:bidi="he-IL"/>
        </w:rPr>
      </w:pPr>
    </w:p>
    <w:p w14:paraId="1C466EBB" w14:textId="77777777" w:rsidR="00275364" w:rsidRPr="00E02393" w:rsidRDefault="00275364" w:rsidP="00275364">
      <w:pPr>
        <w:jc w:val="both"/>
        <w:rPr>
          <w:rFonts w:asciiTheme="minorBidi" w:hAnsiTheme="minorBidi" w:cstheme="minorBidi"/>
          <w:color w:val="212121"/>
        </w:rPr>
      </w:pPr>
      <w:r w:rsidRPr="000E0ABA">
        <w:rPr>
          <w:rFonts w:asciiTheme="minorBidi" w:hAnsiTheme="minorBidi" w:cstheme="minorBidi"/>
        </w:rPr>
        <w:t xml:space="preserve">The experimental setups in this study include </w:t>
      </w:r>
      <w:r>
        <w:rPr>
          <w:rFonts w:asciiTheme="minorBidi" w:hAnsiTheme="minorBidi" w:cstheme="minorBidi"/>
        </w:rPr>
        <w:t>two illumination</w:t>
      </w:r>
      <w:r w:rsidRPr="000E0ABA">
        <w:rPr>
          <w:rFonts w:asciiTheme="minorBidi" w:hAnsiTheme="minorBidi" w:cstheme="minorBidi"/>
        </w:rPr>
        <w:t xml:space="preserve"> LEDs: </w:t>
      </w:r>
      <w:r>
        <w:rPr>
          <w:rFonts w:asciiTheme="minorBidi" w:hAnsiTheme="minorBidi" w:cstheme="minorBidi"/>
        </w:rPr>
        <w:t>One illuminating at 1100nm (</w:t>
      </w:r>
      <w:r w:rsidRPr="004D0E34">
        <w:rPr>
          <w:rFonts w:asciiTheme="minorBidi" w:hAnsiTheme="minorBidi" w:cstheme="minorBidi"/>
          <w:color w:val="212121"/>
        </w:rPr>
        <w:t>Thorlabs M1100D1</w:t>
      </w:r>
      <w:r w:rsidRPr="004D0E34">
        <w:rPr>
          <w:rFonts w:asciiTheme="minorBidi" w:hAnsiTheme="minorBidi" w:cstheme="minorBidi"/>
          <w:i/>
          <w:color w:val="212121"/>
        </w:rPr>
        <w:t xml:space="preserve">, </w:t>
      </w:r>
      <w:r>
        <w:rPr>
          <w:rFonts w:asciiTheme="minorBidi" w:hAnsiTheme="minorBidi" w:cstheme="minorBidi"/>
        </w:rPr>
        <w:t>168</w:t>
      </w:r>
      <w:r w:rsidRPr="004D0E34">
        <w:rPr>
          <w:rFonts w:asciiTheme="minorBidi" w:hAnsiTheme="minorBidi" w:cstheme="minorBidi"/>
        </w:rPr>
        <w:t>mW</w:t>
      </w:r>
      <w:r>
        <w:rPr>
          <w:rFonts w:asciiTheme="minorBidi" w:hAnsiTheme="minorBidi" w:cstheme="minorBidi"/>
        </w:rPr>
        <w:t>(min)</w:t>
      </w:r>
      <w:r w:rsidRPr="004D0E34">
        <w:rPr>
          <w:rFonts w:asciiTheme="minorBidi" w:hAnsiTheme="minorBidi" w:cstheme="minorBidi"/>
        </w:rPr>
        <w:t>)</w:t>
      </w:r>
      <w:r>
        <w:rPr>
          <w:rFonts w:asciiTheme="minorBidi" w:hAnsiTheme="minorBidi" w:cstheme="minorBidi"/>
        </w:rPr>
        <w:t xml:space="preserve"> that was used for all the experiments and a second </w:t>
      </w:r>
      <w:r w:rsidRPr="000E0ABA">
        <w:rPr>
          <w:rFonts w:asciiTheme="minorBidi" w:hAnsiTheme="minorBidi" w:cstheme="minorBidi"/>
        </w:rPr>
        <w:t xml:space="preserve">illumination LED </w:t>
      </w:r>
      <w:r>
        <w:rPr>
          <w:rFonts w:asciiTheme="minorBidi" w:hAnsiTheme="minorBidi" w:cstheme="minorBidi"/>
        </w:rPr>
        <w:t xml:space="preserve">used only </w:t>
      </w:r>
      <w:r w:rsidRPr="000E0ABA">
        <w:rPr>
          <w:rFonts w:asciiTheme="minorBidi" w:hAnsiTheme="minorBidi" w:cstheme="minorBidi"/>
        </w:rPr>
        <w:t xml:space="preserve">for the open eye in the barrier experiments (1200nm, </w:t>
      </w:r>
      <w:r w:rsidRPr="004D0E34">
        <w:rPr>
          <w:rFonts w:asciiTheme="minorBidi" w:hAnsiTheme="minorBidi" w:cstheme="minorBidi"/>
          <w:color w:val="212121"/>
        </w:rPr>
        <w:t>Thorlabs M1</w:t>
      </w:r>
      <w:r>
        <w:rPr>
          <w:rFonts w:asciiTheme="minorBidi" w:hAnsiTheme="minorBidi" w:cstheme="minorBidi"/>
          <w:color w:val="212121"/>
        </w:rPr>
        <w:t>2</w:t>
      </w:r>
      <w:r w:rsidRPr="004D0E34">
        <w:rPr>
          <w:rFonts w:asciiTheme="minorBidi" w:hAnsiTheme="minorBidi" w:cstheme="minorBidi"/>
          <w:color w:val="212121"/>
        </w:rPr>
        <w:t>00D</w:t>
      </w:r>
      <w:r>
        <w:rPr>
          <w:rFonts w:asciiTheme="minorBidi" w:hAnsiTheme="minorBidi" w:cstheme="minorBidi"/>
          <w:color w:val="212121"/>
        </w:rPr>
        <w:t>3</w:t>
      </w:r>
      <w:r w:rsidRPr="004D0E34">
        <w:rPr>
          <w:rFonts w:asciiTheme="minorBidi" w:hAnsiTheme="minorBidi" w:cstheme="minorBidi"/>
          <w:i/>
          <w:color w:val="212121"/>
        </w:rPr>
        <w:t xml:space="preserve">, </w:t>
      </w:r>
      <w:r>
        <w:rPr>
          <w:rFonts w:asciiTheme="minorBidi" w:hAnsiTheme="minorBidi" w:cstheme="minorBidi"/>
        </w:rPr>
        <w:t>136</w:t>
      </w:r>
      <w:r w:rsidRPr="004D0E34">
        <w:rPr>
          <w:rFonts w:asciiTheme="minorBidi" w:hAnsiTheme="minorBidi" w:cstheme="minorBidi"/>
        </w:rPr>
        <w:t>mW</w:t>
      </w:r>
      <w:r>
        <w:rPr>
          <w:rFonts w:asciiTheme="minorBidi" w:hAnsiTheme="minorBidi" w:cstheme="minorBidi"/>
        </w:rPr>
        <w:t>(min)</w:t>
      </w:r>
      <w:r w:rsidRPr="000E0ABA">
        <w:rPr>
          <w:rFonts w:asciiTheme="minorBidi" w:hAnsiTheme="minorBidi" w:cstheme="minorBidi"/>
        </w:rPr>
        <w:t>). Th</w:t>
      </w:r>
      <w:r>
        <w:rPr>
          <w:rFonts w:asciiTheme="minorBidi" w:hAnsiTheme="minorBidi" w:cstheme="minorBidi"/>
        </w:rPr>
        <w:t xml:space="preserve">ese LEDs were </w:t>
      </w:r>
      <w:r w:rsidRPr="000E0ABA">
        <w:rPr>
          <w:rFonts w:asciiTheme="minorBidi" w:hAnsiTheme="minorBidi" w:cstheme="minorBidi"/>
        </w:rPr>
        <w:t xml:space="preserve">used throughout experiments </w:t>
      </w:r>
      <w:r>
        <w:rPr>
          <w:rFonts w:asciiTheme="minorBidi" w:hAnsiTheme="minorBidi" w:cstheme="minorBidi"/>
          <w:color w:val="212121"/>
        </w:rPr>
        <w:t>lasting</w:t>
      </w:r>
      <w:r w:rsidRPr="00E02393">
        <w:rPr>
          <w:rFonts w:asciiTheme="minorBidi" w:hAnsiTheme="minorBidi" w:cstheme="minorBidi"/>
          <w:color w:val="212121"/>
        </w:rPr>
        <w:t xml:space="preserve"> several minutes</w:t>
      </w:r>
      <w:r>
        <w:rPr>
          <w:rFonts w:asciiTheme="minorBidi" w:hAnsiTheme="minorBidi" w:cstheme="minorBidi"/>
          <w:color w:val="212121"/>
        </w:rPr>
        <w:t xml:space="preserve"> and constitute an exposure level that is safe for longer continuous exposures (hours) when used in future clinical settings</w:t>
      </w:r>
      <w:r w:rsidRPr="00E02393">
        <w:rPr>
          <w:rFonts w:asciiTheme="minorBidi" w:hAnsiTheme="minorBidi" w:cstheme="minorBidi"/>
          <w:color w:val="212121"/>
        </w:rPr>
        <w:t xml:space="preserve">. </w:t>
      </w:r>
    </w:p>
    <w:p w14:paraId="5512BFBE" w14:textId="77777777" w:rsidR="00275364" w:rsidRPr="00E02393" w:rsidRDefault="00275364" w:rsidP="00275364">
      <w:pPr>
        <w:jc w:val="both"/>
        <w:rPr>
          <w:rFonts w:asciiTheme="minorBidi" w:hAnsiTheme="minorBidi" w:cstheme="minorBidi"/>
          <w:color w:val="212121"/>
        </w:rPr>
      </w:pPr>
      <w:r w:rsidRPr="00E02393">
        <w:rPr>
          <w:rFonts w:asciiTheme="minorBidi" w:hAnsiTheme="minorBidi" w:cstheme="minorBidi"/>
          <w:color w:val="212121"/>
        </w:rPr>
        <w:t xml:space="preserve">According to the manufacturer, </w:t>
      </w:r>
      <w:r>
        <w:rPr>
          <w:rFonts w:asciiTheme="minorBidi" w:hAnsiTheme="minorBidi" w:cstheme="minorBidi"/>
          <w:color w:val="212121"/>
        </w:rPr>
        <w:t xml:space="preserve">the risk group of </w:t>
      </w:r>
      <w:r w:rsidRPr="00E02393">
        <w:rPr>
          <w:rFonts w:asciiTheme="minorBidi" w:hAnsiTheme="minorBidi" w:cstheme="minorBidi"/>
          <w:color w:val="212121"/>
        </w:rPr>
        <w:t xml:space="preserve">both LEDs </w:t>
      </w:r>
      <w:r>
        <w:rPr>
          <w:rFonts w:asciiTheme="minorBidi" w:hAnsiTheme="minorBidi" w:cstheme="minorBidi"/>
          <w:color w:val="212121"/>
        </w:rPr>
        <w:t xml:space="preserve">is </w:t>
      </w:r>
      <w:r w:rsidRPr="00E02393">
        <w:rPr>
          <w:rFonts w:asciiTheme="minorBidi" w:hAnsiTheme="minorBidi" w:cstheme="minorBidi"/>
          <w:color w:val="212121"/>
        </w:rPr>
        <w:t xml:space="preserve">classified </w:t>
      </w:r>
      <w:r>
        <w:rPr>
          <w:rFonts w:asciiTheme="minorBidi" w:hAnsiTheme="minorBidi" w:cstheme="minorBidi"/>
          <w:color w:val="212121"/>
        </w:rPr>
        <w:t xml:space="preserve">as </w:t>
      </w:r>
      <w:r w:rsidRPr="00E02393">
        <w:rPr>
          <w:rFonts w:asciiTheme="minorBidi" w:hAnsiTheme="minorBidi" w:cstheme="minorBidi"/>
          <w:color w:val="212121"/>
        </w:rPr>
        <w:t xml:space="preserve">“RG0 – exempt” according to the Standard IEC 62471:2006, Photobiological Safety of Lamps and Lamp Systems, indicating that they are safe for continuous exposure at distances </w:t>
      </w:r>
      <w:r>
        <w:rPr>
          <w:rFonts w:asciiTheme="minorBidi" w:hAnsiTheme="minorBidi" w:cstheme="minorBidi"/>
          <w:color w:val="212121"/>
        </w:rPr>
        <w:t xml:space="preserve">of </w:t>
      </w:r>
      <w:r w:rsidRPr="00E02393">
        <w:rPr>
          <w:rFonts w:asciiTheme="minorBidi" w:hAnsiTheme="minorBidi" w:cstheme="minorBidi"/>
          <w:color w:val="212121"/>
        </w:rPr>
        <w:t>20cm or more</w:t>
      </w:r>
      <w:r>
        <w:rPr>
          <w:rFonts w:asciiTheme="minorBidi" w:hAnsiTheme="minorBidi" w:cstheme="minorBidi"/>
          <w:color w:val="212121"/>
        </w:rPr>
        <w:t>. As the 1100nm LED was used at a distance of 18cm from the participant’s eyes, a full IR exposure analysis was conducted as follows:</w:t>
      </w:r>
    </w:p>
    <w:p w14:paraId="4B52C49F" w14:textId="77777777" w:rsidR="00275364" w:rsidRPr="000E0ABA" w:rsidRDefault="00275364" w:rsidP="00275364">
      <w:pPr>
        <w:jc w:val="both"/>
        <w:rPr>
          <w:rFonts w:asciiTheme="minorBidi" w:hAnsiTheme="minorBidi" w:cstheme="minorBidi"/>
          <w:rtl/>
        </w:rPr>
      </w:pPr>
      <w:r w:rsidRPr="00E02393">
        <w:rPr>
          <w:rFonts w:asciiTheme="minorBidi" w:hAnsiTheme="minorBidi" w:cstheme="minorBidi"/>
          <w:color w:val="212121"/>
        </w:rPr>
        <w:t>Near infrared illumination</w:t>
      </w:r>
      <w:r w:rsidRPr="000E0ABA">
        <w:rPr>
          <w:rFonts w:asciiTheme="minorBidi" w:hAnsiTheme="minorBidi" w:cstheme="minorBidi"/>
        </w:rPr>
        <w:t xml:space="preserve"> is associated with three main potential health risks: thermal skin burns, damage to the cornea (leading to cataract), and retinal burns. The following calculations demonstrate the safety of the selected LEDs for each of these risks according to standard guidelines</w:t>
      </w:r>
      <w:r>
        <w:rPr>
          <w:rFonts w:asciiTheme="minorBidi" w:hAnsiTheme="minorBidi" w:cstheme="minorBidi"/>
        </w:rPr>
        <w:t xml:space="preserve"> and practices in the context of continuous and extended duration use (</w:t>
      </w:r>
      <w:r w:rsidRPr="00110F88">
        <w:rPr>
          <w:rFonts w:asciiTheme="minorBidi" w:hAnsiTheme="minorBidi" w:cstheme="minorBidi"/>
        </w:rPr>
        <w:t>ICNIRP Guidelines on Limits of Exposure to Incoherent Visible and Infrared Radiation, International Commission on Non-Ionizing Radiation Protection</w:t>
      </w:r>
      <w:r>
        <w:rPr>
          <w:rFonts w:asciiTheme="minorBidi" w:hAnsiTheme="minorBidi" w:cstheme="minorBidi"/>
        </w:rPr>
        <w:t>)</w:t>
      </w:r>
      <w:r w:rsidRPr="000E0ABA">
        <w:rPr>
          <w:rFonts w:asciiTheme="minorBidi" w:hAnsiTheme="minorBidi" w:cstheme="minorBidi"/>
        </w:rPr>
        <w:t xml:space="preserve">. </w:t>
      </w:r>
    </w:p>
    <w:p w14:paraId="414DF77B" w14:textId="77777777" w:rsidR="00275364" w:rsidRPr="000E0ABA" w:rsidRDefault="00275364" w:rsidP="00275364">
      <w:pPr>
        <w:jc w:val="both"/>
        <w:rPr>
          <w:rFonts w:asciiTheme="minorBidi" w:hAnsiTheme="minorBidi" w:cstheme="minorBidi"/>
          <w:u w:val="single"/>
          <w:rtl/>
        </w:rPr>
      </w:pPr>
      <w:r w:rsidRPr="000E0ABA">
        <w:rPr>
          <w:rFonts w:asciiTheme="minorBidi" w:hAnsiTheme="minorBidi" w:cstheme="minorBidi"/>
          <w:u w:val="single"/>
        </w:rPr>
        <w:t>Detailed estimations:</w:t>
      </w:r>
    </w:p>
    <w:p w14:paraId="671BFCDA" w14:textId="77777777" w:rsidR="00275364" w:rsidRPr="000E0ABA" w:rsidRDefault="00275364" w:rsidP="00275364">
      <w:pPr>
        <w:pStyle w:val="ListParagraph"/>
        <w:numPr>
          <w:ilvl w:val="0"/>
          <w:numId w:val="3"/>
        </w:numPr>
        <w:spacing w:after="160" w:line="259" w:lineRule="auto"/>
        <w:jc w:val="both"/>
        <w:rPr>
          <w:rFonts w:asciiTheme="minorBidi" w:hAnsiTheme="minorBidi" w:cstheme="minorBidi"/>
        </w:rPr>
      </w:pPr>
      <w:r w:rsidRPr="000E0ABA">
        <w:rPr>
          <w:rFonts w:asciiTheme="minorBidi" w:hAnsiTheme="minorBidi" w:cstheme="minorBidi"/>
        </w:rPr>
        <w:t>Thermal skin burns</w:t>
      </w:r>
    </w:p>
    <w:p w14:paraId="37C028DD" w14:textId="044B29A3" w:rsidR="00275364" w:rsidRPr="000E0ABA" w:rsidRDefault="00275364" w:rsidP="00275364">
      <w:pPr>
        <w:jc w:val="both"/>
        <w:rPr>
          <w:rFonts w:asciiTheme="minorBidi" w:hAnsiTheme="minorBidi" w:cstheme="minorBidi"/>
        </w:rPr>
      </w:pPr>
      <w:r w:rsidRPr="000E0ABA">
        <w:rPr>
          <w:rFonts w:asciiTheme="minorBidi" w:hAnsiTheme="minorBidi" w:cstheme="minorBidi"/>
        </w:rPr>
        <w:t>According to the literature, for exposure</w:t>
      </w:r>
      <w:r>
        <w:rPr>
          <w:rFonts w:asciiTheme="minorBidi" w:hAnsiTheme="minorBidi" w:cstheme="minorBidi"/>
        </w:rPr>
        <w:t>s longer</w:t>
      </w:r>
      <w:r w:rsidRPr="000E0ABA">
        <w:rPr>
          <w:rFonts w:asciiTheme="minorBidi" w:hAnsiTheme="minorBidi" w:cstheme="minorBidi"/>
        </w:rPr>
        <w:t xml:space="preserve"> than ten seconds, acute pain occurs before the skin can be damaged. In addition, the skin exposure limit is not lower than the cornea exposure limit for exposures of up to several seconds. Therefore, for the purposes of this analysis</w:t>
      </w:r>
      <w:r>
        <w:rPr>
          <w:rFonts w:asciiTheme="minorBidi" w:hAnsiTheme="minorBidi" w:cstheme="minorBidi"/>
        </w:rPr>
        <w:t>,</w:t>
      </w:r>
      <w:r w:rsidRPr="000E0ABA">
        <w:rPr>
          <w:rFonts w:asciiTheme="minorBidi" w:hAnsiTheme="minorBidi" w:cstheme="minorBidi"/>
        </w:rPr>
        <w:t xml:space="preserve"> it is assumed that the limiting factors are the retinal and corneal exposure limits and not the skin damage limit. </w:t>
      </w:r>
    </w:p>
    <w:p w14:paraId="61EC6ED0" w14:textId="77777777" w:rsidR="00275364" w:rsidRPr="000E0ABA" w:rsidRDefault="00275364" w:rsidP="00275364">
      <w:pPr>
        <w:pStyle w:val="ListParagraph"/>
        <w:numPr>
          <w:ilvl w:val="0"/>
          <w:numId w:val="3"/>
        </w:numPr>
        <w:spacing w:after="160" w:line="259" w:lineRule="auto"/>
        <w:jc w:val="both"/>
        <w:rPr>
          <w:rFonts w:asciiTheme="minorBidi" w:hAnsiTheme="minorBidi" w:cstheme="minorBidi"/>
        </w:rPr>
      </w:pPr>
      <w:r>
        <w:rPr>
          <w:rFonts w:asciiTheme="minorBidi" w:hAnsiTheme="minorBidi" w:cstheme="minorBidi"/>
        </w:rPr>
        <w:t>E</w:t>
      </w:r>
      <w:r w:rsidRPr="000E0ABA">
        <w:rPr>
          <w:rFonts w:asciiTheme="minorBidi" w:hAnsiTheme="minorBidi" w:cstheme="minorBidi"/>
        </w:rPr>
        <w:t>xposure limit</w:t>
      </w:r>
      <w:r>
        <w:rPr>
          <w:rFonts w:asciiTheme="minorBidi" w:hAnsiTheme="minorBidi" w:cstheme="minorBidi"/>
        </w:rPr>
        <w:t xml:space="preserve"> for cornea damage</w:t>
      </w:r>
    </w:p>
    <w:p w14:paraId="46641B2C" w14:textId="77777777" w:rsidR="00275364" w:rsidRPr="000E0ABA" w:rsidRDefault="00275364" w:rsidP="00275364">
      <w:pPr>
        <w:jc w:val="both"/>
        <w:rPr>
          <w:rFonts w:asciiTheme="minorBidi" w:hAnsiTheme="minorBidi" w:cstheme="minorBidi"/>
        </w:rPr>
      </w:pPr>
      <w:r>
        <w:rPr>
          <w:rFonts w:asciiTheme="minorBidi" w:hAnsiTheme="minorBidi" w:cstheme="minorBidi"/>
        </w:rPr>
        <w:t>The maximal exposure threshold is the threshold f</w:t>
      </w:r>
      <w:r w:rsidRPr="000E0ABA">
        <w:rPr>
          <w:rFonts w:asciiTheme="minorBidi" w:hAnsiTheme="minorBidi" w:cstheme="minorBidi"/>
        </w:rPr>
        <w:t>or exposure</w:t>
      </w:r>
      <w:r>
        <w:rPr>
          <w:rFonts w:asciiTheme="minorBidi" w:hAnsiTheme="minorBidi" w:cstheme="minorBidi"/>
        </w:rPr>
        <w:t xml:space="preserve">s longer than </w:t>
      </w:r>
      <w:r w:rsidRPr="000E0ABA">
        <w:rPr>
          <w:rFonts w:asciiTheme="minorBidi" w:hAnsiTheme="minorBidi" w:cstheme="minorBidi"/>
        </w:rPr>
        <w:t>1000 seconds</w:t>
      </w:r>
      <w:r>
        <w:rPr>
          <w:rFonts w:asciiTheme="minorBidi" w:hAnsiTheme="minorBidi" w:cstheme="minorBidi"/>
        </w:rPr>
        <w:t>. In these scenarios,</w:t>
      </w:r>
      <w:r w:rsidRPr="000E0ABA">
        <w:rPr>
          <w:rFonts w:asciiTheme="minorBidi" w:hAnsiTheme="minorBidi" w:cstheme="minorBidi"/>
        </w:rPr>
        <w:t xml:space="preserve"> the exposure limit does not depend on the duration of the exposure and a fixed value is used. For a single source, this value is equal to 100W/m</w:t>
      </w:r>
      <w:r w:rsidRPr="000E0ABA">
        <w:rPr>
          <w:rFonts w:asciiTheme="minorBidi" w:hAnsiTheme="minorBidi" w:cstheme="minorBidi"/>
          <w:vertAlign w:val="superscript"/>
        </w:rPr>
        <w:t>2</w:t>
      </w:r>
      <w:r w:rsidRPr="000E0ABA">
        <w:rPr>
          <w:rFonts w:asciiTheme="minorBidi" w:hAnsiTheme="minorBidi" w:cstheme="minorBidi"/>
        </w:rPr>
        <w:t xml:space="preserve">. </w:t>
      </w:r>
    </w:p>
    <w:p w14:paraId="09733942" w14:textId="712C7061" w:rsidR="00275364" w:rsidRPr="000E0ABA" w:rsidRDefault="00275364" w:rsidP="00275364">
      <w:pPr>
        <w:jc w:val="both"/>
        <w:rPr>
          <w:rFonts w:asciiTheme="minorBidi" w:hAnsiTheme="minorBidi" w:cstheme="minorBidi"/>
        </w:rPr>
      </w:pPr>
      <w:r w:rsidRPr="000E0ABA">
        <w:rPr>
          <w:rFonts w:asciiTheme="minorBidi" w:hAnsiTheme="minorBidi" w:cstheme="minorBidi"/>
        </w:rPr>
        <w:t xml:space="preserve">At an illumination distance of </w:t>
      </w:r>
      <w:r>
        <w:rPr>
          <w:rFonts w:asciiTheme="minorBidi" w:hAnsiTheme="minorBidi" w:cstheme="minorBidi"/>
        </w:rPr>
        <w:t>18</w:t>
      </w:r>
      <w:r w:rsidRPr="000E0ABA">
        <w:rPr>
          <w:rFonts w:asciiTheme="minorBidi" w:hAnsiTheme="minorBidi" w:cstheme="minorBidi"/>
        </w:rPr>
        <w:t xml:space="preserve">cm, the illumination of the selected LED is </w:t>
      </w:r>
      <m:oMath>
        <m:r>
          <w:rPr>
            <w:rFonts w:ascii="Cambria Math" w:hAnsi="Cambria Math" w:cstheme="minorBidi"/>
          </w:rPr>
          <m:t>22.2</m:t>
        </m:r>
        <m:f>
          <m:fPr>
            <m:ctrlPr>
              <w:rPr>
                <w:rFonts w:ascii="Cambria Math" w:hAnsi="Cambria Math" w:cstheme="minorBidi"/>
                <w:i/>
              </w:rPr>
            </m:ctrlPr>
          </m:fPr>
          <m:num>
            <m:r>
              <w:rPr>
                <w:rFonts w:ascii="Cambria Math" w:hAnsi="Cambria Math" w:cstheme="minorBidi"/>
              </w:rPr>
              <m:t>μW</m:t>
            </m:r>
          </m:num>
          <m:den>
            <m:sSup>
              <m:sSupPr>
                <m:ctrlPr>
                  <w:rPr>
                    <w:rFonts w:ascii="Cambria Math" w:hAnsi="Cambria Math" w:cstheme="minorBidi"/>
                    <w:i/>
                  </w:rPr>
                </m:ctrlPr>
              </m:sSupPr>
              <m:e>
                <m:r>
                  <w:rPr>
                    <w:rFonts w:ascii="Cambria Math" w:hAnsi="Cambria Math" w:cstheme="minorBidi"/>
                  </w:rPr>
                  <m:t>mm</m:t>
                </m:r>
              </m:e>
              <m:sup>
                <m:r>
                  <w:rPr>
                    <w:rFonts w:ascii="Cambria Math" w:hAnsi="Cambria Math" w:cstheme="minorBidi"/>
                  </w:rPr>
                  <m:t>2</m:t>
                </m:r>
              </m:sup>
            </m:sSup>
          </m:den>
        </m:f>
        <m:r>
          <w:rPr>
            <w:rFonts w:ascii="Cambria Math" w:hAnsi="Cambria Math" w:cstheme="minorBidi"/>
          </w:rPr>
          <m:t>=</m:t>
        </m:r>
        <w:bookmarkStart w:id="4" w:name="_Hlk150761306"/>
        <m:r>
          <w:rPr>
            <w:rFonts w:ascii="Cambria Math" w:hAnsi="Cambria Math" w:cstheme="minorBidi"/>
          </w:rPr>
          <m:t>22.2</m:t>
        </m:r>
        <m:f>
          <m:fPr>
            <m:ctrlPr>
              <w:rPr>
                <w:rFonts w:ascii="Cambria Math" w:hAnsi="Cambria Math" w:cstheme="minorBidi"/>
                <w:i/>
              </w:rPr>
            </m:ctrlPr>
          </m:fPr>
          <m:num>
            <m:r>
              <w:rPr>
                <w:rFonts w:ascii="Cambria Math" w:hAnsi="Cambria Math" w:cstheme="minorBidi"/>
              </w:rPr>
              <m:t>W</m:t>
            </m:r>
          </m:num>
          <m:den>
            <m:sSup>
              <m:sSupPr>
                <m:ctrlPr>
                  <w:rPr>
                    <w:rFonts w:ascii="Cambria Math" w:hAnsi="Cambria Math" w:cstheme="minorBidi"/>
                    <w:i/>
                  </w:rPr>
                </m:ctrlPr>
              </m:sSupPr>
              <m:e>
                <m:r>
                  <w:rPr>
                    <w:rFonts w:ascii="Cambria Math" w:hAnsi="Cambria Math" w:cstheme="minorBidi"/>
                  </w:rPr>
                  <m:t>m</m:t>
                </m:r>
              </m:e>
              <m:sup>
                <m:r>
                  <w:rPr>
                    <w:rFonts w:ascii="Cambria Math" w:hAnsi="Cambria Math" w:cstheme="minorBidi"/>
                  </w:rPr>
                  <m:t>2</m:t>
                </m:r>
              </m:sup>
            </m:sSup>
          </m:den>
        </m:f>
      </m:oMath>
      <w:bookmarkEnd w:id="4"/>
      <w:r w:rsidRPr="000E0ABA">
        <w:rPr>
          <w:rFonts w:asciiTheme="minorBidi" w:eastAsiaTheme="minorEastAsia" w:hAnsiTheme="minorBidi" w:cstheme="minorBidi"/>
        </w:rPr>
        <w:t xml:space="preserve">, which is lower than the </w:t>
      </w:r>
      <m:oMath>
        <m:r>
          <w:rPr>
            <w:rFonts w:ascii="Cambria Math" w:hAnsi="Cambria Math" w:cstheme="minorBidi"/>
          </w:rPr>
          <m:t>100</m:t>
        </m:r>
        <m:f>
          <m:fPr>
            <m:ctrlPr>
              <w:rPr>
                <w:rFonts w:ascii="Cambria Math" w:hAnsi="Cambria Math" w:cstheme="minorBidi"/>
                <w:i/>
              </w:rPr>
            </m:ctrlPr>
          </m:fPr>
          <m:num>
            <m:r>
              <w:rPr>
                <w:rFonts w:ascii="Cambria Math" w:hAnsi="Cambria Math" w:cstheme="minorBidi"/>
              </w:rPr>
              <m:t>W</m:t>
            </m:r>
          </m:num>
          <m:den>
            <m:sSup>
              <m:sSupPr>
                <m:ctrlPr>
                  <w:rPr>
                    <w:rFonts w:ascii="Cambria Math" w:hAnsi="Cambria Math" w:cstheme="minorBidi"/>
                    <w:i/>
                  </w:rPr>
                </m:ctrlPr>
              </m:sSupPr>
              <m:e>
                <m:r>
                  <w:rPr>
                    <w:rFonts w:ascii="Cambria Math" w:hAnsi="Cambria Math" w:cstheme="minorBidi"/>
                  </w:rPr>
                  <m:t>m</m:t>
                </m:r>
              </m:e>
              <m:sup>
                <m:r>
                  <w:rPr>
                    <w:rFonts w:ascii="Cambria Math" w:hAnsi="Cambria Math" w:cstheme="minorBidi"/>
                  </w:rPr>
                  <m:t>2</m:t>
                </m:r>
              </m:sup>
            </m:sSup>
          </m:den>
        </m:f>
      </m:oMath>
      <w:r w:rsidRPr="000E0ABA">
        <w:rPr>
          <w:rFonts w:asciiTheme="minorBidi" w:eastAsiaTheme="minorEastAsia" w:hAnsiTheme="minorBidi" w:cstheme="minorBidi"/>
        </w:rPr>
        <w:t xml:space="preserve"> threshold. </w:t>
      </w:r>
      <w:r w:rsidRPr="000E0ABA">
        <w:rPr>
          <w:rFonts w:asciiTheme="minorBidi" w:hAnsiTheme="minorBidi" w:cstheme="minorBidi"/>
        </w:rPr>
        <w:t xml:space="preserve">Therefore, the used </w:t>
      </w:r>
      <w:r w:rsidR="0010276F">
        <w:rPr>
          <w:rFonts w:asciiTheme="minorBidi" w:hAnsiTheme="minorBidi" w:cstheme="minorBidi"/>
        </w:rPr>
        <w:t>L</w:t>
      </w:r>
      <w:r w:rsidRPr="000E0ABA">
        <w:rPr>
          <w:rFonts w:asciiTheme="minorBidi" w:hAnsiTheme="minorBidi" w:cstheme="minorBidi"/>
        </w:rPr>
        <w:t>ED is safe considering the cornea exposure limit for continuous use.</w:t>
      </w:r>
    </w:p>
    <w:p w14:paraId="24685D63" w14:textId="77777777" w:rsidR="00275364" w:rsidRPr="000E0ABA" w:rsidRDefault="00275364" w:rsidP="00275364">
      <w:pPr>
        <w:pStyle w:val="ListParagraph"/>
        <w:numPr>
          <w:ilvl w:val="0"/>
          <w:numId w:val="3"/>
        </w:numPr>
        <w:spacing w:after="160" w:line="259" w:lineRule="auto"/>
        <w:jc w:val="both"/>
        <w:rPr>
          <w:rFonts w:asciiTheme="minorBidi" w:hAnsiTheme="minorBidi" w:cstheme="minorBidi"/>
        </w:rPr>
      </w:pPr>
      <w:r>
        <w:rPr>
          <w:rFonts w:asciiTheme="minorBidi" w:hAnsiTheme="minorBidi" w:cstheme="minorBidi"/>
        </w:rPr>
        <w:t>E</w:t>
      </w:r>
      <w:r w:rsidRPr="000E0ABA">
        <w:rPr>
          <w:rFonts w:asciiTheme="minorBidi" w:hAnsiTheme="minorBidi" w:cstheme="minorBidi"/>
        </w:rPr>
        <w:t>xposure limit</w:t>
      </w:r>
      <w:r>
        <w:rPr>
          <w:rFonts w:asciiTheme="minorBidi" w:hAnsiTheme="minorBidi" w:cstheme="minorBidi"/>
        </w:rPr>
        <w:t xml:space="preserve"> for retinal damage</w:t>
      </w:r>
    </w:p>
    <w:p w14:paraId="52D37296"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t xml:space="preserve">For an infrared </w:t>
      </w:r>
      <w:r>
        <w:rPr>
          <w:rFonts w:asciiTheme="minorBidi" w:hAnsiTheme="minorBidi" w:cstheme="minorBidi"/>
        </w:rPr>
        <w:t>light</w:t>
      </w:r>
      <w:r w:rsidRPr="000E0ABA">
        <w:rPr>
          <w:rFonts w:asciiTheme="minorBidi" w:hAnsiTheme="minorBidi" w:cstheme="minorBidi"/>
        </w:rPr>
        <w:t xml:space="preserve"> source that </w:t>
      </w:r>
      <w:r>
        <w:rPr>
          <w:rFonts w:asciiTheme="minorBidi" w:hAnsiTheme="minorBidi" w:cstheme="minorBidi"/>
        </w:rPr>
        <w:t>does not provide a</w:t>
      </w:r>
      <w:r w:rsidRPr="000E0ABA">
        <w:rPr>
          <w:rFonts w:asciiTheme="minorBidi" w:hAnsiTheme="minorBidi" w:cstheme="minorBidi"/>
        </w:rPr>
        <w:t xml:space="preserve"> strong visual stimulus</w:t>
      </w:r>
      <w:r>
        <w:rPr>
          <w:rFonts w:asciiTheme="minorBidi" w:hAnsiTheme="minorBidi" w:cstheme="minorBidi"/>
        </w:rPr>
        <w:t>, the participants do not avoid the light by movement or pupil constriction. T</w:t>
      </w:r>
      <w:r w:rsidRPr="000E0ABA">
        <w:rPr>
          <w:rFonts w:asciiTheme="minorBidi" w:hAnsiTheme="minorBidi" w:cstheme="minorBidi"/>
        </w:rPr>
        <w:t>he weighted radiance limit is given by the following formula:</w:t>
      </w:r>
    </w:p>
    <w:bookmarkStart w:id="5" w:name="_Hlk150683621"/>
    <w:p w14:paraId="14DFB33F" w14:textId="104F029F" w:rsidR="00275364" w:rsidRPr="009D1A4A" w:rsidRDefault="002A2432" w:rsidP="009D1A4A">
      <w:pPr>
        <w:pStyle w:val="ListParagraph"/>
        <w:numPr>
          <w:ilvl w:val="0"/>
          <w:numId w:val="6"/>
        </w:numPr>
        <w:jc w:val="center"/>
        <w:rPr>
          <w:rFonts w:asciiTheme="minorBidi" w:eastAsiaTheme="minorEastAsia" w:hAnsiTheme="minorBidi" w:cstheme="minorBidi"/>
          <w:i/>
          <w:rtl/>
        </w:rPr>
      </w:pPr>
      <m:oMath>
        <m:sSub>
          <m:sSubPr>
            <m:ctrlPr>
              <w:rPr>
                <w:rFonts w:ascii="Cambria Math" w:eastAsiaTheme="minorEastAsia" w:hAnsi="Cambria Math" w:cstheme="minorBidi"/>
                <w:i/>
              </w:rPr>
            </m:ctrlPr>
          </m:sSubPr>
          <m:e>
            <m:r>
              <w:rPr>
                <w:rFonts w:ascii="Cambria Math" w:eastAsiaTheme="minorEastAsia" w:hAnsi="Cambria Math" w:cstheme="minorBidi"/>
              </w:rPr>
              <m:t>L</m:t>
            </m:r>
          </m:e>
          <m:sub>
            <m:r>
              <w:rPr>
                <w:rFonts w:ascii="Cambria Math" w:eastAsiaTheme="minorEastAsia" w:hAnsi="Cambria Math" w:cstheme="minorBidi"/>
              </w:rPr>
              <m:t>IR</m:t>
            </m:r>
          </m:sub>
        </m:sSub>
        <m:r>
          <m:rPr>
            <m:sty m:val="p"/>
          </m:rPr>
          <w:rPr>
            <w:rFonts w:ascii="Cambria Math" w:hAnsi="Cambria Math" w:cstheme="minorBidi"/>
          </w:rPr>
          <m:t>=</m:t>
        </m:r>
        <m:nary>
          <m:naryPr>
            <m:chr m:val="∑"/>
            <m:limLoc m:val="undOvr"/>
            <m:ctrlPr>
              <w:rPr>
                <w:rFonts w:ascii="Cambria Math" w:hAnsi="Cambria Math" w:cstheme="minorBidi"/>
              </w:rPr>
            </m:ctrlPr>
          </m:naryPr>
          <m:sub>
            <m:r>
              <w:rPr>
                <w:rFonts w:ascii="Cambria Math" w:hAnsi="Cambria Math" w:cstheme="minorBidi"/>
              </w:rPr>
              <m:t>λ=780</m:t>
            </m:r>
          </m:sub>
          <m:sup>
            <m:r>
              <w:rPr>
                <w:rFonts w:ascii="Cambria Math" w:hAnsi="Cambria Math" w:cstheme="minorBidi"/>
              </w:rPr>
              <m:t>1400</m:t>
            </m:r>
          </m:sup>
          <m:e>
            <m:sSub>
              <m:sSubPr>
                <m:ctrlPr>
                  <w:rPr>
                    <w:rFonts w:ascii="Cambria Math" w:hAnsi="Cambria Math" w:cstheme="minorBidi"/>
                    <w:i/>
                  </w:rPr>
                </m:ctrlPr>
              </m:sSubPr>
              <m:e>
                <m:r>
                  <w:rPr>
                    <w:rFonts w:ascii="Cambria Math" w:hAnsi="Cambria Math" w:cstheme="minorBidi"/>
                  </w:rPr>
                  <m:t>L</m:t>
                </m:r>
              </m:e>
              <m:sub>
                <m:r>
                  <w:rPr>
                    <w:rFonts w:ascii="Cambria Math" w:hAnsi="Cambria Math" w:cstheme="minorBidi"/>
                  </w:rPr>
                  <m:t>λ</m:t>
                </m:r>
              </m:sub>
            </m:sSub>
            <m:r>
              <w:rPr>
                <w:rFonts w:ascii="Cambria Math" w:hAnsi="Cambria Math" w:cstheme="minorBidi"/>
              </w:rPr>
              <m:t>∙R(λ)∙∆λ</m:t>
            </m:r>
          </m:e>
        </m:nary>
        <m:r>
          <m:rPr>
            <m:sty m:val="p"/>
          </m:rPr>
          <w:rPr>
            <w:rFonts w:ascii="Cambria Math" w:hAnsi="Cambria Math" w:cstheme="minorBidi"/>
          </w:rPr>
          <m:t>≤</m:t>
        </m:r>
        <m:f>
          <m:fPr>
            <m:ctrlPr>
              <w:rPr>
                <w:rFonts w:ascii="Cambria Math" w:hAnsi="Cambria Math" w:cstheme="minorBidi"/>
              </w:rPr>
            </m:ctrlPr>
          </m:fPr>
          <m:num>
            <m:r>
              <m:rPr>
                <m:sty m:val="p"/>
              </m:rPr>
              <w:rPr>
                <w:rFonts w:ascii="Cambria Math" w:hAnsi="Cambria Math" w:cstheme="minorBidi"/>
              </w:rPr>
              <m:t>6300</m:t>
            </m:r>
          </m:num>
          <m:den>
            <m:r>
              <w:rPr>
                <w:rFonts w:ascii="Cambria Math" w:hAnsi="Cambria Math" w:cstheme="minorBidi"/>
              </w:rPr>
              <m:t>α</m:t>
            </m:r>
          </m:den>
        </m:f>
        <m:d>
          <m:dPr>
            <m:begChr m:val="["/>
            <m:endChr m:val="]"/>
            <m:ctrlPr>
              <w:rPr>
                <w:rFonts w:ascii="Cambria Math" w:hAnsi="Cambria Math" w:cstheme="minorBidi"/>
                <w:i/>
                <w:vertAlign w:val="superscript"/>
              </w:rPr>
            </m:ctrlPr>
          </m:dPr>
          <m:e>
            <m:f>
              <m:fPr>
                <m:ctrlPr>
                  <w:rPr>
                    <w:rFonts w:ascii="Cambria Math" w:hAnsi="Cambria Math" w:cstheme="minorBidi"/>
                    <w:i/>
                    <w:vertAlign w:val="superscript"/>
                  </w:rPr>
                </m:ctrlPr>
              </m:fPr>
              <m:num>
                <m:r>
                  <w:rPr>
                    <w:rFonts w:ascii="Cambria Math" w:hAnsi="Cambria Math" w:cstheme="minorBidi"/>
                    <w:vertAlign w:val="superscript"/>
                  </w:rPr>
                  <m:t>W</m:t>
                </m:r>
              </m:num>
              <m:den>
                <m:sSup>
                  <m:sSupPr>
                    <m:ctrlPr>
                      <w:rPr>
                        <w:rFonts w:ascii="Cambria Math" w:hAnsi="Cambria Math" w:cstheme="minorBidi"/>
                        <w:i/>
                        <w:vertAlign w:val="superscript"/>
                      </w:rPr>
                    </m:ctrlPr>
                  </m:sSupPr>
                  <m:e>
                    <m:r>
                      <w:rPr>
                        <w:rFonts w:ascii="Cambria Math" w:hAnsi="Cambria Math" w:cstheme="minorBidi"/>
                        <w:vertAlign w:val="superscript"/>
                      </w:rPr>
                      <m:t>m</m:t>
                    </m:r>
                  </m:e>
                  <m:sup>
                    <m:r>
                      <w:rPr>
                        <w:rFonts w:ascii="Cambria Math" w:hAnsi="Cambria Math" w:cstheme="minorBidi"/>
                        <w:vertAlign w:val="superscript"/>
                      </w:rPr>
                      <m:t>2</m:t>
                    </m:r>
                  </m:sup>
                </m:sSup>
                <m:r>
                  <w:rPr>
                    <w:rFonts w:ascii="Cambria Math" w:hAnsi="Cambria Math" w:cstheme="minorBidi"/>
                    <w:vertAlign w:val="superscript"/>
                  </w:rPr>
                  <m:t>∙sr</m:t>
                </m:r>
              </m:den>
            </m:f>
          </m:e>
        </m:d>
      </m:oMath>
      <w:bookmarkEnd w:id="5"/>
    </w:p>
    <w:p w14:paraId="64EC27B0"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lastRenderedPageBreak/>
        <w:t xml:space="preserve">Where α is the source size in radians, with minimal and maximal values, as specified in the </w:t>
      </w:r>
      <w:r>
        <w:rPr>
          <w:rFonts w:asciiTheme="minorBidi" w:hAnsiTheme="minorBidi" w:cstheme="minorBidi"/>
        </w:rPr>
        <w:t>referenced literature</w:t>
      </w:r>
      <w:sdt>
        <w:sdtPr>
          <w:rPr>
            <w:rFonts w:asciiTheme="minorBidi" w:hAnsiTheme="minorBidi" w:cstheme="minorBidi"/>
            <w:color w:val="000000"/>
            <w:vertAlign w:val="superscript"/>
          </w:rPr>
          <w:tag w:val="MENDELEY_CITATION_v3_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"/>
          <w:id w:val="-644286841"/>
          <w:placeholder>
            <w:docPart w:val="256D40FCCE4A44F685FE087C0E70D3EE"/>
          </w:placeholder>
        </w:sdtPr>
        <w:sdtEndPr/>
        <w:sdtContent>
          <w:r w:rsidRPr="00C55125">
            <w:rPr>
              <w:rFonts w:asciiTheme="minorBidi" w:hAnsiTheme="minorBidi" w:cstheme="minorBidi"/>
              <w:color w:val="000000"/>
              <w:vertAlign w:val="superscript"/>
            </w:rPr>
            <w:t>1</w:t>
          </w:r>
        </w:sdtContent>
      </w:sdt>
      <w:r w:rsidRPr="000E0ABA">
        <w:rPr>
          <w:rFonts w:asciiTheme="minorBidi" w:hAnsiTheme="minorBidi" w:cstheme="minorBidi"/>
        </w:rPr>
        <w:t>.</w:t>
      </w:r>
    </w:p>
    <w:p w14:paraId="52BB86CB"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t>R(λ) is the burn hazard weighing ratio, given by the following formula:</w:t>
      </w:r>
    </w:p>
    <w:p w14:paraId="7F2EFD3F" w14:textId="415E8FF8" w:rsidR="00275364" w:rsidRPr="009D1A4A" w:rsidRDefault="00275364" w:rsidP="009D1A4A">
      <w:pPr>
        <w:pStyle w:val="ListParagraph"/>
        <w:numPr>
          <w:ilvl w:val="0"/>
          <w:numId w:val="6"/>
        </w:numPr>
        <w:jc w:val="center"/>
        <w:rPr>
          <w:rFonts w:asciiTheme="minorBidi" w:hAnsiTheme="minorBidi" w:cstheme="minorBidi"/>
        </w:rPr>
      </w:pPr>
      <m:oMath>
        <m:r>
          <w:rPr>
            <w:rFonts w:ascii="Cambria Math" w:hAnsi="Cambria Math" w:cstheme="minorBidi"/>
          </w:rPr>
          <m:t>R</m:t>
        </m:r>
        <m:d>
          <m:dPr>
            <m:ctrlPr>
              <w:rPr>
                <w:rFonts w:ascii="Cambria Math" w:hAnsi="Cambria Math" w:cstheme="minorBidi"/>
                <w:i/>
              </w:rPr>
            </m:ctrlPr>
          </m:dPr>
          <m:e>
            <m:r>
              <w:rPr>
                <w:rFonts w:ascii="Cambria Math" w:hAnsi="Cambria Math" w:cstheme="minorBidi"/>
              </w:rPr>
              <m:t>λ</m:t>
            </m:r>
          </m:e>
        </m:d>
        <m:r>
          <w:rPr>
            <w:rFonts w:ascii="Cambria Math" w:hAnsi="Cambria Math" w:cstheme="minorBidi"/>
          </w:rPr>
          <m:t>=</m:t>
        </m:r>
        <m:sSup>
          <m:sSupPr>
            <m:ctrlPr>
              <w:rPr>
                <w:rFonts w:ascii="Cambria Math" w:hAnsi="Cambria Math" w:cstheme="minorBidi"/>
                <w:i/>
              </w:rPr>
            </m:ctrlPr>
          </m:sSupPr>
          <m:e>
            <m:r>
              <w:rPr>
                <w:rFonts w:ascii="Cambria Math" w:hAnsi="Cambria Math" w:cstheme="minorBidi"/>
              </w:rPr>
              <m:t>10</m:t>
            </m:r>
          </m:e>
          <m:sup>
            <m:d>
              <m:dPr>
                <m:begChr m:val="["/>
                <m:endChr m:val="]"/>
                <m:ctrlPr>
                  <w:rPr>
                    <w:rFonts w:ascii="Cambria Math" w:hAnsi="Cambria Math" w:cstheme="minorBidi"/>
                    <w:i/>
                  </w:rPr>
                </m:ctrlPr>
              </m:dPr>
              <m:e>
                <m:f>
                  <m:fPr>
                    <m:ctrlPr>
                      <w:rPr>
                        <w:rFonts w:ascii="Cambria Math" w:hAnsi="Cambria Math" w:cstheme="minorBidi"/>
                        <w:i/>
                      </w:rPr>
                    </m:ctrlPr>
                  </m:fPr>
                  <m:num>
                    <m:r>
                      <w:rPr>
                        <w:rFonts w:ascii="Cambria Math" w:hAnsi="Cambria Math" w:cstheme="minorBidi"/>
                      </w:rPr>
                      <m:t>700-λ</m:t>
                    </m:r>
                  </m:num>
                  <m:den>
                    <m:r>
                      <w:rPr>
                        <w:rFonts w:ascii="Cambria Math" w:hAnsi="Cambria Math" w:cstheme="minorBidi"/>
                      </w:rPr>
                      <m:t>500</m:t>
                    </m:r>
                  </m:den>
                </m:f>
              </m:e>
            </m:d>
          </m:sup>
        </m:sSup>
      </m:oMath>
    </w:p>
    <w:p w14:paraId="48B6627B"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t>The spectral radiance of a given source can be approximated using the following formula:</w:t>
      </w:r>
    </w:p>
    <w:p w14:paraId="17ECE79F" w14:textId="3F032C0F" w:rsidR="00275364" w:rsidRPr="009D1A4A" w:rsidRDefault="002A2432" w:rsidP="009D1A4A">
      <w:pPr>
        <w:pStyle w:val="ListParagraph"/>
        <w:numPr>
          <w:ilvl w:val="0"/>
          <w:numId w:val="6"/>
        </w:numPr>
        <w:jc w:val="center"/>
        <w:rPr>
          <w:rFonts w:asciiTheme="minorBidi" w:hAnsiTheme="minorBidi" w:cstheme="minorBidi"/>
        </w:rPr>
      </w:pPr>
      <m:oMath>
        <m:sSub>
          <m:sSubPr>
            <m:ctrlPr>
              <w:rPr>
                <w:rFonts w:ascii="Cambria Math" w:hAnsi="Cambria Math" w:cstheme="minorBidi"/>
                <w:i/>
              </w:rPr>
            </m:ctrlPr>
          </m:sSubPr>
          <m:e>
            <m:r>
              <w:rPr>
                <w:rFonts w:ascii="Cambria Math" w:hAnsi="Cambria Math" w:cstheme="minorBidi"/>
              </w:rPr>
              <m:t>L</m:t>
            </m:r>
          </m:e>
          <m:sub>
            <m:r>
              <w:rPr>
                <w:rFonts w:ascii="Cambria Math" w:hAnsi="Cambria Math" w:cstheme="minorBidi"/>
              </w:rPr>
              <m:t>IR</m:t>
            </m:r>
          </m:sub>
        </m:sSub>
        <m:r>
          <w:rPr>
            <w:rFonts w:ascii="Cambria Math" w:hAnsi="Cambria Math" w:cstheme="minorBidi"/>
          </w:rPr>
          <m:t>≈</m:t>
        </m:r>
        <m:sSub>
          <m:sSubPr>
            <m:ctrlPr>
              <w:rPr>
                <w:rFonts w:ascii="Cambria Math" w:hAnsi="Cambria Math" w:cstheme="minorBidi"/>
                <w:i/>
              </w:rPr>
            </m:ctrlPr>
          </m:sSubPr>
          <m:e>
            <m:r>
              <w:rPr>
                <w:rFonts w:ascii="Cambria Math" w:hAnsi="Cambria Math" w:cstheme="minorBidi"/>
              </w:rPr>
              <m:t>I</m:t>
            </m:r>
          </m:e>
          <m:sub>
            <m:r>
              <w:rPr>
                <w:rFonts w:ascii="Cambria Math" w:hAnsi="Cambria Math" w:cstheme="minorBidi"/>
              </w:rPr>
              <m:t>e</m:t>
            </m:r>
          </m:sub>
        </m:sSub>
        <m:r>
          <w:rPr>
            <w:rFonts w:ascii="Cambria Math" w:hAnsi="Cambria Math" w:cstheme="minorBidi"/>
          </w:rPr>
          <m:t>∙</m:t>
        </m:r>
        <m:f>
          <m:fPr>
            <m:ctrlPr>
              <w:rPr>
                <w:rFonts w:ascii="Cambria Math" w:hAnsi="Cambria Math" w:cstheme="minorBidi"/>
                <w:i/>
              </w:rPr>
            </m:ctrlPr>
          </m:fPr>
          <m:num>
            <m:r>
              <w:rPr>
                <w:rFonts w:ascii="Cambria Math" w:hAnsi="Cambria Math" w:cstheme="minorBidi"/>
              </w:rPr>
              <m:t>R(λ)</m:t>
            </m:r>
          </m:num>
          <m:den>
            <m:sSup>
              <m:sSupPr>
                <m:ctrlPr>
                  <w:rPr>
                    <w:rFonts w:ascii="Cambria Math" w:hAnsi="Cambria Math" w:cstheme="minorBidi"/>
                    <w:i/>
                  </w:rPr>
                </m:ctrlPr>
              </m:sSupPr>
              <m:e>
                <m:d>
                  <m:dPr>
                    <m:ctrlPr>
                      <w:rPr>
                        <w:rFonts w:ascii="Cambria Math" w:hAnsi="Cambria Math" w:cstheme="minorBidi"/>
                        <w:i/>
                      </w:rPr>
                    </m:ctrlPr>
                  </m:dPr>
                  <m:e>
                    <m:d>
                      <m:dPr>
                        <m:ctrlPr>
                          <w:rPr>
                            <w:rFonts w:ascii="Cambria Math" w:hAnsi="Cambria Math" w:cstheme="minorBidi"/>
                            <w:i/>
                          </w:rPr>
                        </m:ctrlPr>
                      </m:dPr>
                      <m:e>
                        <m:r>
                          <w:rPr>
                            <w:rFonts w:ascii="Cambria Math" w:hAnsi="Cambria Math" w:cstheme="minorBidi"/>
                          </w:rPr>
                          <m:t>l+w</m:t>
                        </m:r>
                      </m:e>
                    </m:d>
                    <m:r>
                      <w:rPr>
                        <w:rFonts w:ascii="Cambria Math" w:hAnsi="Cambria Math" w:cstheme="minorBidi"/>
                      </w:rPr>
                      <m:t>/2</m:t>
                    </m:r>
                  </m:e>
                </m:d>
              </m:e>
              <m:sup>
                <m:r>
                  <w:rPr>
                    <w:rFonts w:ascii="Cambria Math" w:hAnsi="Cambria Math" w:cstheme="minorBidi"/>
                  </w:rPr>
                  <m:t>2</m:t>
                </m:r>
              </m:sup>
            </m:sSup>
          </m:den>
        </m:f>
      </m:oMath>
    </w:p>
    <w:p w14:paraId="767E778E"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t xml:space="preserve">For the LED in the setup, the width and length are both 1mm. α is therefore equal to 0.005 and replaced with the minimal effective value of 0.011. </w:t>
      </w:r>
    </w:p>
    <w:p w14:paraId="6CBD76A6"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t>R(1100nm) is equal to approximately 0.16.</w:t>
      </w:r>
    </w:p>
    <w:p w14:paraId="3B7DA615" w14:textId="77777777" w:rsidR="00275364" w:rsidRPr="000E0ABA" w:rsidRDefault="00275364" w:rsidP="00275364">
      <w:pPr>
        <w:jc w:val="both"/>
        <w:rPr>
          <w:rFonts w:asciiTheme="minorBidi" w:hAnsiTheme="minorBidi" w:cstheme="minorBidi"/>
        </w:rPr>
      </w:pPr>
      <w:r w:rsidRPr="000E0ABA">
        <w:rPr>
          <w:rFonts w:asciiTheme="minorBidi" w:hAnsiTheme="minorBidi" w:cstheme="minorBidi"/>
        </w:rPr>
        <w:t xml:space="preserve">The spectral radiance limit is equal to: </w:t>
      </w:r>
    </w:p>
    <w:p w14:paraId="5E593D22" w14:textId="2509DB5E" w:rsidR="00275364" w:rsidRPr="000E0ABA" w:rsidRDefault="00FF1D89" w:rsidP="009D1A4A">
      <w:pPr>
        <w:jc w:val="center"/>
        <w:rPr>
          <w:rFonts w:asciiTheme="minorBidi" w:eastAsiaTheme="minorEastAsia" w:hAnsiTheme="minorBidi" w:cstheme="minorBidi"/>
          <w:vertAlign w:val="superscript"/>
        </w:rPr>
      </w:pPr>
      <w:r w:rsidRPr="009D1A4A">
        <w:rPr>
          <w:rFonts w:asciiTheme="minorBidi" w:hAnsiTheme="minorBidi" w:cstheme="minorBidi"/>
          <w:color w:val="FF0000"/>
        </w:rPr>
        <w:t>(4)</w:t>
      </w:r>
      <w:r>
        <w:rPr>
          <w:rFonts w:asciiTheme="minorBidi" w:hAnsiTheme="minorBidi" w:cstheme="minorBidi"/>
        </w:rPr>
        <w:t xml:space="preserve"> </w:t>
      </w:r>
      <m:oMath>
        <m:sSub>
          <m:sSubPr>
            <m:ctrlPr>
              <w:rPr>
                <w:rFonts w:ascii="Cambria Math" w:eastAsiaTheme="minorEastAsia" w:hAnsi="Cambria Math" w:cstheme="minorBidi"/>
                <w:i/>
              </w:rPr>
            </m:ctrlPr>
          </m:sSubPr>
          <m:e>
            <m:r>
              <w:rPr>
                <w:rFonts w:ascii="Cambria Math" w:eastAsiaTheme="minorEastAsia" w:hAnsi="Cambria Math" w:cstheme="minorBidi"/>
              </w:rPr>
              <m:t>L</m:t>
            </m:r>
          </m:e>
          <m:sub>
            <m:r>
              <w:rPr>
                <w:rFonts w:ascii="Cambria Math" w:eastAsiaTheme="minorEastAsia" w:hAnsi="Cambria Math" w:cstheme="minorBidi"/>
              </w:rPr>
              <m:t>IR_Limit</m:t>
            </m:r>
          </m:sub>
        </m:sSub>
        <m:r>
          <m:rPr>
            <m:sty m:val="p"/>
          </m:rPr>
          <w:rPr>
            <w:rFonts w:ascii="Cambria Math" w:hAnsi="Cambria Math" w:cstheme="minorBidi"/>
          </w:rPr>
          <m:t>≤</m:t>
        </m:r>
        <m:f>
          <m:fPr>
            <m:ctrlPr>
              <w:rPr>
                <w:rFonts w:ascii="Cambria Math" w:hAnsi="Cambria Math" w:cstheme="minorBidi"/>
              </w:rPr>
            </m:ctrlPr>
          </m:fPr>
          <m:num>
            <m:r>
              <m:rPr>
                <m:sty m:val="p"/>
              </m:rPr>
              <w:rPr>
                <w:rFonts w:ascii="Cambria Math" w:hAnsi="Cambria Math" w:cstheme="minorBidi"/>
              </w:rPr>
              <m:t>6300</m:t>
            </m:r>
          </m:num>
          <m:den>
            <m:r>
              <w:rPr>
                <w:rFonts w:ascii="Cambria Math" w:hAnsi="Cambria Math" w:cstheme="minorBidi"/>
              </w:rPr>
              <m:t>α</m:t>
            </m:r>
          </m:den>
        </m:f>
        <m:d>
          <m:dPr>
            <m:begChr m:val="["/>
            <m:endChr m:val="]"/>
            <m:ctrlPr>
              <w:rPr>
                <w:rFonts w:ascii="Cambria Math" w:hAnsi="Cambria Math" w:cstheme="minorBidi"/>
                <w:i/>
                <w:vertAlign w:val="superscript"/>
              </w:rPr>
            </m:ctrlPr>
          </m:dPr>
          <m:e>
            <m:f>
              <m:fPr>
                <m:ctrlPr>
                  <w:rPr>
                    <w:rFonts w:ascii="Cambria Math" w:hAnsi="Cambria Math" w:cstheme="minorBidi"/>
                    <w:i/>
                    <w:vertAlign w:val="superscript"/>
                  </w:rPr>
                </m:ctrlPr>
              </m:fPr>
              <m:num>
                <m:r>
                  <w:rPr>
                    <w:rFonts w:ascii="Cambria Math" w:hAnsi="Cambria Math" w:cstheme="minorBidi"/>
                    <w:vertAlign w:val="superscript"/>
                  </w:rPr>
                  <m:t>W</m:t>
                </m:r>
              </m:num>
              <m:den>
                <m:sSup>
                  <m:sSupPr>
                    <m:ctrlPr>
                      <w:rPr>
                        <w:rFonts w:ascii="Cambria Math" w:hAnsi="Cambria Math" w:cstheme="minorBidi"/>
                        <w:i/>
                        <w:vertAlign w:val="superscript"/>
                      </w:rPr>
                    </m:ctrlPr>
                  </m:sSupPr>
                  <m:e>
                    <m:r>
                      <w:rPr>
                        <w:rFonts w:ascii="Cambria Math" w:hAnsi="Cambria Math" w:cstheme="minorBidi"/>
                        <w:vertAlign w:val="superscript"/>
                      </w:rPr>
                      <m:t>m</m:t>
                    </m:r>
                  </m:e>
                  <m:sup>
                    <m:r>
                      <w:rPr>
                        <w:rFonts w:ascii="Cambria Math" w:hAnsi="Cambria Math" w:cstheme="minorBidi"/>
                        <w:vertAlign w:val="superscript"/>
                      </w:rPr>
                      <m:t>2</m:t>
                    </m:r>
                  </m:sup>
                </m:sSup>
                <m:r>
                  <w:rPr>
                    <w:rFonts w:ascii="Cambria Math" w:hAnsi="Cambria Math" w:cstheme="minorBidi"/>
                    <w:vertAlign w:val="superscript"/>
                  </w:rPr>
                  <m:t>∙sr</m:t>
                </m:r>
              </m:den>
            </m:f>
          </m:e>
        </m:d>
        <m:r>
          <w:rPr>
            <w:rFonts w:ascii="Cambria Math" w:hAnsi="Cambria Math" w:cstheme="minorBidi"/>
            <w:vertAlign w:val="superscript"/>
          </w:rPr>
          <m:t>≅572,727</m:t>
        </m:r>
        <m:d>
          <m:dPr>
            <m:begChr m:val="["/>
            <m:endChr m:val="]"/>
            <m:ctrlPr>
              <w:rPr>
                <w:rFonts w:ascii="Cambria Math" w:hAnsi="Cambria Math" w:cstheme="minorBidi"/>
                <w:i/>
                <w:vertAlign w:val="superscript"/>
              </w:rPr>
            </m:ctrlPr>
          </m:dPr>
          <m:e>
            <m:f>
              <m:fPr>
                <m:ctrlPr>
                  <w:rPr>
                    <w:rFonts w:ascii="Cambria Math" w:hAnsi="Cambria Math" w:cstheme="minorBidi"/>
                    <w:i/>
                    <w:vertAlign w:val="superscript"/>
                  </w:rPr>
                </m:ctrlPr>
              </m:fPr>
              <m:num>
                <m:r>
                  <w:rPr>
                    <w:rFonts w:ascii="Cambria Math" w:hAnsi="Cambria Math" w:cstheme="minorBidi"/>
                    <w:vertAlign w:val="superscript"/>
                  </w:rPr>
                  <m:t>W</m:t>
                </m:r>
              </m:num>
              <m:den>
                <m:sSup>
                  <m:sSupPr>
                    <m:ctrlPr>
                      <w:rPr>
                        <w:rFonts w:ascii="Cambria Math" w:hAnsi="Cambria Math" w:cstheme="minorBidi"/>
                        <w:i/>
                        <w:vertAlign w:val="superscript"/>
                      </w:rPr>
                    </m:ctrlPr>
                  </m:sSupPr>
                  <m:e>
                    <m:r>
                      <w:rPr>
                        <w:rFonts w:ascii="Cambria Math" w:hAnsi="Cambria Math" w:cstheme="minorBidi"/>
                        <w:vertAlign w:val="superscript"/>
                      </w:rPr>
                      <m:t>m</m:t>
                    </m:r>
                  </m:e>
                  <m:sup>
                    <m:r>
                      <w:rPr>
                        <w:rFonts w:ascii="Cambria Math" w:hAnsi="Cambria Math" w:cstheme="minorBidi"/>
                        <w:vertAlign w:val="superscript"/>
                      </w:rPr>
                      <m:t>2</m:t>
                    </m:r>
                  </m:sup>
                </m:sSup>
                <m:r>
                  <w:rPr>
                    <w:rFonts w:ascii="Cambria Math" w:hAnsi="Cambria Math" w:cstheme="minorBidi"/>
                    <w:vertAlign w:val="superscript"/>
                  </w:rPr>
                  <m:t>∙sr</m:t>
                </m:r>
              </m:den>
            </m:f>
          </m:e>
        </m:d>
      </m:oMath>
    </w:p>
    <w:p w14:paraId="208B2276" w14:textId="77777777" w:rsidR="00275364" w:rsidRPr="000E0ABA" w:rsidRDefault="00275364" w:rsidP="00275364">
      <w:pPr>
        <w:jc w:val="both"/>
        <w:rPr>
          <w:rFonts w:asciiTheme="minorBidi" w:eastAsiaTheme="minorEastAsia" w:hAnsiTheme="minorBidi" w:cstheme="minorBidi"/>
        </w:rPr>
      </w:pPr>
      <w:r w:rsidRPr="000E0ABA">
        <w:rPr>
          <w:rFonts w:asciiTheme="minorBidi" w:eastAsiaTheme="minorEastAsia" w:hAnsiTheme="minorBidi" w:cstheme="minorBidi"/>
        </w:rPr>
        <w:t>The actual spectral radiance is equal to:</w:t>
      </w:r>
    </w:p>
    <w:p w14:paraId="14B5CBEE" w14:textId="7A407239" w:rsidR="00275364" w:rsidRPr="000E0ABA" w:rsidRDefault="00FF1D89" w:rsidP="009D1A4A">
      <w:pPr>
        <w:jc w:val="center"/>
        <w:rPr>
          <w:rFonts w:asciiTheme="minorBidi" w:eastAsiaTheme="minorEastAsia" w:hAnsiTheme="minorBidi" w:cstheme="minorBidi"/>
          <w:vertAlign w:val="superscript"/>
        </w:rPr>
      </w:pPr>
      <w:r w:rsidRPr="009D1A4A">
        <w:rPr>
          <w:rFonts w:asciiTheme="minorBidi" w:eastAsiaTheme="minorEastAsia" w:hAnsiTheme="minorBidi" w:cstheme="minorBidi"/>
          <w:color w:val="FF0000"/>
        </w:rPr>
        <w:t>(5)</w:t>
      </w:r>
      <w:r>
        <w:rPr>
          <w:rFonts w:asciiTheme="minorBidi" w:eastAsiaTheme="minorEastAsia" w:hAnsiTheme="minorBidi" w:cstheme="minorBidi"/>
        </w:rPr>
        <w:t xml:space="preserve"> </w:t>
      </w:r>
      <m:oMath>
        <m:sSub>
          <m:sSubPr>
            <m:ctrlPr>
              <w:rPr>
                <w:rFonts w:ascii="Cambria Math" w:hAnsi="Cambria Math" w:cstheme="minorBidi"/>
                <w:i/>
              </w:rPr>
            </m:ctrlPr>
          </m:sSubPr>
          <m:e>
            <m:r>
              <w:rPr>
                <w:rFonts w:ascii="Cambria Math" w:hAnsi="Cambria Math" w:cstheme="minorBidi"/>
              </w:rPr>
              <m:t>L</m:t>
            </m:r>
          </m:e>
          <m:sub>
            <m:r>
              <w:rPr>
                <w:rFonts w:ascii="Cambria Math" w:hAnsi="Cambria Math" w:cstheme="minorBidi"/>
              </w:rPr>
              <m:t>IR</m:t>
            </m:r>
          </m:sub>
        </m:sSub>
        <m:r>
          <w:rPr>
            <w:rFonts w:ascii="Cambria Math" w:hAnsi="Cambria Math" w:cstheme="minorBidi"/>
          </w:rPr>
          <m:t>≈</m:t>
        </m:r>
        <m:sSub>
          <m:sSubPr>
            <m:ctrlPr>
              <w:rPr>
                <w:rFonts w:ascii="Cambria Math" w:hAnsi="Cambria Math" w:cstheme="minorBidi"/>
                <w:i/>
              </w:rPr>
            </m:ctrlPr>
          </m:sSubPr>
          <m:e>
            <m:r>
              <w:rPr>
                <w:rFonts w:ascii="Cambria Math" w:hAnsi="Cambria Math" w:cstheme="minorBidi"/>
              </w:rPr>
              <m:t>I</m:t>
            </m:r>
          </m:e>
          <m:sub>
            <m:r>
              <w:rPr>
                <w:rFonts w:ascii="Cambria Math" w:hAnsi="Cambria Math" w:cstheme="minorBidi"/>
              </w:rPr>
              <m:t>e</m:t>
            </m:r>
          </m:sub>
        </m:sSub>
        <m:r>
          <w:rPr>
            <w:rFonts w:ascii="Cambria Math" w:hAnsi="Cambria Math" w:cstheme="minorBidi"/>
          </w:rPr>
          <m:t>∙</m:t>
        </m:r>
        <m:f>
          <m:fPr>
            <m:ctrlPr>
              <w:rPr>
                <w:rFonts w:ascii="Cambria Math" w:hAnsi="Cambria Math" w:cstheme="minorBidi"/>
                <w:i/>
              </w:rPr>
            </m:ctrlPr>
          </m:fPr>
          <m:num>
            <m:r>
              <w:rPr>
                <w:rFonts w:ascii="Cambria Math" w:hAnsi="Cambria Math" w:cstheme="minorBidi"/>
              </w:rPr>
              <m:t>R</m:t>
            </m:r>
            <m:d>
              <m:dPr>
                <m:ctrlPr>
                  <w:rPr>
                    <w:rFonts w:ascii="Cambria Math" w:hAnsi="Cambria Math" w:cstheme="minorBidi"/>
                    <w:i/>
                  </w:rPr>
                </m:ctrlPr>
              </m:dPr>
              <m:e>
                <m:r>
                  <w:rPr>
                    <w:rFonts w:ascii="Cambria Math" w:hAnsi="Cambria Math" w:cstheme="minorBidi"/>
                  </w:rPr>
                  <m:t>λ</m:t>
                </m:r>
              </m:e>
            </m:d>
          </m:num>
          <m:den>
            <m:sSup>
              <m:sSupPr>
                <m:ctrlPr>
                  <w:rPr>
                    <w:rFonts w:ascii="Cambria Math" w:hAnsi="Cambria Math" w:cstheme="minorBidi"/>
                    <w:i/>
                  </w:rPr>
                </m:ctrlPr>
              </m:sSupPr>
              <m:e>
                <m:d>
                  <m:dPr>
                    <m:ctrlPr>
                      <w:rPr>
                        <w:rFonts w:ascii="Cambria Math" w:hAnsi="Cambria Math" w:cstheme="minorBidi"/>
                        <w:i/>
                      </w:rPr>
                    </m:ctrlPr>
                  </m:dPr>
                  <m:e>
                    <m:f>
                      <m:fPr>
                        <m:ctrlPr>
                          <w:rPr>
                            <w:rFonts w:ascii="Cambria Math" w:hAnsi="Cambria Math" w:cstheme="minorBidi"/>
                            <w:i/>
                          </w:rPr>
                        </m:ctrlPr>
                      </m:fPr>
                      <m:num>
                        <m:d>
                          <m:dPr>
                            <m:ctrlPr>
                              <w:rPr>
                                <w:rFonts w:ascii="Cambria Math" w:hAnsi="Cambria Math" w:cstheme="minorBidi"/>
                                <w:i/>
                              </w:rPr>
                            </m:ctrlPr>
                          </m:dPr>
                          <m:e>
                            <m:r>
                              <w:rPr>
                                <w:rFonts w:ascii="Cambria Math" w:hAnsi="Cambria Math" w:cstheme="minorBidi"/>
                              </w:rPr>
                              <m:t>l+w</m:t>
                            </m:r>
                          </m:e>
                        </m:d>
                      </m:num>
                      <m:den>
                        <m:r>
                          <w:rPr>
                            <w:rFonts w:ascii="Cambria Math" w:hAnsi="Cambria Math" w:cstheme="minorBidi"/>
                          </w:rPr>
                          <m:t>2</m:t>
                        </m:r>
                      </m:den>
                    </m:f>
                  </m:e>
                </m:d>
              </m:e>
              <m:sup>
                <m:r>
                  <w:rPr>
                    <w:rFonts w:ascii="Cambria Math" w:hAnsi="Cambria Math" w:cstheme="minorBidi"/>
                  </w:rPr>
                  <m:t>2</m:t>
                </m:r>
              </m:sup>
            </m:sSup>
          </m:den>
        </m:f>
        <m:r>
          <w:rPr>
            <w:rFonts w:ascii="Cambria Math" w:hAnsi="Cambria Math" w:cstheme="minorBidi"/>
          </w:rPr>
          <m:t>=</m:t>
        </m:r>
        <m:d>
          <m:dPr>
            <m:ctrlPr>
              <w:rPr>
                <w:rFonts w:ascii="Cambria Math" w:hAnsi="Cambria Math" w:cstheme="minorBidi"/>
                <w:i/>
              </w:rPr>
            </m:ctrlPr>
          </m:dPr>
          <m:e>
            <m:r>
              <w:rPr>
                <w:rFonts w:ascii="Cambria Math" w:hAnsi="Cambria Math" w:cstheme="minorBidi"/>
              </w:rPr>
              <m:t>22.2</m:t>
            </m:r>
            <m:box>
              <m:boxPr>
                <m:ctrlPr>
                  <w:rPr>
                    <w:rFonts w:ascii="Cambria Math" w:hAnsi="Cambria Math" w:cstheme="minorBidi"/>
                    <w:i/>
                  </w:rPr>
                </m:ctrlPr>
              </m:boxPr>
              <m:e>
                <m:argPr>
                  <m:argSz m:val="-1"/>
                </m:argPr>
                <m:f>
                  <m:fPr>
                    <m:ctrlPr>
                      <w:rPr>
                        <w:rFonts w:ascii="Cambria Math" w:hAnsi="Cambria Math" w:cstheme="minorBidi"/>
                        <w:i/>
                      </w:rPr>
                    </m:ctrlPr>
                  </m:fPr>
                  <m:num>
                    <m:r>
                      <w:rPr>
                        <w:rFonts w:ascii="Cambria Math" w:hAnsi="Cambria Math" w:cstheme="minorBidi"/>
                      </w:rPr>
                      <m:t>W</m:t>
                    </m:r>
                  </m:num>
                  <m:den>
                    <m:sSup>
                      <m:sSupPr>
                        <m:ctrlPr>
                          <w:rPr>
                            <w:rFonts w:ascii="Cambria Math" w:hAnsi="Cambria Math" w:cstheme="minorBidi"/>
                            <w:i/>
                          </w:rPr>
                        </m:ctrlPr>
                      </m:sSupPr>
                      <m:e>
                        <m:r>
                          <w:rPr>
                            <w:rFonts w:ascii="Cambria Math" w:hAnsi="Cambria Math" w:cstheme="minorBidi"/>
                          </w:rPr>
                          <m:t>m</m:t>
                        </m:r>
                      </m:e>
                      <m:sup>
                        <m:r>
                          <w:rPr>
                            <w:rFonts w:ascii="Cambria Math" w:hAnsi="Cambria Math" w:cstheme="minorBidi"/>
                          </w:rPr>
                          <m:t>2</m:t>
                        </m:r>
                      </m:sup>
                    </m:sSup>
                  </m:den>
                </m:f>
              </m:e>
            </m:box>
            <m:r>
              <w:rPr>
                <w:rFonts w:ascii="Cambria Math" w:hAnsi="Cambria Math" w:cstheme="minorBidi"/>
              </w:rPr>
              <m:t>∙</m:t>
            </m:r>
            <m:sSup>
              <m:sSupPr>
                <m:ctrlPr>
                  <w:rPr>
                    <w:rFonts w:ascii="Cambria Math" w:hAnsi="Cambria Math" w:cstheme="minorBidi"/>
                    <w:i/>
                  </w:rPr>
                </m:ctrlPr>
              </m:sSupPr>
              <m:e>
                <m:d>
                  <m:dPr>
                    <m:ctrlPr>
                      <w:rPr>
                        <w:rFonts w:ascii="Cambria Math" w:hAnsi="Cambria Math" w:cstheme="minorBidi"/>
                        <w:i/>
                      </w:rPr>
                    </m:ctrlPr>
                  </m:dPr>
                  <m:e>
                    <m:r>
                      <w:rPr>
                        <w:rFonts w:ascii="Cambria Math" w:hAnsi="Cambria Math" w:cstheme="minorBidi"/>
                      </w:rPr>
                      <m:t>0.18m</m:t>
                    </m:r>
                  </m:e>
                </m:d>
              </m:e>
              <m:sup>
                <m:r>
                  <w:rPr>
                    <w:rFonts w:ascii="Cambria Math" w:hAnsi="Cambria Math" w:cstheme="minorBidi"/>
                  </w:rPr>
                  <m:t>2</m:t>
                </m:r>
              </m:sup>
            </m:sSup>
          </m:e>
        </m:d>
        <m:f>
          <m:fPr>
            <m:ctrlPr>
              <w:rPr>
                <w:rFonts w:ascii="Cambria Math" w:hAnsi="Cambria Math" w:cstheme="minorBidi"/>
                <w:i/>
              </w:rPr>
            </m:ctrlPr>
          </m:fPr>
          <m:num>
            <m:r>
              <w:rPr>
                <w:rFonts w:ascii="Cambria Math" w:hAnsi="Cambria Math" w:cstheme="minorBidi"/>
              </w:rPr>
              <m:t>0.16</m:t>
            </m:r>
          </m:num>
          <m:den>
            <m:sSup>
              <m:sSupPr>
                <m:ctrlPr>
                  <w:rPr>
                    <w:rFonts w:ascii="Cambria Math" w:hAnsi="Cambria Math" w:cstheme="minorBidi"/>
                    <w:i/>
                  </w:rPr>
                </m:ctrlPr>
              </m:sSupPr>
              <m:e>
                <m:r>
                  <w:rPr>
                    <w:rFonts w:ascii="Cambria Math" w:hAnsi="Cambria Math" w:cstheme="minorBidi"/>
                  </w:rPr>
                  <m:t>0.001</m:t>
                </m:r>
              </m:e>
              <m:sup>
                <m:r>
                  <w:rPr>
                    <w:rFonts w:ascii="Cambria Math" w:hAnsi="Cambria Math" w:cstheme="minorBidi"/>
                  </w:rPr>
                  <m:t>2</m:t>
                </m:r>
              </m:sup>
            </m:sSup>
          </m:den>
        </m:f>
        <m:r>
          <w:rPr>
            <w:rFonts w:ascii="Cambria Math" w:hAnsi="Cambria Math" w:cstheme="minorBidi"/>
          </w:rPr>
          <m:t>≅115,200</m:t>
        </m:r>
        <m:d>
          <m:dPr>
            <m:begChr m:val="["/>
            <m:endChr m:val="]"/>
            <m:ctrlPr>
              <w:rPr>
                <w:rFonts w:ascii="Cambria Math" w:hAnsi="Cambria Math" w:cstheme="minorBidi"/>
                <w:i/>
                <w:vertAlign w:val="superscript"/>
              </w:rPr>
            </m:ctrlPr>
          </m:dPr>
          <m:e>
            <m:f>
              <m:fPr>
                <m:ctrlPr>
                  <w:rPr>
                    <w:rFonts w:ascii="Cambria Math" w:hAnsi="Cambria Math" w:cstheme="minorBidi"/>
                    <w:i/>
                    <w:vertAlign w:val="superscript"/>
                  </w:rPr>
                </m:ctrlPr>
              </m:fPr>
              <m:num>
                <m:r>
                  <w:rPr>
                    <w:rFonts w:ascii="Cambria Math" w:hAnsi="Cambria Math" w:cstheme="minorBidi"/>
                    <w:vertAlign w:val="superscript"/>
                  </w:rPr>
                  <m:t>W</m:t>
                </m:r>
              </m:num>
              <m:den>
                <m:sSup>
                  <m:sSupPr>
                    <m:ctrlPr>
                      <w:rPr>
                        <w:rFonts w:ascii="Cambria Math" w:hAnsi="Cambria Math" w:cstheme="minorBidi"/>
                        <w:i/>
                        <w:vertAlign w:val="superscript"/>
                      </w:rPr>
                    </m:ctrlPr>
                  </m:sSupPr>
                  <m:e>
                    <m:r>
                      <w:rPr>
                        <w:rFonts w:ascii="Cambria Math" w:hAnsi="Cambria Math" w:cstheme="minorBidi"/>
                        <w:vertAlign w:val="superscript"/>
                      </w:rPr>
                      <m:t>m</m:t>
                    </m:r>
                  </m:e>
                  <m:sup>
                    <m:r>
                      <w:rPr>
                        <w:rFonts w:ascii="Cambria Math" w:hAnsi="Cambria Math" w:cstheme="minorBidi"/>
                        <w:vertAlign w:val="superscript"/>
                      </w:rPr>
                      <m:t>2</m:t>
                    </m:r>
                  </m:sup>
                </m:sSup>
                <m:r>
                  <w:rPr>
                    <w:rFonts w:ascii="Cambria Math" w:hAnsi="Cambria Math" w:cstheme="minorBidi"/>
                    <w:vertAlign w:val="superscript"/>
                  </w:rPr>
                  <m:t>∙sr</m:t>
                </m:r>
              </m:den>
            </m:f>
          </m:e>
        </m:d>
      </m:oMath>
    </w:p>
    <w:p w14:paraId="1D5D32BE" w14:textId="77777777" w:rsidR="00275364" w:rsidRDefault="00275364" w:rsidP="00275364">
      <w:pPr>
        <w:jc w:val="both"/>
        <w:rPr>
          <w:rFonts w:asciiTheme="minorBidi" w:hAnsiTheme="minorBidi" w:cstheme="minorBidi"/>
        </w:rPr>
      </w:pPr>
      <w:r w:rsidRPr="000E0ABA">
        <w:rPr>
          <w:rFonts w:asciiTheme="minorBidi" w:eastAsiaTheme="minorEastAsia" w:hAnsiTheme="minorBidi" w:cstheme="minorBidi"/>
        </w:rPr>
        <w:t>Since L</w:t>
      </w:r>
      <w:r w:rsidRPr="000E0ABA">
        <w:rPr>
          <w:rFonts w:asciiTheme="minorBidi" w:eastAsiaTheme="minorEastAsia" w:hAnsiTheme="minorBidi" w:cstheme="minorBidi"/>
          <w:vertAlign w:val="subscript"/>
        </w:rPr>
        <w:t>IR</w:t>
      </w:r>
      <w:r w:rsidRPr="000E0ABA">
        <w:rPr>
          <w:rFonts w:asciiTheme="minorBidi" w:eastAsiaTheme="minorEastAsia" w:hAnsiTheme="minorBidi" w:cstheme="minorBidi"/>
        </w:rPr>
        <w:t xml:space="preserve"> is significantly lower than L</w:t>
      </w:r>
      <w:r w:rsidRPr="000E0ABA">
        <w:rPr>
          <w:rFonts w:asciiTheme="minorBidi" w:eastAsiaTheme="minorEastAsia" w:hAnsiTheme="minorBidi" w:cstheme="minorBidi"/>
          <w:vertAlign w:val="subscript"/>
        </w:rPr>
        <w:t>IR_Limit</w:t>
      </w:r>
      <w:r w:rsidRPr="000E0ABA">
        <w:rPr>
          <w:rFonts w:asciiTheme="minorBidi" w:eastAsiaTheme="minorEastAsia" w:hAnsiTheme="minorBidi" w:cstheme="minorBidi"/>
        </w:rPr>
        <w:t>, th</w:t>
      </w:r>
      <w:r>
        <w:rPr>
          <w:rFonts w:asciiTheme="minorBidi" w:eastAsiaTheme="minorEastAsia" w:hAnsiTheme="minorBidi" w:cstheme="minorBidi"/>
        </w:rPr>
        <w:t>is</w:t>
      </w:r>
      <w:r w:rsidRPr="000E0ABA">
        <w:rPr>
          <w:rFonts w:asciiTheme="minorBidi" w:eastAsiaTheme="minorEastAsia" w:hAnsiTheme="minorBidi" w:cstheme="minorBidi"/>
        </w:rPr>
        <w:t xml:space="preserve"> LED is consider</w:t>
      </w:r>
      <w:r w:rsidRPr="000E0ABA">
        <w:rPr>
          <w:rFonts w:asciiTheme="minorBidi" w:hAnsiTheme="minorBidi" w:cstheme="minorBidi"/>
        </w:rPr>
        <w:t>ed as safe in terms of retinal damage.</w:t>
      </w:r>
      <w:r w:rsidRPr="008B5888">
        <w:rPr>
          <w:rFonts w:asciiTheme="minorBidi" w:hAnsiTheme="minorBidi" w:cstheme="minorBidi"/>
        </w:rPr>
        <w:t xml:space="preserve"> </w:t>
      </w:r>
    </w:p>
    <w:p w14:paraId="1B706F3A" w14:textId="77777777" w:rsidR="00275364" w:rsidRDefault="00275364" w:rsidP="00275364">
      <w:pPr>
        <w:jc w:val="both"/>
        <w:rPr>
          <w:rFonts w:asciiTheme="minorBidi" w:hAnsiTheme="minorBidi" w:cstheme="minorBidi"/>
        </w:rPr>
      </w:pPr>
      <w:r>
        <w:rPr>
          <w:rFonts w:asciiTheme="minorBidi" w:hAnsiTheme="minorBidi" w:cstheme="minorBidi"/>
        </w:rPr>
        <w:t xml:space="preserve">Therefore, as the LED was found to be safe according to all three relevant aspects of eye exposure, it is considered to be safe for the experiments conducted as well as future continuous use applications. </w:t>
      </w:r>
    </w:p>
    <w:p w14:paraId="5B14127D" w14:textId="6658167F" w:rsidR="00106601" w:rsidRPr="00BD46CF" w:rsidRDefault="00275364" w:rsidP="003640AC">
      <w:pPr>
        <w:spacing w:after="160" w:line="259" w:lineRule="auto"/>
        <w:rPr>
          <w:rFonts w:asciiTheme="minorBidi" w:hAnsiTheme="minorBidi" w:cstheme="minorBidi"/>
          <w:bCs/>
          <w:color w:val="000000"/>
          <w:u w:val="single"/>
        </w:rPr>
      </w:pPr>
      <w:r>
        <w:rPr>
          <w:rFonts w:asciiTheme="minorBidi" w:hAnsiTheme="minorBidi" w:cstheme="minorBidi"/>
        </w:rPr>
        <w:t>Importantly, i</w:t>
      </w:r>
      <w:r w:rsidRPr="000E0ABA">
        <w:rPr>
          <w:rFonts w:asciiTheme="minorBidi" w:hAnsiTheme="minorBidi" w:cstheme="minorBidi"/>
        </w:rPr>
        <w:t xml:space="preserve">t should </w:t>
      </w:r>
      <w:r>
        <w:rPr>
          <w:rFonts w:asciiTheme="minorBidi" w:hAnsiTheme="minorBidi" w:cstheme="minorBidi"/>
        </w:rPr>
        <w:t xml:space="preserve">also </w:t>
      </w:r>
      <w:r w:rsidRPr="000E0ABA">
        <w:rPr>
          <w:rFonts w:asciiTheme="minorBidi" w:hAnsiTheme="minorBidi" w:cstheme="minorBidi"/>
        </w:rPr>
        <w:t>be noted that the</w:t>
      </w:r>
      <w:r>
        <w:rPr>
          <w:rFonts w:asciiTheme="minorBidi" w:hAnsiTheme="minorBidi" w:cstheme="minorBidi"/>
        </w:rPr>
        <w:t>se</w:t>
      </w:r>
      <w:r w:rsidRPr="000E0ABA">
        <w:rPr>
          <w:rFonts w:asciiTheme="minorBidi" w:hAnsiTheme="minorBidi" w:cstheme="minorBidi"/>
        </w:rPr>
        <w:t xml:space="preserve"> guidelines and estimations are for </w:t>
      </w:r>
      <w:r w:rsidRPr="008C2390">
        <w:rPr>
          <w:rFonts w:asciiTheme="minorBidi" w:hAnsiTheme="minorBidi" w:cstheme="minorBidi"/>
          <w:b/>
          <w:bCs/>
        </w:rPr>
        <w:t>open-eye setting</w:t>
      </w:r>
      <w:r>
        <w:rPr>
          <w:rFonts w:asciiTheme="minorBidi" w:hAnsiTheme="minorBidi" w:cstheme="minorBidi"/>
          <w:b/>
          <w:bCs/>
        </w:rPr>
        <w:t>s</w:t>
      </w:r>
      <w:r w:rsidRPr="000E0ABA">
        <w:rPr>
          <w:rFonts w:asciiTheme="minorBidi" w:hAnsiTheme="minorBidi" w:cstheme="minorBidi"/>
        </w:rPr>
        <w:t>. However, in a future clinical setting the illumination will be used on patients with closed eyelids</w:t>
      </w:r>
      <w:r>
        <w:rPr>
          <w:rFonts w:asciiTheme="minorBidi" w:hAnsiTheme="minorBidi" w:cstheme="minorBidi"/>
        </w:rPr>
        <w:t>. This will</w:t>
      </w:r>
      <w:r w:rsidRPr="000E0ABA">
        <w:rPr>
          <w:rFonts w:asciiTheme="minorBidi" w:hAnsiTheme="minorBidi" w:cstheme="minorBidi"/>
        </w:rPr>
        <w:t xml:space="preserve"> </w:t>
      </w:r>
      <w:r>
        <w:rPr>
          <w:rFonts w:asciiTheme="minorBidi" w:hAnsiTheme="minorBidi" w:cstheme="minorBidi"/>
        </w:rPr>
        <w:t xml:space="preserve">further </w:t>
      </w:r>
      <w:r w:rsidRPr="000E0ABA">
        <w:rPr>
          <w:rFonts w:asciiTheme="minorBidi" w:hAnsiTheme="minorBidi" w:cstheme="minorBidi"/>
        </w:rPr>
        <w:t xml:space="preserve">reduce the intensity of the light reaching the eye, providing an additional layer of protection. </w:t>
      </w:r>
      <w:r>
        <w:rPr>
          <w:rFonts w:asciiTheme="minorBidi" w:hAnsiTheme="minorBidi" w:cstheme="minorBidi"/>
        </w:rPr>
        <w:t>In other words, the current calculations represent an over-conservative upper bound for any exposure in future clinical settings.</w:t>
      </w:r>
      <w:r w:rsidR="00106601" w:rsidRPr="00BD46CF">
        <w:rPr>
          <w:rFonts w:asciiTheme="minorBidi" w:hAnsiTheme="minorBidi" w:cstheme="minorBidi"/>
          <w:bCs/>
          <w:color w:val="000000"/>
          <w:u w:val="single"/>
        </w:rPr>
        <w:br w:type="page"/>
      </w:r>
    </w:p>
    <w:p w14:paraId="5244F2E4" w14:textId="47351930" w:rsidR="00FD0B70" w:rsidRPr="004D0E34" w:rsidRDefault="00AD61AF" w:rsidP="00A778FC">
      <w:pPr>
        <w:keepNext/>
        <w:pBdr>
          <w:top w:val="nil"/>
          <w:left w:val="nil"/>
          <w:bottom w:val="nil"/>
          <w:right w:val="nil"/>
          <w:between w:val="nil"/>
        </w:pBdr>
        <w:spacing w:after="0"/>
        <w:rPr>
          <w:rFonts w:asciiTheme="minorBidi" w:hAnsiTheme="minorBidi" w:cstheme="minorBidi"/>
          <w:b/>
          <w:color w:val="000000"/>
          <w:u w:val="single"/>
        </w:rPr>
      </w:pPr>
      <w:r>
        <w:rPr>
          <w:rFonts w:asciiTheme="minorBidi" w:hAnsiTheme="minorBidi" w:cstheme="minorBidi"/>
          <w:b/>
          <w:color w:val="000000"/>
          <w:u w:val="single"/>
        </w:rPr>
        <w:lastRenderedPageBreak/>
        <w:t xml:space="preserve">Supplementary </w:t>
      </w:r>
      <w:r w:rsidR="00FD0B70" w:rsidRPr="004D0E34">
        <w:rPr>
          <w:rFonts w:asciiTheme="minorBidi" w:hAnsiTheme="minorBidi" w:cstheme="minorBidi"/>
          <w:b/>
          <w:color w:val="000000"/>
          <w:u w:val="single"/>
        </w:rPr>
        <w:t xml:space="preserve">Figure 1. </w:t>
      </w:r>
      <w:r w:rsidR="00A778FC">
        <w:rPr>
          <w:rFonts w:asciiTheme="minorBidi" w:hAnsiTheme="minorBidi" w:cstheme="minorBidi"/>
          <w:b/>
          <w:color w:val="000000"/>
          <w:u w:val="single"/>
        </w:rPr>
        <w:t>Data exclusion protocol</w:t>
      </w:r>
    </w:p>
    <w:p w14:paraId="43B32653" w14:textId="77777777" w:rsidR="00FD0B70" w:rsidRPr="00AD61AF" w:rsidRDefault="00FD0B70" w:rsidP="00FD0B70">
      <w:pPr>
        <w:spacing w:after="0" w:line="276" w:lineRule="auto"/>
        <w:rPr>
          <w:rFonts w:asciiTheme="minorBidi" w:hAnsiTheme="minorBidi" w:cstheme="minorBidi"/>
          <w:noProof/>
          <w:lang w:bidi="he-IL"/>
        </w:rPr>
      </w:pPr>
    </w:p>
    <w:p w14:paraId="5FE7BDA6" w14:textId="77777777" w:rsidR="00AD61AF" w:rsidRPr="004D0E34" w:rsidRDefault="00AD61AF" w:rsidP="00AD61AF">
      <w:pPr>
        <w:keepNext/>
        <w:pBdr>
          <w:top w:val="nil"/>
          <w:left w:val="nil"/>
          <w:bottom w:val="nil"/>
          <w:right w:val="nil"/>
          <w:between w:val="nil"/>
        </w:pBdr>
        <w:spacing w:after="0"/>
        <w:rPr>
          <w:rFonts w:asciiTheme="minorBidi" w:hAnsiTheme="minorBidi" w:cstheme="minorBidi"/>
          <w:noProof/>
          <w:rtl/>
          <w:lang w:bidi="he-IL"/>
        </w:rPr>
      </w:pPr>
    </w:p>
    <w:p w14:paraId="78B40A8A" w14:textId="37959396" w:rsidR="00AD61AF" w:rsidRPr="004D0E34" w:rsidRDefault="00B25CD6" w:rsidP="00AD61AF">
      <w:pPr>
        <w:keepNext/>
        <w:pBdr>
          <w:top w:val="nil"/>
          <w:left w:val="nil"/>
          <w:bottom w:val="nil"/>
          <w:right w:val="nil"/>
          <w:between w:val="nil"/>
        </w:pBdr>
        <w:spacing w:after="0"/>
        <w:rPr>
          <w:rFonts w:asciiTheme="minorBidi" w:hAnsiTheme="minorBidi" w:cstheme="minorBidi"/>
          <w:b/>
          <w:color w:val="000000"/>
          <w:u w:val="single"/>
        </w:rPr>
      </w:pPr>
      <w:r>
        <w:rPr>
          <w:rFonts w:asciiTheme="minorBidi" w:hAnsiTheme="minorBidi" w:cstheme="minorBidi"/>
          <w:b/>
          <w:noProof/>
          <w:color w:val="000000"/>
          <w:u w:val="single"/>
          <w:lang w:bidi="he-IL"/>
        </w:rPr>
        <w:drawing>
          <wp:inline distT="0" distB="0" distL="0" distR="0" wp14:anchorId="36E007EB" wp14:editId="1A0B1E49">
            <wp:extent cx="5473700" cy="1403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0" cy="1403350"/>
                    </a:xfrm>
                    <a:prstGeom prst="rect">
                      <a:avLst/>
                    </a:prstGeom>
                    <a:noFill/>
                    <a:ln>
                      <a:noFill/>
                    </a:ln>
                  </pic:spPr>
                </pic:pic>
              </a:graphicData>
            </a:graphic>
          </wp:inline>
        </w:drawing>
      </w:r>
    </w:p>
    <w:p w14:paraId="6E6209E7" w14:textId="31D3E3FF" w:rsidR="00AD61AF" w:rsidRPr="00B72305" w:rsidRDefault="00B72305" w:rsidP="00713223">
      <w:pPr>
        <w:jc w:val="both"/>
        <w:rPr>
          <w:rFonts w:asciiTheme="minorBidi" w:hAnsiTheme="minorBidi" w:cstheme="minorBidi"/>
        </w:rPr>
      </w:pPr>
      <w:r>
        <w:rPr>
          <w:rFonts w:asciiTheme="minorBidi" w:eastAsia="Arial" w:hAnsiTheme="minorBidi" w:cstheme="minorBidi"/>
          <w:bCs/>
          <w:color w:val="0B5394"/>
          <w:sz w:val="20"/>
          <w:szCs w:val="20"/>
        </w:rPr>
        <w:t xml:space="preserve">Figure </w:t>
      </w:r>
      <w:r w:rsidR="00767AC3">
        <w:rPr>
          <w:rFonts w:asciiTheme="minorBidi" w:eastAsia="Arial" w:hAnsiTheme="minorBidi" w:cstheme="minorBidi"/>
          <w:bCs/>
          <w:color w:val="0B5394"/>
          <w:sz w:val="20"/>
          <w:szCs w:val="20"/>
        </w:rPr>
        <w:t xml:space="preserve">Supplementary </w:t>
      </w:r>
      <w:r w:rsidR="002837EB">
        <w:rPr>
          <w:rFonts w:asciiTheme="minorBidi" w:eastAsia="Arial" w:hAnsiTheme="minorBidi" w:cstheme="minorBidi"/>
          <w:bCs/>
          <w:color w:val="0B5394"/>
          <w:sz w:val="20"/>
          <w:szCs w:val="20"/>
        </w:rPr>
        <w:t>1</w:t>
      </w:r>
      <w:r>
        <w:rPr>
          <w:rFonts w:asciiTheme="minorBidi" w:eastAsia="Arial" w:hAnsiTheme="minorBidi" w:cstheme="minorBidi"/>
          <w:bCs/>
          <w:color w:val="0B5394"/>
          <w:sz w:val="20"/>
          <w:szCs w:val="20"/>
        </w:rPr>
        <w:t xml:space="preserve">. Exclusion of experiment videos from analysis. All videos in which the x-axis SDM (standard deviation of the movement) as measured in number of pixels were above the threshold (average SDM across all experiments + the standard deviation) were excluded. </w:t>
      </w:r>
      <w:r w:rsidR="00AD61AF">
        <w:rPr>
          <w:rFonts w:asciiTheme="minorBidi" w:hAnsiTheme="minorBidi" w:cstheme="minorBidi"/>
          <w:b/>
          <w:bCs/>
        </w:rPr>
        <w:br w:type="page"/>
      </w:r>
    </w:p>
    <w:p w14:paraId="060414D0" w14:textId="084F2239" w:rsidR="00AD61AF" w:rsidRPr="004D0E34" w:rsidRDefault="00AD61AF" w:rsidP="00AD61AF">
      <w:pPr>
        <w:keepNext/>
        <w:pBdr>
          <w:top w:val="nil"/>
          <w:left w:val="nil"/>
          <w:bottom w:val="nil"/>
          <w:right w:val="nil"/>
          <w:between w:val="nil"/>
        </w:pBdr>
        <w:spacing w:after="0"/>
        <w:rPr>
          <w:rFonts w:asciiTheme="minorBidi" w:hAnsiTheme="minorBidi" w:cstheme="minorBidi"/>
          <w:b/>
          <w:color w:val="000000"/>
          <w:u w:val="single"/>
        </w:rPr>
      </w:pPr>
      <w:r>
        <w:rPr>
          <w:rFonts w:asciiTheme="minorBidi" w:hAnsiTheme="minorBidi" w:cstheme="minorBidi"/>
          <w:b/>
          <w:color w:val="000000"/>
          <w:u w:val="single"/>
        </w:rPr>
        <w:lastRenderedPageBreak/>
        <w:t>Supplementary Figure 2</w:t>
      </w:r>
      <w:r w:rsidRPr="004D0E34">
        <w:rPr>
          <w:rFonts w:asciiTheme="minorBidi" w:hAnsiTheme="minorBidi" w:cstheme="minorBidi"/>
          <w:b/>
          <w:color w:val="000000"/>
          <w:u w:val="single"/>
        </w:rPr>
        <w:t xml:space="preserve">. </w:t>
      </w:r>
      <w:r>
        <w:rPr>
          <w:rFonts w:asciiTheme="minorBidi" w:hAnsiTheme="minorBidi" w:cstheme="minorBidi"/>
          <w:b/>
          <w:color w:val="000000"/>
          <w:u w:val="single"/>
        </w:rPr>
        <w:t>Individual participant data</w:t>
      </w:r>
    </w:p>
    <w:p w14:paraId="659F2AFB" w14:textId="5A5EF355" w:rsidR="00AD61AF" w:rsidRDefault="00AD61AF" w:rsidP="00AD61AF">
      <w:pPr>
        <w:spacing w:after="0" w:line="276" w:lineRule="auto"/>
        <w:rPr>
          <w:rFonts w:asciiTheme="minorBidi" w:hAnsiTheme="minorBidi" w:cstheme="minorBidi"/>
          <w:noProof/>
          <w:lang w:bidi="he-IL"/>
        </w:rPr>
      </w:pPr>
    </w:p>
    <w:p w14:paraId="07A9E716" w14:textId="216B3457" w:rsidR="000B32A5" w:rsidRPr="00AD61AF" w:rsidRDefault="00E51DD0" w:rsidP="00AD61AF">
      <w:pPr>
        <w:spacing w:after="0" w:line="276" w:lineRule="auto"/>
        <w:rPr>
          <w:rFonts w:asciiTheme="minorBidi" w:hAnsiTheme="minorBidi" w:cstheme="minorBidi"/>
          <w:noProof/>
          <w:lang w:bidi="he-IL"/>
        </w:rPr>
      </w:pPr>
      <w:r>
        <w:rPr>
          <w:rFonts w:asciiTheme="minorBidi" w:hAnsiTheme="minorBidi" w:cstheme="minorBidi"/>
          <w:noProof/>
          <w:lang w:bidi="he-IL"/>
        </w:rPr>
        <w:drawing>
          <wp:inline distT="0" distB="0" distL="0" distR="0" wp14:anchorId="28C3B05E" wp14:editId="40279EDD">
            <wp:extent cx="5150034" cy="6283757"/>
            <wp:effectExtent l="0" t="0" r="0" b="3175"/>
            <wp:docPr id="2"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52811" cy="6287145"/>
                    </a:xfrm>
                    <a:prstGeom prst="rect">
                      <a:avLst/>
                    </a:prstGeom>
                  </pic:spPr>
                </pic:pic>
              </a:graphicData>
            </a:graphic>
          </wp:inline>
        </w:drawing>
      </w:r>
    </w:p>
    <w:p w14:paraId="72B6F70E" w14:textId="384B3636" w:rsidR="00F047D7" w:rsidRDefault="004B60A2" w:rsidP="004616D5">
      <w:pPr>
        <w:keepNext/>
        <w:pBdr>
          <w:top w:val="nil"/>
          <w:left w:val="nil"/>
          <w:bottom w:val="nil"/>
          <w:right w:val="nil"/>
          <w:between w:val="nil"/>
        </w:pBdr>
        <w:spacing w:after="0"/>
        <w:jc w:val="both"/>
        <w:rPr>
          <w:rFonts w:asciiTheme="minorBidi" w:eastAsia="Arial" w:hAnsiTheme="minorBidi" w:cstheme="minorBidi"/>
          <w:bCs/>
          <w:color w:val="0B5394"/>
          <w:sz w:val="20"/>
          <w:szCs w:val="20"/>
        </w:rPr>
      </w:pPr>
      <w:r>
        <w:rPr>
          <w:rFonts w:asciiTheme="minorBidi" w:eastAsia="Arial" w:hAnsiTheme="minorBidi" w:cstheme="minorBidi"/>
          <w:bCs/>
          <w:color w:val="0B5394"/>
          <w:sz w:val="20"/>
          <w:szCs w:val="20"/>
        </w:rPr>
        <w:t>Figure S</w:t>
      </w:r>
      <w:r w:rsidR="00767AC3">
        <w:rPr>
          <w:rFonts w:asciiTheme="minorBidi" w:eastAsia="Arial" w:hAnsiTheme="minorBidi" w:cstheme="minorBidi"/>
          <w:bCs/>
          <w:color w:val="0B5394"/>
          <w:sz w:val="20"/>
          <w:szCs w:val="20"/>
        </w:rPr>
        <w:t xml:space="preserve">upplementary </w:t>
      </w:r>
      <w:r>
        <w:rPr>
          <w:rFonts w:asciiTheme="minorBidi" w:eastAsia="Arial" w:hAnsiTheme="minorBidi" w:cstheme="minorBidi"/>
          <w:bCs/>
          <w:color w:val="0B5394"/>
          <w:sz w:val="20"/>
          <w:szCs w:val="20"/>
        </w:rPr>
        <w:t xml:space="preserve">2. </w:t>
      </w:r>
      <w:r w:rsidR="0079328C">
        <w:rPr>
          <w:rFonts w:asciiTheme="minorBidi" w:eastAsia="Arial" w:hAnsiTheme="minorBidi" w:cstheme="minorBidi"/>
          <w:bCs/>
          <w:color w:val="0B5394"/>
          <w:sz w:val="20"/>
          <w:szCs w:val="20"/>
        </w:rPr>
        <w:t xml:space="preserve">Individual </w:t>
      </w:r>
      <w:r w:rsidR="003021D9">
        <w:rPr>
          <w:rFonts w:asciiTheme="minorBidi" w:eastAsia="Arial" w:hAnsiTheme="minorBidi" w:cstheme="minorBidi"/>
          <w:bCs/>
          <w:color w:val="0B5394"/>
          <w:sz w:val="20"/>
          <w:szCs w:val="20"/>
        </w:rPr>
        <w:t>PLR response</w:t>
      </w:r>
      <w:r w:rsidR="0056503F">
        <w:rPr>
          <w:rFonts w:asciiTheme="minorBidi" w:eastAsia="Arial" w:hAnsiTheme="minorBidi" w:cstheme="minorBidi"/>
          <w:bCs/>
          <w:color w:val="0B5394"/>
          <w:sz w:val="20"/>
          <w:szCs w:val="20"/>
        </w:rPr>
        <w:t>s</w:t>
      </w:r>
      <w:r w:rsidR="003021D9">
        <w:rPr>
          <w:rFonts w:asciiTheme="minorBidi" w:eastAsia="Arial" w:hAnsiTheme="minorBidi" w:cstheme="minorBidi"/>
          <w:bCs/>
          <w:color w:val="0B5394"/>
          <w:sz w:val="20"/>
          <w:szCs w:val="20"/>
        </w:rPr>
        <w:t xml:space="preserve"> </w:t>
      </w:r>
      <w:r w:rsidR="0079328C">
        <w:rPr>
          <w:rFonts w:asciiTheme="minorBidi" w:eastAsia="Arial" w:hAnsiTheme="minorBidi" w:cstheme="minorBidi"/>
          <w:bCs/>
          <w:color w:val="0B5394"/>
          <w:sz w:val="20"/>
          <w:szCs w:val="20"/>
        </w:rPr>
        <w:t>according to the fixed circle analysis (</w:t>
      </w:r>
      <w:r w:rsidR="006A50F4">
        <w:rPr>
          <w:rFonts w:asciiTheme="minorBidi" w:eastAsia="Arial" w:hAnsiTheme="minorBidi" w:cstheme="minorBidi"/>
          <w:bCs/>
          <w:color w:val="0B5394"/>
          <w:sz w:val="20"/>
          <w:szCs w:val="20"/>
        </w:rPr>
        <w:t xml:space="preserve">average pixel darkness, </w:t>
      </w:r>
      <w:r w:rsidR="0079328C">
        <w:rPr>
          <w:rFonts w:asciiTheme="minorBidi" w:eastAsia="Arial" w:hAnsiTheme="minorBidi" w:cstheme="minorBidi"/>
          <w:bCs/>
          <w:color w:val="0B5394"/>
          <w:sz w:val="20"/>
          <w:szCs w:val="20"/>
        </w:rPr>
        <w:t>averaged across events</w:t>
      </w:r>
      <w:r w:rsidR="006A50F4">
        <w:rPr>
          <w:rFonts w:asciiTheme="minorBidi" w:eastAsia="Arial" w:hAnsiTheme="minorBidi" w:cstheme="minorBidi"/>
          <w:bCs/>
          <w:color w:val="0B5394"/>
          <w:sz w:val="20"/>
          <w:szCs w:val="20"/>
        </w:rPr>
        <w:t>,</w:t>
      </w:r>
      <w:r w:rsidR="0079328C">
        <w:rPr>
          <w:rFonts w:asciiTheme="minorBidi" w:eastAsia="Arial" w:hAnsiTheme="minorBidi" w:cstheme="minorBidi"/>
          <w:bCs/>
          <w:color w:val="0B5394"/>
          <w:sz w:val="20"/>
          <w:szCs w:val="20"/>
        </w:rPr>
        <w:t xml:space="preserve"> for each participant separately). </w:t>
      </w:r>
      <w:r w:rsidR="000F1F65">
        <w:rPr>
          <w:rFonts w:asciiTheme="minorBidi" w:eastAsia="Arial" w:hAnsiTheme="minorBidi" w:cstheme="minorBidi"/>
          <w:bCs/>
          <w:color w:val="0B5394"/>
          <w:sz w:val="20"/>
          <w:szCs w:val="20"/>
        </w:rPr>
        <w:t>Blue</w:t>
      </w:r>
      <w:r w:rsidR="000F1F65" w:rsidRPr="00383DAB">
        <w:rPr>
          <w:rFonts w:asciiTheme="minorBidi" w:eastAsia="Arial" w:hAnsiTheme="minorBidi" w:cstheme="minorBidi"/>
          <w:bCs/>
          <w:color w:val="0B5394"/>
          <w:sz w:val="20"/>
          <w:szCs w:val="20"/>
        </w:rPr>
        <w:t xml:space="preserve">, open eye; </w:t>
      </w:r>
      <w:r w:rsidR="000F1F65">
        <w:rPr>
          <w:rFonts w:asciiTheme="minorBidi" w:eastAsia="Arial" w:hAnsiTheme="minorBidi" w:cstheme="minorBidi"/>
          <w:bCs/>
          <w:color w:val="0B5394"/>
          <w:sz w:val="20"/>
          <w:szCs w:val="20"/>
        </w:rPr>
        <w:t>O</w:t>
      </w:r>
      <w:r w:rsidR="000F1F65" w:rsidRPr="00383DAB">
        <w:rPr>
          <w:rFonts w:asciiTheme="minorBidi" w:eastAsia="Arial" w:hAnsiTheme="minorBidi" w:cstheme="minorBidi"/>
          <w:bCs/>
          <w:color w:val="0B5394"/>
          <w:sz w:val="20"/>
          <w:szCs w:val="20"/>
        </w:rPr>
        <w:t xml:space="preserve">range, closed eye; </w:t>
      </w:r>
      <w:r w:rsidR="000F1F65">
        <w:rPr>
          <w:rFonts w:asciiTheme="minorBidi" w:eastAsia="Arial" w:hAnsiTheme="minorBidi" w:cstheme="minorBidi"/>
          <w:bCs/>
          <w:color w:val="0B5394"/>
          <w:sz w:val="20"/>
          <w:szCs w:val="20"/>
        </w:rPr>
        <w:t>P</w:t>
      </w:r>
      <w:r w:rsidR="000F1F65" w:rsidRPr="00383DAB">
        <w:rPr>
          <w:rFonts w:asciiTheme="minorBidi" w:eastAsia="Arial" w:hAnsiTheme="minorBidi" w:cstheme="minorBidi"/>
          <w:bCs/>
          <w:color w:val="0B5394"/>
          <w:sz w:val="20"/>
          <w:szCs w:val="20"/>
        </w:rPr>
        <w:t>urple, control forehead region</w:t>
      </w:r>
      <w:r w:rsidR="000F1F65">
        <w:rPr>
          <w:rFonts w:asciiTheme="minorBidi" w:eastAsia="Arial" w:hAnsiTheme="minorBidi" w:cstheme="minorBidi"/>
          <w:bCs/>
          <w:color w:val="0B5394"/>
          <w:sz w:val="20"/>
          <w:szCs w:val="20"/>
        </w:rPr>
        <w:t xml:space="preserve">. Note that y-axis (% change relative to baseline) is adjusted separately </w:t>
      </w:r>
      <w:r w:rsidR="000F1F65" w:rsidRPr="008C2390">
        <w:rPr>
          <w:rFonts w:asciiTheme="minorBidi" w:eastAsia="Arial" w:hAnsiTheme="minorBidi" w:cstheme="minorBidi"/>
          <w:bCs/>
          <w:color w:val="0B5394"/>
          <w:sz w:val="20"/>
          <w:szCs w:val="20"/>
        </w:rPr>
        <w:t xml:space="preserve">for open eyes (left, blue) and </w:t>
      </w:r>
      <w:r w:rsidR="004616D5">
        <w:rPr>
          <w:rFonts w:asciiTheme="minorBidi" w:eastAsia="Arial" w:hAnsiTheme="minorBidi" w:cstheme="minorBidi"/>
          <w:bCs/>
          <w:color w:val="0B5394"/>
          <w:sz w:val="20"/>
          <w:szCs w:val="20"/>
        </w:rPr>
        <w:t xml:space="preserve">jointly </w:t>
      </w:r>
      <w:r w:rsidR="000F1F65" w:rsidRPr="008C2390">
        <w:rPr>
          <w:rFonts w:asciiTheme="minorBidi" w:eastAsia="Arial" w:hAnsiTheme="minorBidi" w:cstheme="minorBidi"/>
          <w:bCs/>
          <w:color w:val="0B5394"/>
          <w:sz w:val="20"/>
          <w:szCs w:val="20"/>
        </w:rPr>
        <w:t>for closed eye/control (on right,</w:t>
      </w:r>
      <w:r w:rsidR="00A700B5">
        <w:rPr>
          <w:rFonts w:asciiTheme="minorBidi" w:eastAsia="Arial" w:hAnsiTheme="minorBidi" w:cstheme="minorBidi"/>
          <w:bCs/>
          <w:color w:val="0B5394"/>
          <w:sz w:val="20"/>
          <w:szCs w:val="20"/>
        </w:rPr>
        <w:t xml:space="preserve"> dark</w:t>
      </w:r>
      <w:r w:rsidR="000F1F65" w:rsidRPr="008C2390">
        <w:rPr>
          <w:rFonts w:asciiTheme="minorBidi" w:eastAsia="Arial" w:hAnsiTheme="minorBidi" w:cstheme="minorBidi"/>
          <w:bCs/>
          <w:color w:val="0B5394"/>
          <w:sz w:val="20"/>
          <w:szCs w:val="20"/>
        </w:rPr>
        <w:t xml:space="preserve"> orange). </w:t>
      </w:r>
      <w:r w:rsidR="00FA5F66" w:rsidRPr="008C2390">
        <w:rPr>
          <w:rFonts w:asciiTheme="minorBidi" w:eastAsia="Arial" w:hAnsiTheme="minorBidi" w:cstheme="minorBidi"/>
          <w:bCs/>
          <w:color w:val="0B5394"/>
          <w:sz w:val="20"/>
          <w:szCs w:val="20"/>
        </w:rPr>
        <w:t>Individual p</w:t>
      </w:r>
      <w:r w:rsidR="0079328C" w:rsidRPr="008C2390">
        <w:rPr>
          <w:rFonts w:asciiTheme="minorBidi" w:eastAsia="Arial" w:hAnsiTheme="minorBidi" w:cstheme="minorBidi"/>
          <w:bCs/>
          <w:color w:val="0B5394"/>
          <w:sz w:val="20"/>
          <w:szCs w:val="20"/>
        </w:rPr>
        <w:t xml:space="preserve">articipants are </w:t>
      </w:r>
      <w:r w:rsidR="003021D9" w:rsidRPr="008C2390">
        <w:rPr>
          <w:rFonts w:asciiTheme="minorBidi" w:eastAsia="Arial" w:hAnsiTheme="minorBidi" w:cstheme="minorBidi"/>
          <w:bCs/>
          <w:color w:val="0B5394"/>
          <w:sz w:val="20"/>
          <w:szCs w:val="20"/>
        </w:rPr>
        <w:t xml:space="preserve">ordered </w:t>
      </w:r>
      <w:r w:rsidR="0015405E" w:rsidRPr="008C2390">
        <w:rPr>
          <w:rFonts w:asciiTheme="minorBidi" w:eastAsia="Arial" w:hAnsiTheme="minorBidi" w:cstheme="minorBidi"/>
          <w:bCs/>
          <w:color w:val="0B5394"/>
          <w:sz w:val="20"/>
          <w:szCs w:val="20"/>
        </w:rPr>
        <w:t>(left to right</w:t>
      </w:r>
      <w:r w:rsidR="0079328C" w:rsidRPr="008C2390">
        <w:rPr>
          <w:rFonts w:asciiTheme="minorBidi" w:eastAsia="Arial" w:hAnsiTheme="minorBidi" w:cstheme="minorBidi"/>
          <w:bCs/>
          <w:color w:val="0B5394"/>
          <w:sz w:val="20"/>
          <w:szCs w:val="20"/>
        </w:rPr>
        <w:t>, then row below</w:t>
      </w:r>
      <w:r w:rsidR="0015405E" w:rsidRPr="008C2390">
        <w:rPr>
          <w:rFonts w:asciiTheme="minorBidi" w:eastAsia="Arial" w:hAnsiTheme="minorBidi" w:cstheme="minorBidi"/>
          <w:bCs/>
          <w:color w:val="0B5394"/>
          <w:sz w:val="20"/>
          <w:szCs w:val="20"/>
        </w:rPr>
        <w:t xml:space="preserve">) by </w:t>
      </w:r>
      <w:r w:rsidR="0079328C" w:rsidRPr="008C2390">
        <w:rPr>
          <w:rFonts w:asciiTheme="minorBidi" w:eastAsia="Arial" w:hAnsiTheme="minorBidi" w:cstheme="minorBidi"/>
          <w:bCs/>
          <w:color w:val="0B5394"/>
          <w:sz w:val="20"/>
          <w:szCs w:val="20"/>
        </w:rPr>
        <w:t>significance of the</w:t>
      </w:r>
      <w:r w:rsidR="000F1F65" w:rsidRPr="008C2390">
        <w:rPr>
          <w:rFonts w:asciiTheme="minorBidi" w:eastAsia="Arial" w:hAnsiTheme="minorBidi" w:cstheme="minorBidi"/>
          <w:bCs/>
          <w:color w:val="0B5394"/>
          <w:sz w:val="20"/>
          <w:szCs w:val="20"/>
        </w:rPr>
        <w:t>ir</w:t>
      </w:r>
      <w:r w:rsidR="0079328C" w:rsidRPr="008C2390">
        <w:rPr>
          <w:rFonts w:asciiTheme="minorBidi" w:eastAsia="Arial" w:hAnsiTheme="minorBidi" w:cstheme="minorBidi"/>
          <w:bCs/>
          <w:color w:val="0B5394"/>
          <w:sz w:val="20"/>
          <w:szCs w:val="20"/>
        </w:rPr>
        <w:t xml:space="preserve"> PLR response (</w:t>
      </w:r>
      <w:r w:rsidR="000F1F65" w:rsidRPr="008C2390">
        <w:rPr>
          <w:rFonts w:asciiTheme="minorBidi" w:eastAsia="Arial" w:hAnsiTheme="minorBidi" w:cstheme="minorBidi"/>
          <w:bCs/>
          <w:color w:val="0B5394"/>
          <w:sz w:val="20"/>
          <w:szCs w:val="20"/>
        </w:rPr>
        <w:t xml:space="preserve">p-value of t-test </w:t>
      </w:r>
      <w:r w:rsidR="00A700B5">
        <w:rPr>
          <w:rFonts w:asciiTheme="minorBidi" w:eastAsia="Arial" w:hAnsiTheme="minorBidi" w:cstheme="minorBidi"/>
          <w:bCs/>
          <w:color w:val="0B5394"/>
          <w:sz w:val="20"/>
          <w:szCs w:val="20"/>
        </w:rPr>
        <w:t>between</w:t>
      </w:r>
      <w:r w:rsidR="0079328C" w:rsidRPr="008C2390">
        <w:rPr>
          <w:rFonts w:asciiTheme="minorBidi" w:eastAsia="Arial" w:hAnsiTheme="minorBidi" w:cstheme="minorBidi"/>
          <w:bCs/>
          <w:color w:val="0B5394"/>
          <w:sz w:val="20"/>
          <w:szCs w:val="20"/>
        </w:rPr>
        <w:t xml:space="preserve"> </w:t>
      </w:r>
      <w:r w:rsidR="00CF4C9D" w:rsidRPr="008C2390">
        <w:rPr>
          <w:rFonts w:asciiTheme="minorBidi" w:eastAsia="Arial" w:hAnsiTheme="minorBidi" w:cstheme="minorBidi"/>
          <w:bCs/>
          <w:color w:val="0B5394"/>
          <w:sz w:val="20"/>
          <w:szCs w:val="20"/>
        </w:rPr>
        <w:t xml:space="preserve">estimated pupil size at 1.5-2.5s compared with 2s baseline </w:t>
      </w:r>
      <w:r w:rsidR="00CF4C9D" w:rsidRPr="008C2390">
        <w:rPr>
          <w:rFonts w:asciiTheme="minorBidi" w:eastAsia="Arial" w:hAnsiTheme="minorBidi" w:cstheme="minorBidi"/>
          <w:bCs/>
          <w:color w:val="0B5394"/>
          <w:sz w:val="20"/>
          <w:szCs w:val="20"/>
        </w:rPr>
        <w:lastRenderedPageBreak/>
        <w:t>before stimulus onset</w:t>
      </w:r>
      <w:r w:rsidR="00FA5F66" w:rsidRPr="008C2390">
        <w:rPr>
          <w:rFonts w:asciiTheme="minorBidi" w:eastAsia="Arial" w:hAnsiTheme="minorBidi" w:cstheme="minorBidi"/>
          <w:bCs/>
          <w:color w:val="0B5394"/>
          <w:sz w:val="20"/>
          <w:szCs w:val="20"/>
        </w:rPr>
        <w:t>; ‘best PLR’ is on top left</w:t>
      </w:r>
      <w:r w:rsidR="00CF4C9D" w:rsidRPr="008C2390">
        <w:rPr>
          <w:rFonts w:asciiTheme="minorBidi" w:eastAsia="Arial" w:hAnsiTheme="minorBidi" w:cstheme="minorBidi"/>
          <w:bCs/>
          <w:color w:val="0B5394"/>
          <w:sz w:val="20"/>
          <w:szCs w:val="20"/>
        </w:rPr>
        <w:t>).</w:t>
      </w:r>
      <w:r w:rsidR="00A700B5">
        <w:rPr>
          <w:rFonts w:asciiTheme="minorBidi" w:eastAsia="Arial" w:hAnsiTheme="minorBidi" w:cstheme="minorBidi"/>
          <w:bCs/>
          <w:color w:val="0B5394"/>
          <w:sz w:val="20"/>
          <w:szCs w:val="20"/>
        </w:rPr>
        <w:t xml:space="preserve"> Figures </w:t>
      </w:r>
      <w:r w:rsidR="006A50F4">
        <w:rPr>
          <w:rFonts w:asciiTheme="minorBidi" w:eastAsia="Arial" w:hAnsiTheme="minorBidi" w:cstheme="minorBidi"/>
          <w:bCs/>
          <w:color w:val="0B5394"/>
          <w:sz w:val="20"/>
          <w:szCs w:val="20"/>
        </w:rPr>
        <w:t xml:space="preserve">representing participants </w:t>
      </w:r>
      <w:r w:rsidR="004616D5">
        <w:rPr>
          <w:rFonts w:asciiTheme="minorBidi" w:eastAsia="Arial" w:hAnsiTheme="minorBidi" w:cstheme="minorBidi"/>
          <w:bCs/>
          <w:color w:val="0B5394"/>
          <w:sz w:val="20"/>
          <w:szCs w:val="20"/>
        </w:rPr>
        <w:t>who</w:t>
      </w:r>
      <w:r w:rsidR="006A50F4">
        <w:rPr>
          <w:rFonts w:asciiTheme="minorBidi" w:eastAsia="Arial" w:hAnsiTheme="minorBidi" w:cstheme="minorBidi"/>
          <w:bCs/>
          <w:color w:val="0B5394"/>
          <w:sz w:val="20"/>
          <w:szCs w:val="20"/>
        </w:rPr>
        <w:t xml:space="preserve"> did not demonstrate a significant decrease in darkness are surrounded by a red frame</w:t>
      </w:r>
      <w:r w:rsidR="007354CC">
        <w:rPr>
          <w:rFonts w:asciiTheme="minorBidi" w:eastAsia="Arial" w:hAnsiTheme="minorBidi" w:cstheme="minorBidi"/>
          <w:bCs/>
          <w:color w:val="0B5394"/>
          <w:sz w:val="20"/>
          <w:szCs w:val="20"/>
        </w:rPr>
        <w:t>.</w:t>
      </w:r>
      <w:r w:rsidR="00A700B5">
        <w:rPr>
          <w:rFonts w:asciiTheme="minorBidi" w:eastAsia="Arial" w:hAnsiTheme="minorBidi" w:cstheme="minorBidi"/>
          <w:bCs/>
          <w:color w:val="0B5394"/>
          <w:sz w:val="20"/>
          <w:szCs w:val="20"/>
        </w:rPr>
        <w:t xml:space="preserve"> </w:t>
      </w:r>
      <w:r w:rsidR="00CF4C9D" w:rsidRPr="008C2390">
        <w:rPr>
          <w:rFonts w:asciiTheme="minorBidi" w:eastAsia="Arial" w:hAnsiTheme="minorBidi" w:cstheme="minorBidi"/>
          <w:bCs/>
          <w:color w:val="0B5394"/>
          <w:sz w:val="20"/>
          <w:szCs w:val="20"/>
        </w:rPr>
        <w:t xml:space="preserve"> </w:t>
      </w:r>
    </w:p>
    <w:p w14:paraId="76A5D8BF" w14:textId="618F97CD" w:rsidR="00DC1D34" w:rsidRDefault="00DC1D34" w:rsidP="004616D5">
      <w:pPr>
        <w:keepNext/>
        <w:pBdr>
          <w:top w:val="nil"/>
          <w:left w:val="nil"/>
          <w:bottom w:val="nil"/>
          <w:right w:val="nil"/>
          <w:between w:val="nil"/>
        </w:pBdr>
        <w:spacing w:after="0"/>
        <w:jc w:val="both"/>
        <w:rPr>
          <w:rFonts w:asciiTheme="minorBidi" w:eastAsia="Arial" w:hAnsiTheme="minorBidi" w:cstheme="minorBidi"/>
          <w:bCs/>
          <w:color w:val="0B5394"/>
          <w:sz w:val="20"/>
          <w:szCs w:val="20"/>
        </w:rPr>
      </w:pPr>
    </w:p>
    <w:p w14:paraId="7935ECA5" w14:textId="668327F5" w:rsidR="00BD70A2" w:rsidRDefault="00BD70A2" w:rsidP="00BD70A2">
      <w:pPr>
        <w:pBdr>
          <w:top w:val="nil"/>
          <w:left w:val="nil"/>
          <w:bottom w:val="nil"/>
          <w:right w:val="nil"/>
          <w:between w:val="nil"/>
        </w:pBdr>
        <w:spacing w:after="0" w:line="360" w:lineRule="auto"/>
        <w:rPr>
          <w:rFonts w:asciiTheme="minorBidi" w:hAnsiTheme="minorBidi" w:cstheme="minorBidi"/>
          <w:b/>
          <w:color w:val="000000"/>
          <w:sz w:val="26"/>
          <w:szCs w:val="26"/>
        </w:rPr>
      </w:pPr>
      <w:r>
        <w:rPr>
          <w:rFonts w:asciiTheme="minorBidi" w:hAnsiTheme="minorBidi" w:cstheme="minorBidi"/>
          <w:b/>
          <w:color w:val="000000"/>
          <w:sz w:val="26"/>
          <w:szCs w:val="26"/>
        </w:rPr>
        <w:t>References</w:t>
      </w:r>
    </w:p>
    <w:p w14:paraId="24C46C08" w14:textId="39284660" w:rsidR="00BD70A2" w:rsidRPr="00DC1D34" w:rsidRDefault="00BD70A2" w:rsidP="00BD70A2">
      <w:pPr>
        <w:keepNext/>
        <w:pBdr>
          <w:top w:val="nil"/>
          <w:left w:val="nil"/>
          <w:bottom w:val="nil"/>
          <w:right w:val="nil"/>
          <w:between w:val="nil"/>
        </w:pBdr>
        <w:spacing w:after="0"/>
        <w:jc w:val="both"/>
        <w:rPr>
          <w:rFonts w:asciiTheme="minorHAnsi" w:hAnsiTheme="minorHAnsi" w:cstheme="minorHAnsi"/>
        </w:rPr>
      </w:pPr>
      <w:r>
        <w:rPr>
          <w:rFonts w:asciiTheme="minorHAnsi" w:hAnsiTheme="minorHAnsi" w:cstheme="minorHAnsi"/>
        </w:rPr>
        <w:t xml:space="preserve">1. </w:t>
      </w:r>
      <w:r w:rsidRPr="00DC1D34">
        <w:rPr>
          <w:rFonts w:asciiTheme="minorHAnsi" w:hAnsiTheme="minorHAnsi" w:cstheme="minorHAnsi"/>
        </w:rPr>
        <w:t>International Commission on Non-Ionizing Radiation Protection. ICNIRP Guidelines on Limits of Exposure to Incoherent Visible and Infrared Radiation. Health Physics 105(1):p 74-96, July 2013. | DOI: 10.1097/HP.0b013e318289a611</w:t>
      </w:r>
    </w:p>
    <w:p w14:paraId="5CBF6DE9" w14:textId="77777777" w:rsidR="00BD70A2" w:rsidRDefault="00BD70A2" w:rsidP="004616D5">
      <w:pPr>
        <w:keepNext/>
        <w:pBdr>
          <w:top w:val="nil"/>
          <w:left w:val="nil"/>
          <w:bottom w:val="nil"/>
          <w:right w:val="nil"/>
          <w:between w:val="nil"/>
        </w:pBdr>
        <w:spacing w:after="0"/>
        <w:jc w:val="both"/>
        <w:rPr>
          <w:rFonts w:asciiTheme="minorBidi" w:eastAsia="Arial" w:hAnsiTheme="minorBidi" w:cstheme="minorBidi"/>
          <w:bCs/>
          <w:color w:val="0B5394"/>
          <w:sz w:val="20"/>
          <w:szCs w:val="20"/>
        </w:rPr>
      </w:pPr>
    </w:p>
    <w:sectPr w:rsidR="00BD70A2" w:rsidSect="00B829EE">
      <w:headerReference w:type="default" r:id="rId10"/>
      <w:footerReference w:type="default" r:id="rId11"/>
      <w:type w:val="continuous"/>
      <w:pgSz w:w="12240" w:h="15840"/>
      <w:pgMar w:top="1440" w:right="1800" w:bottom="1440" w:left="180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8680B" w14:textId="77777777" w:rsidR="002A2432" w:rsidRDefault="002A2432">
      <w:pPr>
        <w:spacing w:after="0"/>
      </w:pPr>
      <w:r>
        <w:separator/>
      </w:r>
    </w:p>
  </w:endnote>
  <w:endnote w:type="continuationSeparator" w:id="0">
    <w:p w14:paraId="0E0B0985" w14:textId="77777777" w:rsidR="002A2432" w:rsidRDefault="002A24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24E7" w14:textId="5743F271" w:rsidR="0056152D" w:rsidRDefault="0056152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F1620C">
      <w:rPr>
        <w:noProof/>
        <w:color w:val="000000"/>
      </w:rPr>
      <w:t>6</w:t>
    </w:r>
    <w:r>
      <w:rPr>
        <w:color w:val="000000"/>
      </w:rPr>
      <w:fldChar w:fldCharType="end"/>
    </w:r>
  </w:p>
  <w:p w14:paraId="3100B92A" w14:textId="77777777" w:rsidR="0056152D" w:rsidRDefault="0056152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DCDD3" w14:textId="77777777" w:rsidR="002A2432" w:rsidRDefault="002A2432">
      <w:pPr>
        <w:spacing w:after="0"/>
      </w:pPr>
      <w:r>
        <w:separator/>
      </w:r>
    </w:p>
  </w:footnote>
  <w:footnote w:type="continuationSeparator" w:id="0">
    <w:p w14:paraId="78D168E8" w14:textId="77777777" w:rsidR="002A2432" w:rsidRDefault="002A24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E2FC" w14:textId="77777777" w:rsidR="0056152D" w:rsidRDefault="0056152D">
    <w:pPr>
      <w:jc w:val="right"/>
      <w:rPr>
        <w:sz w:val="20"/>
        <w:szCs w:val="20"/>
      </w:rPr>
    </w:pPr>
  </w:p>
  <w:p w14:paraId="56E2D3C8" w14:textId="77777777" w:rsidR="0056152D" w:rsidRDefault="005615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860"/>
    <w:multiLevelType w:val="hybridMultilevel"/>
    <w:tmpl w:val="8840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6466D"/>
    <w:multiLevelType w:val="hybridMultilevel"/>
    <w:tmpl w:val="FFD0578C"/>
    <w:lvl w:ilvl="0" w:tplc="A4E090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12A9B"/>
    <w:multiLevelType w:val="hybridMultilevel"/>
    <w:tmpl w:val="64D492D4"/>
    <w:lvl w:ilvl="0" w:tplc="54F4A050">
      <w:start w:val="1"/>
      <w:numFmt w:val="decimal"/>
      <w:lvlText w:val="(%1)"/>
      <w:lvlJc w:val="left"/>
      <w:pPr>
        <w:ind w:left="720" w:hanging="360"/>
      </w:pPr>
      <w:rPr>
        <w:rFonts w:eastAsia="Calibri" w:hint="default"/>
        <w:i w:val="0"/>
        <w:color w:val="FF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10B7FC3"/>
    <w:multiLevelType w:val="multilevel"/>
    <w:tmpl w:val="50CACA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EC872C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A7A3435"/>
    <w:multiLevelType w:val="hybridMultilevel"/>
    <w:tmpl w:val="73A2737E"/>
    <w:lvl w:ilvl="0" w:tplc="28887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1878539">
    <w:abstractNumId w:val="3"/>
  </w:num>
  <w:num w:numId="2" w16cid:durableId="488064071">
    <w:abstractNumId w:val="0"/>
  </w:num>
  <w:num w:numId="3" w16cid:durableId="312682507">
    <w:abstractNumId w:val="1"/>
  </w:num>
  <w:num w:numId="4" w16cid:durableId="678776836">
    <w:abstractNumId w:val="4"/>
  </w:num>
  <w:num w:numId="5" w16cid:durableId="782573920">
    <w:abstractNumId w:val="5"/>
  </w:num>
  <w:num w:numId="6" w16cid:durableId="259412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Biotech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vw5d9zv1rez2le0avp5eary2fsd55rze5rw&quot;&gt;UV_References_EndNote20&lt;record-ids&gt;&lt;item&gt;19103&lt;/item&gt;&lt;item&gt;19117&lt;/item&gt;&lt;item&gt;19447&lt;/item&gt;&lt;item&gt;19482&lt;/item&gt;&lt;item&gt;19548&lt;/item&gt;&lt;item&gt;19551&lt;/item&gt;&lt;item&gt;19553&lt;/item&gt;&lt;item&gt;19557&lt;/item&gt;&lt;item&gt;19558&lt;/item&gt;&lt;item&gt;19567&lt;/item&gt;&lt;item&gt;19568&lt;/item&gt;&lt;item&gt;19569&lt;/item&gt;&lt;item&gt;19571&lt;/item&gt;&lt;item&gt;19572&lt;/item&gt;&lt;item&gt;19573&lt;/item&gt;&lt;item&gt;19575&lt;/item&gt;&lt;item&gt;19576&lt;/item&gt;&lt;item&gt;19577&lt;/item&gt;&lt;item&gt;19578&lt;/item&gt;&lt;item&gt;19579&lt;/item&gt;&lt;item&gt;19580&lt;/item&gt;&lt;item&gt;19581&lt;/item&gt;&lt;item&gt;19582&lt;/item&gt;&lt;item&gt;19583&lt;/item&gt;&lt;item&gt;19584&lt;/item&gt;&lt;item&gt;19586&lt;/item&gt;&lt;item&gt;19587&lt;/item&gt;&lt;item&gt;19588&lt;/item&gt;&lt;/record-ids&gt;&lt;/item&gt;&lt;/Libraries&gt;"/>
  </w:docVars>
  <w:rsids>
    <w:rsidRoot w:val="0061163C"/>
    <w:rsid w:val="00000B31"/>
    <w:rsid w:val="000021A0"/>
    <w:rsid w:val="000047E3"/>
    <w:rsid w:val="0001182C"/>
    <w:rsid w:val="00013786"/>
    <w:rsid w:val="0001492D"/>
    <w:rsid w:val="00017A17"/>
    <w:rsid w:val="000343E8"/>
    <w:rsid w:val="00034A31"/>
    <w:rsid w:val="00041616"/>
    <w:rsid w:val="00045C72"/>
    <w:rsid w:val="00047BFA"/>
    <w:rsid w:val="00051EC1"/>
    <w:rsid w:val="00054657"/>
    <w:rsid w:val="00061CB9"/>
    <w:rsid w:val="00062F20"/>
    <w:rsid w:val="00087B98"/>
    <w:rsid w:val="000915A1"/>
    <w:rsid w:val="000A28B1"/>
    <w:rsid w:val="000A6DA4"/>
    <w:rsid w:val="000B064E"/>
    <w:rsid w:val="000B2757"/>
    <w:rsid w:val="000B32A5"/>
    <w:rsid w:val="000B5366"/>
    <w:rsid w:val="000B6DEA"/>
    <w:rsid w:val="000C1ED7"/>
    <w:rsid w:val="000D1213"/>
    <w:rsid w:val="000D682E"/>
    <w:rsid w:val="000E0ABA"/>
    <w:rsid w:val="000E700B"/>
    <w:rsid w:val="000F1F65"/>
    <w:rsid w:val="0010276F"/>
    <w:rsid w:val="00105AD3"/>
    <w:rsid w:val="00106601"/>
    <w:rsid w:val="00110F88"/>
    <w:rsid w:val="00130187"/>
    <w:rsid w:val="001315B0"/>
    <w:rsid w:val="00140BE2"/>
    <w:rsid w:val="00143EDF"/>
    <w:rsid w:val="00153FB6"/>
    <w:rsid w:val="0015405E"/>
    <w:rsid w:val="00157EC1"/>
    <w:rsid w:val="001747A2"/>
    <w:rsid w:val="00177269"/>
    <w:rsid w:val="001814F7"/>
    <w:rsid w:val="0018756A"/>
    <w:rsid w:val="001A238F"/>
    <w:rsid w:val="001A4BA8"/>
    <w:rsid w:val="001B5BAC"/>
    <w:rsid w:val="001C5FFD"/>
    <w:rsid w:val="001D01E9"/>
    <w:rsid w:val="001D02CB"/>
    <w:rsid w:val="001D594F"/>
    <w:rsid w:val="001D7D88"/>
    <w:rsid w:val="001E120B"/>
    <w:rsid w:val="00203905"/>
    <w:rsid w:val="00213200"/>
    <w:rsid w:val="0021683E"/>
    <w:rsid w:val="00225071"/>
    <w:rsid w:val="002265B7"/>
    <w:rsid w:val="002315F2"/>
    <w:rsid w:val="0024412D"/>
    <w:rsid w:val="0027411D"/>
    <w:rsid w:val="00275364"/>
    <w:rsid w:val="00276D9B"/>
    <w:rsid w:val="00281475"/>
    <w:rsid w:val="002837EB"/>
    <w:rsid w:val="002877A1"/>
    <w:rsid w:val="00287FDD"/>
    <w:rsid w:val="002A1868"/>
    <w:rsid w:val="002A2432"/>
    <w:rsid w:val="002B6806"/>
    <w:rsid w:val="002B7DA6"/>
    <w:rsid w:val="002C1DDD"/>
    <w:rsid w:val="002E1ECD"/>
    <w:rsid w:val="002E3152"/>
    <w:rsid w:val="002F6283"/>
    <w:rsid w:val="002F78C6"/>
    <w:rsid w:val="00300D7C"/>
    <w:rsid w:val="003021D9"/>
    <w:rsid w:val="00303A18"/>
    <w:rsid w:val="00304599"/>
    <w:rsid w:val="00310183"/>
    <w:rsid w:val="00321C2E"/>
    <w:rsid w:val="00323B7A"/>
    <w:rsid w:val="003308E9"/>
    <w:rsid w:val="00342A15"/>
    <w:rsid w:val="00345241"/>
    <w:rsid w:val="00345755"/>
    <w:rsid w:val="00346672"/>
    <w:rsid w:val="0035628A"/>
    <w:rsid w:val="003640AC"/>
    <w:rsid w:val="003657FB"/>
    <w:rsid w:val="00366FAE"/>
    <w:rsid w:val="0037018D"/>
    <w:rsid w:val="003917D9"/>
    <w:rsid w:val="003C24CB"/>
    <w:rsid w:val="003D31F0"/>
    <w:rsid w:val="003E691A"/>
    <w:rsid w:val="003F0D0B"/>
    <w:rsid w:val="003F68E7"/>
    <w:rsid w:val="00425A79"/>
    <w:rsid w:val="0042665C"/>
    <w:rsid w:val="00430D27"/>
    <w:rsid w:val="004616D5"/>
    <w:rsid w:val="00462E81"/>
    <w:rsid w:val="00467443"/>
    <w:rsid w:val="00473F58"/>
    <w:rsid w:val="004A57B8"/>
    <w:rsid w:val="004A752B"/>
    <w:rsid w:val="004B1582"/>
    <w:rsid w:val="004B1B82"/>
    <w:rsid w:val="004B60A2"/>
    <w:rsid w:val="004B685C"/>
    <w:rsid w:val="004C1AE3"/>
    <w:rsid w:val="004D0E34"/>
    <w:rsid w:val="004D43AD"/>
    <w:rsid w:val="004D71FD"/>
    <w:rsid w:val="004E15B6"/>
    <w:rsid w:val="004E239A"/>
    <w:rsid w:val="004E566C"/>
    <w:rsid w:val="004E73B4"/>
    <w:rsid w:val="004F7E11"/>
    <w:rsid w:val="00500FC0"/>
    <w:rsid w:val="00516E96"/>
    <w:rsid w:val="00535017"/>
    <w:rsid w:val="005360D5"/>
    <w:rsid w:val="0053668D"/>
    <w:rsid w:val="00550E44"/>
    <w:rsid w:val="0056152D"/>
    <w:rsid w:val="0056447C"/>
    <w:rsid w:val="0056503F"/>
    <w:rsid w:val="0056608E"/>
    <w:rsid w:val="00592D94"/>
    <w:rsid w:val="005A6126"/>
    <w:rsid w:val="005B013B"/>
    <w:rsid w:val="005B0253"/>
    <w:rsid w:val="005B5D70"/>
    <w:rsid w:val="005C043B"/>
    <w:rsid w:val="005C4707"/>
    <w:rsid w:val="005D0E9B"/>
    <w:rsid w:val="005D21A5"/>
    <w:rsid w:val="005D5205"/>
    <w:rsid w:val="005D67C7"/>
    <w:rsid w:val="005E1500"/>
    <w:rsid w:val="005E2F22"/>
    <w:rsid w:val="005E7827"/>
    <w:rsid w:val="005F33E2"/>
    <w:rsid w:val="00605AFE"/>
    <w:rsid w:val="0061163C"/>
    <w:rsid w:val="006225B9"/>
    <w:rsid w:val="0062285D"/>
    <w:rsid w:val="0062318A"/>
    <w:rsid w:val="00640AF6"/>
    <w:rsid w:val="00652AC5"/>
    <w:rsid w:val="00654A31"/>
    <w:rsid w:val="00673ABF"/>
    <w:rsid w:val="00676B23"/>
    <w:rsid w:val="006825C1"/>
    <w:rsid w:val="0068534B"/>
    <w:rsid w:val="00686BF3"/>
    <w:rsid w:val="00687F75"/>
    <w:rsid w:val="00690F2D"/>
    <w:rsid w:val="00695744"/>
    <w:rsid w:val="006A1599"/>
    <w:rsid w:val="006A50F4"/>
    <w:rsid w:val="006B5903"/>
    <w:rsid w:val="006C421D"/>
    <w:rsid w:val="006D30C3"/>
    <w:rsid w:val="006D3260"/>
    <w:rsid w:val="006F46C4"/>
    <w:rsid w:val="007056FB"/>
    <w:rsid w:val="00710977"/>
    <w:rsid w:val="007109BD"/>
    <w:rsid w:val="007116F2"/>
    <w:rsid w:val="00713223"/>
    <w:rsid w:val="0071328E"/>
    <w:rsid w:val="00715BDC"/>
    <w:rsid w:val="00717C6E"/>
    <w:rsid w:val="00722742"/>
    <w:rsid w:val="007234BC"/>
    <w:rsid w:val="00725365"/>
    <w:rsid w:val="007354CC"/>
    <w:rsid w:val="007502AC"/>
    <w:rsid w:val="007643E5"/>
    <w:rsid w:val="00767AC3"/>
    <w:rsid w:val="007805AC"/>
    <w:rsid w:val="00780BD7"/>
    <w:rsid w:val="00784013"/>
    <w:rsid w:val="00792585"/>
    <w:rsid w:val="0079328C"/>
    <w:rsid w:val="00795FD8"/>
    <w:rsid w:val="007B3E29"/>
    <w:rsid w:val="007B776D"/>
    <w:rsid w:val="007C43F6"/>
    <w:rsid w:val="007C5D55"/>
    <w:rsid w:val="007D3EE6"/>
    <w:rsid w:val="007D5742"/>
    <w:rsid w:val="007D609F"/>
    <w:rsid w:val="007E2BAA"/>
    <w:rsid w:val="007F29A2"/>
    <w:rsid w:val="00835A70"/>
    <w:rsid w:val="0084237B"/>
    <w:rsid w:val="0084602D"/>
    <w:rsid w:val="008465BF"/>
    <w:rsid w:val="0085149E"/>
    <w:rsid w:val="00863AD8"/>
    <w:rsid w:val="00866337"/>
    <w:rsid w:val="00867398"/>
    <w:rsid w:val="00880CC0"/>
    <w:rsid w:val="0088397E"/>
    <w:rsid w:val="00884601"/>
    <w:rsid w:val="00886161"/>
    <w:rsid w:val="00887B54"/>
    <w:rsid w:val="0089762A"/>
    <w:rsid w:val="008B5888"/>
    <w:rsid w:val="008B6A60"/>
    <w:rsid w:val="008C1AFE"/>
    <w:rsid w:val="008C2390"/>
    <w:rsid w:val="008C4C4D"/>
    <w:rsid w:val="008C5400"/>
    <w:rsid w:val="008D41B0"/>
    <w:rsid w:val="008E0BE6"/>
    <w:rsid w:val="008E7A53"/>
    <w:rsid w:val="00900F17"/>
    <w:rsid w:val="00907769"/>
    <w:rsid w:val="00910882"/>
    <w:rsid w:val="00911C2F"/>
    <w:rsid w:val="00916C0E"/>
    <w:rsid w:val="00917FE7"/>
    <w:rsid w:val="00940579"/>
    <w:rsid w:val="00942B01"/>
    <w:rsid w:val="009611C8"/>
    <w:rsid w:val="009641A0"/>
    <w:rsid w:val="00977313"/>
    <w:rsid w:val="00982F92"/>
    <w:rsid w:val="009842E3"/>
    <w:rsid w:val="00984DBC"/>
    <w:rsid w:val="0098656F"/>
    <w:rsid w:val="00991CC0"/>
    <w:rsid w:val="00994938"/>
    <w:rsid w:val="009A0445"/>
    <w:rsid w:val="009A624E"/>
    <w:rsid w:val="009A7758"/>
    <w:rsid w:val="009B13CE"/>
    <w:rsid w:val="009B3C23"/>
    <w:rsid w:val="009C7564"/>
    <w:rsid w:val="009D1A4A"/>
    <w:rsid w:val="009D486B"/>
    <w:rsid w:val="009E1FBD"/>
    <w:rsid w:val="009E374F"/>
    <w:rsid w:val="009E7E55"/>
    <w:rsid w:val="009F1F65"/>
    <w:rsid w:val="009F239F"/>
    <w:rsid w:val="009F53BD"/>
    <w:rsid w:val="009F6833"/>
    <w:rsid w:val="00A149A2"/>
    <w:rsid w:val="00A159BE"/>
    <w:rsid w:val="00A20910"/>
    <w:rsid w:val="00A21E65"/>
    <w:rsid w:val="00A32AEE"/>
    <w:rsid w:val="00A50DA1"/>
    <w:rsid w:val="00A5767B"/>
    <w:rsid w:val="00A700B5"/>
    <w:rsid w:val="00A724E4"/>
    <w:rsid w:val="00A72D7E"/>
    <w:rsid w:val="00A778FC"/>
    <w:rsid w:val="00A77C7D"/>
    <w:rsid w:val="00A83F41"/>
    <w:rsid w:val="00A90E9E"/>
    <w:rsid w:val="00A9232F"/>
    <w:rsid w:val="00AA064F"/>
    <w:rsid w:val="00AC3622"/>
    <w:rsid w:val="00AD0E73"/>
    <w:rsid w:val="00AD61AF"/>
    <w:rsid w:val="00AF0D3C"/>
    <w:rsid w:val="00B0401D"/>
    <w:rsid w:val="00B178CE"/>
    <w:rsid w:val="00B20390"/>
    <w:rsid w:val="00B2150D"/>
    <w:rsid w:val="00B25CD6"/>
    <w:rsid w:val="00B264A5"/>
    <w:rsid w:val="00B3250D"/>
    <w:rsid w:val="00B4531D"/>
    <w:rsid w:val="00B54EE1"/>
    <w:rsid w:val="00B563BD"/>
    <w:rsid w:val="00B62A57"/>
    <w:rsid w:val="00B62D7D"/>
    <w:rsid w:val="00B668BC"/>
    <w:rsid w:val="00B72305"/>
    <w:rsid w:val="00B829EE"/>
    <w:rsid w:val="00BA14AA"/>
    <w:rsid w:val="00BA2E5A"/>
    <w:rsid w:val="00BD46CF"/>
    <w:rsid w:val="00BD61FC"/>
    <w:rsid w:val="00BD70A2"/>
    <w:rsid w:val="00BE6FBA"/>
    <w:rsid w:val="00BF184D"/>
    <w:rsid w:val="00C1509B"/>
    <w:rsid w:val="00C164DB"/>
    <w:rsid w:val="00C17C03"/>
    <w:rsid w:val="00C218A5"/>
    <w:rsid w:val="00C2419E"/>
    <w:rsid w:val="00C32345"/>
    <w:rsid w:val="00C55125"/>
    <w:rsid w:val="00C555E9"/>
    <w:rsid w:val="00C55608"/>
    <w:rsid w:val="00C60F1F"/>
    <w:rsid w:val="00C63DAD"/>
    <w:rsid w:val="00C71788"/>
    <w:rsid w:val="00C71A94"/>
    <w:rsid w:val="00C94E64"/>
    <w:rsid w:val="00CA1FC5"/>
    <w:rsid w:val="00CA5E7E"/>
    <w:rsid w:val="00CA7C05"/>
    <w:rsid w:val="00CC01A6"/>
    <w:rsid w:val="00CD0E80"/>
    <w:rsid w:val="00CF110D"/>
    <w:rsid w:val="00CF4C9D"/>
    <w:rsid w:val="00CF53C0"/>
    <w:rsid w:val="00CF730F"/>
    <w:rsid w:val="00D15302"/>
    <w:rsid w:val="00D2090A"/>
    <w:rsid w:val="00D342F2"/>
    <w:rsid w:val="00D37E06"/>
    <w:rsid w:val="00D37E11"/>
    <w:rsid w:val="00D47650"/>
    <w:rsid w:val="00D507AA"/>
    <w:rsid w:val="00D52632"/>
    <w:rsid w:val="00D576AE"/>
    <w:rsid w:val="00D57E21"/>
    <w:rsid w:val="00D61127"/>
    <w:rsid w:val="00D660CE"/>
    <w:rsid w:val="00D764D7"/>
    <w:rsid w:val="00D948EE"/>
    <w:rsid w:val="00D95E8C"/>
    <w:rsid w:val="00DB14DF"/>
    <w:rsid w:val="00DC1D34"/>
    <w:rsid w:val="00DC2FE6"/>
    <w:rsid w:val="00DD078B"/>
    <w:rsid w:val="00DD2FF5"/>
    <w:rsid w:val="00DD307A"/>
    <w:rsid w:val="00DE27EF"/>
    <w:rsid w:val="00DE4927"/>
    <w:rsid w:val="00DF0907"/>
    <w:rsid w:val="00DF128F"/>
    <w:rsid w:val="00E02393"/>
    <w:rsid w:val="00E05C5F"/>
    <w:rsid w:val="00E11B11"/>
    <w:rsid w:val="00E20275"/>
    <w:rsid w:val="00E466F6"/>
    <w:rsid w:val="00E46BAF"/>
    <w:rsid w:val="00E51DD0"/>
    <w:rsid w:val="00E5396C"/>
    <w:rsid w:val="00E54945"/>
    <w:rsid w:val="00E75C4E"/>
    <w:rsid w:val="00EA04F0"/>
    <w:rsid w:val="00EA62BF"/>
    <w:rsid w:val="00EA6A2F"/>
    <w:rsid w:val="00EB42CB"/>
    <w:rsid w:val="00EE249A"/>
    <w:rsid w:val="00EF5751"/>
    <w:rsid w:val="00F01364"/>
    <w:rsid w:val="00F01473"/>
    <w:rsid w:val="00F047D7"/>
    <w:rsid w:val="00F07547"/>
    <w:rsid w:val="00F1620C"/>
    <w:rsid w:val="00F22CD7"/>
    <w:rsid w:val="00F23BE1"/>
    <w:rsid w:val="00F31A69"/>
    <w:rsid w:val="00F43F27"/>
    <w:rsid w:val="00F474D8"/>
    <w:rsid w:val="00F5391E"/>
    <w:rsid w:val="00F62D1F"/>
    <w:rsid w:val="00F920EE"/>
    <w:rsid w:val="00F94E9E"/>
    <w:rsid w:val="00F970B0"/>
    <w:rsid w:val="00FA0965"/>
    <w:rsid w:val="00FA5F66"/>
    <w:rsid w:val="00FA700C"/>
    <w:rsid w:val="00FB3961"/>
    <w:rsid w:val="00FB7EB7"/>
    <w:rsid w:val="00FC101E"/>
    <w:rsid w:val="00FC540C"/>
    <w:rsid w:val="00FC5882"/>
    <w:rsid w:val="00FD0B70"/>
    <w:rsid w:val="00FD1639"/>
    <w:rsid w:val="00FD2597"/>
    <w:rsid w:val="00FF0800"/>
    <w:rsid w:val="00FF1D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6D95D"/>
  <w15:chartTrackingRefBased/>
  <w15:docId w15:val="{F4D63E01-12AB-4182-8866-89AF5432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63C"/>
    <w:pPr>
      <w:spacing w:after="200" w:line="240" w:lineRule="auto"/>
    </w:pPr>
    <w:rPr>
      <w:rFonts w:ascii="Calibri" w:eastAsia="Calibri" w:hAnsi="Calibri" w:cs="Calibri"/>
      <w:lang w:bidi="ar-SA"/>
    </w:rPr>
  </w:style>
  <w:style w:type="paragraph" w:styleId="Heading3">
    <w:name w:val="heading 3"/>
    <w:basedOn w:val="Normal"/>
    <w:next w:val="Normal"/>
    <w:link w:val="Heading3Char"/>
    <w:rsid w:val="00A50DA1"/>
    <w:pPr>
      <w:keepNext/>
      <w:keepLines/>
      <w:spacing w:before="280" w:after="80"/>
      <w:outlineLvl w:val="2"/>
    </w:pPr>
    <w:rPr>
      <w:b/>
      <w:sz w:val="28"/>
      <w:szCs w:val="28"/>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1163C"/>
    <w:rPr>
      <w:sz w:val="16"/>
      <w:szCs w:val="16"/>
    </w:rPr>
  </w:style>
  <w:style w:type="paragraph" w:styleId="CommentText">
    <w:name w:val="annotation text"/>
    <w:basedOn w:val="Normal"/>
    <w:link w:val="CommentTextChar"/>
    <w:uiPriority w:val="99"/>
    <w:unhideWhenUsed/>
    <w:rsid w:val="0061163C"/>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1163C"/>
    <w:rPr>
      <w:rFonts w:ascii="Times New Roman" w:eastAsia="Times New Roman" w:hAnsi="Times New Roman" w:cs="Times New Roman"/>
      <w:sz w:val="20"/>
      <w:szCs w:val="20"/>
      <w:lang w:bidi="ar-SA"/>
    </w:rPr>
  </w:style>
  <w:style w:type="character" w:styleId="Hyperlink">
    <w:name w:val="Hyperlink"/>
    <w:basedOn w:val="DefaultParagraphFont"/>
    <w:uiPriority w:val="99"/>
    <w:unhideWhenUsed/>
    <w:rsid w:val="0061163C"/>
    <w:rPr>
      <w:color w:val="0563C1" w:themeColor="hyperlink"/>
      <w:u w:val="single"/>
    </w:rPr>
  </w:style>
  <w:style w:type="paragraph" w:styleId="BalloonText">
    <w:name w:val="Balloon Text"/>
    <w:basedOn w:val="Normal"/>
    <w:link w:val="BalloonTextChar"/>
    <w:uiPriority w:val="99"/>
    <w:semiHidden/>
    <w:unhideWhenUsed/>
    <w:rsid w:val="0061163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63C"/>
    <w:rPr>
      <w:rFonts w:ascii="Segoe UI" w:eastAsia="Calibri" w:hAnsi="Segoe UI" w:cs="Segoe UI"/>
      <w:sz w:val="18"/>
      <w:szCs w:val="18"/>
      <w:lang w:bidi="ar-SA"/>
    </w:rPr>
  </w:style>
  <w:style w:type="paragraph" w:styleId="Bibliography">
    <w:name w:val="Bibliography"/>
    <w:basedOn w:val="Normal"/>
    <w:next w:val="Normal"/>
    <w:uiPriority w:val="37"/>
    <w:unhideWhenUsed/>
    <w:rsid w:val="0061163C"/>
  </w:style>
  <w:style w:type="character" w:customStyle="1" w:styleId="Heading3Char">
    <w:name w:val="Heading 3 Char"/>
    <w:basedOn w:val="DefaultParagraphFont"/>
    <w:link w:val="Heading3"/>
    <w:rsid w:val="00A50DA1"/>
    <w:rPr>
      <w:rFonts w:ascii="Calibri" w:eastAsia="Calibri" w:hAnsi="Calibri" w:cs="Calibri"/>
      <w:b/>
      <w:sz w:val="28"/>
      <w:szCs w:val="28"/>
    </w:rPr>
  </w:style>
  <w:style w:type="paragraph" w:styleId="ListParagraph">
    <w:name w:val="List Paragraph"/>
    <w:basedOn w:val="Normal"/>
    <w:uiPriority w:val="34"/>
    <w:qFormat/>
    <w:rsid w:val="00A724E4"/>
    <w:pPr>
      <w:ind w:left="720"/>
      <w:contextualSpacing/>
    </w:pPr>
  </w:style>
  <w:style w:type="paragraph" w:customStyle="1" w:styleId="EndNoteBibliographyTitle">
    <w:name w:val="EndNote Bibliography Title"/>
    <w:basedOn w:val="Normal"/>
    <w:link w:val="EndNoteBibliographyTitleChar"/>
    <w:rsid w:val="00061CB9"/>
    <w:pPr>
      <w:spacing w:after="0"/>
      <w:jc w:val="center"/>
    </w:pPr>
    <w:rPr>
      <w:noProof/>
    </w:rPr>
  </w:style>
  <w:style w:type="character" w:customStyle="1" w:styleId="EndNoteBibliographyTitleChar">
    <w:name w:val="EndNote Bibliography Title Char"/>
    <w:basedOn w:val="DefaultParagraphFont"/>
    <w:link w:val="EndNoteBibliographyTitle"/>
    <w:rsid w:val="00061CB9"/>
    <w:rPr>
      <w:rFonts w:ascii="Calibri" w:eastAsia="Calibri" w:hAnsi="Calibri" w:cs="Calibri"/>
      <w:noProof/>
      <w:lang w:bidi="ar-SA"/>
    </w:rPr>
  </w:style>
  <w:style w:type="paragraph" w:customStyle="1" w:styleId="EndNoteBibliography">
    <w:name w:val="EndNote Bibliography"/>
    <w:basedOn w:val="Normal"/>
    <w:link w:val="EndNoteBibliographyChar"/>
    <w:rsid w:val="00061CB9"/>
    <w:rPr>
      <w:noProof/>
    </w:rPr>
  </w:style>
  <w:style w:type="character" w:customStyle="1" w:styleId="EndNoteBibliographyChar">
    <w:name w:val="EndNote Bibliography Char"/>
    <w:basedOn w:val="DefaultParagraphFont"/>
    <w:link w:val="EndNoteBibliography"/>
    <w:rsid w:val="00061CB9"/>
    <w:rPr>
      <w:rFonts w:ascii="Calibri" w:eastAsia="Calibri" w:hAnsi="Calibri" w:cs="Calibri"/>
      <w:noProof/>
      <w:lang w:bidi="ar-SA"/>
    </w:rPr>
  </w:style>
  <w:style w:type="paragraph" w:styleId="CommentSubject">
    <w:name w:val="annotation subject"/>
    <w:basedOn w:val="CommentText"/>
    <w:next w:val="CommentText"/>
    <w:link w:val="CommentSubjectChar"/>
    <w:uiPriority w:val="99"/>
    <w:semiHidden/>
    <w:unhideWhenUsed/>
    <w:rsid w:val="008C4C4D"/>
    <w:pPr>
      <w:spacing w:after="200"/>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8C4C4D"/>
    <w:rPr>
      <w:rFonts w:ascii="Calibri" w:eastAsia="Calibri" w:hAnsi="Calibri" w:cs="Calibri"/>
      <w:b/>
      <w:bCs/>
      <w:sz w:val="20"/>
      <w:szCs w:val="20"/>
      <w:lang w:bidi="ar-SA"/>
    </w:rPr>
  </w:style>
  <w:style w:type="character" w:styleId="LineNumber">
    <w:name w:val="line number"/>
    <w:basedOn w:val="DefaultParagraphFont"/>
    <w:uiPriority w:val="99"/>
    <w:semiHidden/>
    <w:unhideWhenUsed/>
    <w:rsid w:val="0068534B"/>
  </w:style>
  <w:style w:type="paragraph" w:styleId="Revision">
    <w:name w:val="Revision"/>
    <w:hidden/>
    <w:uiPriority w:val="99"/>
    <w:semiHidden/>
    <w:rsid w:val="00E466F6"/>
    <w:pPr>
      <w:spacing w:after="0" w:line="240" w:lineRule="auto"/>
    </w:pPr>
    <w:rPr>
      <w:rFonts w:ascii="Calibri" w:eastAsia="Calibri" w:hAnsi="Calibri" w:cs="Calibri"/>
      <w:lang w:bidi="ar-SA"/>
    </w:rPr>
  </w:style>
  <w:style w:type="paragraph" w:customStyle="1" w:styleId="Default">
    <w:name w:val="Default"/>
    <w:rsid w:val="00E02393"/>
    <w:pPr>
      <w:autoSpaceDE w:val="0"/>
      <w:autoSpaceDN w:val="0"/>
      <w:adjustRightInd w:val="0"/>
      <w:spacing w:after="0" w:line="240" w:lineRule="auto"/>
    </w:pPr>
    <w:rPr>
      <w:rFonts w:ascii="Trebuchet MS" w:hAnsi="Trebuchet MS" w:cs="Trebuchet MS"/>
      <w:color w:val="000000"/>
      <w:sz w:val="24"/>
      <w:szCs w:val="24"/>
    </w:rPr>
  </w:style>
  <w:style w:type="character" w:customStyle="1" w:styleId="UnresolvedMention1">
    <w:name w:val="Unresolved Mention1"/>
    <w:basedOn w:val="DefaultParagraphFont"/>
    <w:uiPriority w:val="99"/>
    <w:semiHidden/>
    <w:unhideWhenUsed/>
    <w:rsid w:val="00E02393"/>
    <w:rPr>
      <w:color w:val="605E5C"/>
      <w:shd w:val="clear" w:color="auto" w:fill="E1DFDD"/>
    </w:rPr>
  </w:style>
  <w:style w:type="character" w:styleId="FollowedHyperlink">
    <w:name w:val="FollowedHyperlink"/>
    <w:basedOn w:val="DefaultParagraphFont"/>
    <w:uiPriority w:val="99"/>
    <w:semiHidden/>
    <w:unhideWhenUsed/>
    <w:rsid w:val="00110F88"/>
    <w:rPr>
      <w:color w:val="954F72" w:themeColor="followedHyperlink"/>
      <w:u w:val="single"/>
    </w:rPr>
  </w:style>
  <w:style w:type="character" w:styleId="PlaceholderText">
    <w:name w:val="Placeholder Text"/>
    <w:basedOn w:val="DefaultParagraphFont"/>
    <w:uiPriority w:val="99"/>
    <w:semiHidden/>
    <w:rsid w:val="00C55125"/>
    <w:rPr>
      <w:color w:val="666666"/>
    </w:rPr>
  </w:style>
  <w:style w:type="paragraph" w:styleId="Header">
    <w:name w:val="header"/>
    <w:basedOn w:val="Normal"/>
    <w:link w:val="HeaderChar"/>
    <w:uiPriority w:val="99"/>
    <w:unhideWhenUsed/>
    <w:rsid w:val="00275364"/>
    <w:pPr>
      <w:tabs>
        <w:tab w:val="center" w:pos="4680"/>
        <w:tab w:val="right" w:pos="9360"/>
      </w:tabs>
      <w:spacing w:after="0"/>
    </w:pPr>
  </w:style>
  <w:style w:type="character" w:customStyle="1" w:styleId="HeaderChar">
    <w:name w:val="Header Char"/>
    <w:basedOn w:val="DefaultParagraphFont"/>
    <w:link w:val="Header"/>
    <w:uiPriority w:val="99"/>
    <w:rsid w:val="00275364"/>
    <w:rPr>
      <w:rFonts w:ascii="Calibri" w:eastAsia="Calibri" w:hAnsi="Calibri" w:cs="Calibri"/>
      <w:lang w:bidi="ar-SA"/>
    </w:rPr>
  </w:style>
  <w:style w:type="paragraph" w:styleId="Footer">
    <w:name w:val="footer"/>
    <w:basedOn w:val="Normal"/>
    <w:link w:val="FooterChar"/>
    <w:uiPriority w:val="99"/>
    <w:unhideWhenUsed/>
    <w:rsid w:val="00275364"/>
    <w:pPr>
      <w:tabs>
        <w:tab w:val="center" w:pos="4680"/>
        <w:tab w:val="right" w:pos="9360"/>
      </w:tabs>
      <w:spacing w:after="0"/>
    </w:pPr>
  </w:style>
  <w:style w:type="character" w:customStyle="1" w:styleId="FooterChar">
    <w:name w:val="Footer Char"/>
    <w:basedOn w:val="DefaultParagraphFont"/>
    <w:link w:val="Footer"/>
    <w:uiPriority w:val="99"/>
    <w:rsid w:val="00275364"/>
    <w:rPr>
      <w:rFonts w:ascii="Calibri" w:eastAsia="Calibri" w:hAnsi="Calibri" w:cs="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6D40FCCE4A44F685FE087C0E70D3EE"/>
        <w:category>
          <w:name w:val="General"/>
          <w:gallery w:val="placeholder"/>
        </w:category>
        <w:types>
          <w:type w:val="bbPlcHdr"/>
        </w:types>
        <w:behaviors>
          <w:behavior w:val="content"/>
        </w:behaviors>
        <w:guid w:val="{AC1F81BF-3BE4-4B17-9CA4-B5B09E5BF718}"/>
      </w:docPartPr>
      <w:docPartBody>
        <w:p w:rsidR="008F5748" w:rsidRDefault="000B4FF4" w:rsidP="000B4FF4">
          <w:pPr>
            <w:pStyle w:val="256D40FCCE4A44F685FE087C0E70D3EE"/>
          </w:pPr>
          <w:r w:rsidRPr="00602B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270"/>
    <w:rsid w:val="000A0369"/>
    <w:rsid w:val="000B4FF4"/>
    <w:rsid w:val="000C1486"/>
    <w:rsid w:val="00237995"/>
    <w:rsid w:val="00300D7C"/>
    <w:rsid w:val="003D4170"/>
    <w:rsid w:val="0070099B"/>
    <w:rsid w:val="007831B0"/>
    <w:rsid w:val="007B3E29"/>
    <w:rsid w:val="007B7754"/>
    <w:rsid w:val="008F5748"/>
    <w:rsid w:val="00953D15"/>
    <w:rsid w:val="00AA064F"/>
    <w:rsid w:val="00AC6134"/>
    <w:rsid w:val="00D65270"/>
    <w:rsid w:val="00DD5E18"/>
    <w:rsid w:val="00E11B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4FF4"/>
    <w:rPr>
      <w:color w:val="666666"/>
    </w:rPr>
  </w:style>
  <w:style w:type="paragraph" w:customStyle="1" w:styleId="256D40FCCE4A44F685FE087C0E70D3EE">
    <w:name w:val="256D40FCCE4A44F685FE087C0E70D3EE"/>
    <w:rsid w:val="000B4FF4"/>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21DC49-B4BF-41B1-94F1-4242B9096B59}">
  <we:reference id="wa104382081" version="1.55.1.0" store="en-GB" storeType="OMEX"/>
  <we:alternateReferences>
    <we:reference id="wa104382081" version="1.55.1.0" store="" storeType="OMEX"/>
  </we:alternateReferences>
  <we:properties>
    <we:property name="MENDELEY_CITATIONS" value="[{&quot;citationID&quot;:&quot;MENDELEY_CITATION_1abe1620-a476-4520-bee4-a9dbd0452d27&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&quot;,&quot;citationItems&quot;:[{&quot;id&quot;:&quot;30dc17c4-e162-3b3a-87aa-73f6681fd8ca&quot;,&quot;itemData&quot;:{&quot;type&quot;:&quot;article&quot;,&quot;id&quot;:&quot;30dc17c4-e162-3b3a-87aa-73f6681fd8ca&quot;,&quot;title&quot;:&quot;ICNIRP guidelines on limits of exposure to incoherent visible and infrared radiation&quot;,&quot;author&quot;:[{&quot;family&quot;:&quot;Ziegelberger&quot;,&quot;given&quot;:&quot;G.&quot;,&quot;parse-names&quot;:false,&quot;dropping-particle&quot;:&quot;&quot;,&quot;non-dropping-particle&quot;:&quot;&quot;}],&quot;container-title&quot;:&quot;Health Physics&quot;,&quot;container-title-short&quot;:&quot;Health Phys&quot;,&quot;DOI&quot;:&quot;10.1097/HP.0b013e318289a611&quot;,&quot;ISSN&quot;:&quot;00179078&quot;,&quot;issued&quot;:{&quot;date-parts&quot;:[[2013]]},&quot;abstract&quot;:&quot;Guidelines for exposure to visible and infrared radiation were first proposed by ICNIRP in 1997. Related guidelines on limits of exposure to ultraviolet radiation (UVR) and laser radiation have been published. This document presents a revision of the guidelines for broadband incoherent radiation. Copyright © 2013 Health Physics Society.&quot;,&quot;issue&quot;:&quot;1&quot;,&quot;volume&quot;:&quot;105&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029B9-8105-4C64-8092-30F16A54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 Ben Barak</dc:creator>
  <cp:keywords/>
  <dc:description/>
  <cp:lastModifiedBy>Michal</cp:lastModifiedBy>
  <cp:revision>6</cp:revision>
  <dcterms:created xsi:type="dcterms:W3CDTF">2024-06-18T06:06:00Z</dcterms:created>
  <dcterms:modified xsi:type="dcterms:W3CDTF">2024-07-20T09:09:00Z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id="2GZZLgvB"/&gt;&lt;style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