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800F" w14:textId="77777777" w:rsidR="00C050AA" w:rsidRPr="00C050AA" w:rsidRDefault="00C050AA" w:rsidP="00C050AA">
      <w:pPr>
        <w:jc w:val="center"/>
        <w:rPr>
          <w:b/>
          <w:bCs/>
        </w:rPr>
      </w:pPr>
      <w:r w:rsidRPr="00C050AA">
        <w:rPr>
          <w:b/>
          <w:bCs/>
        </w:rPr>
        <w:t>Description of Additional Supplementary Files</w:t>
      </w:r>
    </w:p>
    <w:p w14:paraId="642488AE" w14:textId="77777777" w:rsidR="00C050AA" w:rsidRDefault="00C050AA"/>
    <w:p w14:paraId="679B39DE" w14:textId="77777777" w:rsidR="00C050AA" w:rsidRDefault="00C050AA">
      <w:r w:rsidRPr="00C050AA">
        <w:t xml:space="preserve">Supplementary Data 1: Comparison between GWAS and GWEIS SNPs and genes using the nominal level of significance. </w:t>
      </w:r>
    </w:p>
    <w:p w14:paraId="4E73FB1F" w14:textId="77777777" w:rsidR="00C050AA" w:rsidRDefault="00C050AA"/>
    <w:p w14:paraId="643FD2AB" w14:textId="4907E1F3" w:rsidR="00D53161" w:rsidRDefault="00C050AA">
      <w:r w:rsidRPr="00C050AA">
        <w:t xml:space="preserve">Supplementary Data 2: Top GWEIS SNPs identified in previously published GWAS in the literature (GWAS </w:t>
      </w:r>
      <w:proofErr w:type="spellStart"/>
      <w:r w:rsidRPr="00C050AA">
        <w:t>Catalog</w:t>
      </w:r>
      <w:proofErr w:type="spellEnd"/>
      <w:r w:rsidRPr="00C050AA">
        <w:t>).</w:t>
      </w:r>
    </w:p>
    <w:sectPr w:rsidR="00D53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AA"/>
    <w:rsid w:val="00562D8D"/>
    <w:rsid w:val="00AA6AC7"/>
    <w:rsid w:val="00C050AA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C6079"/>
  <w15:chartTrackingRefBased/>
  <w15:docId w15:val="{841DE340-1DF7-46D6-AB9D-CD299CEA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0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0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0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0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0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0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0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0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0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0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0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2026-06-18T15:01:00Z</dcterms:created>
  <dcterms:modified xsi:type="dcterms:W3CDTF">2026-06-18T15:01:00Z</dcterms:modified>
</cp:coreProperties>
</file>