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3212F" w14:textId="77777777" w:rsidR="00860BA7" w:rsidRDefault="00860BA7" w:rsidP="00860BA7">
      <w:pPr>
        <w:pStyle w:val="ListParagraph"/>
        <w:spacing w:line="480" w:lineRule="auto"/>
        <w:ind w:left="0"/>
        <w:rPr>
          <w:b/>
          <w:bCs/>
        </w:rPr>
      </w:pPr>
      <w:r>
        <w:rPr>
          <w:b/>
          <w:bCs/>
        </w:rPr>
        <w:t>Supplemental Information</w:t>
      </w:r>
    </w:p>
    <w:p w14:paraId="3D3CECB4" w14:textId="77777777" w:rsidR="00860BA7" w:rsidRDefault="00860BA7" w:rsidP="00860BA7">
      <w:pPr>
        <w:pStyle w:val="ListParagraph"/>
        <w:spacing w:line="480" w:lineRule="auto"/>
        <w:ind w:left="0"/>
      </w:pPr>
    </w:p>
    <w:p w14:paraId="65518D21" w14:textId="77777777" w:rsidR="00860BA7" w:rsidRPr="00FA421E" w:rsidRDefault="00860BA7" w:rsidP="00860BA7">
      <w:pPr>
        <w:pStyle w:val="ListParagraph"/>
        <w:spacing w:line="480" w:lineRule="auto"/>
        <w:ind w:left="0"/>
        <w:rPr>
          <w:b/>
          <w:bCs/>
          <w:i/>
          <w:iCs/>
        </w:rPr>
      </w:pPr>
      <w:r w:rsidRPr="00FA421E">
        <w:rPr>
          <w:b/>
          <w:bCs/>
          <w:i/>
          <w:iCs/>
        </w:rPr>
        <w:t>The Glasgow CBT study</w:t>
      </w:r>
    </w:p>
    <w:p w14:paraId="2993A84A" w14:textId="3DADAF08" w:rsidR="00C50825" w:rsidRDefault="00860BA7" w:rsidP="00860BA7">
      <w:pPr>
        <w:pStyle w:val="ListParagraph"/>
        <w:spacing w:line="480" w:lineRule="auto"/>
        <w:ind w:left="0"/>
      </w:pPr>
      <w:r>
        <w:t>The Glasgow CBT study is a research project whose aim was to identify candidate neuroimaging predictors of response to c</w:t>
      </w:r>
      <w:r w:rsidR="00C718D5">
        <w:t xml:space="preserve">omputerised </w:t>
      </w:r>
      <w:r>
        <w:t>CBT</w:t>
      </w:r>
      <w:r w:rsidR="00C718D5">
        <w:t xml:space="preserve"> (</w:t>
      </w:r>
      <w:proofErr w:type="spellStart"/>
      <w:r w:rsidR="00C718D5">
        <w:t>cCBT</w:t>
      </w:r>
      <w:proofErr w:type="spellEnd"/>
      <w:r w:rsidR="00C718D5">
        <w:t>)</w:t>
      </w:r>
      <w:r>
        <w:t xml:space="preserve"> in unmedicated depressed subjects. Participants </w:t>
      </w:r>
      <w:r w:rsidR="00695A1F">
        <w:t xml:space="preserve">were recruited from the general population via an advert in a local newspaper and </w:t>
      </w:r>
      <w:r>
        <w:t>self-referred to the research team</w:t>
      </w:r>
      <w:r w:rsidR="00695A1F">
        <w:t>.</w:t>
      </w:r>
      <w:r>
        <w:t xml:space="preserve"> </w:t>
      </w:r>
      <w:r w:rsidR="00695A1F">
        <w:t>T</w:t>
      </w:r>
      <w:r>
        <w:t xml:space="preserve">heir eligibility was assessed by a qualified psychiatrist (FQ). </w:t>
      </w:r>
    </w:p>
    <w:p w14:paraId="4324EE24" w14:textId="77777777" w:rsidR="00C50825" w:rsidRDefault="00C50825" w:rsidP="00860BA7">
      <w:pPr>
        <w:pStyle w:val="ListParagraph"/>
        <w:spacing w:line="480" w:lineRule="auto"/>
        <w:ind w:left="0"/>
      </w:pPr>
    </w:p>
    <w:p w14:paraId="0294732A" w14:textId="77777777" w:rsidR="00C50825" w:rsidRDefault="00C50825" w:rsidP="00C50825">
      <w:pPr>
        <w:spacing w:line="480" w:lineRule="auto"/>
      </w:pPr>
      <w:r>
        <w:t xml:space="preserve">Inclusion criteria were </w:t>
      </w:r>
      <w:r w:rsidRPr="003F6306">
        <w:t xml:space="preserve">a primary diagnosis of depressive disorder </w:t>
      </w:r>
      <w:r>
        <w:t xml:space="preserve">fulfilling the International </w:t>
      </w:r>
      <w:r w:rsidRPr="003F6306">
        <w:t>Classification of Diseases (10</w:t>
      </w:r>
      <w:r w:rsidRPr="005545F6">
        <w:rPr>
          <w:vertAlign w:val="superscript"/>
        </w:rPr>
        <w:t>th</w:t>
      </w:r>
      <w:r w:rsidRPr="003F6306">
        <w:t xml:space="preserve"> Revision) diagnostic criteria</w:t>
      </w:r>
      <w:r>
        <w:t xml:space="preserve">; age between 16 and 65 years; </w:t>
      </w:r>
      <w:r w:rsidRPr="003F6306">
        <w:t>a score of ≥14 on the BDI-II</w:t>
      </w:r>
      <w:r>
        <w:t xml:space="preserve">. Exclusion criteria were ongoing CBT or other psychological therapy; current prescription of psychotropic medication; history of brain injury; diagnosis of other major psychiatric disorder; history of CBT treatment in the previous 3 years; current diagnosis of substance misuse. </w:t>
      </w:r>
    </w:p>
    <w:p w14:paraId="0F6BC978" w14:textId="77777777" w:rsidR="00C50825" w:rsidRDefault="00C50825" w:rsidP="00860BA7">
      <w:pPr>
        <w:pStyle w:val="ListParagraph"/>
        <w:spacing w:line="480" w:lineRule="auto"/>
        <w:ind w:left="0"/>
      </w:pPr>
    </w:p>
    <w:p w14:paraId="7DF35A12" w14:textId="41DA7B16" w:rsidR="00860BA7" w:rsidRDefault="00860BA7" w:rsidP="00860BA7">
      <w:pPr>
        <w:pStyle w:val="ListParagraph"/>
        <w:spacing w:line="480" w:lineRule="auto"/>
        <w:ind w:left="0"/>
      </w:pPr>
      <w:r>
        <w:t xml:space="preserve">The study’s psychological intervention was an online CBT-based guided self-help program, “Living Life to the Full Interactive” </w:t>
      </w:r>
      <w:r w:rsidRPr="004A5D01">
        <w:t>(</w:t>
      </w:r>
      <w:hyperlink r:id="rId7" w:history="1">
        <w:r w:rsidRPr="00D62444">
          <w:rPr>
            <w:rStyle w:val="Hyperlink"/>
          </w:rPr>
          <w:t>http://llttf.com</w:t>
        </w:r>
      </w:hyperlink>
      <w:r>
        <w:t xml:space="preserve">), which was made freely available to the participants. </w:t>
      </w:r>
      <w:r w:rsidRPr="00420212">
        <w:t xml:space="preserve">Participants </w:t>
      </w:r>
      <w:r>
        <w:t>completed</w:t>
      </w:r>
      <w:r w:rsidRPr="00420212">
        <w:t xml:space="preserve"> </w:t>
      </w:r>
      <w:r>
        <w:t xml:space="preserve">the CBT programme’s </w:t>
      </w:r>
      <w:r w:rsidRPr="00420212">
        <w:t>six online modules</w:t>
      </w:r>
      <w:r>
        <w:t xml:space="preserve"> </w:t>
      </w:r>
      <w:r w:rsidRPr="00420212">
        <w:t xml:space="preserve">over a period between 6 and 10 weeks and received weekly telephone </w:t>
      </w:r>
      <w:r>
        <w:t>guidance</w:t>
      </w:r>
      <w:r w:rsidRPr="00420212">
        <w:t xml:space="preserve"> from a</w:t>
      </w:r>
      <w:r>
        <w:t xml:space="preserve"> support </w:t>
      </w:r>
      <w:r w:rsidRPr="00420212">
        <w:t>worker.</w:t>
      </w:r>
      <w:r>
        <w:t xml:space="preserve"> Crucially, t</w:t>
      </w:r>
      <w:r w:rsidRPr="00420212">
        <w:t xml:space="preserve">he </w:t>
      </w:r>
      <w:r>
        <w:t>use</w:t>
      </w:r>
      <w:r w:rsidRPr="00420212">
        <w:t xml:space="preserve"> of </w:t>
      </w:r>
      <w:proofErr w:type="spellStart"/>
      <w:r>
        <w:t>c</w:t>
      </w:r>
      <w:r w:rsidRPr="00420212">
        <w:t>CBT</w:t>
      </w:r>
      <w:proofErr w:type="spellEnd"/>
      <w:r w:rsidRPr="00420212">
        <w:t xml:space="preserve"> </w:t>
      </w:r>
      <w:r>
        <w:t xml:space="preserve">abolished </w:t>
      </w:r>
      <w:r w:rsidRPr="00420212">
        <w:t>the confounding effect of therapist variability on treatment response</w:t>
      </w:r>
      <w:r>
        <w:t xml:space="preserve"> and enabled</w:t>
      </w:r>
      <w:r w:rsidRPr="00420212">
        <w:t xml:space="preserve"> monitoring of treatment adherence </w:t>
      </w:r>
      <w:r>
        <w:t>via</w:t>
      </w:r>
      <w:r w:rsidRPr="00420212">
        <w:t xml:space="preserve"> the number of online modules completed.</w:t>
      </w:r>
    </w:p>
    <w:p w14:paraId="7BD36C88" w14:textId="77777777" w:rsidR="00860BA7" w:rsidRDefault="00860BA7" w:rsidP="00860BA7">
      <w:pPr>
        <w:pStyle w:val="ListParagraph"/>
        <w:spacing w:line="480" w:lineRule="auto"/>
        <w:ind w:left="0"/>
      </w:pPr>
    </w:p>
    <w:p w14:paraId="78F79151" w14:textId="1A4816A3" w:rsidR="00860BA7" w:rsidRDefault="00860BA7" w:rsidP="00860BA7">
      <w:pPr>
        <w:spacing w:line="480" w:lineRule="auto"/>
      </w:pPr>
      <w:r>
        <w:lastRenderedPageBreak/>
        <w:t xml:space="preserve">A total of 48 subjects enrolled in the Glasgow CBT study and took part in a range of task-based and resting state fMRI measurements. Only 37 participants (18 females) from the Glasgow CBT study’s sample </w:t>
      </w:r>
      <w:r w:rsidR="009069BD">
        <w:t>completed</w:t>
      </w:r>
      <w:r>
        <w:t xml:space="preserve"> the experimental paradigm discussed in this paper.</w:t>
      </w:r>
    </w:p>
    <w:p w14:paraId="7903341F" w14:textId="77777777" w:rsidR="005A4516" w:rsidRDefault="005A4516" w:rsidP="00860BA7">
      <w:pPr>
        <w:pStyle w:val="ListParagraph"/>
        <w:spacing w:line="480" w:lineRule="auto"/>
        <w:ind w:left="0"/>
      </w:pPr>
    </w:p>
    <w:p w14:paraId="468B458B" w14:textId="38A5A8CD" w:rsidR="005A4516" w:rsidRPr="00F23532" w:rsidRDefault="005A4516" w:rsidP="00860BA7">
      <w:pPr>
        <w:pStyle w:val="ListParagraph"/>
        <w:spacing w:line="480" w:lineRule="auto"/>
        <w:ind w:left="0"/>
        <w:rPr>
          <w:b/>
          <w:bCs/>
          <w:i/>
          <w:iCs/>
        </w:rPr>
      </w:pPr>
      <w:r w:rsidRPr="00F23532">
        <w:rPr>
          <w:b/>
          <w:bCs/>
          <w:i/>
          <w:iCs/>
        </w:rPr>
        <w:t>fMRI acquisition parameters</w:t>
      </w:r>
    </w:p>
    <w:p w14:paraId="465EA283" w14:textId="4F16BB45" w:rsidR="005A4516" w:rsidRDefault="005A4516" w:rsidP="00860BA7">
      <w:pPr>
        <w:pStyle w:val="ListParagraph"/>
        <w:spacing w:line="480" w:lineRule="auto"/>
        <w:ind w:left="0"/>
        <w:rPr>
          <w:color w:val="000000" w:themeColor="text1"/>
        </w:rPr>
      </w:pPr>
      <w:r>
        <w:t xml:space="preserve">We acquired a high-resolution T1-weighted structural image (0.5 mm x 0.5 mm x 1 mm voxels, 320 x 320 matrix, 160 axial slices, in- version time (TI) = 500 </w:t>
      </w:r>
      <w:proofErr w:type="spellStart"/>
      <w:r>
        <w:t>ms</w:t>
      </w:r>
      <w:proofErr w:type="spellEnd"/>
      <w:r>
        <w:t xml:space="preserve">, repetition time (TR) = 7700 </w:t>
      </w:r>
      <w:proofErr w:type="spellStart"/>
      <w:r>
        <w:t>ms</w:t>
      </w:r>
      <w:proofErr w:type="spellEnd"/>
      <w:r>
        <w:t xml:space="preserve">, echo time (TE) = 1.5 </w:t>
      </w:r>
      <w:proofErr w:type="spellStart"/>
      <w:r>
        <w:t>ms</w:t>
      </w:r>
      <w:proofErr w:type="spellEnd"/>
      <w:r>
        <w:t xml:space="preserve">, flip angle (FA) = 12°) using an optimized inversion recovery fast spoiled gradient echo sequence and a functional echo planar imaging scan (3.75 x 3.75 x 4.5mm voxels, 64 x 64 matrix, 264 axial slices, </w:t>
      </w:r>
      <w:r w:rsidRPr="003C51CD">
        <w:rPr>
          <w:color w:val="000000" w:themeColor="text1"/>
        </w:rPr>
        <w:t xml:space="preserve">TR = 2000 </w:t>
      </w:r>
      <w:proofErr w:type="spellStart"/>
      <w:r w:rsidRPr="003C51CD">
        <w:rPr>
          <w:color w:val="000000" w:themeColor="text1"/>
        </w:rPr>
        <w:t>ms</w:t>
      </w:r>
      <w:proofErr w:type="spellEnd"/>
      <w:r w:rsidRPr="003C51CD">
        <w:rPr>
          <w:color w:val="000000" w:themeColor="text1"/>
        </w:rPr>
        <w:t xml:space="preserve">, TE = 35 </w:t>
      </w:r>
      <w:proofErr w:type="spellStart"/>
      <w:r w:rsidRPr="003C51CD">
        <w:rPr>
          <w:color w:val="000000" w:themeColor="text1"/>
        </w:rPr>
        <w:t>ms</w:t>
      </w:r>
      <w:proofErr w:type="spellEnd"/>
      <w:r w:rsidRPr="003C51CD">
        <w:rPr>
          <w:color w:val="000000" w:themeColor="text1"/>
        </w:rPr>
        <w:t xml:space="preserve">, </w:t>
      </w:r>
      <w:r>
        <w:rPr>
          <w:color w:val="000000" w:themeColor="text1"/>
        </w:rPr>
        <w:t>FA</w:t>
      </w:r>
      <w:r w:rsidRPr="003C51CD">
        <w:rPr>
          <w:color w:val="000000" w:themeColor="text1"/>
        </w:rPr>
        <w:t xml:space="preserve"> = 80°). Slice orientation was tilted to </w:t>
      </w:r>
      <w:r>
        <w:rPr>
          <w:color w:val="000000" w:themeColor="text1"/>
        </w:rPr>
        <w:t>+</w:t>
      </w:r>
      <w:r w:rsidRPr="003C51CD">
        <w:rPr>
          <w:color w:val="000000" w:themeColor="text1"/>
        </w:rPr>
        <w:t>20° from the anterior commissure-posterior commissure plane to alleviate signal dropout in the orbito-frontal cortex</w:t>
      </w:r>
      <w:r>
        <w:rPr>
          <w:color w:val="000000" w:themeColor="text1"/>
        </w:rPr>
        <w:t xml:space="preserve"> </w:t>
      </w:r>
      <w:r>
        <w:rPr>
          <w:color w:val="000000" w:themeColor="text1"/>
        </w:rPr>
        <w:fldChar w:fldCharType="begin"/>
      </w:r>
      <w:r w:rsidR="005A6F6E">
        <w:rPr>
          <w:color w:val="000000" w:themeColor="text1"/>
        </w:rPr>
        <w:instrText xml:space="preserve"> ADDIN EN.CITE &lt;EndNote&gt;&lt;Cite&gt;&lt;Author&gt;Weiskopf&lt;/Author&gt;&lt;Year&gt;2006&lt;/Year&gt;&lt;RecNum&gt;188&lt;/RecNum&gt;&lt;DisplayText&gt;(Weiskopf et al., 2006)&lt;/DisplayText&gt;&lt;record&gt;&lt;rec-number&gt;188&lt;/rec-number&gt;&lt;foreign-keys&gt;&lt;key app="EN" db-id="2dvzddesr0s909e9tt2xftfwfvtp00v9zrw0" timestamp="1709823425"&gt;188&lt;/key&gt;&lt;/foreign-keys&gt;&lt;ref-type name="Journal Article"&gt;17&lt;/ref-type&gt;&lt;contributors&gt;&lt;authors&gt;&lt;author&gt;Weiskopf, N.&lt;/author&gt;&lt;author&gt;Hutton, C.&lt;/author&gt;&lt;author&gt;Josephs, O.&lt;/author&gt;&lt;author&gt;Deichmann, R.&lt;/author&gt;&lt;/authors&gt;&lt;/contributors&gt;&lt;auth-address&gt;Wellcome Department of Imaging Neuroscience, Institute of Neurology, University College London, London, WC1N 3BG, UK. n.weiskopf@fil.ion.ucl.ac.uk&lt;/auth-address&gt;&lt;titles&gt;&lt;title&gt;Optimal EPI parameters for reduction of susceptibility-induced BOLD sensitivity losses: a whole-brain analysis at 3 T and 1.5 T&lt;/title&gt;&lt;secondary-title&gt;Neuroimage&lt;/secondary-title&gt;&lt;/titles&gt;&lt;periodical&gt;&lt;full-title&gt;Neuroimage&lt;/full-title&gt;&lt;/periodical&gt;&lt;pages&gt;493-504&lt;/pages&gt;&lt;volume&gt;33&lt;/volume&gt;&lt;number&gt;2&lt;/number&gt;&lt;edition&gt;2006/09/09&lt;/edition&gt;&lt;keywords&gt;&lt;keyword&gt;Adult&lt;/keyword&gt;&lt;keyword&gt;Brain/*anatomy &amp;amp; histology&lt;/keyword&gt;&lt;keyword&gt;Cerebrovascular Circulation&lt;/keyword&gt;&lt;keyword&gt;Female&lt;/keyword&gt;&lt;keyword&gt;Humans&lt;/keyword&gt;&lt;keyword&gt;Image Processing, Computer-Assisted/methods&lt;/keyword&gt;&lt;keyword&gt;Magnetic Resonance Imaging/*methods&lt;/keyword&gt;&lt;keyword&gt;Male&lt;/keyword&gt;&lt;keyword&gt;Oxygen/blood&lt;/keyword&gt;&lt;keyword&gt;Reference Values&lt;/keyword&gt;&lt;keyword&gt;Sensitivity and Specificity&lt;/keyword&gt;&lt;keyword&gt;Temporal Lobe/anatomy &amp;amp; histology&lt;/keyword&gt;&lt;/keywords&gt;&lt;dates&gt;&lt;year&gt;2006&lt;/year&gt;&lt;pub-dates&gt;&lt;date&gt;Nov 1&lt;/date&gt;&lt;/pub-dates&gt;&lt;/dates&gt;&lt;isbn&gt;1053-8119 (Print)&amp;#xD;1053-8119 (Linking)&lt;/isbn&gt;&lt;accession-num&gt;16959495&lt;/accession-num&gt;&lt;urls&gt;&lt;related-urls&gt;&lt;url&gt;https://www.ncbi.nlm.nih.gov/pubmed/16959495&lt;/url&gt;&lt;/related-urls&gt;&lt;/urls&gt;&lt;electronic-resource-num&gt;10.1016/j.neuroimage.2006.07.029&lt;/electronic-resource-num&gt;&lt;/record&gt;&lt;/Cite&gt;&lt;/EndNote&gt;</w:instrText>
      </w:r>
      <w:r>
        <w:rPr>
          <w:color w:val="000000" w:themeColor="text1"/>
        </w:rPr>
        <w:fldChar w:fldCharType="separate"/>
      </w:r>
      <w:r w:rsidR="005A6F6E">
        <w:rPr>
          <w:noProof/>
          <w:color w:val="000000" w:themeColor="text1"/>
        </w:rPr>
        <w:t>(Weiskopf et al., 2006)</w:t>
      </w:r>
      <w:r>
        <w:rPr>
          <w:color w:val="000000" w:themeColor="text1"/>
        </w:rPr>
        <w:fldChar w:fldCharType="end"/>
      </w:r>
      <w:r w:rsidRPr="003C51CD">
        <w:rPr>
          <w:color w:val="000000" w:themeColor="text1"/>
        </w:rPr>
        <w:t>. The first four volumes of the functional scan were discarded to allow for the magnetic field to reach the steady state.</w:t>
      </w:r>
    </w:p>
    <w:p w14:paraId="2E2378A0" w14:textId="77777777" w:rsidR="005A4516" w:rsidRDefault="005A4516" w:rsidP="00860BA7">
      <w:pPr>
        <w:pStyle w:val="ListParagraph"/>
        <w:spacing w:line="480" w:lineRule="auto"/>
        <w:ind w:left="0"/>
        <w:rPr>
          <w:color w:val="000000" w:themeColor="text1"/>
        </w:rPr>
      </w:pPr>
    </w:p>
    <w:p w14:paraId="096C3845" w14:textId="77777777" w:rsidR="005A4516" w:rsidRPr="00FA421E" w:rsidRDefault="005A4516" w:rsidP="005A4516">
      <w:pPr>
        <w:pStyle w:val="ListParagraph"/>
        <w:spacing w:line="480" w:lineRule="auto"/>
        <w:ind w:left="0"/>
        <w:rPr>
          <w:b/>
          <w:bCs/>
          <w:i/>
          <w:iCs/>
        </w:rPr>
      </w:pPr>
      <w:r w:rsidRPr="00FA421E">
        <w:rPr>
          <w:b/>
          <w:bCs/>
          <w:i/>
          <w:iCs/>
        </w:rPr>
        <w:t xml:space="preserve">fMRI data preprocessing </w:t>
      </w:r>
    </w:p>
    <w:p w14:paraId="0D92CFA4" w14:textId="6633EFE9" w:rsidR="005A4516" w:rsidRDefault="005A4516" w:rsidP="00860BA7">
      <w:pPr>
        <w:pStyle w:val="ListParagraph"/>
        <w:spacing w:line="480" w:lineRule="auto"/>
        <w:ind w:left="0"/>
      </w:pPr>
      <w:r>
        <w:t xml:space="preserve">Functional </w:t>
      </w:r>
      <w:r w:rsidRPr="00F5043D">
        <w:t xml:space="preserve">MRI data </w:t>
      </w:r>
      <w:r>
        <w:t xml:space="preserve">were </w:t>
      </w:r>
      <w:proofErr w:type="spellStart"/>
      <w:r w:rsidRPr="00F5043D">
        <w:t>preprocess</w:t>
      </w:r>
      <w:r>
        <w:t>ed</w:t>
      </w:r>
      <w:proofErr w:type="spellEnd"/>
      <w:r w:rsidRPr="00F5043D">
        <w:t xml:space="preserve"> and analyse</w:t>
      </w:r>
      <w:r>
        <w:t>d</w:t>
      </w:r>
      <w:r w:rsidRPr="00F5043D">
        <w:t xml:space="preserve"> using FSL (FMRIB’s software library) software. Preprocessing pipeline involved intramodal motion correction using MCFLIRT (motion correction FMRIB’s linear image registration tool), slice timing correction, spatial smoothing with an isotropic 5-mm full width at half maximum Gaussian kernel, high-pass temporal filtering with a cut-off frequency of 1</w:t>
      </w:r>
      <w:r>
        <w:t>0</w:t>
      </w:r>
      <w:r w:rsidRPr="00F5043D">
        <w:t xml:space="preserve">0 s, and grand-mean intensity normalization of each entire four-dimensional dataset. Functional scans were subsequently </w:t>
      </w:r>
      <w:proofErr w:type="spellStart"/>
      <w:r w:rsidRPr="00F5043D">
        <w:t>coregistered</w:t>
      </w:r>
      <w:proofErr w:type="spellEnd"/>
      <w:r w:rsidRPr="00F5043D">
        <w:t xml:space="preserve"> with skull-stripped structural images using boundary-based registration as implemented in </w:t>
      </w:r>
      <w:r w:rsidRPr="00F5043D">
        <w:lastRenderedPageBreak/>
        <w:t>FLIRT (FMRIB’s linear image registration tool) and spatially normalized into MNI152 space using FNIRT (FMRIB’s non-linear image registration tool) nonlinear registration.</w:t>
      </w:r>
    </w:p>
    <w:p w14:paraId="7187B3A7" w14:textId="487E71DD" w:rsidR="00681CB8" w:rsidRDefault="00681CB8" w:rsidP="00860BA7">
      <w:pPr>
        <w:pStyle w:val="ListParagraph"/>
        <w:spacing w:line="480" w:lineRule="auto"/>
        <w:ind w:left="0"/>
      </w:pPr>
    </w:p>
    <w:p w14:paraId="1E755553" w14:textId="63D88D6F" w:rsidR="00681CB8" w:rsidRPr="00681CB8" w:rsidRDefault="00681CB8" w:rsidP="00681CB8">
      <w:pPr>
        <w:pStyle w:val="ListParagraph"/>
        <w:spacing w:line="480" w:lineRule="auto"/>
        <w:ind w:left="0"/>
        <w:rPr>
          <w:b/>
          <w:bCs/>
          <w:i/>
          <w:iCs/>
          <w:color w:val="000000" w:themeColor="text1"/>
        </w:rPr>
      </w:pPr>
      <w:r w:rsidRPr="00681CB8">
        <w:rPr>
          <w:b/>
          <w:bCs/>
          <w:i/>
          <w:iCs/>
          <w:color w:val="000000" w:themeColor="text1"/>
        </w:rPr>
        <w:t>fMRI univariate analysis – brain-behaviour pre-post treatment correlations</w:t>
      </w:r>
      <w:r>
        <w:rPr>
          <w:b/>
          <w:bCs/>
          <w:i/>
          <w:iCs/>
          <w:color w:val="000000" w:themeColor="text1"/>
        </w:rPr>
        <w:t xml:space="preserve"> (2x2 mixed ANOVA)</w:t>
      </w:r>
    </w:p>
    <w:p w14:paraId="35E31622" w14:textId="10A186E6" w:rsidR="00681CB8" w:rsidRPr="007247B8" w:rsidRDefault="002546B8" w:rsidP="00860BA7">
      <w:pPr>
        <w:pStyle w:val="ListParagraph"/>
        <w:spacing w:line="480" w:lineRule="auto"/>
        <w:ind w:left="0"/>
        <w:rPr>
          <w:rFonts w:cstheme="minorHAnsi"/>
          <w:color w:val="000000" w:themeColor="text1"/>
        </w:rPr>
      </w:pPr>
      <w:r w:rsidRPr="002546B8">
        <w:rPr>
          <w:rFonts w:cstheme="minorHAnsi"/>
        </w:rPr>
        <w:t xml:space="preserve">To test the additional hypothesis that post-CBT changes in the activity of </w:t>
      </w:r>
      <w:r w:rsidR="00317218">
        <w:rPr>
          <w:rFonts w:cstheme="minorHAnsi"/>
        </w:rPr>
        <w:t xml:space="preserve">the two </w:t>
      </w:r>
      <w:r w:rsidRPr="002546B8">
        <w:rPr>
          <w:rFonts w:cstheme="minorHAnsi"/>
          <w:color w:val="000000" w:themeColor="text1"/>
        </w:rPr>
        <w:t>pre-treatment EA clusters (GLM1) and</w:t>
      </w:r>
      <w:r w:rsidR="00317218">
        <w:rPr>
          <w:rFonts w:cstheme="minorHAnsi"/>
          <w:color w:val="000000" w:themeColor="text1"/>
        </w:rPr>
        <w:t xml:space="preserve"> two</w:t>
      </w:r>
      <w:r w:rsidRPr="002546B8">
        <w:rPr>
          <w:rFonts w:cstheme="minorHAnsi"/>
          <w:color w:val="000000" w:themeColor="text1"/>
        </w:rPr>
        <w:t xml:space="preserve"> conjunction clusters (GLM1+GLM2</w:t>
      </w:r>
      <w:r w:rsidRPr="002546B8">
        <w:rPr>
          <w:rFonts w:cstheme="minorHAnsi"/>
          <w:color w:val="000000" w:themeColor="text1"/>
        </w:rPr>
        <w:t xml:space="preserve">) </w:t>
      </w:r>
      <w:r w:rsidRPr="002546B8">
        <w:rPr>
          <w:rFonts w:cstheme="minorHAnsi"/>
          <w:color w:val="000000" w:themeColor="text1"/>
        </w:rPr>
        <w:t xml:space="preserve">are significantly different between </w:t>
      </w:r>
      <w:r>
        <w:rPr>
          <w:rFonts w:cstheme="minorHAnsi"/>
          <w:color w:val="000000" w:themeColor="text1"/>
        </w:rPr>
        <w:t>responders (</w:t>
      </w:r>
      <w:r w:rsidRPr="002546B8">
        <w:rPr>
          <w:rFonts w:cstheme="minorHAnsi"/>
          <w:color w:val="000000" w:themeColor="text1"/>
        </w:rPr>
        <w:t>R</w:t>
      </w:r>
      <w:r>
        <w:rPr>
          <w:rFonts w:cstheme="minorHAnsi"/>
          <w:color w:val="000000" w:themeColor="text1"/>
        </w:rPr>
        <w:t>)</w:t>
      </w:r>
      <w:r w:rsidRPr="002546B8">
        <w:rPr>
          <w:rFonts w:cstheme="minorHAnsi"/>
          <w:color w:val="000000" w:themeColor="text1"/>
        </w:rPr>
        <w:t xml:space="preserve"> and </w:t>
      </w:r>
      <w:proofErr w:type="spellStart"/>
      <w:r>
        <w:rPr>
          <w:rFonts w:cstheme="minorHAnsi"/>
          <w:color w:val="000000" w:themeColor="text1"/>
        </w:rPr>
        <w:t>nonresponders</w:t>
      </w:r>
      <w:proofErr w:type="spellEnd"/>
      <w:r>
        <w:rPr>
          <w:rFonts w:cstheme="minorHAnsi"/>
          <w:color w:val="000000" w:themeColor="text1"/>
        </w:rPr>
        <w:t xml:space="preserve"> (</w:t>
      </w:r>
      <w:r w:rsidRPr="002546B8">
        <w:rPr>
          <w:rFonts w:cstheme="minorHAnsi"/>
          <w:color w:val="000000" w:themeColor="text1"/>
        </w:rPr>
        <w:t>NR</w:t>
      </w:r>
      <w:r>
        <w:rPr>
          <w:rFonts w:cstheme="minorHAnsi"/>
          <w:color w:val="000000" w:themeColor="text1"/>
        </w:rPr>
        <w:t>),</w:t>
      </w:r>
      <w:r w:rsidRPr="002546B8">
        <w:rPr>
          <w:rFonts w:cstheme="minorHAnsi"/>
          <w:color w:val="000000" w:themeColor="text1"/>
        </w:rPr>
        <w:t xml:space="preserve"> </w:t>
      </w:r>
      <w:r w:rsidRPr="002546B8">
        <w:rPr>
          <w:rFonts w:cstheme="minorHAnsi"/>
        </w:rPr>
        <w:t xml:space="preserve">we performed a 2x2 mixed ANOVA </w:t>
      </w:r>
      <w:r w:rsidR="00724625">
        <w:rPr>
          <w:rFonts w:cstheme="minorHAnsi"/>
        </w:rPr>
        <w:t xml:space="preserve">using the </w:t>
      </w:r>
      <w:proofErr w:type="spellStart"/>
      <w:r w:rsidR="00724625" w:rsidRPr="00724625">
        <w:rPr>
          <w:i/>
          <w:iCs/>
        </w:rPr>
        <w:t>rstatix</w:t>
      </w:r>
      <w:proofErr w:type="spellEnd"/>
      <w:r w:rsidR="00724625">
        <w:t xml:space="preserve"> </w:t>
      </w:r>
      <w:r w:rsidR="00724625">
        <w:t xml:space="preserve">R </w:t>
      </w:r>
      <w:r w:rsidR="00724625">
        <w:t>package</w:t>
      </w:r>
      <w:r w:rsidR="00724625">
        <w:t xml:space="preserve"> </w:t>
      </w:r>
      <w:r w:rsidRPr="002546B8">
        <w:rPr>
          <w:rFonts w:cstheme="minorHAnsi"/>
        </w:rPr>
        <w:t xml:space="preserve">with session (baseline vs follow-up) as within-subjects factor and response (R vs NR) as between-subjects factor. </w:t>
      </w:r>
      <w:r w:rsidRPr="002546B8">
        <w:rPr>
          <w:rFonts w:cstheme="minorHAnsi"/>
        </w:rPr>
        <w:t>We found that</w:t>
      </w:r>
      <w:r w:rsidRPr="002546B8">
        <w:rPr>
          <w:rFonts w:cstheme="minorHAnsi"/>
        </w:rPr>
        <w:t xml:space="preserve"> the session x response interaction </w:t>
      </w:r>
      <w:r w:rsidRPr="002546B8">
        <w:rPr>
          <w:rFonts w:cstheme="minorHAnsi"/>
        </w:rPr>
        <w:t xml:space="preserve">effect was statistically significant for </w:t>
      </w:r>
      <w:r w:rsidR="00A37165">
        <w:rPr>
          <w:rFonts w:cstheme="minorHAnsi"/>
        </w:rPr>
        <w:t>three of the</w:t>
      </w:r>
      <w:r w:rsidRPr="002546B8">
        <w:rPr>
          <w:rFonts w:cstheme="minorHAnsi"/>
        </w:rPr>
        <w:t xml:space="preserve"> four clusters (</w:t>
      </w:r>
      <w:r w:rsidR="006479FC" w:rsidRPr="000D5D78">
        <w:rPr>
          <w:rFonts w:cstheme="minorHAnsi"/>
          <w:color w:val="000000" w:themeColor="text1"/>
        </w:rPr>
        <w:t>left LOC</w:t>
      </w:r>
      <w:r w:rsidR="006479FC">
        <w:rPr>
          <w:rFonts w:cstheme="minorHAnsi"/>
          <w:color w:val="000000" w:themeColor="text1"/>
        </w:rPr>
        <w:t>:</w:t>
      </w:r>
      <w:r w:rsidR="006479FC" w:rsidRPr="000D5D78">
        <w:rPr>
          <w:rFonts w:cstheme="minorHAnsi"/>
          <w:color w:val="000000" w:themeColor="text1"/>
        </w:rPr>
        <w:t xml:space="preserve"> </w:t>
      </w:r>
      <w:r w:rsidR="006479FC">
        <w:rPr>
          <w:rFonts w:cstheme="minorHAnsi"/>
          <w:color w:val="000000" w:themeColor="text1"/>
        </w:rPr>
        <w:t>F</w:t>
      </w:r>
      <w:r w:rsidR="006479FC" w:rsidRPr="006479FC">
        <w:rPr>
          <w:rFonts w:cstheme="minorHAnsi"/>
          <w:color w:val="000000" w:themeColor="text1"/>
          <w:vertAlign w:val="subscript"/>
        </w:rPr>
        <w:t>1</w:t>
      </w:r>
      <w:r w:rsidR="006479FC">
        <w:rPr>
          <w:rFonts w:cstheme="minorHAnsi"/>
          <w:color w:val="000000" w:themeColor="text1"/>
          <w:vertAlign w:val="subscript"/>
        </w:rPr>
        <w:t>,23</w:t>
      </w:r>
      <w:r w:rsidR="006479FC" w:rsidRPr="006479FC">
        <w:rPr>
          <w:rFonts w:cstheme="minorHAnsi"/>
          <w:color w:val="000000" w:themeColor="text1"/>
        </w:rPr>
        <w:t xml:space="preserve"> </w:t>
      </w:r>
      <w:r w:rsidR="006479FC">
        <w:rPr>
          <w:rFonts w:cstheme="minorHAnsi"/>
          <w:color w:val="000000" w:themeColor="text1"/>
        </w:rPr>
        <w:t>=</w:t>
      </w:r>
      <w:r w:rsidR="006479FC" w:rsidRPr="006479FC">
        <w:rPr>
          <w:rFonts w:cstheme="minorHAnsi"/>
          <w:color w:val="000000" w:themeColor="text1"/>
        </w:rPr>
        <w:t xml:space="preserve"> 5.3</w:t>
      </w:r>
      <w:r w:rsidR="006479FC">
        <w:rPr>
          <w:rFonts w:cstheme="minorHAnsi"/>
          <w:color w:val="000000" w:themeColor="text1"/>
        </w:rPr>
        <w:t>3, p =</w:t>
      </w:r>
      <w:r w:rsidR="006479FC" w:rsidRPr="006479FC">
        <w:rPr>
          <w:rFonts w:cstheme="minorHAnsi"/>
          <w:color w:val="000000" w:themeColor="text1"/>
        </w:rPr>
        <w:t xml:space="preserve"> .03</w:t>
      </w:r>
      <w:r w:rsidR="006479FC">
        <w:rPr>
          <w:rFonts w:cstheme="minorHAnsi"/>
          <w:color w:val="000000" w:themeColor="text1"/>
        </w:rPr>
        <w:t xml:space="preserve">; </w:t>
      </w:r>
      <w:r w:rsidR="006479FC" w:rsidRPr="000D5D78">
        <w:rPr>
          <w:rFonts w:cstheme="minorHAnsi"/>
          <w:color w:val="000000" w:themeColor="text1"/>
        </w:rPr>
        <w:t xml:space="preserve">left </w:t>
      </w:r>
      <w:r w:rsidR="006479FC">
        <w:rPr>
          <w:rFonts w:cstheme="minorHAnsi"/>
          <w:color w:val="000000" w:themeColor="text1"/>
        </w:rPr>
        <w:t>SFS</w:t>
      </w:r>
      <w:r w:rsidR="006479FC">
        <w:rPr>
          <w:rFonts w:cstheme="minorHAnsi"/>
          <w:color w:val="000000" w:themeColor="text1"/>
        </w:rPr>
        <w:t>:</w:t>
      </w:r>
      <w:r w:rsidR="006479FC" w:rsidRPr="000D5D78">
        <w:rPr>
          <w:rFonts w:cstheme="minorHAnsi"/>
          <w:color w:val="000000" w:themeColor="text1"/>
        </w:rPr>
        <w:t xml:space="preserve"> </w:t>
      </w:r>
      <w:r w:rsidR="006479FC">
        <w:rPr>
          <w:rFonts w:cstheme="minorHAnsi"/>
          <w:color w:val="000000" w:themeColor="text1"/>
        </w:rPr>
        <w:t>F</w:t>
      </w:r>
      <w:r w:rsidR="006479FC" w:rsidRPr="006479FC">
        <w:rPr>
          <w:rFonts w:cstheme="minorHAnsi"/>
          <w:color w:val="000000" w:themeColor="text1"/>
          <w:vertAlign w:val="subscript"/>
        </w:rPr>
        <w:t>1</w:t>
      </w:r>
      <w:r w:rsidR="006479FC">
        <w:rPr>
          <w:rFonts w:cstheme="minorHAnsi"/>
          <w:color w:val="000000" w:themeColor="text1"/>
          <w:vertAlign w:val="subscript"/>
        </w:rPr>
        <w:t>,23</w:t>
      </w:r>
      <w:r w:rsidR="006479FC" w:rsidRPr="006479FC">
        <w:rPr>
          <w:rFonts w:cstheme="minorHAnsi"/>
          <w:color w:val="000000" w:themeColor="text1"/>
        </w:rPr>
        <w:t xml:space="preserve"> </w:t>
      </w:r>
      <w:r w:rsidR="006479FC">
        <w:rPr>
          <w:rFonts w:cstheme="minorHAnsi"/>
          <w:color w:val="000000" w:themeColor="text1"/>
        </w:rPr>
        <w:t>=</w:t>
      </w:r>
      <w:r w:rsidR="006479FC" w:rsidRPr="006479FC">
        <w:rPr>
          <w:rFonts w:cstheme="minorHAnsi"/>
          <w:color w:val="000000" w:themeColor="text1"/>
        </w:rPr>
        <w:t xml:space="preserve"> 5.6</w:t>
      </w:r>
      <w:r w:rsidR="006479FC">
        <w:rPr>
          <w:rFonts w:cstheme="minorHAnsi"/>
          <w:color w:val="000000" w:themeColor="text1"/>
        </w:rPr>
        <w:t>2,</w:t>
      </w:r>
      <w:r w:rsidR="006479FC" w:rsidRPr="006479FC">
        <w:rPr>
          <w:rFonts w:cstheme="minorHAnsi"/>
          <w:color w:val="000000" w:themeColor="text1"/>
        </w:rPr>
        <w:t xml:space="preserve"> </w:t>
      </w:r>
      <w:r w:rsidR="006479FC">
        <w:rPr>
          <w:rFonts w:cstheme="minorHAnsi"/>
          <w:color w:val="000000" w:themeColor="text1"/>
        </w:rPr>
        <w:t>p=</w:t>
      </w:r>
      <w:r w:rsidR="006479FC" w:rsidRPr="006479FC">
        <w:rPr>
          <w:rFonts w:cstheme="minorHAnsi"/>
          <w:color w:val="000000" w:themeColor="text1"/>
        </w:rPr>
        <w:t>.027</w:t>
      </w:r>
      <w:r w:rsidR="006479FC">
        <w:rPr>
          <w:rFonts w:cstheme="minorHAnsi"/>
          <w:color w:val="000000" w:themeColor="text1"/>
        </w:rPr>
        <w:t xml:space="preserve">; </w:t>
      </w:r>
      <w:r w:rsidR="006479FC" w:rsidRPr="000D5D78">
        <w:rPr>
          <w:rFonts w:cstheme="minorHAnsi"/>
          <w:color w:val="000000" w:themeColor="text1"/>
        </w:rPr>
        <w:t xml:space="preserve">left </w:t>
      </w:r>
      <w:proofErr w:type="spellStart"/>
      <w:r w:rsidR="006479FC" w:rsidRPr="000D5D78">
        <w:rPr>
          <w:rFonts w:cstheme="minorHAnsi"/>
          <w:color w:val="000000" w:themeColor="text1"/>
        </w:rPr>
        <w:t>SPL</w:t>
      </w:r>
      <w:r w:rsidR="006479FC" w:rsidRPr="000D5D78">
        <w:rPr>
          <w:rFonts w:cstheme="minorHAnsi"/>
          <w:color w:val="000000" w:themeColor="text1"/>
          <w:vertAlign w:val="subscript"/>
        </w:rPr>
        <w:t>conj</w:t>
      </w:r>
      <w:proofErr w:type="spellEnd"/>
      <w:r w:rsidR="007247B8">
        <w:rPr>
          <w:rFonts w:cstheme="minorHAnsi"/>
          <w:color w:val="000000" w:themeColor="text1"/>
        </w:rPr>
        <w:t>:</w:t>
      </w:r>
      <w:r w:rsidR="007247B8">
        <w:rPr>
          <w:rFonts w:cstheme="minorHAnsi"/>
          <w:color w:val="000000" w:themeColor="text1"/>
          <w:vertAlign w:val="subscript"/>
        </w:rPr>
        <w:t xml:space="preserve"> </w:t>
      </w:r>
      <w:r w:rsidR="007247B8">
        <w:rPr>
          <w:rFonts w:cstheme="minorHAnsi"/>
          <w:color w:val="000000" w:themeColor="text1"/>
        </w:rPr>
        <w:t>F</w:t>
      </w:r>
      <w:r w:rsidR="007247B8" w:rsidRPr="006479FC">
        <w:rPr>
          <w:rFonts w:cstheme="minorHAnsi"/>
          <w:color w:val="000000" w:themeColor="text1"/>
          <w:vertAlign w:val="subscript"/>
        </w:rPr>
        <w:t>1</w:t>
      </w:r>
      <w:r w:rsidR="007247B8">
        <w:rPr>
          <w:rFonts w:cstheme="minorHAnsi"/>
          <w:color w:val="000000" w:themeColor="text1"/>
          <w:vertAlign w:val="subscript"/>
        </w:rPr>
        <w:t>,23</w:t>
      </w:r>
      <w:r w:rsidR="007247B8" w:rsidRPr="006479FC">
        <w:rPr>
          <w:rFonts w:cstheme="minorHAnsi"/>
          <w:color w:val="000000" w:themeColor="text1"/>
        </w:rPr>
        <w:t xml:space="preserve"> </w:t>
      </w:r>
      <w:r w:rsidR="007247B8">
        <w:rPr>
          <w:rFonts w:cstheme="minorHAnsi"/>
          <w:color w:val="000000" w:themeColor="text1"/>
        </w:rPr>
        <w:t>=</w:t>
      </w:r>
      <w:r w:rsidR="007247B8" w:rsidRPr="006479FC">
        <w:rPr>
          <w:rFonts w:cstheme="minorHAnsi"/>
          <w:color w:val="000000" w:themeColor="text1"/>
        </w:rPr>
        <w:t xml:space="preserve"> </w:t>
      </w:r>
      <w:r w:rsidR="004C02A8" w:rsidRPr="004C02A8">
        <w:rPr>
          <w:color w:val="000000" w:themeColor="text1"/>
        </w:rPr>
        <w:t>5.46</w:t>
      </w:r>
      <w:r w:rsidR="007247B8">
        <w:rPr>
          <w:color w:val="000000" w:themeColor="text1"/>
        </w:rPr>
        <w:t>, p =</w:t>
      </w:r>
      <w:r w:rsidR="004C02A8" w:rsidRPr="004C02A8">
        <w:rPr>
          <w:color w:val="000000" w:themeColor="text1"/>
        </w:rPr>
        <w:t xml:space="preserve"> </w:t>
      </w:r>
      <w:r w:rsidR="007247B8">
        <w:rPr>
          <w:color w:val="000000" w:themeColor="text1"/>
        </w:rPr>
        <w:t>.</w:t>
      </w:r>
      <w:r w:rsidR="004C02A8" w:rsidRPr="004C02A8">
        <w:rPr>
          <w:color w:val="000000" w:themeColor="text1"/>
        </w:rPr>
        <w:t>029</w:t>
      </w:r>
      <w:r w:rsidR="007247B8">
        <w:rPr>
          <w:rFonts w:cstheme="minorHAnsi"/>
          <w:color w:val="000000" w:themeColor="text1"/>
        </w:rPr>
        <w:t xml:space="preserve">; </w:t>
      </w:r>
      <w:r w:rsidR="006479FC" w:rsidRPr="000D5D78">
        <w:rPr>
          <w:rFonts w:cstheme="minorHAnsi"/>
          <w:color w:val="000000" w:themeColor="text1"/>
        </w:rPr>
        <w:t xml:space="preserve">left </w:t>
      </w:r>
      <w:proofErr w:type="spellStart"/>
      <w:r w:rsidR="006479FC" w:rsidRPr="000D5D78">
        <w:rPr>
          <w:rFonts w:cstheme="minorHAnsi"/>
          <w:color w:val="000000" w:themeColor="text1"/>
        </w:rPr>
        <w:t>SFS</w:t>
      </w:r>
      <w:r w:rsidR="006479FC" w:rsidRPr="000D5D78">
        <w:rPr>
          <w:rFonts w:cstheme="minorHAnsi"/>
          <w:color w:val="000000" w:themeColor="text1"/>
          <w:vertAlign w:val="subscript"/>
        </w:rPr>
        <w:t>conj</w:t>
      </w:r>
      <w:proofErr w:type="spellEnd"/>
      <w:r w:rsidR="007247B8" w:rsidRPr="007247B8">
        <w:rPr>
          <w:rFonts w:cstheme="minorHAnsi"/>
          <w:color w:val="000000" w:themeColor="text1"/>
        </w:rPr>
        <w:t xml:space="preserve">: </w:t>
      </w:r>
      <w:r w:rsidR="007247B8">
        <w:rPr>
          <w:rFonts w:cstheme="minorHAnsi"/>
          <w:color w:val="000000" w:themeColor="text1"/>
        </w:rPr>
        <w:t>F</w:t>
      </w:r>
      <w:r w:rsidR="007247B8" w:rsidRPr="006479FC">
        <w:rPr>
          <w:rFonts w:cstheme="minorHAnsi"/>
          <w:color w:val="000000" w:themeColor="text1"/>
          <w:vertAlign w:val="subscript"/>
        </w:rPr>
        <w:t>1</w:t>
      </w:r>
      <w:r w:rsidR="007247B8">
        <w:rPr>
          <w:rFonts w:cstheme="minorHAnsi"/>
          <w:color w:val="000000" w:themeColor="text1"/>
          <w:vertAlign w:val="subscript"/>
        </w:rPr>
        <w:t>,23</w:t>
      </w:r>
      <w:r w:rsidR="007247B8" w:rsidRPr="006479FC">
        <w:rPr>
          <w:rFonts w:cstheme="minorHAnsi"/>
          <w:color w:val="000000" w:themeColor="text1"/>
        </w:rPr>
        <w:t xml:space="preserve"> </w:t>
      </w:r>
      <w:r w:rsidR="007247B8">
        <w:rPr>
          <w:rFonts w:cstheme="minorHAnsi"/>
          <w:color w:val="000000" w:themeColor="text1"/>
        </w:rPr>
        <w:t>=</w:t>
      </w:r>
      <w:r w:rsidR="006479FC" w:rsidRPr="000D5D78">
        <w:rPr>
          <w:color w:val="000000" w:themeColor="text1"/>
        </w:rPr>
        <w:t xml:space="preserve"> -</w:t>
      </w:r>
      <w:r w:rsidR="00753B3F" w:rsidRPr="00753B3F">
        <w:rPr>
          <w:color w:val="000000" w:themeColor="text1"/>
        </w:rPr>
        <w:t>4.1</w:t>
      </w:r>
      <w:r w:rsidR="00753B3F">
        <w:rPr>
          <w:color w:val="000000" w:themeColor="text1"/>
        </w:rPr>
        <w:t xml:space="preserve">2, p = </w:t>
      </w:r>
      <w:r w:rsidR="00753B3F" w:rsidRPr="00753B3F">
        <w:rPr>
          <w:color w:val="000000" w:themeColor="text1"/>
        </w:rPr>
        <w:t>.054</w:t>
      </w:r>
      <w:r w:rsidRPr="002546B8">
        <w:rPr>
          <w:rFonts w:cstheme="minorHAnsi"/>
        </w:rPr>
        <w:t xml:space="preserve">). However, these results should be interpreted with caution due to the risk </w:t>
      </w:r>
      <w:r w:rsidRPr="002546B8">
        <w:rPr>
          <w:rFonts w:cstheme="minorHAnsi"/>
          <w:color w:val="000000" w:themeColor="text1"/>
        </w:rPr>
        <w:t>of bias and lack of reliability associated with</w:t>
      </w:r>
      <w:r w:rsidRPr="002546B8">
        <w:rPr>
          <w:rFonts w:cstheme="minorHAnsi"/>
          <w:color w:val="000000" w:themeColor="text1"/>
        </w:rPr>
        <w:t xml:space="preserve"> </w:t>
      </w:r>
      <w:r w:rsidRPr="002546B8">
        <w:rPr>
          <w:rFonts w:cstheme="minorHAnsi"/>
          <w:color w:val="000000" w:themeColor="text1"/>
        </w:rPr>
        <w:t xml:space="preserve">the </w:t>
      </w:r>
      <w:r w:rsidRPr="002546B8">
        <w:rPr>
          <w:rFonts w:cstheme="minorHAnsi"/>
          <w:color w:val="000000" w:themeColor="text1"/>
        </w:rPr>
        <w:t>markedly unbalanced design (18 R and 7 NR), which significantly reduces statistical power</w:t>
      </w:r>
      <w:r w:rsidRPr="002546B8">
        <w:rPr>
          <w:rFonts w:cstheme="minorHAnsi"/>
          <w:color w:val="000000" w:themeColor="text1"/>
        </w:rPr>
        <w:t>.</w:t>
      </w:r>
    </w:p>
    <w:p w14:paraId="27537AE0" w14:textId="77777777" w:rsidR="00860BA7" w:rsidRDefault="00860BA7" w:rsidP="00860BA7">
      <w:r>
        <w:br w:type="page"/>
      </w:r>
    </w:p>
    <w:p w14:paraId="489DB9C4" w14:textId="0A8E428E" w:rsidR="00860BA7" w:rsidRDefault="00C50825" w:rsidP="00860BA7">
      <w:pPr>
        <w:pStyle w:val="ListParagraph"/>
        <w:spacing w:line="480" w:lineRule="auto"/>
        <w:ind w:left="0"/>
        <w:rPr>
          <w:b/>
          <w:bCs/>
        </w:rPr>
      </w:pPr>
      <w:r>
        <w:rPr>
          <w:b/>
          <w:bCs/>
        </w:rPr>
        <w:lastRenderedPageBreak/>
        <w:t>Supplementary Figures</w:t>
      </w:r>
    </w:p>
    <w:p w14:paraId="48B34684" w14:textId="77777777" w:rsidR="00C50825" w:rsidRPr="00C50825" w:rsidRDefault="00C50825" w:rsidP="00860BA7">
      <w:pPr>
        <w:pStyle w:val="ListParagraph"/>
        <w:spacing w:line="480" w:lineRule="auto"/>
        <w:ind w:left="0"/>
        <w:rPr>
          <w:b/>
          <w:bCs/>
        </w:rPr>
      </w:pPr>
    </w:p>
    <w:p w14:paraId="65EC7E99" w14:textId="77777777" w:rsidR="00860BA7" w:rsidRDefault="00860BA7" w:rsidP="00860BA7">
      <w:pPr>
        <w:pStyle w:val="ListParagraph"/>
        <w:spacing w:line="480" w:lineRule="auto"/>
        <w:ind w:left="0"/>
      </w:pPr>
      <w:r w:rsidRPr="00A0418B">
        <w:rPr>
          <w:noProof/>
        </w:rPr>
        <w:drawing>
          <wp:inline distT="0" distB="0" distL="0" distR="0" wp14:anchorId="3FE69887" wp14:editId="0C765AD2">
            <wp:extent cx="5731510" cy="2369185"/>
            <wp:effectExtent l="0" t="0" r="0" b="0"/>
            <wp:docPr id="12" name="Picture 12" descr="A screenshot of a compute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 game&#10;&#10;Description automatically generated"/>
                    <pic:cNvPicPr/>
                  </pic:nvPicPr>
                  <pic:blipFill>
                    <a:blip r:embed="rId8"/>
                    <a:stretch>
                      <a:fillRect/>
                    </a:stretch>
                  </pic:blipFill>
                  <pic:spPr>
                    <a:xfrm>
                      <a:off x="0" y="0"/>
                      <a:ext cx="5731510" cy="2369185"/>
                    </a:xfrm>
                    <a:prstGeom prst="rect">
                      <a:avLst/>
                    </a:prstGeom>
                  </pic:spPr>
                </pic:pic>
              </a:graphicData>
            </a:graphic>
          </wp:inline>
        </w:drawing>
      </w:r>
    </w:p>
    <w:p w14:paraId="3CC1B116" w14:textId="56DDF0EC" w:rsidR="00860BA7" w:rsidRDefault="00860BA7" w:rsidP="00860BA7">
      <w:pPr>
        <w:pStyle w:val="ListParagraph"/>
        <w:spacing w:line="480" w:lineRule="auto"/>
        <w:ind w:left="0"/>
        <w:rPr>
          <w:rFonts w:cstheme="minorHAnsi"/>
        </w:rPr>
      </w:pPr>
      <w:r w:rsidRPr="00EC3779">
        <w:rPr>
          <w:b/>
          <w:bCs/>
        </w:rPr>
        <w:t xml:space="preserve">Figure </w:t>
      </w:r>
      <w:r w:rsidR="00FA421E">
        <w:rPr>
          <w:b/>
          <w:bCs/>
        </w:rPr>
        <w:t>S</w:t>
      </w:r>
      <w:r>
        <w:rPr>
          <w:b/>
          <w:bCs/>
        </w:rPr>
        <w:t xml:space="preserve">1. </w:t>
      </w:r>
      <w:r w:rsidR="005B177E">
        <w:rPr>
          <w:b/>
          <w:bCs/>
        </w:rPr>
        <w:t>Longitudinal</w:t>
      </w:r>
      <w:r w:rsidR="00701945">
        <w:rPr>
          <w:b/>
          <w:bCs/>
        </w:rPr>
        <w:t xml:space="preserve"> change of </w:t>
      </w:r>
      <w:r w:rsidR="00D72C1B">
        <w:rPr>
          <w:b/>
          <w:bCs/>
        </w:rPr>
        <w:t>behavioural</w:t>
      </w:r>
      <w:r w:rsidR="00701945">
        <w:rPr>
          <w:b/>
          <w:bCs/>
        </w:rPr>
        <w:t xml:space="preserve"> performance</w:t>
      </w:r>
      <w:r>
        <w:rPr>
          <w:b/>
          <w:bCs/>
        </w:rPr>
        <w:t>.</w:t>
      </w:r>
      <w:r w:rsidRPr="00A0418B">
        <w:rPr>
          <w:b/>
          <w:bCs/>
        </w:rPr>
        <w:t xml:space="preserve"> </w:t>
      </w:r>
      <w:r w:rsidRPr="00834009">
        <w:t>(A-B) Raincloud</w:t>
      </w:r>
      <w:r>
        <w:t xml:space="preserve"> plots showing pre- and post-</w:t>
      </w:r>
      <w:proofErr w:type="spellStart"/>
      <w:r>
        <w:t>cCBT</w:t>
      </w:r>
      <w:proofErr w:type="spellEnd"/>
      <w:r>
        <w:t xml:space="preserve"> changes in median RTs (A) and mean choice accuracies (B) as a function of treatment response.</w:t>
      </w:r>
      <w:r w:rsidRPr="0036601D">
        <w:t xml:space="preserve"> </w:t>
      </w:r>
      <w:r>
        <w:rPr>
          <w:rFonts w:cstheme="minorHAnsi"/>
        </w:rPr>
        <w:t xml:space="preserve">Colour-coded dots represent responders (R, green) and </w:t>
      </w:r>
      <w:proofErr w:type="spellStart"/>
      <w:r>
        <w:rPr>
          <w:rFonts w:cstheme="minorHAnsi"/>
        </w:rPr>
        <w:t>nonresponders</w:t>
      </w:r>
      <w:proofErr w:type="spellEnd"/>
      <w:r>
        <w:rPr>
          <w:rFonts w:cstheme="minorHAnsi"/>
        </w:rPr>
        <w:t xml:space="preserve"> (NR, red).</w:t>
      </w:r>
    </w:p>
    <w:p w14:paraId="6DB37C58" w14:textId="77777777" w:rsidR="00860BA7" w:rsidRDefault="00860BA7" w:rsidP="00860BA7">
      <w:pPr>
        <w:rPr>
          <w:rFonts w:cstheme="minorHAnsi"/>
        </w:rPr>
      </w:pPr>
      <w:r>
        <w:rPr>
          <w:rFonts w:cstheme="minorHAnsi"/>
        </w:rPr>
        <w:br w:type="page"/>
      </w:r>
    </w:p>
    <w:p w14:paraId="19B636A1" w14:textId="77777777" w:rsidR="00860BA7" w:rsidRPr="00B32D14" w:rsidRDefault="00860BA7" w:rsidP="00860BA7">
      <w:pPr>
        <w:pStyle w:val="ListParagraph"/>
        <w:spacing w:line="480" w:lineRule="auto"/>
        <w:ind w:left="0"/>
      </w:pPr>
    </w:p>
    <w:p w14:paraId="1B08F0B8" w14:textId="33E49BB2" w:rsidR="0007377B" w:rsidRPr="0007377B" w:rsidRDefault="0007377B" w:rsidP="00860BA7">
      <w:pPr>
        <w:pStyle w:val="ListParagraph"/>
        <w:spacing w:line="480" w:lineRule="auto"/>
        <w:ind w:left="0"/>
      </w:pPr>
      <w:r w:rsidRPr="0007377B">
        <w:rPr>
          <w:b/>
          <w:bCs/>
          <w:noProof/>
        </w:rPr>
        <w:drawing>
          <wp:inline distT="0" distB="0" distL="0" distR="0" wp14:anchorId="718F3318" wp14:editId="587AAF06">
            <wp:extent cx="5731510" cy="4993640"/>
            <wp:effectExtent l="0" t="0" r="0" b="0"/>
            <wp:docPr id="1826244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244808" name=""/>
                    <pic:cNvPicPr/>
                  </pic:nvPicPr>
                  <pic:blipFill>
                    <a:blip r:embed="rId9"/>
                    <a:stretch>
                      <a:fillRect/>
                    </a:stretch>
                  </pic:blipFill>
                  <pic:spPr>
                    <a:xfrm>
                      <a:off x="0" y="0"/>
                      <a:ext cx="5731510" cy="4993640"/>
                    </a:xfrm>
                    <a:prstGeom prst="rect">
                      <a:avLst/>
                    </a:prstGeom>
                  </pic:spPr>
                </pic:pic>
              </a:graphicData>
            </a:graphic>
          </wp:inline>
        </w:drawing>
      </w:r>
    </w:p>
    <w:p w14:paraId="70D28B61" w14:textId="6E5B49B5" w:rsidR="00860BA7" w:rsidRDefault="00860BA7" w:rsidP="00860BA7">
      <w:pPr>
        <w:pStyle w:val="ListParagraph"/>
        <w:spacing w:line="480" w:lineRule="auto"/>
        <w:ind w:left="0"/>
      </w:pPr>
      <w:r w:rsidRPr="00EC3779">
        <w:rPr>
          <w:b/>
          <w:bCs/>
        </w:rPr>
        <w:t xml:space="preserve">Figure </w:t>
      </w:r>
      <w:r w:rsidR="00FA421E">
        <w:rPr>
          <w:b/>
          <w:bCs/>
        </w:rPr>
        <w:t>S</w:t>
      </w:r>
      <w:r>
        <w:rPr>
          <w:b/>
          <w:bCs/>
        </w:rPr>
        <w:t>2</w:t>
      </w:r>
      <w:r w:rsidRPr="00EC3779">
        <w:rPr>
          <w:b/>
          <w:bCs/>
        </w:rPr>
        <w:t>.</w:t>
      </w:r>
      <w:r>
        <w:rPr>
          <w:b/>
          <w:bCs/>
        </w:rPr>
        <w:t xml:space="preserve"> </w:t>
      </w:r>
      <w:r w:rsidR="00701945">
        <w:rPr>
          <w:b/>
          <w:bCs/>
        </w:rPr>
        <w:t>RLDDM p</w:t>
      </w:r>
      <w:r>
        <w:rPr>
          <w:b/>
          <w:bCs/>
        </w:rPr>
        <w:t xml:space="preserve">arameter recovery. </w:t>
      </w:r>
      <w:r>
        <w:t xml:space="preserve">Scatterplots showing correlations between true and recovered parameter </w:t>
      </w:r>
      <w:r w:rsidRPr="007A2210">
        <w:rPr>
          <w:color w:val="000000" w:themeColor="text1"/>
        </w:rPr>
        <w:t xml:space="preserve">estimates. </w:t>
      </w:r>
      <w:r w:rsidR="00B34C34" w:rsidRPr="007A2210">
        <w:rPr>
          <w:color w:val="000000" w:themeColor="text1"/>
        </w:rPr>
        <w:t xml:space="preserve">Correlations estimates greater than 0.5 are fair and those greater than 0.9 are excellent. </w:t>
      </w:r>
      <w:r w:rsidRPr="007A2210">
        <w:rPr>
          <w:color w:val="000000" w:themeColor="text1"/>
        </w:rPr>
        <w:t>r</w:t>
      </w:r>
      <w:r w:rsidR="0007377B" w:rsidRPr="007A2210">
        <w:rPr>
          <w:color w:val="000000" w:themeColor="text1"/>
          <w:vertAlign w:val="subscript"/>
        </w:rPr>
        <w:t xml:space="preserve"> </w:t>
      </w:r>
      <w:r w:rsidRPr="007A2210">
        <w:rPr>
          <w:color w:val="000000" w:themeColor="text1"/>
        </w:rPr>
        <w:t xml:space="preserve">stands </w:t>
      </w:r>
      <w:r>
        <w:t xml:space="preserve">for </w:t>
      </w:r>
      <w:r w:rsidR="00EB377D">
        <w:t>1</w:t>
      </w:r>
      <w:r>
        <w:t>0% bend correlation coefficient. Dots show individual data points.</w:t>
      </w:r>
      <w:r w:rsidR="00B34C34">
        <w:t xml:space="preserve"> </w:t>
      </w:r>
    </w:p>
    <w:p w14:paraId="583A0358" w14:textId="77777777" w:rsidR="00860BA7" w:rsidRDefault="00860BA7" w:rsidP="00860BA7">
      <w:pPr>
        <w:pStyle w:val="ListParagraph"/>
        <w:spacing w:line="480" w:lineRule="auto"/>
        <w:ind w:left="0"/>
        <w:rPr>
          <w:b/>
          <w:bCs/>
        </w:rPr>
      </w:pPr>
      <w:r w:rsidRPr="00AE6C1F">
        <w:rPr>
          <w:b/>
          <w:bCs/>
          <w:noProof/>
        </w:rPr>
        <w:lastRenderedPageBreak/>
        <w:drawing>
          <wp:inline distT="0" distB="0" distL="0" distR="0" wp14:anchorId="5C4591BA" wp14:editId="73F47BD6">
            <wp:extent cx="5731510" cy="4387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4387215"/>
                    </a:xfrm>
                    <a:prstGeom prst="rect">
                      <a:avLst/>
                    </a:prstGeom>
                  </pic:spPr>
                </pic:pic>
              </a:graphicData>
            </a:graphic>
          </wp:inline>
        </w:drawing>
      </w:r>
    </w:p>
    <w:p w14:paraId="449F3197" w14:textId="0FF55C22" w:rsidR="00860BA7" w:rsidRPr="005D3D4B" w:rsidRDefault="00860BA7" w:rsidP="00860BA7">
      <w:pPr>
        <w:pStyle w:val="ListParagraph"/>
        <w:spacing w:line="480" w:lineRule="auto"/>
        <w:ind w:left="0"/>
      </w:pPr>
      <w:r>
        <w:rPr>
          <w:b/>
          <w:bCs/>
        </w:rPr>
        <w:t xml:space="preserve">Figure </w:t>
      </w:r>
      <w:r w:rsidR="00FA421E">
        <w:rPr>
          <w:b/>
          <w:bCs/>
        </w:rPr>
        <w:t>S</w:t>
      </w:r>
      <w:r>
        <w:rPr>
          <w:b/>
          <w:bCs/>
        </w:rPr>
        <w:t xml:space="preserve">3. </w:t>
      </w:r>
      <w:r w:rsidR="005B177E">
        <w:rPr>
          <w:b/>
          <w:bCs/>
        </w:rPr>
        <w:t>Longitudinal</w:t>
      </w:r>
      <w:r>
        <w:rPr>
          <w:b/>
          <w:bCs/>
        </w:rPr>
        <w:t xml:space="preserve"> change of </w:t>
      </w:r>
      <w:r w:rsidR="00FA421E">
        <w:rPr>
          <w:b/>
          <w:bCs/>
        </w:rPr>
        <w:t xml:space="preserve">RLDDM </w:t>
      </w:r>
      <w:r>
        <w:rPr>
          <w:b/>
          <w:bCs/>
        </w:rPr>
        <w:t>parameter estimates.</w:t>
      </w:r>
      <w:r w:rsidRPr="00EC3779">
        <w:t xml:space="preserve"> </w:t>
      </w:r>
      <w:r>
        <w:t>Raincloud plots showing pre- and post-</w:t>
      </w:r>
      <w:proofErr w:type="spellStart"/>
      <w:r>
        <w:t>cCBT</w:t>
      </w:r>
      <w:proofErr w:type="spellEnd"/>
      <w:r>
        <w:t xml:space="preserve"> changes in parameter estimates as a function of treatment response.</w:t>
      </w:r>
      <w:r w:rsidRPr="009248D5">
        <w:rPr>
          <w:rFonts w:cstheme="minorHAnsi"/>
        </w:rPr>
        <w:t xml:space="preserve"> </w:t>
      </w:r>
      <w:r>
        <w:rPr>
          <w:rFonts w:cstheme="minorHAnsi"/>
        </w:rPr>
        <w:t xml:space="preserve">Colour-coded dots represent responders (R, green) and </w:t>
      </w:r>
      <w:proofErr w:type="spellStart"/>
      <w:r>
        <w:rPr>
          <w:rFonts w:cstheme="minorHAnsi"/>
        </w:rPr>
        <w:t>nonresponders</w:t>
      </w:r>
      <w:proofErr w:type="spellEnd"/>
      <w:r>
        <w:rPr>
          <w:rFonts w:cstheme="minorHAnsi"/>
        </w:rPr>
        <w:t xml:space="preserve"> (NR, red).</w:t>
      </w:r>
    </w:p>
    <w:p w14:paraId="2A3E59E7" w14:textId="77777777" w:rsidR="00860BA7" w:rsidRDefault="00860BA7" w:rsidP="00860BA7">
      <w:pPr>
        <w:pStyle w:val="ListParagraph"/>
        <w:spacing w:line="480" w:lineRule="auto"/>
        <w:ind w:left="0"/>
        <w:rPr>
          <w:b/>
          <w:bCs/>
        </w:rPr>
      </w:pPr>
      <w:r w:rsidRPr="005D3D4B">
        <w:rPr>
          <w:b/>
          <w:bCs/>
          <w:noProof/>
        </w:rPr>
        <w:lastRenderedPageBreak/>
        <w:drawing>
          <wp:inline distT="0" distB="0" distL="0" distR="0" wp14:anchorId="053FB6D5" wp14:editId="7855C70B">
            <wp:extent cx="5731510" cy="3373755"/>
            <wp:effectExtent l="0" t="0" r="0" b="0"/>
            <wp:docPr id="13" name="Picture 13" descr="A group of brain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brain scan&#10;&#10;Description automatically generated"/>
                    <pic:cNvPicPr/>
                  </pic:nvPicPr>
                  <pic:blipFill>
                    <a:blip r:embed="rId11"/>
                    <a:stretch>
                      <a:fillRect/>
                    </a:stretch>
                  </pic:blipFill>
                  <pic:spPr>
                    <a:xfrm>
                      <a:off x="0" y="0"/>
                      <a:ext cx="5731510" cy="3373755"/>
                    </a:xfrm>
                    <a:prstGeom prst="rect">
                      <a:avLst/>
                    </a:prstGeom>
                  </pic:spPr>
                </pic:pic>
              </a:graphicData>
            </a:graphic>
          </wp:inline>
        </w:drawing>
      </w:r>
    </w:p>
    <w:p w14:paraId="350BC9E9" w14:textId="6C7D37C4" w:rsidR="00860BA7" w:rsidRPr="00FA48F6" w:rsidRDefault="00860BA7" w:rsidP="00860BA7">
      <w:pPr>
        <w:pStyle w:val="ListParagraph"/>
        <w:spacing w:before="240" w:line="480" w:lineRule="auto"/>
        <w:ind w:left="0"/>
        <w:rPr>
          <w:rFonts w:cstheme="minorHAnsi"/>
        </w:rPr>
      </w:pPr>
      <w:r>
        <w:rPr>
          <w:b/>
          <w:bCs/>
        </w:rPr>
        <w:t xml:space="preserve">Figure </w:t>
      </w:r>
      <w:r w:rsidR="00FA421E">
        <w:rPr>
          <w:b/>
          <w:bCs/>
        </w:rPr>
        <w:t>S</w:t>
      </w:r>
      <w:r>
        <w:rPr>
          <w:b/>
          <w:bCs/>
        </w:rPr>
        <w:t xml:space="preserve">4. Reward prediction error (RPE). </w:t>
      </w:r>
      <w:r>
        <w:rPr>
          <w:rFonts w:cstheme="minorHAnsi"/>
        </w:rPr>
        <w:t xml:space="preserve">While the outcome phase was not the primary focus of the fMRI analysis, we found RPE-related haemodynamic responses to be greater in the right putamen </w:t>
      </w:r>
      <w:r w:rsidRPr="00990A85">
        <w:rPr>
          <w:rFonts w:cstheme="minorHAnsi"/>
        </w:rPr>
        <w:t>(peak Z score =</w:t>
      </w:r>
      <w:r>
        <w:rPr>
          <w:rFonts w:cstheme="minorHAnsi"/>
        </w:rPr>
        <w:t xml:space="preserve"> 3.84</w:t>
      </w:r>
      <w:r w:rsidRPr="00990A85">
        <w:rPr>
          <w:rFonts w:cstheme="minorHAnsi"/>
        </w:rPr>
        <w:t xml:space="preserve">; MNI space coordinates = </w:t>
      </w:r>
      <w:r>
        <w:rPr>
          <w:rFonts w:cstheme="minorHAnsi"/>
        </w:rPr>
        <w:t>28</w:t>
      </w:r>
      <w:r w:rsidRPr="00990A85">
        <w:rPr>
          <w:rFonts w:cstheme="minorHAnsi"/>
        </w:rPr>
        <w:t xml:space="preserve">, </w:t>
      </w:r>
      <w:r>
        <w:rPr>
          <w:rFonts w:cstheme="minorHAnsi"/>
        </w:rPr>
        <w:t>2</w:t>
      </w:r>
      <w:r w:rsidRPr="00990A85">
        <w:rPr>
          <w:rFonts w:cstheme="minorHAnsi"/>
        </w:rPr>
        <w:t xml:space="preserve">, </w:t>
      </w:r>
      <w:r>
        <w:rPr>
          <w:rFonts w:cstheme="minorHAnsi"/>
        </w:rPr>
        <w:t>12</w:t>
      </w:r>
      <w:r w:rsidRPr="00990A85">
        <w:rPr>
          <w:rFonts w:cstheme="minorHAnsi"/>
        </w:rPr>
        <w:t>; p &lt; .05 FWE)</w:t>
      </w:r>
      <w:r>
        <w:rPr>
          <w:rFonts w:cstheme="minorHAnsi"/>
        </w:rPr>
        <w:t xml:space="preserve"> </w:t>
      </w:r>
      <w:r>
        <w:t xml:space="preserve">and right </w:t>
      </w:r>
      <w:proofErr w:type="spellStart"/>
      <w:r>
        <w:t>intracalcarine</w:t>
      </w:r>
      <w:proofErr w:type="spellEnd"/>
      <w:r>
        <w:t xml:space="preserve"> cortex (</w:t>
      </w:r>
      <w:r w:rsidRPr="00990A85">
        <w:rPr>
          <w:rFonts w:cstheme="minorHAnsi"/>
        </w:rPr>
        <w:t>peak Z score =</w:t>
      </w:r>
      <w:r>
        <w:rPr>
          <w:rFonts w:cstheme="minorHAnsi"/>
        </w:rPr>
        <w:t xml:space="preserve"> 3.38</w:t>
      </w:r>
      <w:r w:rsidRPr="00990A85">
        <w:rPr>
          <w:rFonts w:cstheme="minorHAnsi"/>
        </w:rPr>
        <w:t xml:space="preserve">; MNI space coordinates = </w:t>
      </w:r>
      <w:r>
        <w:rPr>
          <w:rFonts w:cstheme="minorHAnsi"/>
        </w:rPr>
        <w:t>16</w:t>
      </w:r>
      <w:r w:rsidRPr="00990A85">
        <w:rPr>
          <w:rFonts w:cstheme="minorHAnsi"/>
        </w:rPr>
        <w:t xml:space="preserve">, </w:t>
      </w:r>
      <w:r>
        <w:rPr>
          <w:rFonts w:cstheme="minorHAnsi"/>
        </w:rPr>
        <w:t>-74</w:t>
      </w:r>
      <w:r w:rsidRPr="00990A85">
        <w:rPr>
          <w:rFonts w:cstheme="minorHAnsi"/>
        </w:rPr>
        <w:t xml:space="preserve">, </w:t>
      </w:r>
      <w:r>
        <w:rPr>
          <w:rFonts w:cstheme="minorHAnsi"/>
        </w:rPr>
        <w:t>12</w:t>
      </w:r>
      <w:r>
        <w:t>)</w:t>
      </w:r>
      <w:r w:rsidRPr="00E65494">
        <w:t xml:space="preserve">. </w:t>
      </w:r>
      <w:r>
        <w:rPr>
          <w:rFonts w:cstheme="minorHAnsi"/>
        </w:rPr>
        <w:t xml:space="preserve">for the responders compared to the </w:t>
      </w:r>
      <w:proofErr w:type="spellStart"/>
      <w:r>
        <w:rPr>
          <w:rFonts w:cstheme="minorHAnsi"/>
        </w:rPr>
        <w:t>nonresponders</w:t>
      </w:r>
      <w:proofErr w:type="spellEnd"/>
      <w:r>
        <w:rPr>
          <w:rFonts w:cstheme="minorHAnsi"/>
        </w:rPr>
        <w:t xml:space="preserve"> group, thus confirming previously reported results </w:t>
      </w:r>
      <w:r>
        <w:rPr>
          <w:rFonts w:cstheme="minorHAnsi"/>
        </w:rPr>
        <w:fldChar w:fldCharType="begin">
          <w:fldData xml:space="preserve">PEVuZE5vdGU+PENpdGU+PEF1dGhvcj5RdWVpcmF6emE8L0F1dGhvcj48WWVhcj4yMDE5PC9ZZWFy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</w:fldData>
        </w:fldChar>
      </w:r>
      <w:r w:rsidR="005A6F6E">
        <w:rPr>
          <w:rFonts w:cstheme="minorHAnsi"/>
        </w:rPr>
        <w:instrText xml:space="preserve"> ADDIN EN.CITE </w:instrText>
      </w:r>
      <w:r w:rsidR="005A6F6E">
        <w:rPr>
          <w:rFonts w:cstheme="minorHAnsi"/>
        </w:rPr>
        <w:fldChar w:fldCharType="begin">
          <w:fldData xml:space="preserve">PEVuZE5vdGU+PENpdGU+PEF1dGhvcj5RdWVpcmF6emE8L0F1dGhvcj48WWVhcj4yMDE5PC9ZZWFy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</w:fldData>
        </w:fldChar>
      </w:r>
      <w:r w:rsidR="005A6F6E">
        <w:rPr>
          <w:rFonts w:cstheme="minorHAnsi"/>
        </w:rPr>
        <w:instrText xml:space="preserve"> ADDIN EN.CITE.DATA </w:instrText>
      </w:r>
      <w:r w:rsidR="005A6F6E">
        <w:rPr>
          <w:rFonts w:cstheme="minorHAnsi"/>
        </w:rPr>
      </w:r>
      <w:r w:rsidR="005A6F6E">
        <w:rPr>
          <w:rFonts w:cstheme="minorHAnsi"/>
        </w:rPr>
        <w:fldChar w:fldCharType="end"/>
      </w:r>
      <w:r>
        <w:rPr>
          <w:rFonts w:cstheme="minorHAnsi"/>
        </w:rPr>
      </w:r>
      <w:r>
        <w:rPr>
          <w:rFonts w:cstheme="minorHAnsi"/>
        </w:rPr>
        <w:fldChar w:fldCharType="separate"/>
      </w:r>
      <w:r w:rsidR="005A6F6E">
        <w:rPr>
          <w:rFonts w:cstheme="minorHAnsi"/>
          <w:noProof/>
        </w:rPr>
        <w:t>(Queirazza et al., 2019)</w:t>
      </w:r>
      <w:r>
        <w:rPr>
          <w:rFonts w:cstheme="minorHAnsi"/>
        </w:rPr>
        <w:fldChar w:fldCharType="end"/>
      </w:r>
      <w:r>
        <w:rPr>
          <w:rFonts w:cstheme="minorHAnsi"/>
        </w:rPr>
        <w:t>, albeit obtained with a different computational model.</w:t>
      </w:r>
    </w:p>
    <w:p w14:paraId="204DC511" w14:textId="77777777" w:rsidR="00860BA7" w:rsidRDefault="00860BA7" w:rsidP="00860BA7">
      <w:r>
        <w:br w:type="page"/>
      </w:r>
    </w:p>
    <w:p w14:paraId="628DD359" w14:textId="77777777" w:rsidR="00860BA7" w:rsidRDefault="00860BA7" w:rsidP="00860BA7">
      <w:pPr>
        <w:pStyle w:val="ListParagraph"/>
        <w:spacing w:line="480" w:lineRule="auto"/>
        <w:ind w:left="0"/>
        <w:rPr>
          <w:b/>
          <w:bCs/>
        </w:rPr>
      </w:pPr>
    </w:p>
    <w:tbl>
      <w:tblPr>
        <w:tblStyle w:val="TableGrid"/>
        <w:tblW w:w="0" w:type="auto"/>
        <w:tblLook w:val="04A0" w:firstRow="1" w:lastRow="0" w:firstColumn="1" w:lastColumn="0" w:noHBand="0" w:noVBand="1"/>
      </w:tblPr>
      <w:tblGrid>
        <w:gridCol w:w="4508"/>
        <w:gridCol w:w="4508"/>
      </w:tblGrid>
      <w:tr w:rsidR="00860BA7" w14:paraId="52550E3C" w14:textId="77777777" w:rsidTr="00040B8C">
        <w:tc>
          <w:tcPr>
            <w:tcW w:w="4508" w:type="dxa"/>
          </w:tcPr>
          <w:p w14:paraId="75F1E3AE" w14:textId="10AC0CC4" w:rsidR="00860BA7" w:rsidRDefault="009C2A5D" w:rsidP="00040B8C">
            <w:pPr>
              <w:pStyle w:val="ListParagraph"/>
              <w:spacing w:line="480" w:lineRule="auto"/>
              <w:ind w:left="0"/>
              <w:jc w:val="center"/>
              <w:rPr>
                <w:b/>
                <w:bCs/>
              </w:rPr>
            </w:pPr>
            <w:r>
              <w:rPr>
                <w:b/>
                <w:bCs/>
              </w:rPr>
              <w:t xml:space="preserve">EA </w:t>
            </w:r>
            <w:r w:rsidR="00860BA7">
              <w:rPr>
                <w:b/>
                <w:bCs/>
              </w:rPr>
              <w:t>Conjunction Cluster</w:t>
            </w:r>
          </w:p>
        </w:tc>
        <w:tc>
          <w:tcPr>
            <w:tcW w:w="4508" w:type="dxa"/>
          </w:tcPr>
          <w:p w14:paraId="5BB88F0F" w14:textId="77777777" w:rsidR="00860BA7" w:rsidRDefault="00860BA7" w:rsidP="00040B8C">
            <w:pPr>
              <w:pStyle w:val="ListParagraph"/>
              <w:spacing w:line="480" w:lineRule="auto"/>
              <w:ind w:left="0"/>
              <w:jc w:val="center"/>
              <w:rPr>
                <w:b/>
                <w:bCs/>
              </w:rPr>
            </w:pPr>
            <w:r>
              <w:rPr>
                <w:b/>
                <w:bCs/>
              </w:rPr>
              <w:t>Number of Voxels</w:t>
            </w:r>
          </w:p>
        </w:tc>
      </w:tr>
      <w:tr w:rsidR="00860BA7" w14:paraId="522E6E51" w14:textId="77777777" w:rsidTr="00040B8C">
        <w:tc>
          <w:tcPr>
            <w:tcW w:w="4508" w:type="dxa"/>
          </w:tcPr>
          <w:p w14:paraId="24100132" w14:textId="77777777" w:rsidR="00860BA7" w:rsidRPr="000F6F63" w:rsidRDefault="00860BA7" w:rsidP="00040B8C">
            <w:pPr>
              <w:pStyle w:val="ListParagraph"/>
              <w:spacing w:line="480" w:lineRule="auto"/>
              <w:ind w:left="0"/>
              <w:jc w:val="center"/>
            </w:pPr>
            <w:r w:rsidRPr="000F6F63">
              <w:t>Left Superior Parietal Lobule</w:t>
            </w:r>
          </w:p>
        </w:tc>
        <w:tc>
          <w:tcPr>
            <w:tcW w:w="4508" w:type="dxa"/>
          </w:tcPr>
          <w:p w14:paraId="150A9623" w14:textId="77777777" w:rsidR="00860BA7" w:rsidRPr="000F6F63" w:rsidRDefault="00860BA7" w:rsidP="00040B8C">
            <w:pPr>
              <w:pStyle w:val="ListParagraph"/>
              <w:spacing w:line="480" w:lineRule="auto"/>
              <w:ind w:left="0"/>
              <w:jc w:val="center"/>
            </w:pPr>
            <w:r w:rsidRPr="000F6F63">
              <w:t>116</w:t>
            </w:r>
          </w:p>
        </w:tc>
      </w:tr>
      <w:tr w:rsidR="00860BA7" w14:paraId="2AAADF7D" w14:textId="77777777" w:rsidTr="00040B8C">
        <w:tc>
          <w:tcPr>
            <w:tcW w:w="4508" w:type="dxa"/>
          </w:tcPr>
          <w:p w14:paraId="5A4AFCB4" w14:textId="77777777" w:rsidR="00860BA7" w:rsidRPr="000F6F63" w:rsidRDefault="00860BA7" w:rsidP="00040B8C">
            <w:pPr>
              <w:pStyle w:val="ListParagraph"/>
              <w:spacing w:line="480" w:lineRule="auto"/>
              <w:ind w:left="0"/>
              <w:jc w:val="center"/>
            </w:pPr>
            <w:r w:rsidRPr="000F6F63">
              <w:t>Left Superior Frontal Sulcus</w:t>
            </w:r>
          </w:p>
        </w:tc>
        <w:tc>
          <w:tcPr>
            <w:tcW w:w="4508" w:type="dxa"/>
          </w:tcPr>
          <w:p w14:paraId="09CD7915" w14:textId="77777777" w:rsidR="00860BA7" w:rsidRPr="000F6F63" w:rsidRDefault="00860BA7" w:rsidP="00040B8C">
            <w:pPr>
              <w:pStyle w:val="ListParagraph"/>
              <w:spacing w:line="480" w:lineRule="auto"/>
              <w:ind w:left="0"/>
              <w:jc w:val="center"/>
            </w:pPr>
            <w:r w:rsidRPr="000F6F63">
              <w:t>77</w:t>
            </w:r>
          </w:p>
        </w:tc>
      </w:tr>
      <w:tr w:rsidR="00860BA7" w14:paraId="3DF2093F" w14:textId="77777777" w:rsidTr="00040B8C">
        <w:tc>
          <w:tcPr>
            <w:tcW w:w="4508" w:type="dxa"/>
          </w:tcPr>
          <w:p w14:paraId="784C9579" w14:textId="77777777" w:rsidR="00860BA7" w:rsidRPr="000F6F63" w:rsidRDefault="00860BA7" w:rsidP="00040B8C">
            <w:pPr>
              <w:pStyle w:val="ListParagraph"/>
              <w:spacing w:line="480" w:lineRule="auto"/>
              <w:ind w:left="0"/>
              <w:jc w:val="center"/>
            </w:pPr>
            <w:r>
              <w:t>Left Cerebellum</w:t>
            </w:r>
          </w:p>
        </w:tc>
        <w:tc>
          <w:tcPr>
            <w:tcW w:w="4508" w:type="dxa"/>
          </w:tcPr>
          <w:p w14:paraId="2D0F45B5" w14:textId="77777777" w:rsidR="00860BA7" w:rsidRPr="000F6F63" w:rsidRDefault="00860BA7" w:rsidP="00040B8C">
            <w:pPr>
              <w:pStyle w:val="ListParagraph"/>
              <w:spacing w:line="480" w:lineRule="auto"/>
              <w:ind w:left="0"/>
              <w:jc w:val="center"/>
            </w:pPr>
            <w:r w:rsidRPr="000F6F63">
              <w:t>44</w:t>
            </w:r>
          </w:p>
        </w:tc>
      </w:tr>
      <w:tr w:rsidR="00860BA7" w14:paraId="44188CEB" w14:textId="77777777" w:rsidTr="00040B8C">
        <w:tc>
          <w:tcPr>
            <w:tcW w:w="4508" w:type="dxa"/>
          </w:tcPr>
          <w:p w14:paraId="09597D39" w14:textId="77777777" w:rsidR="00860BA7" w:rsidRPr="000F6F63" w:rsidRDefault="00860BA7" w:rsidP="00040B8C">
            <w:pPr>
              <w:pStyle w:val="ListParagraph"/>
              <w:spacing w:line="480" w:lineRule="auto"/>
              <w:ind w:left="0"/>
              <w:jc w:val="center"/>
            </w:pPr>
            <w:r>
              <w:t>Right Lateral Occipital Cortex</w:t>
            </w:r>
          </w:p>
        </w:tc>
        <w:tc>
          <w:tcPr>
            <w:tcW w:w="4508" w:type="dxa"/>
          </w:tcPr>
          <w:p w14:paraId="4925A42F" w14:textId="77777777" w:rsidR="00860BA7" w:rsidRPr="000F6F63" w:rsidRDefault="00860BA7" w:rsidP="00040B8C">
            <w:pPr>
              <w:pStyle w:val="ListParagraph"/>
              <w:spacing w:line="480" w:lineRule="auto"/>
              <w:ind w:left="0"/>
              <w:jc w:val="center"/>
            </w:pPr>
            <w:r w:rsidRPr="000F6F63">
              <w:t>43</w:t>
            </w:r>
          </w:p>
        </w:tc>
      </w:tr>
      <w:tr w:rsidR="00860BA7" w14:paraId="5A940E4F" w14:textId="77777777" w:rsidTr="00040B8C">
        <w:tc>
          <w:tcPr>
            <w:tcW w:w="4508" w:type="dxa"/>
          </w:tcPr>
          <w:p w14:paraId="7CE2F825" w14:textId="77777777" w:rsidR="00860BA7" w:rsidRPr="000F6F63" w:rsidRDefault="00860BA7" w:rsidP="00040B8C">
            <w:pPr>
              <w:pStyle w:val="ListParagraph"/>
              <w:spacing w:line="480" w:lineRule="auto"/>
              <w:ind w:left="0"/>
              <w:jc w:val="center"/>
            </w:pPr>
            <w:r>
              <w:t>Right Middle Frontal Gyrus</w:t>
            </w:r>
          </w:p>
        </w:tc>
        <w:tc>
          <w:tcPr>
            <w:tcW w:w="4508" w:type="dxa"/>
          </w:tcPr>
          <w:p w14:paraId="2A56AF69" w14:textId="77777777" w:rsidR="00860BA7" w:rsidRPr="000F6F63" w:rsidRDefault="00860BA7" w:rsidP="00040B8C">
            <w:pPr>
              <w:pStyle w:val="ListParagraph"/>
              <w:spacing w:line="480" w:lineRule="auto"/>
              <w:ind w:left="0"/>
              <w:jc w:val="center"/>
            </w:pPr>
            <w:r w:rsidRPr="000F6F63">
              <w:t>39</w:t>
            </w:r>
          </w:p>
        </w:tc>
      </w:tr>
      <w:tr w:rsidR="00860BA7" w14:paraId="5CAB6069" w14:textId="77777777" w:rsidTr="00040B8C">
        <w:tc>
          <w:tcPr>
            <w:tcW w:w="4508" w:type="dxa"/>
          </w:tcPr>
          <w:p w14:paraId="7CF5CB41" w14:textId="77777777" w:rsidR="00860BA7" w:rsidRPr="000F6F63" w:rsidRDefault="00860BA7" w:rsidP="00040B8C">
            <w:pPr>
              <w:pStyle w:val="ListParagraph"/>
              <w:spacing w:line="480" w:lineRule="auto"/>
              <w:ind w:left="0"/>
              <w:jc w:val="center"/>
            </w:pPr>
            <w:r>
              <w:t>Right Precentral Gyrus</w:t>
            </w:r>
          </w:p>
        </w:tc>
        <w:tc>
          <w:tcPr>
            <w:tcW w:w="4508" w:type="dxa"/>
          </w:tcPr>
          <w:p w14:paraId="7C8385A7" w14:textId="77777777" w:rsidR="00860BA7" w:rsidRPr="000F6F63" w:rsidRDefault="00860BA7" w:rsidP="00040B8C">
            <w:pPr>
              <w:pStyle w:val="ListParagraph"/>
              <w:spacing w:line="480" w:lineRule="auto"/>
              <w:ind w:left="0"/>
              <w:jc w:val="center"/>
            </w:pPr>
            <w:r w:rsidRPr="000F6F63">
              <w:t>37</w:t>
            </w:r>
          </w:p>
        </w:tc>
      </w:tr>
      <w:tr w:rsidR="00860BA7" w14:paraId="493B4BF6" w14:textId="77777777" w:rsidTr="00040B8C">
        <w:tc>
          <w:tcPr>
            <w:tcW w:w="4508" w:type="dxa"/>
          </w:tcPr>
          <w:p w14:paraId="359E8904" w14:textId="77777777" w:rsidR="00860BA7" w:rsidRPr="000F6F63" w:rsidRDefault="00860BA7" w:rsidP="00040B8C">
            <w:pPr>
              <w:pStyle w:val="ListParagraph"/>
              <w:spacing w:line="480" w:lineRule="auto"/>
              <w:ind w:left="0"/>
              <w:jc w:val="center"/>
            </w:pPr>
            <w:r>
              <w:t>Left Frontal Pole</w:t>
            </w:r>
          </w:p>
        </w:tc>
        <w:tc>
          <w:tcPr>
            <w:tcW w:w="4508" w:type="dxa"/>
          </w:tcPr>
          <w:p w14:paraId="1DFB355F" w14:textId="77777777" w:rsidR="00860BA7" w:rsidRPr="000F6F63" w:rsidRDefault="00860BA7" w:rsidP="00040B8C">
            <w:pPr>
              <w:pStyle w:val="ListParagraph"/>
              <w:spacing w:line="480" w:lineRule="auto"/>
              <w:ind w:left="0"/>
              <w:jc w:val="center"/>
            </w:pPr>
            <w:r w:rsidRPr="000F6F63">
              <w:t>36</w:t>
            </w:r>
          </w:p>
        </w:tc>
      </w:tr>
      <w:tr w:rsidR="00860BA7" w14:paraId="6272A18A" w14:textId="77777777" w:rsidTr="00040B8C">
        <w:tc>
          <w:tcPr>
            <w:tcW w:w="4508" w:type="dxa"/>
          </w:tcPr>
          <w:p w14:paraId="02DDFD07" w14:textId="77777777" w:rsidR="00860BA7" w:rsidRPr="000F6F63" w:rsidRDefault="00860BA7" w:rsidP="00040B8C">
            <w:pPr>
              <w:pStyle w:val="ListParagraph"/>
              <w:spacing w:line="480" w:lineRule="auto"/>
              <w:ind w:left="0"/>
              <w:jc w:val="center"/>
            </w:pPr>
            <w:r>
              <w:t>Left Lateral Occipital Cortex</w:t>
            </w:r>
          </w:p>
        </w:tc>
        <w:tc>
          <w:tcPr>
            <w:tcW w:w="4508" w:type="dxa"/>
          </w:tcPr>
          <w:p w14:paraId="1940B529" w14:textId="77777777" w:rsidR="00860BA7" w:rsidRPr="000F6F63" w:rsidRDefault="00860BA7" w:rsidP="00040B8C">
            <w:pPr>
              <w:pStyle w:val="ListParagraph"/>
              <w:spacing w:line="480" w:lineRule="auto"/>
              <w:ind w:left="0"/>
              <w:jc w:val="center"/>
            </w:pPr>
            <w:r w:rsidRPr="000F6F63">
              <w:t>19</w:t>
            </w:r>
          </w:p>
        </w:tc>
      </w:tr>
      <w:tr w:rsidR="00860BA7" w14:paraId="4D7894FE" w14:textId="77777777" w:rsidTr="00040B8C">
        <w:tc>
          <w:tcPr>
            <w:tcW w:w="4508" w:type="dxa"/>
          </w:tcPr>
          <w:p w14:paraId="62AC0C17" w14:textId="77777777" w:rsidR="00860BA7" w:rsidRPr="000F6F63" w:rsidRDefault="00860BA7" w:rsidP="00040B8C">
            <w:pPr>
              <w:pStyle w:val="ListParagraph"/>
              <w:spacing w:line="480" w:lineRule="auto"/>
              <w:ind w:left="0"/>
              <w:jc w:val="center"/>
            </w:pPr>
            <w:r>
              <w:t xml:space="preserve">Right </w:t>
            </w:r>
            <w:proofErr w:type="spellStart"/>
            <w:r>
              <w:t>Precuneus</w:t>
            </w:r>
            <w:proofErr w:type="spellEnd"/>
            <w:r>
              <w:t xml:space="preserve"> Cortex</w:t>
            </w:r>
          </w:p>
        </w:tc>
        <w:tc>
          <w:tcPr>
            <w:tcW w:w="4508" w:type="dxa"/>
          </w:tcPr>
          <w:p w14:paraId="7D58A9D7" w14:textId="77777777" w:rsidR="00860BA7" w:rsidRPr="000F6F63" w:rsidRDefault="00860BA7" w:rsidP="00040B8C">
            <w:pPr>
              <w:pStyle w:val="ListParagraph"/>
              <w:spacing w:line="480" w:lineRule="auto"/>
              <w:ind w:left="0"/>
              <w:jc w:val="center"/>
            </w:pPr>
            <w:r w:rsidRPr="000F6F63">
              <w:t>15</w:t>
            </w:r>
          </w:p>
        </w:tc>
      </w:tr>
      <w:tr w:rsidR="00860BA7" w14:paraId="02743FA4" w14:textId="77777777" w:rsidTr="00040B8C">
        <w:tc>
          <w:tcPr>
            <w:tcW w:w="4508" w:type="dxa"/>
          </w:tcPr>
          <w:p w14:paraId="25F89FBA" w14:textId="77777777" w:rsidR="00860BA7" w:rsidRPr="000F6F63" w:rsidRDefault="00860BA7" w:rsidP="00040B8C">
            <w:pPr>
              <w:pStyle w:val="ListParagraph"/>
              <w:spacing w:line="480" w:lineRule="auto"/>
              <w:ind w:left="0"/>
              <w:jc w:val="center"/>
            </w:pPr>
            <w:r>
              <w:t>Right Angular Gyrus</w:t>
            </w:r>
          </w:p>
        </w:tc>
        <w:tc>
          <w:tcPr>
            <w:tcW w:w="4508" w:type="dxa"/>
          </w:tcPr>
          <w:p w14:paraId="4E147909" w14:textId="77777777" w:rsidR="00860BA7" w:rsidRPr="000F6F63" w:rsidRDefault="00860BA7" w:rsidP="00040B8C">
            <w:pPr>
              <w:pStyle w:val="ListParagraph"/>
              <w:spacing w:line="480" w:lineRule="auto"/>
              <w:ind w:left="0"/>
              <w:jc w:val="center"/>
            </w:pPr>
            <w:r w:rsidRPr="000F6F63">
              <w:t>12</w:t>
            </w:r>
          </w:p>
        </w:tc>
      </w:tr>
    </w:tbl>
    <w:p w14:paraId="40BA233C" w14:textId="41C875DC" w:rsidR="00860BA7" w:rsidRPr="00E07E2C" w:rsidRDefault="00860BA7" w:rsidP="00860BA7">
      <w:pPr>
        <w:pStyle w:val="ListParagraph"/>
        <w:spacing w:before="240" w:line="480" w:lineRule="auto"/>
        <w:ind w:left="0"/>
      </w:pPr>
      <w:r>
        <w:rPr>
          <w:b/>
          <w:bCs/>
        </w:rPr>
        <w:t xml:space="preserve">Table </w:t>
      </w:r>
      <w:r w:rsidR="00FA421E">
        <w:rPr>
          <w:b/>
          <w:bCs/>
        </w:rPr>
        <w:t>S</w:t>
      </w:r>
      <w:r>
        <w:rPr>
          <w:b/>
          <w:bCs/>
        </w:rPr>
        <w:t>1</w:t>
      </w:r>
      <w:r w:rsidR="009C2A5D">
        <w:rPr>
          <w:b/>
          <w:bCs/>
        </w:rPr>
        <w:t>. EA conjunction clusters</w:t>
      </w:r>
      <w:r>
        <w:rPr>
          <w:b/>
          <w:bCs/>
        </w:rPr>
        <w:t xml:space="preserve">. </w:t>
      </w:r>
      <w:r>
        <w:t xml:space="preserve">Clusters </w:t>
      </w:r>
      <w:r w:rsidR="009C2A5D">
        <w:t xml:space="preserve">were </w:t>
      </w:r>
      <w:r>
        <w:t xml:space="preserve">obtained from the conjunction overlay of mean and differential (R&lt;NR) statistical </w:t>
      </w:r>
      <w:r w:rsidR="00883EF0">
        <w:t>z-</w:t>
      </w:r>
      <w:r>
        <w:t xml:space="preserve">maps </w:t>
      </w:r>
      <w:r w:rsidR="00883EF0">
        <w:t>(</w:t>
      </w:r>
      <w:proofErr w:type="spellStart"/>
      <w:r w:rsidR="00883EF0">
        <w:t>thresholded</w:t>
      </w:r>
      <w:proofErr w:type="spellEnd"/>
      <w:r w:rsidR="00883EF0">
        <w:t xml:space="preserve"> at Z = 2.3) </w:t>
      </w:r>
      <w:r>
        <w:t>denoting evidence accumulation</w:t>
      </w:r>
      <w:r w:rsidR="009C2A5D">
        <w:t xml:space="preserve"> (EA)</w:t>
      </w:r>
      <w:r>
        <w:t>. Only clusters with &gt; 10 voxels are shown.</w:t>
      </w:r>
    </w:p>
    <w:p w14:paraId="4C61E1C9" w14:textId="33693E71" w:rsidR="003078AC" w:rsidRDefault="003078AC">
      <w:pPr>
        <w:rPr>
          <w:b/>
          <w:bCs/>
        </w:rPr>
      </w:pPr>
      <w:r>
        <w:rPr>
          <w:b/>
          <w:bCs/>
        </w:rPr>
        <w:br w:type="page"/>
      </w:r>
    </w:p>
    <w:p w14:paraId="748DD63B" w14:textId="1204C5A9" w:rsidR="003078AC" w:rsidRDefault="003078AC">
      <w:pPr>
        <w:rPr>
          <w:b/>
          <w:bCs/>
        </w:rPr>
      </w:pPr>
      <w:r>
        <w:rPr>
          <w:b/>
          <w:bCs/>
        </w:rPr>
        <w:lastRenderedPageBreak/>
        <w:t>References</w:t>
      </w:r>
    </w:p>
    <w:p w14:paraId="697DBCFD" w14:textId="77777777" w:rsidR="00F23532" w:rsidRPr="00F23532" w:rsidRDefault="003078AC" w:rsidP="00F23532">
      <w:pPr>
        <w:pStyle w:val="EndNoteBibliography"/>
        <w:ind w:left="720" w:hanging="720"/>
        <w:rPr>
          <w:noProof/>
        </w:rPr>
      </w:pPr>
      <w:r>
        <w:rPr>
          <w:b/>
          <w:bCs/>
        </w:rPr>
        <w:fldChar w:fldCharType="begin"/>
      </w:r>
      <w:r>
        <w:rPr>
          <w:b/>
          <w:bCs/>
        </w:rPr>
        <w:instrText xml:space="preserve"> ADDIN EN.REFLIST </w:instrText>
      </w:r>
      <w:r>
        <w:rPr>
          <w:b/>
          <w:bCs/>
        </w:rPr>
        <w:fldChar w:fldCharType="separate"/>
      </w:r>
      <w:r w:rsidR="00F23532" w:rsidRPr="00F23532">
        <w:rPr>
          <w:noProof/>
        </w:rPr>
        <w:t>Fan R-E, Chang K-W, Hsieh C-J, Wang X-R, Lin C-J (2008) LIBLINEAR: A Library for Large Linear Classification. J Mach Learn Res 9:1871–1874.</w:t>
      </w:r>
    </w:p>
    <w:p w14:paraId="7E77CA04" w14:textId="77777777" w:rsidR="00F23532" w:rsidRPr="00F23532" w:rsidRDefault="00F23532" w:rsidP="00F23532">
      <w:pPr>
        <w:pStyle w:val="EndNoteBibliography"/>
        <w:ind w:left="720" w:hanging="720"/>
        <w:rPr>
          <w:noProof/>
        </w:rPr>
      </w:pPr>
      <w:r w:rsidRPr="00F23532">
        <w:rPr>
          <w:noProof/>
        </w:rPr>
        <w:t>Queirazza F, Fouragnan E, Steele JD, Cavanagh J, Philiastides MG (2019) Neural correlates of weighted reward prediction error during reinforcement learning classify response to cognitive behavioral therapy in depression. Sci Adv 5:eaav4962.</w:t>
      </w:r>
    </w:p>
    <w:p w14:paraId="0CF29756" w14:textId="77777777" w:rsidR="00F23532" w:rsidRPr="00F23532" w:rsidRDefault="00F23532" w:rsidP="00F23532">
      <w:pPr>
        <w:pStyle w:val="EndNoteBibliography"/>
        <w:ind w:left="720" w:hanging="720"/>
        <w:rPr>
          <w:noProof/>
        </w:rPr>
      </w:pPr>
      <w:r w:rsidRPr="00F23532">
        <w:rPr>
          <w:noProof/>
        </w:rPr>
        <w:t>Weiskopf N, Hutton C, Josephs O, Deichmann R (2006) Optimal EPI parameters for reduction of susceptibility-induced BOLD sensitivity losses: a whole-brain analysis at 3 T and 1.5 T. Neuroimage 33:493-504.</w:t>
      </w:r>
    </w:p>
    <w:p w14:paraId="5D75B50E" w14:textId="63F6C50E" w:rsidR="003D3C2D" w:rsidRPr="00860BA7" w:rsidRDefault="003078AC">
      <w:pPr>
        <w:rPr>
          <w:b/>
          <w:bCs/>
        </w:rPr>
      </w:pPr>
      <w:r>
        <w:rPr>
          <w:b/>
          <w:bCs/>
        </w:rPr>
        <w:fldChar w:fldCharType="end"/>
      </w:r>
    </w:p>
    <w:sectPr w:rsidR="003D3C2D" w:rsidRPr="00860BA7" w:rsidSect="00F23CA9">
      <w:footerReference w:type="even" r:id="rId12"/>
      <w:footerReference w:type="default" r:id="rId13"/>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FF32B" w14:textId="77777777" w:rsidR="00230FCA" w:rsidRDefault="00230FCA">
      <w:r>
        <w:separator/>
      </w:r>
    </w:p>
  </w:endnote>
  <w:endnote w:type="continuationSeparator" w:id="0">
    <w:p w14:paraId="01916301" w14:textId="77777777" w:rsidR="00230FCA" w:rsidRDefault="0023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4184716"/>
      <w:docPartObj>
        <w:docPartGallery w:val="Page Numbers (Bottom of Page)"/>
        <w:docPartUnique/>
      </w:docPartObj>
    </w:sdtPr>
    <w:sdtContent>
      <w:p w14:paraId="0DC1DDA5" w14:textId="77777777" w:rsidR="0077376A" w:rsidRDefault="00000000" w:rsidP="00BB62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60C51A" w14:textId="77777777" w:rsidR="0077376A" w:rsidRDefault="0077376A" w:rsidP="00F23C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5709015"/>
      <w:docPartObj>
        <w:docPartGallery w:val="Page Numbers (Bottom of Page)"/>
        <w:docPartUnique/>
      </w:docPartObj>
    </w:sdtPr>
    <w:sdtContent>
      <w:p w14:paraId="502ED874" w14:textId="77777777" w:rsidR="0077376A" w:rsidRDefault="00000000" w:rsidP="00BB62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32CB6F" w14:textId="77777777" w:rsidR="0077376A" w:rsidRDefault="0077376A" w:rsidP="00F23C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A4938" w14:textId="77777777" w:rsidR="00230FCA" w:rsidRDefault="00230FCA">
      <w:r>
        <w:separator/>
      </w:r>
    </w:p>
  </w:footnote>
  <w:footnote w:type="continuationSeparator" w:id="0">
    <w:p w14:paraId="01F48756" w14:textId="77777777" w:rsidR="00230FCA" w:rsidRDefault="00230F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 Neuroscienc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dvzddesr0s909e9tt2xftfwfvtp00v9zrw0&quot;&gt;CBTddm&lt;record-ids&gt;&lt;item&gt;15&lt;/item&gt;&lt;item&gt;188&lt;/item&gt;&lt;item&gt;429&lt;/item&gt;&lt;/record-ids&gt;&lt;/item&gt;&lt;/Libraries&gt;"/>
  </w:docVars>
  <w:rsids>
    <w:rsidRoot w:val="00860BA7"/>
    <w:rsid w:val="00026235"/>
    <w:rsid w:val="000530AB"/>
    <w:rsid w:val="0007377B"/>
    <w:rsid w:val="000C6618"/>
    <w:rsid w:val="000D18C4"/>
    <w:rsid w:val="000D6C8E"/>
    <w:rsid w:val="000E06C9"/>
    <w:rsid w:val="000F3F8F"/>
    <w:rsid w:val="001102A1"/>
    <w:rsid w:val="001736CD"/>
    <w:rsid w:val="00187521"/>
    <w:rsid w:val="001A05FB"/>
    <w:rsid w:val="001E79B5"/>
    <w:rsid w:val="001F12AC"/>
    <w:rsid w:val="002053B7"/>
    <w:rsid w:val="00230FCA"/>
    <w:rsid w:val="00244E8E"/>
    <w:rsid w:val="002546B8"/>
    <w:rsid w:val="002A75D2"/>
    <w:rsid w:val="002C0015"/>
    <w:rsid w:val="003078AC"/>
    <w:rsid w:val="00317218"/>
    <w:rsid w:val="003233FE"/>
    <w:rsid w:val="00325251"/>
    <w:rsid w:val="0037777A"/>
    <w:rsid w:val="003A0B60"/>
    <w:rsid w:val="003D3C2D"/>
    <w:rsid w:val="003E6651"/>
    <w:rsid w:val="00415F70"/>
    <w:rsid w:val="00440A30"/>
    <w:rsid w:val="0047131C"/>
    <w:rsid w:val="00487DDA"/>
    <w:rsid w:val="00490DBB"/>
    <w:rsid w:val="00492558"/>
    <w:rsid w:val="004C02A8"/>
    <w:rsid w:val="004E0884"/>
    <w:rsid w:val="00526DE1"/>
    <w:rsid w:val="005274FE"/>
    <w:rsid w:val="00547DA9"/>
    <w:rsid w:val="005545F6"/>
    <w:rsid w:val="005740FF"/>
    <w:rsid w:val="005819E8"/>
    <w:rsid w:val="00596ECA"/>
    <w:rsid w:val="005A4516"/>
    <w:rsid w:val="005A6F6E"/>
    <w:rsid w:val="005B177E"/>
    <w:rsid w:val="00640A41"/>
    <w:rsid w:val="006479FC"/>
    <w:rsid w:val="00681CB8"/>
    <w:rsid w:val="0068444F"/>
    <w:rsid w:val="00695A1F"/>
    <w:rsid w:val="006C743F"/>
    <w:rsid w:val="006D088F"/>
    <w:rsid w:val="006E7CA2"/>
    <w:rsid w:val="00701945"/>
    <w:rsid w:val="00704758"/>
    <w:rsid w:val="00704E84"/>
    <w:rsid w:val="00724625"/>
    <w:rsid w:val="007247B8"/>
    <w:rsid w:val="007452C7"/>
    <w:rsid w:val="00753B3F"/>
    <w:rsid w:val="00757ED6"/>
    <w:rsid w:val="00762533"/>
    <w:rsid w:val="0077376A"/>
    <w:rsid w:val="00776A28"/>
    <w:rsid w:val="00790010"/>
    <w:rsid w:val="00790982"/>
    <w:rsid w:val="007919FA"/>
    <w:rsid w:val="007A2210"/>
    <w:rsid w:val="007A609E"/>
    <w:rsid w:val="007B0535"/>
    <w:rsid w:val="007E1DFF"/>
    <w:rsid w:val="007F30EC"/>
    <w:rsid w:val="007F6DB0"/>
    <w:rsid w:val="008063EB"/>
    <w:rsid w:val="0082177B"/>
    <w:rsid w:val="0082287A"/>
    <w:rsid w:val="00856920"/>
    <w:rsid w:val="00860447"/>
    <w:rsid w:val="00860BA7"/>
    <w:rsid w:val="00866311"/>
    <w:rsid w:val="00871608"/>
    <w:rsid w:val="00883EF0"/>
    <w:rsid w:val="0088476B"/>
    <w:rsid w:val="00887783"/>
    <w:rsid w:val="008D636B"/>
    <w:rsid w:val="008F7F8E"/>
    <w:rsid w:val="009069BD"/>
    <w:rsid w:val="00922ADD"/>
    <w:rsid w:val="00934834"/>
    <w:rsid w:val="00981B22"/>
    <w:rsid w:val="009B78ED"/>
    <w:rsid w:val="009C2A5D"/>
    <w:rsid w:val="009D039C"/>
    <w:rsid w:val="009E56A4"/>
    <w:rsid w:val="009F769F"/>
    <w:rsid w:val="00A260AC"/>
    <w:rsid w:val="00A37165"/>
    <w:rsid w:val="00A471EF"/>
    <w:rsid w:val="00A5173F"/>
    <w:rsid w:val="00A60873"/>
    <w:rsid w:val="00A66609"/>
    <w:rsid w:val="00AC5056"/>
    <w:rsid w:val="00AD3124"/>
    <w:rsid w:val="00AE2221"/>
    <w:rsid w:val="00AE4A2B"/>
    <w:rsid w:val="00B014D8"/>
    <w:rsid w:val="00B14AF5"/>
    <w:rsid w:val="00B34C34"/>
    <w:rsid w:val="00B37390"/>
    <w:rsid w:val="00B40127"/>
    <w:rsid w:val="00B63547"/>
    <w:rsid w:val="00B6368E"/>
    <w:rsid w:val="00B65F6E"/>
    <w:rsid w:val="00BC76ED"/>
    <w:rsid w:val="00BF4440"/>
    <w:rsid w:val="00C13D6D"/>
    <w:rsid w:val="00C30679"/>
    <w:rsid w:val="00C50825"/>
    <w:rsid w:val="00C718D5"/>
    <w:rsid w:val="00CB3B94"/>
    <w:rsid w:val="00CE7DEB"/>
    <w:rsid w:val="00CF0297"/>
    <w:rsid w:val="00CF1DFC"/>
    <w:rsid w:val="00D5736B"/>
    <w:rsid w:val="00D72C1B"/>
    <w:rsid w:val="00D74E0C"/>
    <w:rsid w:val="00D762C4"/>
    <w:rsid w:val="00D83E27"/>
    <w:rsid w:val="00DD470B"/>
    <w:rsid w:val="00E01273"/>
    <w:rsid w:val="00E34D01"/>
    <w:rsid w:val="00E545C0"/>
    <w:rsid w:val="00E55EC3"/>
    <w:rsid w:val="00E75453"/>
    <w:rsid w:val="00E8593C"/>
    <w:rsid w:val="00EA1403"/>
    <w:rsid w:val="00EB377D"/>
    <w:rsid w:val="00EF1664"/>
    <w:rsid w:val="00F07D3A"/>
    <w:rsid w:val="00F10633"/>
    <w:rsid w:val="00F16DE0"/>
    <w:rsid w:val="00F23532"/>
    <w:rsid w:val="00F34DAF"/>
    <w:rsid w:val="00F62034"/>
    <w:rsid w:val="00F67775"/>
    <w:rsid w:val="00F76578"/>
    <w:rsid w:val="00F80BC7"/>
    <w:rsid w:val="00F8204B"/>
    <w:rsid w:val="00F9052E"/>
    <w:rsid w:val="00F975C5"/>
    <w:rsid w:val="00FA421E"/>
    <w:rsid w:val="00FA6E1F"/>
    <w:rsid w:val="00FD6F59"/>
    <w:rsid w:val="00FF6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0340D5"/>
  <w15:chartTrackingRefBased/>
  <w15:docId w15:val="{F780874C-B55D-5A48-84C8-BB614C894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BA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BA7"/>
    <w:pPr>
      <w:ind w:left="720"/>
      <w:contextualSpacing/>
    </w:pPr>
  </w:style>
  <w:style w:type="paragraph" w:styleId="Footer">
    <w:name w:val="footer"/>
    <w:basedOn w:val="Normal"/>
    <w:link w:val="FooterChar"/>
    <w:uiPriority w:val="99"/>
    <w:unhideWhenUsed/>
    <w:rsid w:val="00860BA7"/>
    <w:pPr>
      <w:tabs>
        <w:tab w:val="center" w:pos="4513"/>
        <w:tab w:val="right" w:pos="9026"/>
      </w:tabs>
    </w:pPr>
  </w:style>
  <w:style w:type="character" w:customStyle="1" w:styleId="FooterChar">
    <w:name w:val="Footer Char"/>
    <w:basedOn w:val="DefaultParagraphFont"/>
    <w:link w:val="Footer"/>
    <w:uiPriority w:val="99"/>
    <w:rsid w:val="00860BA7"/>
    <w:rPr>
      <w:kern w:val="0"/>
      <w14:ligatures w14:val="none"/>
    </w:rPr>
  </w:style>
  <w:style w:type="character" w:styleId="PageNumber">
    <w:name w:val="page number"/>
    <w:basedOn w:val="DefaultParagraphFont"/>
    <w:uiPriority w:val="99"/>
    <w:semiHidden/>
    <w:unhideWhenUsed/>
    <w:rsid w:val="00860BA7"/>
  </w:style>
  <w:style w:type="character" w:styleId="Hyperlink">
    <w:name w:val="Hyperlink"/>
    <w:basedOn w:val="DefaultParagraphFont"/>
    <w:uiPriority w:val="99"/>
    <w:unhideWhenUsed/>
    <w:rsid w:val="00860BA7"/>
    <w:rPr>
      <w:color w:val="0563C1" w:themeColor="hyperlink"/>
      <w:u w:val="single"/>
    </w:rPr>
  </w:style>
  <w:style w:type="table" w:styleId="TableGrid">
    <w:name w:val="Table Grid"/>
    <w:basedOn w:val="TableNormal"/>
    <w:uiPriority w:val="39"/>
    <w:rsid w:val="00860BA7"/>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60BA7"/>
  </w:style>
  <w:style w:type="paragraph" w:customStyle="1" w:styleId="EndNoteBibliographyTitle">
    <w:name w:val="EndNote Bibliography Title"/>
    <w:basedOn w:val="Normal"/>
    <w:link w:val="EndNoteBibliographyTitleChar"/>
    <w:rsid w:val="003078AC"/>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3078AC"/>
    <w:rPr>
      <w:rFonts w:ascii="Calibri" w:hAnsi="Calibri" w:cs="Calibri"/>
      <w:kern w:val="0"/>
      <w:lang w:val="en-US"/>
      <w14:ligatures w14:val="none"/>
    </w:rPr>
  </w:style>
  <w:style w:type="paragraph" w:customStyle="1" w:styleId="EndNoteBibliography">
    <w:name w:val="EndNote Bibliography"/>
    <w:basedOn w:val="Normal"/>
    <w:link w:val="EndNoteBibliographyChar"/>
    <w:rsid w:val="003078AC"/>
    <w:rPr>
      <w:rFonts w:ascii="Calibri" w:hAnsi="Calibri" w:cs="Calibri"/>
      <w:lang w:val="en-US"/>
    </w:rPr>
  </w:style>
  <w:style w:type="character" w:customStyle="1" w:styleId="EndNoteBibliographyChar">
    <w:name w:val="EndNote Bibliography Char"/>
    <w:basedOn w:val="DefaultParagraphFont"/>
    <w:link w:val="EndNoteBibliography"/>
    <w:rsid w:val="003078AC"/>
    <w:rPr>
      <w:rFonts w:ascii="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llttf.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29307-114D-2D42-B6DC-2FD34CAC2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1327</Words>
  <Characters>7565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 Queirazza</dc:creator>
  <cp:keywords/>
  <dc:description/>
  <cp:lastModifiedBy>Filippo Queirazza</cp:lastModifiedBy>
  <cp:revision>9</cp:revision>
  <dcterms:created xsi:type="dcterms:W3CDTF">2025-09-11T05:17:00Z</dcterms:created>
  <dcterms:modified xsi:type="dcterms:W3CDTF">2025-09-11T06:53:00Z</dcterms:modified>
</cp:coreProperties>
</file>