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after="312"/>
        <w:rPr>
          <w:sz w:val="22"/>
          <w:szCs w:val="22"/>
        </w:rPr>
      </w:pPr>
      <w:bookmarkStart w:id="2" w:name="_GoBack"/>
      <w:bookmarkStart w:id="0" w:name="OLE_LINK1"/>
      <w:r>
        <w:rPr>
          <w:rFonts w:ascii="Times New Roman" w:hAnsi="Times New Roman" w:cs="Times New Roman"/>
          <w:b/>
          <w:bCs/>
          <w:sz w:val="22"/>
          <w:szCs w:val="28"/>
        </w:rPr>
        <w:t>Table EV</w:t>
      </w:r>
      <w:r>
        <w:rPr>
          <w:rFonts w:hint="eastAsia" w:cs="Times New Roman"/>
          <w:b/>
          <w:bCs/>
          <w:sz w:val="22"/>
          <w:szCs w:val="28"/>
          <w:lang w:val="en-US" w:eastAsia="zh-CN"/>
        </w:rPr>
        <w:t>5</w:t>
      </w:r>
      <w:r>
        <w:t xml:space="preserve"> </w:t>
      </w:r>
      <w:bookmarkEnd w:id="2"/>
      <w:r>
        <w:rPr>
          <w:sz w:val="22"/>
          <w:szCs w:val="22"/>
        </w:rPr>
        <w:t xml:space="preserve">The immobilization and concentrations statistics of SPR assay to test the binding affinities between </w:t>
      </w:r>
      <w:r>
        <w:rPr>
          <w:rFonts w:hint="eastAsia"/>
          <w:sz w:val="22"/>
          <w:szCs w:val="22"/>
          <w:lang w:val="en-US" w:eastAsia="zh-CN"/>
        </w:rPr>
        <w:t xml:space="preserve">mAbs or </w:t>
      </w:r>
      <w:r>
        <w:rPr>
          <w:sz w:val="22"/>
          <w:szCs w:val="22"/>
        </w:rPr>
        <w:t xml:space="preserve">hACE2 and </w:t>
      </w:r>
      <w:r>
        <w:rPr>
          <w:rFonts w:hint="eastAsia"/>
          <w:sz w:val="22"/>
          <w:szCs w:val="22"/>
          <w:lang w:val="en-US" w:eastAsia="zh-CN"/>
        </w:rPr>
        <w:t>RBD</w:t>
      </w:r>
      <w:r>
        <w:rPr>
          <w:sz w:val="22"/>
          <w:szCs w:val="22"/>
        </w:rPr>
        <w:t xml:space="preserve"> of</w:t>
      </w:r>
      <w:r>
        <w:rPr>
          <w:rFonts w:hint="eastAsia"/>
          <w:sz w:val="22"/>
          <w:szCs w:val="22"/>
          <w:lang w:val="en-US" w:eastAsia="zh-CN"/>
        </w:rPr>
        <w:t xml:space="preserve"> </w:t>
      </w:r>
      <w:r>
        <w:rPr>
          <w:sz w:val="22"/>
          <w:szCs w:val="22"/>
        </w:rPr>
        <w:t>BA.</w:t>
      </w:r>
      <w:r>
        <w:rPr>
          <w:rFonts w:hint="eastAsia"/>
          <w:sz w:val="22"/>
          <w:szCs w:val="22"/>
          <w:lang w:val="en-US" w:eastAsia="zh-CN"/>
        </w:rPr>
        <w:t>2</w:t>
      </w:r>
      <w:r>
        <w:rPr>
          <w:sz w:val="22"/>
          <w:szCs w:val="22"/>
        </w:rPr>
        <w:t>, BA.</w:t>
      </w:r>
      <w:r>
        <w:rPr>
          <w:rFonts w:hint="eastAsia"/>
          <w:sz w:val="22"/>
          <w:szCs w:val="22"/>
          <w:lang w:val="en-US" w:eastAsia="zh-CN"/>
        </w:rPr>
        <w:t>2 F486V</w:t>
      </w:r>
      <w:r>
        <w:rPr>
          <w:sz w:val="22"/>
          <w:szCs w:val="22"/>
        </w:rPr>
        <w:t>, BA.</w:t>
      </w:r>
      <w:r>
        <w:rPr>
          <w:rFonts w:hint="eastAsia"/>
          <w:sz w:val="22"/>
          <w:szCs w:val="22"/>
          <w:lang w:val="en-US" w:eastAsia="zh-CN"/>
        </w:rPr>
        <w:t>2 R493Q</w:t>
      </w:r>
      <w:r>
        <w:rPr>
          <w:sz w:val="22"/>
          <w:szCs w:val="22"/>
        </w:rPr>
        <w:t xml:space="preserve"> or BA.</w:t>
      </w:r>
      <w:r>
        <w:rPr>
          <w:rFonts w:hint="eastAsia"/>
          <w:sz w:val="22"/>
          <w:szCs w:val="22"/>
          <w:lang w:val="en-US" w:eastAsia="zh-CN"/>
        </w:rPr>
        <w:t>4/5</w:t>
      </w:r>
      <w:r>
        <w:rPr>
          <w:rFonts w:hint="eastAsia"/>
          <w:sz w:val="22"/>
          <w:szCs w:val="22"/>
        </w:rPr>
        <w:t>.</w:t>
      </w:r>
    </w:p>
    <w:bookmarkEnd w:id="0"/>
    <w:tbl>
      <w:tblPr>
        <w:tblStyle w:val="4"/>
        <w:tblW w:w="136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1"/>
        <w:gridCol w:w="2901"/>
        <w:gridCol w:w="1747"/>
        <w:gridCol w:w="1690"/>
        <w:gridCol w:w="1690"/>
        <w:gridCol w:w="1690"/>
        <w:gridCol w:w="16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240" w:firstLineChars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Ligand</w:t>
            </w:r>
          </w:p>
        </w:tc>
        <w:tc>
          <w:tcPr>
            <w:tcW w:w="2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Analyte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k</w:t>
            </w: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:vertAlign w:val="subscript"/>
              </w:rPr>
              <w:t>a</w:t>
            </w: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(1/Ms)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k</w:t>
            </w: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:vertAlign w:val="subscript"/>
              </w:rPr>
              <w:t>d</w:t>
            </w: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(1/s)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K</w:t>
            </w: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:vertAlign w:val="subscript"/>
              </w:rPr>
              <w:t>D</w:t>
            </w: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(M)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Average </w:t>
            </w: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K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:vertAlign w:val="subscript"/>
              </w:rPr>
              <w:t>D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(M)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SD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(M)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BD604</w:t>
            </w:r>
          </w:p>
        </w:tc>
        <w:tc>
          <w:tcPr>
            <w:tcW w:w="29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BA.2 RBD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1.96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6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6.84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3.49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3.68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1.39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vertAlign w:val="superscript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2.23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6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8.34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3.75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2.08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6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7.93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3.81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29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BA.2 RBD F486V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295"/>
                <w:tab w:val="center" w:pos="796"/>
              </w:tabs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4.57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6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2.19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1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4.80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4.66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1.34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295"/>
                <w:tab w:val="center" w:pos="796"/>
              </w:tabs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2.44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6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1.09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1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4.48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295"/>
                <w:tab w:val="center" w:pos="796"/>
              </w:tabs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2.60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6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1.22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1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4.70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29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BA.2 RBD R493Q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1.71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6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90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2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1.14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3.40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vertAlign w:val="superscript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1.89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6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2.25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2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1.82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6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2.05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2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13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BA.4/5 RBD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1.15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4.61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4.03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3.97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2.81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1.32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4.74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3.60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9.51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4.07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4.28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BD629</w:t>
            </w:r>
          </w:p>
        </w:tc>
        <w:tc>
          <w:tcPr>
            <w:tcW w:w="29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BA.2 RBD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2.15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6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5.56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2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2.59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2.84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1.80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2.40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6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7.09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2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2.95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3.64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6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1.09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1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2.99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b/>
                <w:bCs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29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BA.2 RBD F486V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2.33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2.91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1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1.25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7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1.37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vertAlign w:val="superscript"/>
                <w:lang w:val="en-US" w:eastAsia="zh-CN"/>
              </w:rPr>
              <w:t>7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1.38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5.45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8.47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2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1.56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7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1.69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6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2.18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1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1.29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7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BA.2 RBD R493Q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6.80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4.05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5.95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8.52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2.28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4.31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4.96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1.15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7.48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6.06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8.10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BA.4/5 RBD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3.68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3.39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9.22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9.35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2.92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3.65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3.56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9.75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3.82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3.47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9.07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P2C-1F11</w:t>
            </w:r>
          </w:p>
        </w:tc>
        <w:tc>
          <w:tcPr>
            <w:tcW w:w="290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BA.2 RBD</w:t>
            </w:r>
          </w:p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6.55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2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1.85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1.81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2.02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6.08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9.41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1.55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5.82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2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2.04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BA.2 RBD F486V</w:t>
            </w:r>
          </w:p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5.26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7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71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1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3.25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7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3.15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vertAlign w:val="superscript"/>
                <w:lang w:val="en-US" w:eastAsia="zh-CN"/>
              </w:rPr>
              <w:t>7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6.94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4.06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27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-1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3.12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7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3.47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07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-1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3.09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7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BA.2 RBD R493Q</w:t>
            </w:r>
          </w:p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5.69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3.12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5.49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10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5.87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vertAlign w:val="superscript"/>
                <w:lang w:val="en-US" w:eastAsia="zh-CN"/>
              </w:rPr>
              <w:t>10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1.11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vertAlign w:val="superscript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5.41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4.00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7.38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10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7.61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3.61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4.75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10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BA.4/5 RBD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1.13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5.94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5.25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5.35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1.28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1.14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6.03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5.27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1.13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6.24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5.53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S2K146</w:t>
            </w:r>
          </w:p>
        </w:tc>
        <w:tc>
          <w:tcPr>
            <w:tcW w:w="290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BA.2 RBD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4.16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2.80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6.72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4.59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1.55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6.23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1.90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3.05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6.11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2.45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4.01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bookmarkStart w:id="1" w:name="OLE_LINK2" w:colFirst="3" w:colLast="3"/>
          </w:p>
        </w:tc>
        <w:tc>
          <w:tcPr>
            <w:tcW w:w="290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BA.2 RBD F486V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--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--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--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--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--</w:t>
            </w:r>
          </w:p>
        </w:tc>
      </w:tr>
      <w:bookmarkEnd w:id="1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--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--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--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  <w:tl2br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  <w:tl2br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--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--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--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BA.2 RBD R493Q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2.39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6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9.64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7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4.04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13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1.48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vertAlign w:val="superscript"/>
                <w:lang w:val="en-US" w:eastAsia="zh-CN"/>
              </w:rPr>
              <w:t>12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1.58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vertAlign w:val="superscript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4.11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1.53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6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3.72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12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1.30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6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4.10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7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3.17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13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BA.4/5 RBD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1.57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6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9.65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2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6.14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6.06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1.04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9.69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5.73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2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5.91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1.02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6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6.24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2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6.12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hACE2</w:t>
            </w:r>
          </w:p>
        </w:tc>
        <w:tc>
          <w:tcPr>
            <w:tcW w:w="290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BA.2 RBD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1.67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2.92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1.75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1.45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2.07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1.79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2.32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1.30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1.79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2.36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1.32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BA.2 RBD F486V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2.24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6.67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2.97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2.78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1.40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2.33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6.16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2.65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2.31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6.30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2.72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BA.2 RBD R493Q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5.94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4.45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7.49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5.69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1.28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6.21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3.06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4.94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6.28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2.92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4.65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BA.4/5 RBD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1.07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1.23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1.15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9.04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1.75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1.14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8.84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7.78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24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1.14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8.92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7.82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>
      <w:pPr>
        <w:autoSpaceDE w:val="0"/>
        <w:autoSpaceDN w:val="0"/>
        <w:adjustRightInd w:val="0"/>
        <w:spacing w:line="360" w:lineRule="auto"/>
        <w:rPr>
          <w:rFonts w:hint="default" w:ascii="Times New Roman" w:hAnsi="Times New Roman" w:cs="Times New Roman" w:eastAsiaTheme="minorEastAsia"/>
          <w:b w:val="0"/>
          <w:bCs/>
          <w:color w:val="000000" w:themeColor="text1"/>
          <w:kern w:val="0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 w:val="0"/>
          <w:bCs/>
          <w:color w:val="000000" w:themeColor="text1"/>
          <w:kern w:val="0"/>
          <w:sz w:val="22"/>
          <w:szCs w:val="22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Times New Roman" w:hAnsi="Times New Roman" w:cs="Times New Roman"/>
          <w:b w:val="0"/>
          <w:bCs/>
          <w:color w:val="000000" w:themeColor="text1"/>
          <w:kern w:val="0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--” indicate that the binding affinity is not detected.</w:t>
      </w:r>
    </w:p>
    <w:p>
      <w:pPr>
        <w:rPr>
          <w:rFonts w:hint="eastAsia"/>
        </w:rPr>
      </w:pPr>
    </w:p>
    <w:sectPr>
      <w:pgSz w:w="16838" w:h="11906" w:orient="landscape"/>
      <w:pgMar w:top="1800" w:right="1440" w:bottom="1800" w:left="144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QxMzG2MLE0N7QwtjRT0lEKTi0uzszPAykwrAUAZgKMnywAAAA="/>
    <w:docVar w:name="commondata" w:val="eyJoZGlkIjoiOWQ4MDJjZDIwODFkMDk1ODg3ZDQ1MGUwOTVkODZmMmIifQ=="/>
  </w:docVars>
  <w:rsids>
    <w:rsidRoot w:val="00A33749"/>
    <w:rsid w:val="00A33749"/>
    <w:rsid w:val="00EC450C"/>
    <w:rsid w:val="0D775417"/>
    <w:rsid w:val="1CC9725A"/>
    <w:rsid w:val="1F0136E5"/>
    <w:rsid w:val="216E29B2"/>
    <w:rsid w:val="357D6116"/>
    <w:rsid w:val="4A5C306E"/>
    <w:rsid w:val="4E122202"/>
    <w:rsid w:val="51045A4C"/>
    <w:rsid w:val="6B6D283F"/>
    <w:rsid w:val="6E2C2F3A"/>
    <w:rsid w:val="6E542641"/>
    <w:rsid w:val="6F2E0918"/>
    <w:rsid w:val="795948F1"/>
    <w:rsid w:val="7DB33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autoRedefine/>
    <w:qFormat/>
    <w:uiPriority w:val="59"/>
    <w:pPr>
      <w:ind w:right="-11" w:firstLine="200" w:firstLineChars="200"/>
      <w:jc w:val="center"/>
    </w:pPr>
    <w:rPr>
      <w:rFonts w:ascii="Calibri" w:hAnsi="Calibri" w:eastAsia="宋体" w:cs="宋体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样式1"/>
    <w:basedOn w:val="2"/>
    <w:link w:val="7"/>
    <w:autoRedefine/>
    <w:qFormat/>
    <w:uiPriority w:val="0"/>
    <w:pPr>
      <w:spacing w:before="0" w:after="100" w:afterLines="100" w:line="480" w:lineRule="auto"/>
    </w:pPr>
    <w:rPr>
      <w:rFonts w:ascii="Times New Roman" w:hAnsi="Times New Roman" w:cs="Times New Roman"/>
      <w:color w:val="000000" w:themeColor="text1"/>
      <w:kern w:val="0"/>
      <w:sz w:val="24"/>
      <w:szCs w:val="24"/>
      <w14:textFill>
        <w14:solidFill>
          <w14:schemeClr w14:val="tx1"/>
        </w14:solidFill>
      </w14:textFill>
    </w:rPr>
  </w:style>
  <w:style w:type="character" w:customStyle="1" w:styleId="7">
    <w:name w:val="样式1 字符"/>
    <w:basedOn w:val="5"/>
    <w:link w:val="6"/>
    <w:autoRedefine/>
    <w:qFormat/>
    <w:uiPriority w:val="0"/>
    <w:rPr>
      <w:rFonts w:ascii="Times New Roman" w:hAnsi="Times New Roman" w:cs="Times New Roman"/>
      <w:b/>
      <w:bCs/>
      <w:color w:val="000000" w:themeColor="text1"/>
      <w:kern w:val="0"/>
      <w:sz w:val="24"/>
      <w:szCs w:val="24"/>
      <w14:textFill>
        <w14:solidFill>
          <w14:schemeClr w14:val="tx1"/>
        </w14:solidFill>
      </w14:textFill>
    </w:rPr>
  </w:style>
  <w:style w:type="character" w:customStyle="1" w:styleId="8">
    <w:name w:val="标题 1 字符"/>
    <w:basedOn w:val="5"/>
    <w:link w:val="2"/>
    <w:autoRedefine/>
    <w:qFormat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161</Words>
  <Characters>1025</Characters>
  <Lines>7</Lines>
  <Paragraphs>2</Paragraphs>
  <TotalTime>17</TotalTime>
  <ScaleCrop>false</ScaleCrop>
  <LinksUpToDate>false</LinksUpToDate>
  <CharactersWithSpaces>1095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2023-02-21T14:46:00Z</dcterms:created>
  <dc:creator>Zhao Zhennan</dc:creator>
  <cp:lastModifiedBy>怒放的生命</cp:lastModifiedBy>
  <dcterms:modified xsi:type="dcterms:W3CDTF">2024-01-02T07:42:38Z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F988E0A3F7D64193B79DFAC5E32047E5_13</vt:lpwstr>
  </property>
</Properties>
</file>