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EEE" w:rsidRPr="004B35F9" w:rsidRDefault="00A97EEE" w:rsidP="00A97EEE">
      <w:pPr>
        <w:spacing w:line="360" w:lineRule="auto"/>
        <w:rPr>
          <w:rFonts w:ascii="Arial" w:hAnsi="Arial" w:cs="Arial"/>
          <w:b/>
          <w:bCs/>
        </w:rPr>
      </w:pPr>
      <w:r w:rsidRPr="004B35F9">
        <w:rPr>
          <w:rFonts w:ascii="Arial" w:hAnsi="Arial" w:cs="Arial"/>
          <w:b/>
          <w:bCs/>
        </w:rPr>
        <w:t>Appendix Figure Legends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2"/>
          <w:szCs w:val="22"/>
        </w:rPr>
      </w:pPr>
      <w:r w:rsidRPr="004B35F9">
        <w:rPr>
          <w:rFonts w:ascii="Arial" w:hAnsi="Arial" w:cs="Arial"/>
          <w:b/>
          <w:bCs/>
          <w:sz w:val="22"/>
          <w:szCs w:val="22"/>
        </w:rPr>
        <w:t xml:space="preserve">Appendix Figure S1. The expression of SLC transporters with similar functions of transporting TCA cycle metabolites (GSE95135). </w:t>
      </w:r>
      <w:r w:rsidRPr="004B35F9">
        <w:rPr>
          <w:rFonts w:ascii="Arial" w:hAnsi="Arial" w:cs="Arial"/>
          <w:sz w:val="22"/>
          <w:szCs w:val="22"/>
        </w:rPr>
        <w:t>The results demonstrate the decrease of SLC13A2 in the initiation and progression phase of liver regeneration after partial hepatectomy.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2"/>
          <w:szCs w:val="22"/>
        </w:rPr>
      </w:pPr>
    </w:p>
    <w:p w:rsidR="00A97EEE" w:rsidRPr="004B35F9" w:rsidRDefault="00A97EEE" w:rsidP="00A97EEE">
      <w:pPr>
        <w:spacing w:line="360" w:lineRule="auto"/>
        <w:ind w:left="270" w:hanging="270"/>
        <w:jc w:val="both"/>
        <w:rPr>
          <w:rFonts w:ascii="Arial" w:hAnsi="Arial" w:cs="Arial"/>
          <w:b/>
          <w:bCs/>
          <w:sz w:val="21"/>
          <w:szCs w:val="21"/>
        </w:rPr>
      </w:pPr>
      <w:r w:rsidRPr="004B35F9">
        <w:rPr>
          <w:rFonts w:ascii="Arial" w:hAnsi="Arial" w:cs="Arial"/>
          <w:b/>
          <w:bCs/>
          <w:sz w:val="21"/>
          <w:szCs w:val="21"/>
        </w:rPr>
        <w:t>Appendix Figure S2. Effects of liver-specific SLC13A2 knockout in quiescent liver</w:t>
      </w:r>
      <w:r w:rsidRPr="004B35F9">
        <w:rPr>
          <w:rFonts w:ascii="Arial" w:hAnsi="Arial" w:cs="Arial" w:hint="eastAsia"/>
          <w:b/>
          <w:bCs/>
          <w:sz w:val="21"/>
          <w:szCs w:val="21"/>
        </w:rPr>
        <w:t>.</w:t>
      </w:r>
      <w:r w:rsidRPr="004B35F9">
        <w:rPr>
          <w:rFonts w:ascii="Arial" w:hAnsi="Arial" w:cs="Arial"/>
          <w:b/>
          <w:bCs/>
          <w:sz w:val="21"/>
          <w:szCs w:val="21"/>
        </w:rPr>
        <w:t xml:space="preserve"> </w:t>
      </w:r>
    </w:p>
    <w:p w:rsidR="00A97EEE" w:rsidRPr="004B35F9" w:rsidRDefault="00A97EEE" w:rsidP="00A97EE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B35F9">
        <w:rPr>
          <w:rFonts w:ascii="Arial" w:hAnsi="Arial" w:cs="Arial"/>
          <w:b/>
          <w:bCs/>
          <w:sz w:val="21"/>
          <w:szCs w:val="21"/>
        </w:rPr>
        <w:t>A-C</w:t>
      </w:r>
      <w:r w:rsidRPr="004B35F9">
        <w:rPr>
          <w:rFonts w:ascii="Arial" w:hAnsi="Arial" w:cs="Arial"/>
          <w:sz w:val="21"/>
          <w:szCs w:val="21"/>
        </w:rPr>
        <w:t xml:space="preserve">. Body weight (A), liver weight (B) and blood glucose (C) of Ctrl and LKO mice. </w:t>
      </w:r>
    </w:p>
    <w:p w:rsidR="00A97EEE" w:rsidRPr="004B35F9" w:rsidRDefault="00A97EEE" w:rsidP="00A97EE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B35F9">
        <w:rPr>
          <w:rFonts w:ascii="Arial" w:hAnsi="Arial" w:cs="Arial"/>
          <w:b/>
          <w:bCs/>
          <w:sz w:val="21"/>
          <w:szCs w:val="21"/>
        </w:rPr>
        <w:t>D.</w:t>
      </w:r>
      <w:r w:rsidRPr="004B35F9">
        <w:rPr>
          <w:rFonts w:ascii="Arial" w:hAnsi="Arial" w:cs="Arial"/>
          <w:sz w:val="21"/>
          <w:szCs w:val="21"/>
        </w:rPr>
        <w:t xml:space="preserve"> qPCR analysis detected the expression of genes involving with glucose metabolism and lipid metabolism.</w:t>
      </w:r>
    </w:p>
    <w:p w:rsidR="00A97EEE" w:rsidRPr="004B35F9" w:rsidRDefault="00A97EEE" w:rsidP="00A97EEE">
      <w:pPr>
        <w:spacing w:line="360" w:lineRule="auto"/>
        <w:jc w:val="both"/>
        <w:rPr>
          <w:rFonts w:ascii="Arial" w:eastAsia="SimHei" w:hAnsi="Arial" w:cs="Arial"/>
          <w:sz w:val="21"/>
          <w:szCs w:val="21"/>
        </w:rPr>
      </w:pPr>
      <w:r w:rsidRPr="004B35F9">
        <w:rPr>
          <w:rFonts w:ascii="Arial" w:hAnsi="Arial" w:cs="Arial"/>
          <w:b/>
          <w:bCs/>
          <w:sz w:val="21"/>
          <w:szCs w:val="21"/>
        </w:rPr>
        <w:t>E.</w:t>
      </w:r>
      <w:r w:rsidRPr="004B35F9">
        <w:rPr>
          <w:rFonts w:ascii="Arial" w:hAnsi="Arial" w:cs="Arial"/>
          <w:sz w:val="21"/>
          <w:szCs w:val="21"/>
        </w:rPr>
        <w:t xml:space="preserve"> Representative H&amp;E stainin</w:t>
      </w:r>
      <w:r w:rsidRPr="004B35F9">
        <w:rPr>
          <w:rFonts w:ascii="Arial" w:eastAsia="SimHei" w:hAnsi="Arial" w:cs="Arial"/>
          <w:sz w:val="21"/>
          <w:szCs w:val="21"/>
        </w:rPr>
        <w:t>g.</w:t>
      </w:r>
    </w:p>
    <w:p w:rsidR="00A97EEE" w:rsidRPr="004B35F9" w:rsidRDefault="00A97EEE" w:rsidP="00A97EEE">
      <w:pPr>
        <w:spacing w:line="360" w:lineRule="auto"/>
        <w:jc w:val="both"/>
        <w:rPr>
          <w:rFonts w:ascii="Arial" w:eastAsia="SimHei" w:hAnsi="Arial" w:cs="Arial"/>
          <w:sz w:val="21"/>
          <w:szCs w:val="21"/>
        </w:rPr>
      </w:pPr>
      <w:r w:rsidRPr="004B35F9">
        <w:rPr>
          <w:rFonts w:ascii="Arial" w:hAnsi="Arial" w:cs="Arial"/>
          <w:b/>
          <w:bCs/>
          <w:sz w:val="21"/>
          <w:szCs w:val="21"/>
        </w:rPr>
        <w:t>F.</w:t>
      </w:r>
      <w:r w:rsidRPr="004B35F9">
        <w:rPr>
          <w:rFonts w:ascii="Arial" w:hAnsi="Arial" w:cs="Arial"/>
          <w:sz w:val="21"/>
          <w:szCs w:val="21"/>
        </w:rPr>
        <w:t xml:space="preserve"> </w:t>
      </w:r>
      <w:r w:rsidRPr="004B35F9">
        <w:rPr>
          <w:rFonts w:ascii="Arial" w:eastAsia="SimHei" w:hAnsi="Arial" w:cs="Arial"/>
          <w:sz w:val="21"/>
          <w:szCs w:val="21"/>
        </w:rPr>
        <w:t>Immunoblots of total liver lysates.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2"/>
          <w:szCs w:val="22"/>
        </w:rPr>
      </w:pPr>
      <w:r w:rsidRPr="004B35F9">
        <w:rPr>
          <w:rFonts w:ascii="Arial" w:hAnsi="Arial" w:cs="Arial"/>
          <w:sz w:val="22"/>
          <w:szCs w:val="22"/>
        </w:rPr>
        <w:t>Data are expressed as Mean ± SEM (N=7).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2"/>
          <w:szCs w:val="22"/>
        </w:rPr>
      </w:pPr>
    </w:p>
    <w:p w:rsidR="00A97EEE" w:rsidRPr="004B35F9" w:rsidRDefault="00A97EEE" w:rsidP="00A97EEE">
      <w:pPr>
        <w:spacing w:line="360" w:lineRule="auto"/>
        <w:ind w:left="270" w:hanging="270"/>
        <w:jc w:val="both"/>
        <w:rPr>
          <w:rFonts w:ascii="Arial" w:hAnsi="Arial" w:cs="Arial"/>
          <w:b/>
          <w:bCs/>
          <w:sz w:val="21"/>
          <w:szCs w:val="21"/>
        </w:rPr>
      </w:pPr>
      <w:r w:rsidRPr="004B35F9">
        <w:rPr>
          <w:rFonts w:ascii="Arial" w:hAnsi="Arial" w:cs="Arial"/>
          <w:b/>
          <w:bCs/>
          <w:sz w:val="21"/>
          <w:szCs w:val="21"/>
        </w:rPr>
        <w:t xml:space="preserve">Appendix Figure S3. Effects of liver-specific SLC13A2 overexpression without </w:t>
      </w:r>
      <w:proofErr w:type="spellStart"/>
      <w:r w:rsidRPr="004B35F9">
        <w:rPr>
          <w:rFonts w:ascii="Arial" w:hAnsi="Arial" w:cs="Arial"/>
          <w:b/>
          <w:bCs/>
          <w:sz w:val="21"/>
          <w:szCs w:val="21"/>
        </w:rPr>
        <w:t>PHx</w:t>
      </w:r>
      <w:proofErr w:type="spellEnd"/>
      <w:r w:rsidRPr="004B35F9">
        <w:rPr>
          <w:rFonts w:ascii="Arial" w:hAnsi="Arial" w:cs="Arial"/>
          <w:b/>
          <w:bCs/>
          <w:sz w:val="21"/>
          <w:szCs w:val="21"/>
        </w:rPr>
        <w:t xml:space="preserve"> surgery. </w:t>
      </w:r>
    </w:p>
    <w:p w:rsidR="00A97EEE" w:rsidRPr="004B35F9" w:rsidRDefault="00A97EEE" w:rsidP="00A97EE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B35F9">
        <w:rPr>
          <w:rFonts w:ascii="Arial" w:hAnsi="Arial" w:cs="Arial"/>
          <w:b/>
          <w:bCs/>
          <w:sz w:val="21"/>
          <w:szCs w:val="21"/>
        </w:rPr>
        <w:t>A-C</w:t>
      </w:r>
      <w:r w:rsidRPr="004B35F9">
        <w:rPr>
          <w:rFonts w:ascii="Arial" w:hAnsi="Arial" w:cs="Arial"/>
          <w:sz w:val="21"/>
          <w:szCs w:val="21"/>
        </w:rPr>
        <w:t xml:space="preserve">. Body weight (A), liver weight (B) and blood glucose (C) of Ctrl and SLC13A2-OE mice (N=6). </w:t>
      </w:r>
    </w:p>
    <w:p w:rsidR="00A97EEE" w:rsidRPr="004B35F9" w:rsidRDefault="00A97EEE" w:rsidP="00A97EE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B35F9">
        <w:rPr>
          <w:rFonts w:ascii="Arial" w:hAnsi="Arial" w:cs="Arial"/>
          <w:b/>
          <w:bCs/>
          <w:sz w:val="21"/>
          <w:szCs w:val="21"/>
        </w:rPr>
        <w:t>D.</w:t>
      </w:r>
      <w:r w:rsidRPr="004B35F9">
        <w:rPr>
          <w:rFonts w:ascii="Arial" w:hAnsi="Arial" w:cs="Arial"/>
          <w:sz w:val="21"/>
          <w:szCs w:val="21"/>
        </w:rPr>
        <w:t xml:space="preserve"> RNA expression of genes involving with glucose, lipid and glutamine metabolism was analyzed by qPCR assay (N=4</w:t>
      </w:r>
      <w:r w:rsidRPr="004B35F9">
        <w:rPr>
          <w:rFonts w:ascii="Arial" w:hAnsi="Arial" w:cs="Arial" w:hint="eastAsia"/>
          <w:sz w:val="21"/>
          <w:szCs w:val="21"/>
        </w:rPr>
        <w:t>)</w:t>
      </w:r>
      <w:r w:rsidRPr="004B35F9">
        <w:rPr>
          <w:rFonts w:ascii="Arial" w:hAnsi="Arial" w:cs="Arial"/>
          <w:sz w:val="21"/>
          <w:szCs w:val="21"/>
        </w:rPr>
        <w:t>.</w:t>
      </w:r>
    </w:p>
    <w:p w:rsidR="00A97EEE" w:rsidRPr="004B35F9" w:rsidRDefault="00A97EEE" w:rsidP="00A97EEE">
      <w:pPr>
        <w:spacing w:line="360" w:lineRule="auto"/>
        <w:jc w:val="both"/>
        <w:rPr>
          <w:rFonts w:ascii="Arial" w:eastAsia="SimHei" w:hAnsi="Arial" w:cs="Arial"/>
          <w:sz w:val="21"/>
          <w:szCs w:val="21"/>
        </w:rPr>
      </w:pPr>
      <w:r w:rsidRPr="004B35F9">
        <w:rPr>
          <w:rFonts w:ascii="Arial" w:hAnsi="Arial" w:cs="Arial"/>
          <w:b/>
          <w:bCs/>
          <w:sz w:val="21"/>
          <w:szCs w:val="21"/>
        </w:rPr>
        <w:t>E.</w:t>
      </w:r>
      <w:r w:rsidRPr="004B35F9">
        <w:rPr>
          <w:rFonts w:ascii="Arial" w:hAnsi="Arial" w:cs="Arial"/>
          <w:sz w:val="21"/>
          <w:szCs w:val="21"/>
        </w:rPr>
        <w:t xml:space="preserve"> Representative liver histological staining</w:t>
      </w:r>
      <w:r w:rsidRPr="004B35F9">
        <w:rPr>
          <w:rFonts w:ascii="Arial" w:eastAsia="SimHei" w:hAnsi="Arial" w:cs="Arial"/>
          <w:sz w:val="21"/>
          <w:szCs w:val="21"/>
        </w:rPr>
        <w:t>.</w:t>
      </w:r>
    </w:p>
    <w:p w:rsidR="00A97EEE" w:rsidRPr="004B35F9" w:rsidRDefault="00A97EEE" w:rsidP="00A97EEE">
      <w:pPr>
        <w:spacing w:line="360" w:lineRule="auto"/>
        <w:jc w:val="both"/>
        <w:rPr>
          <w:rFonts w:ascii="Arial" w:eastAsia="SimHei" w:hAnsi="Arial" w:cs="Arial"/>
          <w:sz w:val="21"/>
          <w:szCs w:val="21"/>
        </w:rPr>
      </w:pPr>
      <w:r w:rsidRPr="004B35F9">
        <w:rPr>
          <w:rFonts w:ascii="Arial" w:hAnsi="Arial" w:cs="Arial"/>
          <w:b/>
          <w:bCs/>
          <w:sz w:val="21"/>
          <w:szCs w:val="21"/>
        </w:rPr>
        <w:t>F.</w:t>
      </w:r>
      <w:r w:rsidRPr="004B35F9">
        <w:rPr>
          <w:rFonts w:ascii="Arial" w:hAnsi="Arial" w:cs="Arial"/>
          <w:sz w:val="21"/>
          <w:szCs w:val="21"/>
        </w:rPr>
        <w:t xml:space="preserve"> </w:t>
      </w:r>
      <w:r w:rsidRPr="004B35F9">
        <w:rPr>
          <w:rFonts w:ascii="Arial" w:eastAsia="SimHei" w:hAnsi="Arial" w:cs="Arial"/>
          <w:sz w:val="21"/>
          <w:szCs w:val="21"/>
        </w:rPr>
        <w:t>Immunoblots of total liver lysates.</w:t>
      </w:r>
    </w:p>
    <w:p w:rsidR="00A97EEE" w:rsidRPr="004B35F9" w:rsidRDefault="00A97EEE" w:rsidP="00A97EEE">
      <w:pPr>
        <w:spacing w:line="360" w:lineRule="auto"/>
        <w:jc w:val="both"/>
        <w:rPr>
          <w:rFonts w:ascii="Arial" w:eastAsia="SimHei" w:hAnsi="Arial" w:cs="Arial"/>
          <w:sz w:val="21"/>
          <w:szCs w:val="21"/>
        </w:rPr>
      </w:pPr>
      <w:r w:rsidRPr="004B35F9">
        <w:rPr>
          <w:rFonts w:ascii="Arial" w:eastAsia="SimHei" w:hAnsi="Arial" w:cs="Arial"/>
          <w:sz w:val="21"/>
          <w:szCs w:val="21"/>
        </w:rPr>
        <w:t xml:space="preserve">Data are expressed as Mean ± SEM.  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b/>
          <w:bCs/>
        </w:rPr>
      </w:pPr>
    </w:p>
    <w:p w:rsidR="00A97EEE" w:rsidRPr="004B35F9" w:rsidRDefault="00A97EEE" w:rsidP="00A97EEE">
      <w:pPr>
        <w:spacing w:line="360" w:lineRule="auto"/>
        <w:ind w:left="270" w:hanging="270"/>
        <w:jc w:val="both"/>
        <w:rPr>
          <w:rFonts w:ascii="Arial" w:hAnsi="Arial" w:cs="Arial"/>
          <w:b/>
          <w:bCs/>
          <w:sz w:val="21"/>
          <w:szCs w:val="21"/>
        </w:rPr>
      </w:pPr>
      <w:r w:rsidRPr="004B35F9">
        <w:rPr>
          <w:rFonts w:ascii="Arial" w:hAnsi="Arial" w:cs="Arial"/>
          <w:b/>
          <w:bCs/>
          <w:sz w:val="21"/>
          <w:szCs w:val="21"/>
        </w:rPr>
        <w:t xml:space="preserve">Appendix Figure S4. Limited effects of SLC13A2 at 7d after the surgery of </w:t>
      </w:r>
      <w:proofErr w:type="spellStart"/>
      <w:r w:rsidRPr="004B35F9">
        <w:rPr>
          <w:rFonts w:ascii="Arial" w:hAnsi="Arial" w:cs="Arial"/>
          <w:b/>
          <w:bCs/>
          <w:sz w:val="21"/>
          <w:szCs w:val="21"/>
        </w:rPr>
        <w:t>PHx</w:t>
      </w:r>
      <w:proofErr w:type="spellEnd"/>
      <w:r w:rsidRPr="004B35F9">
        <w:rPr>
          <w:rFonts w:ascii="Arial" w:hAnsi="Arial" w:cs="Arial"/>
          <w:b/>
          <w:bCs/>
          <w:sz w:val="21"/>
          <w:szCs w:val="21"/>
        </w:rPr>
        <w:t xml:space="preserve">. </w:t>
      </w:r>
    </w:p>
    <w:p w:rsidR="00A97EEE" w:rsidRPr="004B35F9" w:rsidRDefault="00A97EEE" w:rsidP="00A97EE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B35F9">
        <w:rPr>
          <w:rFonts w:ascii="Arial" w:hAnsi="Arial" w:cs="Arial"/>
          <w:b/>
          <w:bCs/>
          <w:sz w:val="21"/>
          <w:szCs w:val="21"/>
        </w:rPr>
        <w:t>A-F</w:t>
      </w:r>
      <w:r w:rsidRPr="004B35F9">
        <w:rPr>
          <w:rFonts w:ascii="Arial" w:hAnsi="Arial" w:cs="Arial"/>
          <w:sz w:val="21"/>
          <w:szCs w:val="21"/>
        </w:rPr>
        <w:t xml:space="preserve">. Liver regeneration was induced by </w:t>
      </w:r>
      <w:proofErr w:type="spellStart"/>
      <w:r w:rsidRPr="004B35F9">
        <w:rPr>
          <w:rFonts w:ascii="Arial" w:hAnsi="Arial" w:cs="Arial"/>
          <w:sz w:val="21"/>
          <w:szCs w:val="21"/>
        </w:rPr>
        <w:t>PHx</w:t>
      </w:r>
      <w:proofErr w:type="spellEnd"/>
      <w:r w:rsidRPr="004B35F9">
        <w:rPr>
          <w:rFonts w:ascii="Arial" w:hAnsi="Arial" w:cs="Arial"/>
          <w:sz w:val="21"/>
          <w:szCs w:val="21"/>
        </w:rPr>
        <w:t xml:space="preserve"> surgery with the overexpression of SLC13A2 and analysis was made after 7d. Body weight (A), blood glucose (B), </w:t>
      </w:r>
      <w:proofErr w:type="spellStart"/>
      <w:r w:rsidRPr="004B35F9">
        <w:rPr>
          <w:rFonts w:ascii="Arial" w:hAnsi="Arial" w:cs="Arial"/>
          <w:sz w:val="21"/>
          <w:szCs w:val="21"/>
        </w:rPr>
        <w:t>iWAT</w:t>
      </w:r>
      <w:proofErr w:type="spellEnd"/>
      <w:r w:rsidRPr="004B35F9">
        <w:rPr>
          <w:rFonts w:ascii="Arial" w:hAnsi="Arial" w:cs="Arial"/>
          <w:sz w:val="21"/>
          <w:szCs w:val="21"/>
        </w:rPr>
        <w:t xml:space="preserve"> weight (C), survival rate (</w:t>
      </w:r>
      <w:r w:rsidRPr="004B35F9">
        <w:rPr>
          <w:rFonts w:ascii="Arial" w:hAnsi="Arial" w:cs="Arial" w:hint="eastAsia"/>
          <w:sz w:val="21"/>
          <w:szCs w:val="21"/>
        </w:rPr>
        <w:t>D)</w:t>
      </w:r>
      <w:r w:rsidRPr="004B35F9">
        <w:rPr>
          <w:rFonts w:ascii="Arial" w:hAnsi="Arial" w:cs="Arial" w:hint="eastAsia"/>
          <w:sz w:val="21"/>
          <w:szCs w:val="21"/>
        </w:rPr>
        <w:t>，</w:t>
      </w:r>
      <w:r w:rsidRPr="004B35F9">
        <w:rPr>
          <w:rFonts w:ascii="Arial" w:hAnsi="Arial" w:cs="Arial" w:hint="eastAsia"/>
          <w:sz w:val="21"/>
          <w:szCs w:val="21"/>
        </w:rPr>
        <w:t>R</w:t>
      </w:r>
      <w:r w:rsidRPr="004B35F9">
        <w:rPr>
          <w:rFonts w:ascii="Arial" w:hAnsi="Arial" w:cs="Arial"/>
          <w:sz w:val="21"/>
          <w:szCs w:val="21"/>
        </w:rPr>
        <w:t>NA expression of genes for cholesterol synthesis, glucose metabolism and cell proliferation (</w:t>
      </w:r>
      <w:r w:rsidRPr="004B35F9">
        <w:rPr>
          <w:rFonts w:ascii="Arial" w:hAnsi="Arial" w:cs="Arial" w:hint="eastAsia"/>
          <w:sz w:val="21"/>
          <w:szCs w:val="21"/>
        </w:rPr>
        <w:t>E</w:t>
      </w:r>
      <w:r w:rsidRPr="004B35F9">
        <w:rPr>
          <w:rFonts w:ascii="Arial" w:hAnsi="Arial" w:cs="Arial"/>
          <w:sz w:val="21"/>
          <w:szCs w:val="21"/>
        </w:rPr>
        <w:t xml:space="preserve">) and H&amp;E staining (F) of GFP and SLC13A2-OE mice (N=6). </w:t>
      </w:r>
    </w:p>
    <w:p w:rsidR="00A97EEE" w:rsidRPr="004B35F9" w:rsidRDefault="00A97EEE" w:rsidP="00A97EE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B35F9">
        <w:rPr>
          <w:rFonts w:ascii="Arial" w:hAnsi="Arial" w:cs="Arial"/>
          <w:b/>
          <w:bCs/>
          <w:sz w:val="21"/>
          <w:szCs w:val="21"/>
        </w:rPr>
        <w:t>G-M</w:t>
      </w:r>
      <w:r w:rsidRPr="004B35F9">
        <w:rPr>
          <w:rFonts w:ascii="Arial" w:hAnsi="Arial" w:cs="Arial"/>
          <w:sz w:val="21"/>
          <w:szCs w:val="21"/>
        </w:rPr>
        <w:t xml:space="preserve">. Liver regeneration was induced by </w:t>
      </w:r>
      <w:proofErr w:type="spellStart"/>
      <w:r w:rsidRPr="004B35F9">
        <w:rPr>
          <w:rFonts w:ascii="Arial" w:hAnsi="Arial" w:cs="Arial"/>
          <w:sz w:val="21"/>
          <w:szCs w:val="21"/>
        </w:rPr>
        <w:t>PHx</w:t>
      </w:r>
      <w:proofErr w:type="spellEnd"/>
      <w:r w:rsidRPr="004B35F9">
        <w:rPr>
          <w:rFonts w:ascii="Arial" w:hAnsi="Arial" w:cs="Arial"/>
          <w:sz w:val="21"/>
          <w:szCs w:val="21"/>
        </w:rPr>
        <w:t xml:space="preserve"> surgery with the liver-specific deletion of SLC13A2 and analysis was made after 7d. Body weight (G), blood glucose (H), </w:t>
      </w:r>
      <w:proofErr w:type="spellStart"/>
      <w:r w:rsidRPr="004B35F9">
        <w:rPr>
          <w:rFonts w:ascii="Arial" w:hAnsi="Arial" w:cs="Arial"/>
          <w:sz w:val="21"/>
          <w:szCs w:val="21"/>
        </w:rPr>
        <w:t>iWAT</w:t>
      </w:r>
      <w:proofErr w:type="spellEnd"/>
      <w:r w:rsidRPr="004B35F9">
        <w:rPr>
          <w:rFonts w:ascii="Arial" w:hAnsi="Arial" w:cs="Arial"/>
          <w:sz w:val="21"/>
          <w:szCs w:val="21"/>
        </w:rPr>
        <w:t xml:space="preserve"> weight (I), survival rate (J</w:t>
      </w:r>
      <w:r w:rsidRPr="004B35F9">
        <w:rPr>
          <w:rFonts w:ascii="Arial" w:hAnsi="Arial" w:cs="Arial" w:hint="eastAsia"/>
          <w:sz w:val="21"/>
          <w:szCs w:val="21"/>
        </w:rPr>
        <w:t>)</w:t>
      </w:r>
      <w:r w:rsidRPr="004B35F9">
        <w:rPr>
          <w:rFonts w:ascii="Arial" w:hAnsi="Arial" w:cs="Arial" w:hint="eastAsia"/>
          <w:sz w:val="21"/>
          <w:szCs w:val="21"/>
        </w:rPr>
        <w:t>，</w:t>
      </w:r>
      <w:r w:rsidRPr="004B35F9">
        <w:rPr>
          <w:rFonts w:ascii="Arial" w:hAnsi="Arial" w:cs="Arial" w:hint="eastAsia"/>
          <w:sz w:val="21"/>
          <w:szCs w:val="21"/>
        </w:rPr>
        <w:t>S</w:t>
      </w:r>
      <w:r w:rsidRPr="004B35F9">
        <w:rPr>
          <w:rFonts w:ascii="Arial" w:hAnsi="Arial" w:cs="Arial"/>
          <w:sz w:val="21"/>
          <w:szCs w:val="21"/>
        </w:rPr>
        <w:t>erum ALT/AST activity (K)</w:t>
      </w:r>
      <w:r w:rsidRPr="004B35F9">
        <w:rPr>
          <w:rFonts w:ascii="Arial" w:hAnsi="Arial" w:cs="Arial" w:hint="eastAsia"/>
          <w:sz w:val="21"/>
          <w:szCs w:val="21"/>
        </w:rPr>
        <w:t>,</w:t>
      </w:r>
      <w:r w:rsidRPr="004B35F9">
        <w:rPr>
          <w:rFonts w:ascii="Arial" w:hAnsi="Arial" w:cs="Arial"/>
          <w:sz w:val="21"/>
          <w:szCs w:val="21"/>
        </w:rPr>
        <w:t xml:space="preserve"> </w:t>
      </w:r>
      <w:r w:rsidRPr="004B35F9">
        <w:rPr>
          <w:rFonts w:ascii="Arial" w:hAnsi="Arial" w:cs="Arial" w:hint="eastAsia"/>
          <w:sz w:val="21"/>
          <w:szCs w:val="21"/>
        </w:rPr>
        <w:t>R</w:t>
      </w:r>
      <w:r w:rsidRPr="004B35F9">
        <w:rPr>
          <w:rFonts w:ascii="Arial" w:hAnsi="Arial" w:cs="Arial"/>
          <w:sz w:val="21"/>
          <w:szCs w:val="21"/>
        </w:rPr>
        <w:t xml:space="preserve">NA expression of genes for cholesterol synthesis, glucose metabolism and cell proliferation (L) and H&amp;E staining (M) of Ctrl and SLC13A2-LKO mice (N=5). 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1"/>
          <w:szCs w:val="21"/>
        </w:rPr>
      </w:pPr>
      <w:r w:rsidRPr="004B35F9">
        <w:rPr>
          <w:rFonts w:ascii="Arial" w:hAnsi="Arial" w:cs="Arial"/>
          <w:sz w:val="21"/>
          <w:szCs w:val="21"/>
        </w:rPr>
        <w:t>Data are expressed as Mean ± SEM.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1"/>
          <w:szCs w:val="21"/>
        </w:rPr>
      </w:pP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2"/>
          <w:szCs w:val="22"/>
        </w:rPr>
      </w:pPr>
      <w:r w:rsidRPr="004B35F9">
        <w:rPr>
          <w:rFonts w:ascii="Arial" w:hAnsi="Arial" w:cs="Arial"/>
          <w:b/>
          <w:bCs/>
          <w:sz w:val="22"/>
          <w:szCs w:val="22"/>
        </w:rPr>
        <w:t>Appendix Figure S5. SLC13A2 has limited influence on other metabolic pathways apart from cholesterol metabolism.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2"/>
          <w:szCs w:val="22"/>
        </w:rPr>
      </w:pPr>
      <w:r w:rsidRPr="004B35F9">
        <w:rPr>
          <w:rFonts w:ascii="Arial" w:hAnsi="Arial" w:cs="Arial"/>
          <w:b/>
          <w:bCs/>
          <w:sz w:val="22"/>
          <w:szCs w:val="22"/>
        </w:rPr>
        <w:lastRenderedPageBreak/>
        <w:t>A-B.</w:t>
      </w:r>
      <w:r w:rsidRPr="004B35F9">
        <w:rPr>
          <w:rFonts w:ascii="Arial" w:hAnsi="Arial" w:cs="Arial"/>
          <w:sz w:val="22"/>
          <w:szCs w:val="22"/>
        </w:rPr>
        <w:t xml:space="preserve"> RNA expression of genes involving glycolipid metabolism apart from cholesterol metabolism with the overexpression or deletion of SLC13A2 after PHX surgery (N=6). 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2"/>
          <w:szCs w:val="22"/>
        </w:rPr>
      </w:pPr>
      <w:r w:rsidRPr="004B35F9">
        <w:rPr>
          <w:rFonts w:ascii="Arial" w:hAnsi="Arial" w:cs="Arial"/>
          <w:b/>
          <w:bCs/>
          <w:sz w:val="22"/>
          <w:szCs w:val="22"/>
        </w:rPr>
        <w:t>C.</w:t>
      </w:r>
      <w:r w:rsidRPr="004B35F9">
        <w:rPr>
          <w:rFonts w:ascii="Arial" w:hAnsi="Arial" w:cs="Arial"/>
          <w:sz w:val="22"/>
          <w:szCs w:val="22"/>
        </w:rPr>
        <w:t xml:space="preserve"> Protein expression level of genes involving with lipid and cholesterol metabolism in indicated time points after PHX surgery. 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2"/>
          <w:szCs w:val="22"/>
        </w:rPr>
      </w:pPr>
      <w:r w:rsidRPr="004B35F9">
        <w:rPr>
          <w:rFonts w:ascii="Arial" w:hAnsi="Arial" w:cs="Arial"/>
          <w:b/>
          <w:bCs/>
          <w:sz w:val="22"/>
          <w:szCs w:val="22"/>
        </w:rPr>
        <w:t>D.</w:t>
      </w:r>
      <w:r w:rsidRPr="004B35F9">
        <w:rPr>
          <w:rFonts w:ascii="Arial" w:hAnsi="Arial" w:cs="Arial"/>
          <w:sz w:val="22"/>
          <w:szCs w:val="22"/>
        </w:rPr>
        <w:t xml:space="preserve"> Protein expression level of genes involving with lipid metabolism at 1d after PHX surgery in the mice hepatically deleted SLC13A2. 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2"/>
          <w:szCs w:val="22"/>
        </w:rPr>
      </w:pPr>
      <w:r w:rsidRPr="004B35F9">
        <w:rPr>
          <w:rFonts w:ascii="Arial" w:hAnsi="Arial" w:cs="Arial"/>
          <w:sz w:val="22"/>
          <w:szCs w:val="22"/>
        </w:rPr>
        <w:t>Data are expressed as Mean ± SEM.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2"/>
          <w:szCs w:val="22"/>
        </w:rPr>
      </w:pP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2"/>
          <w:szCs w:val="22"/>
        </w:rPr>
      </w:pPr>
      <w:r w:rsidRPr="004B35F9">
        <w:rPr>
          <w:rFonts w:ascii="Arial" w:hAnsi="Arial" w:cs="Arial"/>
          <w:b/>
          <w:bCs/>
          <w:sz w:val="22"/>
          <w:szCs w:val="22"/>
        </w:rPr>
        <w:t xml:space="preserve">Appendix Figure S6. The effect of lovastatin on SLC13A2-promoted liver regeneration at 7d after </w:t>
      </w:r>
      <w:proofErr w:type="spellStart"/>
      <w:r w:rsidRPr="004B35F9">
        <w:rPr>
          <w:rFonts w:ascii="Arial" w:hAnsi="Arial" w:cs="Arial"/>
          <w:b/>
          <w:bCs/>
          <w:sz w:val="22"/>
          <w:szCs w:val="22"/>
        </w:rPr>
        <w:t>PHx</w:t>
      </w:r>
      <w:proofErr w:type="spellEnd"/>
      <w:r w:rsidRPr="004B35F9">
        <w:rPr>
          <w:rFonts w:ascii="Arial" w:hAnsi="Arial" w:cs="Arial"/>
          <w:b/>
          <w:bCs/>
          <w:sz w:val="22"/>
          <w:szCs w:val="22"/>
        </w:rPr>
        <w:t xml:space="preserve"> surgery.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1"/>
          <w:szCs w:val="21"/>
        </w:rPr>
      </w:pPr>
      <w:r w:rsidRPr="004B35F9">
        <w:rPr>
          <w:rFonts w:ascii="Arial" w:hAnsi="Arial" w:cs="Arial"/>
          <w:sz w:val="21"/>
          <w:szCs w:val="21"/>
        </w:rPr>
        <w:t>A. Diagrams of study design. Mice were injected with AAV-TBG-SLC13A2 virus (1 × 10</w:t>
      </w:r>
      <w:r w:rsidRPr="004B35F9">
        <w:rPr>
          <w:rFonts w:ascii="Arial" w:hAnsi="Arial" w:cs="Arial"/>
          <w:sz w:val="21"/>
          <w:szCs w:val="21"/>
          <w:vertAlign w:val="superscript"/>
        </w:rPr>
        <w:t>11</w:t>
      </w:r>
      <w:r w:rsidRPr="004B35F9">
        <w:rPr>
          <w:rFonts w:ascii="Arial" w:hAnsi="Arial" w:cs="Arial"/>
          <w:sz w:val="21"/>
          <w:szCs w:val="21"/>
        </w:rPr>
        <w:t xml:space="preserve"> VP/mouse) through tail vein to ensure the liver-specific overexpression of SLC13A2, followed by the intragastrical administration of </w:t>
      </w:r>
      <w:proofErr w:type="spellStart"/>
      <w:r w:rsidRPr="004B35F9">
        <w:rPr>
          <w:rFonts w:ascii="Arial" w:hAnsi="Arial" w:cs="Arial"/>
          <w:sz w:val="21"/>
          <w:szCs w:val="21"/>
        </w:rPr>
        <w:t>Lovastain</w:t>
      </w:r>
      <w:proofErr w:type="spellEnd"/>
      <w:r w:rsidRPr="004B35F9">
        <w:rPr>
          <w:rFonts w:ascii="Arial" w:hAnsi="Arial" w:cs="Arial"/>
          <w:sz w:val="21"/>
          <w:szCs w:val="21"/>
        </w:rPr>
        <w:t xml:space="preserve"> (4 mg/Kg) or vehicle once a day for consecutive 3 days. Then the surgery of </w:t>
      </w:r>
      <w:proofErr w:type="spellStart"/>
      <w:r w:rsidRPr="004B35F9">
        <w:rPr>
          <w:rFonts w:ascii="Arial" w:hAnsi="Arial" w:cs="Arial"/>
          <w:sz w:val="21"/>
          <w:szCs w:val="21"/>
        </w:rPr>
        <w:t>PHx</w:t>
      </w:r>
      <w:proofErr w:type="spellEnd"/>
      <w:r w:rsidRPr="004B35F9">
        <w:rPr>
          <w:rFonts w:ascii="Arial" w:hAnsi="Arial" w:cs="Arial"/>
          <w:sz w:val="21"/>
          <w:szCs w:val="21"/>
        </w:rPr>
        <w:t xml:space="preserve"> was operated, and the mice were sacrificed after 7 days. 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1"/>
          <w:szCs w:val="21"/>
        </w:rPr>
      </w:pPr>
      <w:r w:rsidRPr="004B35F9">
        <w:rPr>
          <w:rFonts w:ascii="Arial" w:hAnsi="Arial" w:cs="Arial"/>
          <w:sz w:val="21"/>
          <w:szCs w:val="21"/>
        </w:rPr>
        <w:t xml:space="preserve">B. Liver weight versus body weight ratio. 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1"/>
          <w:szCs w:val="21"/>
        </w:rPr>
      </w:pPr>
      <w:r w:rsidRPr="004B35F9">
        <w:rPr>
          <w:rFonts w:ascii="Arial" w:hAnsi="Arial" w:cs="Arial"/>
          <w:sz w:val="21"/>
          <w:szCs w:val="21"/>
        </w:rPr>
        <w:t>C. Blood glucose.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1"/>
          <w:szCs w:val="21"/>
        </w:rPr>
      </w:pPr>
      <w:r w:rsidRPr="004B35F9">
        <w:rPr>
          <w:rFonts w:ascii="Arial" w:hAnsi="Arial" w:cs="Arial"/>
          <w:sz w:val="21"/>
          <w:szCs w:val="21"/>
        </w:rPr>
        <w:t xml:space="preserve">D. RNA expression of genes involving cholesterol synthesis and cell proliferation. 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1"/>
          <w:szCs w:val="21"/>
        </w:rPr>
      </w:pPr>
      <w:r w:rsidRPr="004B35F9">
        <w:rPr>
          <w:rFonts w:ascii="Arial" w:hAnsi="Arial" w:cs="Arial"/>
          <w:sz w:val="21"/>
          <w:szCs w:val="21"/>
        </w:rPr>
        <w:t>E. Liver content</w:t>
      </w:r>
      <w:r w:rsidRPr="004B35F9">
        <w:rPr>
          <w:rFonts w:ascii="Arial" w:hAnsi="Arial" w:cs="Arial" w:hint="eastAsia"/>
          <w:sz w:val="21"/>
          <w:szCs w:val="21"/>
        </w:rPr>
        <w:t>s</w:t>
      </w:r>
      <w:r w:rsidRPr="004B35F9">
        <w:rPr>
          <w:rFonts w:ascii="Arial" w:hAnsi="Arial" w:cs="Arial"/>
          <w:sz w:val="21"/>
          <w:szCs w:val="21"/>
        </w:rPr>
        <w:t xml:space="preserve"> and serum concentrations of TG/TC. 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1"/>
          <w:szCs w:val="21"/>
        </w:rPr>
      </w:pPr>
      <w:r w:rsidRPr="004B35F9">
        <w:rPr>
          <w:rFonts w:ascii="Arial" w:hAnsi="Arial" w:cs="Arial"/>
          <w:sz w:val="21"/>
          <w:szCs w:val="21"/>
        </w:rPr>
        <w:t xml:space="preserve">F. Representative images of H&amp;E staining and </w:t>
      </w:r>
      <w:proofErr w:type="spellStart"/>
      <w:r w:rsidRPr="004B35F9">
        <w:rPr>
          <w:rFonts w:ascii="Arial" w:hAnsi="Arial" w:cs="Arial"/>
          <w:sz w:val="21"/>
          <w:szCs w:val="21"/>
        </w:rPr>
        <w:t>BrdU</w:t>
      </w:r>
      <w:proofErr w:type="spellEnd"/>
      <w:r w:rsidRPr="004B35F9">
        <w:rPr>
          <w:rFonts w:ascii="Arial" w:hAnsi="Arial" w:cs="Arial"/>
          <w:sz w:val="21"/>
          <w:szCs w:val="21"/>
        </w:rPr>
        <w:t xml:space="preserve"> incorporation. 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2"/>
          <w:szCs w:val="22"/>
        </w:rPr>
      </w:pPr>
      <w:r w:rsidRPr="004B35F9">
        <w:rPr>
          <w:rFonts w:ascii="Arial" w:hAnsi="Arial" w:cs="Arial"/>
          <w:sz w:val="21"/>
          <w:szCs w:val="21"/>
        </w:rPr>
        <w:t xml:space="preserve">Data are expressed as Mean ± SEM (Vehicle, N=5; </w:t>
      </w:r>
      <w:proofErr w:type="spellStart"/>
      <w:r w:rsidRPr="004B35F9">
        <w:rPr>
          <w:rFonts w:ascii="Arial" w:hAnsi="Arial" w:cs="Arial"/>
          <w:sz w:val="21"/>
          <w:szCs w:val="21"/>
        </w:rPr>
        <w:t>Lovastain</w:t>
      </w:r>
      <w:proofErr w:type="spellEnd"/>
      <w:r w:rsidRPr="004B35F9">
        <w:rPr>
          <w:rFonts w:ascii="Arial" w:hAnsi="Arial" w:cs="Arial"/>
          <w:sz w:val="21"/>
          <w:szCs w:val="21"/>
        </w:rPr>
        <w:t xml:space="preserve">, N=6). *P &lt; 0.05 Lovastatin vs Vehicle group, two-tailed unpaired Student’s </w:t>
      </w:r>
      <w:r w:rsidRPr="004B35F9">
        <w:rPr>
          <w:rFonts w:ascii="Arial" w:hAnsi="Arial" w:cs="Arial"/>
          <w:i/>
          <w:iCs/>
          <w:sz w:val="21"/>
          <w:szCs w:val="21"/>
        </w:rPr>
        <w:t>t</w:t>
      </w:r>
      <w:r w:rsidRPr="004B35F9">
        <w:rPr>
          <w:rFonts w:ascii="Arial" w:hAnsi="Arial" w:cs="Arial"/>
          <w:sz w:val="21"/>
          <w:szCs w:val="21"/>
        </w:rPr>
        <w:t xml:space="preserve"> test.</w:t>
      </w:r>
    </w:p>
    <w:p w:rsidR="00A97EEE" w:rsidRPr="004B35F9" w:rsidRDefault="00A97EEE" w:rsidP="00A97EEE">
      <w:pPr>
        <w:spacing w:line="360" w:lineRule="auto"/>
        <w:rPr>
          <w:rFonts w:ascii="Arial" w:hAnsi="Arial" w:cs="Arial"/>
          <w:sz w:val="22"/>
          <w:szCs w:val="22"/>
        </w:rPr>
      </w:pPr>
    </w:p>
    <w:p w:rsidR="00A97EEE" w:rsidRPr="004B35F9" w:rsidRDefault="00A97EEE" w:rsidP="00A97EEE">
      <w:pPr>
        <w:spacing w:line="360" w:lineRule="auto"/>
        <w:rPr>
          <w:rFonts w:ascii="Arial" w:hAnsi="Arial" w:cs="Arial"/>
          <w:b/>
          <w:bCs/>
        </w:rPr>
      </w:pPr>
    </w:p>
    <w:p w:rsidR="005A5732" w:rsidRDefault="005A5732">
      <w:bookmarkStart w:id="0" w:name="_GoBack"/>
      <w:bookmarkEnd w:id="0"/>
    </w:p>
    <w:sectPr w:rsidR="005A5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EEE"/>
    <w:rsid w:val="005A5732"/>
    <w:rsid w:val="00A9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BCC836-9BD8-400A-AEA7-9073B692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7EEE"/>
    <w:pPr>
      <w:spacing w:after="0" w:line="240" w:lineRule="auto"/>
    </w:pPr>
    <w:rPr>
      <w:rFonts w:eastAsiaTheme="minorEastAsi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Tushar Pant</dc:creator>
  <cp:keywords/>
  <dc:description/>
  <cp:lastModifiedBy>Tushar Pant</cp:lastModifiedBy>
  <cp:revision>1</cp:revision>
  <dcterms:created xsi:type="dcterms:W3CDTF">2025-01-09T11:32:00Z</dcterms:created>
  <dcterms:modified xsi:type="dcterms:W3CDTF">2025-01-09T11:32:00Z</dcterms:modified>
</cp:coreProperties>
</file>