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51573" w14:textId="77777777" w:rsidR="0088557E" w:rsidRPr="00CA1CAF" w:rsidRDefault="0088557E" w:rsidP="00915241">
      <w:pPr>
        <w:pStyle w:val="Title"/>
        <w:jc w:val="center"/>
        <w:rPr>
          <w:b/>
          <w:bCs/>
          <w:sz w:val="40"/>
          <w:szCs w:val="40"/>
        </w:rPr>
      </w:pPr>
      <w:r w:rsidRPr="00CA1CAF">
        <w:rPr>
          <w:b/>
          <w:bCs/>
          <w:sz w:val="40"/>
          <w:szCs w:val="40"/>
        </w:rPr>
        <w:t>Appendix</w:t>
      </w:r>
    </w:p>
    <w:p w14:paraId="27649D84" w14:textId="77777777" w:rsidR="0088557E" w:rsidRPr="00CA1CAF" w:rsidRDefault="0088557E" w:rsidP="00915241">
      <w:pPr>
        <w:jc w:val="center"/>
        <w:rPr>
          <w:sz w:val="40"/>
          <w:szCs w:val="40"/>
        </w:rPr>
      </w:pPr>
      <w:r>
        <w:rPr>
          <w:sz w:val="40"/>
          <w:szCs w:val="40"/>
        </w:rPr>
        <w:t>The</w:t>
      </w:r>
      <w:r w:rsidRPr="00CA1CAF">
        <w:rPr>
          <w:sz w:val="40"/>
          <w:szCs w:val="40"/>
        </w:rPr>
        <w:t xml:space="preserve"> solute carrier superfamily</w:t>
      </w:r>
      <w:r>
        <w:rPr>
          <w:sz w:val="40"/>
          <w:szCs w:val="40"/>
        </w:rPr>
        <w:t xml:space="preserve"> interactome</w:t>
      </w:r>
    </w:p>
    <w:p w14:paraId="59FBA865" w14:textId="292CB584" w:rsidR="0088557E" w:rsidRPr="00AD3285" w:rsidRDefault="0088557E" w:rsidP="00915241">
      <w:pPr>
        <w:jc w:val="both"/>
        <w:rPr>
          <w:i/>
        </w:rPr>
      </w:pPr>
      <w:r w:rsidRPr="00AD3285">
        <w:rPr>
          <w:i/>
          <w:iCs/>
        </w:rPr>
        <w:t>Fabian Frommelt</w:t>
      </w:r>
      <w:r w:rsidRPr="00AD3285">
        <w:rPr>
          <w:i/>
          <w:iCs/>
          <w:vertAlign w:val="superscript"/>
        </w:rPr>
        <w:t>1,#</w:t>
      </w:r>
      <w:r w:rsidRPr="00AD3285">
        <w:rPr>
          <w:i/>
          <w:iCs/>
        </w:rPr>
        <w:t>, Rene Ladurner</w:t>
      </w:r>
      <w:r w:rsidRPr="00AD3285">
        <w:rPr>
          <w:i/>
          <w:iCs/>
          <w:vertAlign w:val="superscript"/>
        </w:rPr>
        <w:t>1,#</w:t>
      </w:r>
      <w:r w:rsidRPr="00AD3285">
        <w:rPr>
          <w:i/>
          <w:iCs/>
        </w:rPr>
        <w:t>, Ulrich Goldmann</w:t>
      </w:r>
      <w:r w:rsidRPr="00AD3285">
        <w:rPr>
          <w:i/>
          <w:iCs/>
          <w:vertAlign w:val="superscript"/>
        </w:rPr>
        <w:t>1</w:t>
      </w:r>
      <w:r w:rsidRPr="00AD3285">
        <w:rPr>
          <w:i/>
          <w:iCs/>
        </w:rPr>
        <w:t>, Gernot Wolf</w:t>
      </w:r>
      <w:r w:rsidRPr="00AD3285">
        <w:rPr>
          <w:i/>
          <w:iCs/>
          <w:vertAlign w:val="superscript"/>
        </w:rPr>
        <w:t>1</w:t>
      </w:r>
      <w:r w:rsidRPr="00AD3285">
        <w:rPr>
          <w:i/>
          <w:iCs/>
        </w:rPr>
        <w:t>, Alvaro Ingles-Prieto</w:t>
      </w:r>
      <w:r w:rsidRPr="00AD3285">
        <w:rPr>
          <w:i/>
          <w:iCs/>
          <w:vertAlign w:val="superscript"/>
        </w:rPr>
        <w:t>1</w:t>
      </w:r>
      <w:r w:rsidRPr="00AD3285">
        <w:rPr>
          <w:i/>
          <w:iCs/>
        </w:rPr>
        <w:t>, Eva Lineiro-Retes</w:t>
      </w:r>
      <w:r w:rsidRPr="00AD3285">
        <w:rPr>
          <w:i/>
          <w:iCs/>
          <w:vertAlign w:val="superscript"/>
        </w:rPr>
        <w:t>1</w:t>
      </w:r>
      <w:r w:rsidRPr="00AD3285">
        <w:rPr>
          <w:i/>
          <w:iCs/>
        </w:rPr>
        <w:t>, Zuzana Gelov</w:t>
      </w:r>
      <w:r w:rsidRPr="00AD3285">
        <w:rPr>
          <w:rFonts w:eastAsia="Calibri"/>
          <w:i/>
          <w:iCs/>
          <w:color w:val="000000" w:themeColor="text1"/>
        </w:rPr>
        <w:t>á</w:t>
      </w:r>
      <w:r w:rsidRPr="00AD3285">
        <w:rPr>
          <w:i/>
          <w:iCs/>
          <w:vertAlign w:val="superscript"/>
        </w:rPr>
        <w:t>1</w:t>
      </w:r>
      <w:r w:rsidRPr="00AD3285">
        <w:rPr>
          <w:i/>
          <w:iCs/>
        </w:rPr>
        <w:t>, Ann-Katrin Hopp</w:t>
      </w:r>
      <w:r w:rsidRPr="00AD3285">
        <w:rPr>
          <w:i/>
          <w:iCs/>
          <w:vertAlign w:val="superscript"/>
        </w:rPr>
        <w:t>1</w:t>
      </w:r>
      <w:r w:rsidRPr="00AD3285">
        <w:rPr>
          <w:i/>
          <w:iCs/>
        </w:rPr>
        <w:t>, Eirini Christodoulaki</w:t>
      </w:r>
      <w:r w:rsidRPr="00AD3285">
        <w:rPr>
          <w:i/>
          <w:iCs/>
          <w:vertAlign w:val="superscript"/>
        </w:rPr>
        <w:t>1</w:t>
      </w:r>
      <w:r w:rsidRPr="00AD3285">
        <w:rPr>
          <w:i/>
          <w:iCs/>
        </w:rPr>
        <w:t>, Shao Thing Teoh</w:t>
      </w:r>
      <w:r w:rsidRPr="00AD3285">
        <w:rPr>
          <w:i/>
          <w:iCs/>
          <w:vertAlign w:val="superscript"/>
        </w:rPr>
        <w:t>1</w:t>
      </w:r>
      <w:r w:rsidRPr="00AD3285">
        <w:rPr>
          <w:i/>
          <w:iCs/>
        </w:rPr>
        <w:t>,</w:t>
      </w:r>
      <w:r w:rsidRPr="00AD3285">
        <w:t xml:space="preserve"> </w:t>
      </w:r>
      <w:r w:rsidRPr="00AD3285">
        <w:rPr>
          <w:i/>
          <w:iCs/>
        </w:rPr>
        <w:t>Philipp Leippe</w:t>
      </w:r>
      <w:r w:rsidRPr="00AD3285">
        <w:rPr>
          <w:i/>
          <w:iCs/>
          <w:vertAlign w:val="superscript"/>
        </w:rPr>
        <w:t>1</w:t>
      </w:r>
      <w:r w:rsidRPr="00AD3285">
        <w:rPr>
          <w:i/>
          <w:iCs/>
        </w:rPr>
        <w:t xml:space="preserve">, </w:t>
      </w:r>
      <w:r w:rsidR="00FE17F2" w:rsidRPr="00237F94">
        <w:rPr>
          <w:i/>
          <w:iCs/>
        </w:rPr>
        <w:t xml:space="preserve">Brianda </w:t>
      </w:r>
      <w:r w:rsidR="00FE17F2">
        <w:rPr>
          <w:i/>
          <w:iCs/>
        </w:rPr>
        <w:t xml:space="preserve">L. </w:t>
      </w:r>
      <w:r w:rsidR="00FE17F2" w:rsidRPr="00237F94">
        <w:rPr>
          <w:i/>
          <w:iCs/>
        </w:rPr>
        <w:t>Santini</w:t>
      </w:r>
      <w:r w:rsidR="00FE17F2" w:rsidRPr="00237F94">
        <w:rPr>
          <w:i/>
          <w:iCs/>
          <w:vertAlign w:val="superscript"/>
        </w:rPr>
        <w:t>1</w:t>
      </w:r>
      <w:r w:rsidR="00FE17F2">
        <w:rPr>
          <w:i/>
          <w:iCs/>
        </w:rPr>
        <w:t xml:space="preserve">, </w:t>
      </w:r>
      <w:r w:rsidRPr="00AD3285">
        <w:rPr>
          <w:i/>
          <w:iCs/>
        </w:rPr>
        <w:t>Manuele Rebsamen</w:t>
      </w:r>
      <w:r w:rsidRPr="00AD3285">
        <w:rPr>
          <w:i/>
          <w:iCs/>
          <w:vertAlign w:val="superscript"/>
        </w:rPr>
        <w:t>1</w:t>
      </w:r>
      <w:r w:rsidRPr="00AD3285">
        <w:rPr>
          <w:i/>
          <w:iCs/>
        </w:rPr>
        <w:t>, Sabrina Lindinger</w:t>
      </w:r>
      <w:r w:rsidRPr="00AD3285">
        <w:rPr>
          <w:i/>
          <w:iCs/>
          <w:vertAlign w:val="superscript"/>
        </w:rPr>
        <w:t>1</w:t>
      </w:r>
      <w:r w:rsidRPr="00AD3285">
        <w:rPr>
          <w:i/>
          <w:iCs/>
        </w:rPr>
        <w:t>, Iciar Serrano</w:t>
      </w:r>
      <w:r w:rsidRPr="00AD3285">
        <w:rPr>
          <w:i/>
          <w:iCs/>
          <w:vertAlign w:val="superscript"/>
        </w:rPr>
        <w:t>1</w:t>
      </w:r>
      <w:r w:rsidRPr="00AD3285">
        <w:rPr>
          <w:i/>
          <w:iCs/>
        </w:rPr>
        <w:t>, Svenja Onstein</w:t>
      </w:r>
      <w:r w:rsidRPr="00AD3285">
        <w:rPr>
          <w:i/>
          <w:iCs/>
          <w:vertAlign w:val="superscript"/>
        </w:rPr>
        <w:t>1</w:t>
      </w:r>
      <w:r w:rsidRPr="00AD3285">
        <w:rPr>
          <w:i/>
          <w:iCs/>
        </w:rPr>
        <w:t>, Christoph Klimek</w:t>
      </w:r>
      <w:r w:rsidRPr="00AD3285">
        <w:rPr>
          <w:i/>
          <w:iCs/>
          <w:vertAlign w:val="superscript"/>
        </w:rPr>
        <w:t>1</w:t>
      </w:r>
      <w:r w:rsidRPr="00AD3285">
        <w:rPr>
          <w:i/>
          <w:iCs/>
        </w:rPr>
        <w:t>, Barbara Barbosa</w:t>
      </w:r>
      <w:r w:rsidRPr="00AD3285">
        <w:rPr>
          <w:i/>
          <w:iCs/>
          <w:vertAlign w:val="superscript"/>
        </w:rPr>
        <w:t>1</w:t>
      </w:r>
      <w:r w:rsidRPr="00AD3285">
        <w:rPr>
          <w:i/>
          <w:iCs/>
        </w:rPr>
        <w:t>, Anastasiia Pantielieieva</w:t>
      </w:r>
      <w:r w:rsidRPr="00AD3285">
        <w:rPr>
          <w:i/>
          <w:iCs/>
          <w:vertAlign w:val="superscript"/>
        </w:rPr>
        <w:t>1</w:t>
      </w:r>
      <w:r w:rsidRPr="00AD3285">
        <w:rPr>
          <w:i/>
          <w:iCs/>
        </w:rPr>
        <w:t>, Vojtech Dvorak</w:t>
      </w:r>
      <w:r w:rsidRPr="00AD3285">
        <w:rPr>
          <w:i/>
          <w:iCs/>
          <w:vertAlign w:val="superscript"/>
        </w:rPr>
        <w:t>1</w:t>
      </w:r>
      <w:r w:rsidRPr="00AD3285">
        <w:rPr>
          <w:i/>
          <w:iCs/>
        </w:rPr>
        <w:t>, J. Thomas Hannich</w:t>
      </w:r>
      <w:r w:rsidRPr="00AD3285">
        <w:rPr>
          <w:i/>
          <w:iCs/>
          <w:vertAlign w:val="superscript"/>
        </w:rPr>
        <w:t>1</w:t>
      </w:r>
      <w:r w:rsidRPr="00AD3285">
        <w:rPr>
          <w:i/>
          <w:iCs/>
        </w:rPr>
        <w:t>, Julian Schoenbett</w:t>
      </w:r>
      <w:r w:rsidRPr="00AD3285">
        <w:rPr>
          <w:i/>
          <w:iCs/>
          <w:vertAlign w:val="superscript"/>
        </w:rPr>
        <w:t>2</w:t>
      </w:r>
      <w:r w:rsidRPr="00AD3285">
        <w:rPr>
          <w:i/>
          <w:iCs/>
        </w:rPr>
        <w:t>, Gilles Sansig</w:t>
      </w:r>
      <w:r w:rsidRPr="00AD3285">
        <w:rPr>
          <w:i/>
          <w:iCs/>
          <w:vertAlign w:val="superscript"/>
        </w:rPr>
        <w:t>2</w:t>
      </w:r>
      <w:r w:rsidRPr="00AD3285">
        <w:rPr>
          <w:i/>
          <w:iCs/>
        </w:rPr>
        <w:t>, Tamara A.M. Mocking</w:t>
      </w:r>
      <w:r>
        <w:rPr>
          <w:i/>
          <w:iCs/>
          <w:vertAlign w:val="superscript"/>
        </w:rPr>
        <w:t>3</w:t>
      </w:r>
      <w:r w:rsidRPr="00AD3285">
        <w:rPr>
          <w:i/>
          <w:iCs/>
        </w:rPr>
        <w:t>, Jasper F. Ooms</w:t>
      </w:r>
      <w:r>
        <w:rPr>
          <w:i/>
          <w:iCs/>
          <w:vertAlign w:val="superscript"/>
        </w:rPr>
        <w:t>3</w:t>
      </w:r>
      <w:r w:rsidRPr="00AD3285">
        <w:rPr>
          <w:i/>
          <w:iCs/>
        </w:rPr>
        <w:t xml:space="preserve">, </w:t>
      </w:r>
      <w:r w:rsidRPr="00AD3285">
        <w:rPr>
          <w:i/>
        </w:rPr>
        <w:t xml:space="preserve">Adriaan P. </w:t>
      </w:r>
      <w:r w:rsidRPr="00AD3285">
        <w:rPr>
          <w:i/>
          <w:iCs/>
        </w:rPr>
        <w:t>IJzerman</w:t>
      </w:r>
      <w:r w:rsidRPr="00AD3285">
        <w:rPr>
          <w:i/>
          <w:iCs/>
          <w:vertAlign w:val="superscript"/>
        </w:rPr>
        <w:t>3</w:t>
      </w:r>
      <w:r w:rsidRPr="00AD3285">
        <w:rPr>
          <w:i/>
        </w:rPr>
        <w:t xml:space="preserve">, Laura H. </w:t>
      </w:r>
      <w:r w:rsidRPr="00AD3285">
        <w:rPr>
          <w:i/>
          <w:iCs/>
        </w:rPr>
        <w:t>Heitman</w:t>
      </w:r>
      <w:r w:rsidRPr="00AD3285">
        <w:rPr>
          <w:i/>
          <w:iCs/>
          <w:vertAlign w:val="superscript"/>
        </w:rPr>
        <w:t>3</w:t>
      </w:r>
      <w:r w:rsidRPr="00AD3285">
        <w:rPr>
          <w:i/>
        </w:rPr>
        <w:t xml:space="preserve">, Peter </w:t>
      </w:r>
      <w:r w:rsidRPr="00AD3285">
        <w:rPr>
          <w:i/>
          <w:iCs/>
        </w:rPr>
        <w:t>Sykacek</w:t>
      </w:r>
      <w:r w:rsidRPr="00AD3285">
        <w:rPr>
          <w:i/>
          <w:iCs/>
          <w:vertAlign w:val="superscript"/>
        </w:rPr>
        <w:t>4</w:t>
      </w:r>
      <w:r w:rsidRPr="00AD3285">
        <w:rPr>
          <w:i/>
        </w:rPr>
        <w:t xml:space="preserve">, Juergen </w:t>
      </w:r>
      <w:r w:rsidRPr="00AD3285">
        <w:rPr>
          <w:i/>
          <w:iCs/>
        </w:rPr>
        <w:t>Reinhardt</w:t>
      </w:r>
      <w:r w:rsidRPr="00AD3285">
        <w:rPr>
          <w:i/>
          <w:iCs/>
          <w:vertAlign w:val="superscript"/>
        </w:rPr>
        <w:t>2</w:t>
      </w:r>
      <w:r w:rsidRPr="00AD3285">
        <w:rPr>
          <w:i/>
        </w:rPr>
        <w:t>, André C Müller</w:t>
      </w:r>
      <w:r w:rsidRPr="00AD3285">
        <w:rPr>
          <w:i/>
          <w:vertAlign w:val="superscript"/>
        </w:rPr>
        <w:t>1</w:t>
      </w:r>
      <w:r w:rsidRPr="00AD3285">
        <w:rPr>
          <w:i/>
        </w:rPr>
        <w:t>, Tabea Wiedmer</w:t>
      </w:r>
      <w:r w:rsidRPr="00AD3285">
        <w:rPr>
          <w:i/>
          <w:vertAlign w:val="superscript"/>
        </w:rPr>
        <w:t>1</w:t>
      </w:r>
      <w:r w:rsidRPr="00AD3285">
        <w:rPr>
          <w:i/>
        </w:rPr>
        <w:t>, Giulio Superti-Furga</w:t>
      </w:r>
      <w:r w:rsidRPr="00AD3285">
        <w:rPr>
          <w:i/>
          <w:vertAlign w:val="superscript"/>
        </w:rPr>
        <w:t>1,5</w:t>
      </w:r>
      <w:r w:rsidR="00322BE1">
        <w:rPr>
          <w:i/>
          <w:vertAlign w:val="superscript"/>
        </w:rPr>
        <w:t>,6</w:t>
      </w:r>
      <w:r w:rsidRPr="00AD3285">
        <w:rPr>
          <w:i/>
          <w:vertAlign w:val="superscript"/>
        </w:rPr>
        <w:t>*</w:t>
      </w:r>
      <w:r>
        <w:rPr>
          <w:i/>
          <w:vertAlign w:val="superscript"/>
        </w:rPr>
        <w:t xml:space="preserve"> </w:t>
      </w:r>
    </w:p>
    <w:p w14:paraId="2678038F" w14:textId="77777777" w:rsidR="0088557E" w:rsidRPr="00CA1CAF" w:rsidRDefault="0088557E" w:rsidP="00915241">
      <w:pPr>
        <w:rPr>
          <w:rFonts w:cstheme="minorHAnsi"/>
          <w:b/>
        </w:rPr>
      </w:pPr>
    </w:p>
    <w:p w14:paraId="652D48C2" w14:textId="77777777" w:rsidR="0088557E" w:rsidRPr="00CA1CAF" w:rsidRDefault="0088557E" w:rsidP="00915241">
      <w:pPr>
        <w:rPr>
          <w:rFonts w:cstheme="minorHAnsi"/>
          <w:b/>
          <w:bCs/>
        </w:rPr>
      </w:pPr>
      <w:r w:rsidRPr="00CA1CAF">
        <w:rPr>
          <w:rFonts w:cstheme="minorHAnsi"/>
          <w:b/>
          <w:bCs/>
        </w:rPr>
        <w:t xml:space="preserve">Affiliations: </w:t>
      </w:r>
    </w:p>
    <w:p w14:paraId="154D2314" w14:textId="77777777" w:rsidR="0088557E" w:rsidRPr="00CA1CAF" w:rsidRDefault="0088557E" w:rsidP="00915241">
      <w:pPr>
        <w:rPr>
          <w:rFonts w:cstheme="minorHAnsi"/>
          <w:sz w:val="18"/>
          <w:szCs w:val="18"/>
        </w:rPr>
      </w:pPr>
      <w:r w:rsidRPr="00CA1CAF">
        <w:rPr>
          <w:sz w:val="18"/>
          <w:szCs w:val="18"/>
          <w:vertAlign w:val="superscript"/>
        </w:rPr>
        <w:t>1</w:t>
      </w:r>
      <w:r w:rsidRPr="00CA1CAF">
        <w:rPr>
          <w:sz w:val="18"/>
          <w:szCs w:val="18"/>
        </w:rPr>
        <w:t xml:space="preserve"> CeMM Research Center for Molecular Medicine of the Austrian Academy of Sciences, 1090 Vienna, Austria</w:t>
      </w:r>
    </w:p>
    <w:p w14:paraId="4B477F9F" w14:textId="77777777" w:rsidR="0088557E" w:rsidRPr="00C53BB0" w:rsidRDefault="0088557E" w:rsidP="00915241">
      <w:pPr>
        <w:rPr>
          <w:sz w:val="18"/>
          <w:szCs w:val="18"/>
        </w:rPr>
      </w:pPr>
      <w:r w:rsidRPr="00C53BB0">
        <w:rPr>
          <w:sz w:val="18"/>
          <w:szCs w:val="18"/>
          <w:vertAlign w:val="superscript"/>
        </w:rPr>
        <w:t xml:space="preserve">2 </w:t>
      </w:r>
      <w:r w:rsidRPr="00C53BB0">
        <w:rPr>
          <w:sz w:val="18"/>
          <w:szCs w:val="18"/>
        </w:rPr>
        <w:t>Novartis Pharma AG</w:t>
      </w:r>
      <w:r w:rsidRPr="00D22E4B">
        <w:rPr>
          <w:sz w:val="18"/>
          <w:szCs w:val="18"/>
        </w:rPr>
        <w:t>, Novartis Biomedical Researc</w:t>
      </w:r>
      <w:r>
        <w:rPr>
          <w:sz w:val="18"/>
          <w:szCs w:val="18"/>
        </w:rPr>
        <w:t>h NBR/DSc</w:t>
      </w:r>
      <w:r w:rsidRPr="00C53BB0">
        <w:rPr>
          <w:sz w:val="18"/>
          <w:szCs w:val="18"/>
        </w:rPr>
        <w:t>, CH-4002 Basel, Switzerland</w:t>
      </w:r>
    </w:p>
    <w:p w14:paraId="10F7C9EF" w14:textId="77777777" w:rsidR="0088557E" w:rsidRPr="00CA1CAF" w:rsidRDefault="0088557E" w:rsidP="00915241">
      <w:pPr>
        <w:rPr>
          <w:sz w:val="18"/>
          <w:szCs w:val="18"/>
        </w:rPr>
      </w:pPr>
      <w:r w:rsidRPr="00CA1CAF">
        <w:rPr>
          <w:sz w:val="18"/>
          <w:szCs w:val="18"/>
          <w:vertAlign w:val="superscript"/>
        </w:rPr>
        <w:t>3</w:t>
      </w:r>
      <w:r w:rsidRPr="00CA1CAF">
        <w:rPr>
          <w:sz w:val="18"/>
          <w:szCs w:val="18"/>
        </w:rPr>
        <w:t xml:space="preserve"> Division of Drug Discovery and Safety, Leiden Academic Centre for Drug Research, Leiden University, Einsteinweg 55, 2333 CC Leiden, The Netherlands</w:t>
      </w:r>
    </w:p>
    <w:p w14:paraId="0D0AA121" w14:textId="77777777" w:rsidR="0088557E" w:rsidRPr="00CA1CAF" w:rsidRDefault="0088557E" w:rsidP="00915241">
      <w:pPr>
        <w:rPr>
          <w:sz w:val="18"/>
          <w:szCs w:val="18"/>
        </w:rPr>
      </w:pPr>
      <w:r w:rsidRPr="00CA1CAF">
        <w:rPr>
          <w:sz w:val="18"/>
          <w:szCs w:val="18"/>
          <w:vertAlign w:val="superscript"/>
        </w:rPr>
        <w:t>4</w:t>
      </w:r>
      <w:r w:rsidRPr="00CA1CAF">
        <w:rPr>
          <w:sz w:val="18"/>
          <w:szCs w:val="18"/>
        </w:rPr>
        <w:t xml:space="preserve"> Department of Biotechnology, University of Natural Resources and Life Sciences, 1190 Vienna, Austria</w:t>
      </w:r>
    </w:p>
    <w:p w14:paraId="6BD43784" w14:textId="77777777" w:rsidR="0088557E" w:rsidRDefault="0088557E" w:rsidP="00915241">
      <w:pPr>
        <w:jc w:val="both"/>
        <w:rPr>
          <w:rFonts w:cstheme="minorHAnsi"/>
          <w:sz w:val="18"/>
          <w:szCs w:val="18"/>
        </w:rPr>
      </w:pPr>
      <w:r w:rsidRPr="00CA1CAF">
        <w:rPr>
          <w:rFonts w:cstheme="minorHAnsi"/>
          <w:sz w:val="18"/>
          <w:szCs w:val="18"/>
          <w:vertAlign w:val="superscript"/>
        </w:rPr>
        <w:t xml:space="preserve">5 </w:t>
      </w:r>
      <w:r w:rsidRPr="00CA1CAF">
        <w:rPr>
          <w:rFonts w:cstheme="minorHAnsi"/>
          <w:sz w:val="18"/>
          <w:szCs w:val="18"/>
        </w:rPr>
        <w:t>Center for Physiology and Pharmacology, Medical University of Vienna, 1090 Vienna, Austria</w:t>
      </w:r>
    </w:p>
    <w:p w14:paraId="3D4872D9" w14:textId="159105DF" w:rsidR="00322BE1" w:rsidRPr="00CA1CAF" w:rsidRDefault="00322BE1" w:rsidP="00915241">
      <w:pPr>
        <w:jc w:val="both"/>
        <w:rPr>
          <w:rFonts w:cstheme="minorHAnsi"/>
          <w:sz w:val="18"/>
          <w:szCs w:val="18"/>
        </w:rPr>
      </w:pPr>
      <w:r w:rsidRPr="00322BE1">
        <w:rPr>
          <w:rFonts w:cstheme="minorHAnsi"/>
          <w:sz w:val="18"/>
          <w:szCs w:val="18"/>
          <w:vertAlign w:val="superscript"/>
        </w:rPr>
        <w:t>6</w:t>
      </w:r>
      <w:r>
        <w:rPr>
          <w:rFonts w:cstheme="minorHAnsi"/>
          <w:sz w:val="18"/>
          <w:szCs w:val="18"/>
        </w:rPr>
        <w:t xml:space="preserve"> </w:t>
      </w:r>
      <w:r w:rsidRPr="00322BE1">
        <w:rPr>
          <w:rFonts w:cstheme="minorHAnsi"/>
          <w:sz w:val="18"/>
          <w:szCs w:val="18"/>
        </w:rPr>
        <w:t>Fondazione Ri.MED, Palermo, Italy</w:t>
      </w:r>
    </w:p>
    <w:p w14:paraId="4762BC90" w14:textId="77777777" w:rsidR="0088557E" w:rsidRPr="00CA1CAF" w:rsidRDefault="0088557E" w:rsidP="00915241">
      <w:pPr>
        <w:rPr>
          <w:sz w:val="18"/>
          <w:szCs w:val="18"/>
        </w:rPr>
      </w:pPr>
      <w:r w:rsidRPr="00CA1CAF">
        <w:rPr>
          <w:sz w:val="18"/>
          <w:szCs w:val="18"/>
          <w:vertAlign w:val="superscript"/>
        </w:rPr>
        <w:t>#</w:t>
      </w:r>
      <w:r w:rsidRPr="00CA1CAF">
        <w:rPr>
          <w:sz w:val="18"/>
          <w:szCs w:val="18"/>
        </w:rPr>
        <w:t xml:space="preserve"> Equal contribution</w:t>
      </w:r>
    </w:p>
    <w:p w14:paraId="31E8B2A9" w14:textId="77777777" w:rsidR="0088557E" w:rsidRPr="00CA1CAF" w:rsidRDefault="0088557E" w:rsidP="00915241">
      <w:pPr>
        <w:jc w:val="both"/>
        <w:rPr>
          <w:rFonts w:cstheme="minorHAnsi"/>
          <w:sz w:val="18"/>
          <w:szCs w:val="18"/>
        </w:rPr>
      </w:pPr>
      <w:r w:rsidRPr="00CA1CAF">
        <w:rPr>
          <w:rFonts w:cstheme="minorHAnsi"/>
          <w:sz w:val="18"/>
          <w:szCs w:val="18"/>
          <w:vertAlign w:val="superscript"/>
        </w:rPr>
        <w:t>*</w:t>
      </w:r>
      <w:r w:rsidRPr="00CA1CAF">
        <w:rPr>
          <w:rFonts w:cstheme="minorHAnsi"/>
          <w:sz w:val="18"/>
          <w:szCs w:val="18"/>
        </w:rPr>
        <w:t xml:space="preserve"> Corresponding author</w:t>
      </w:r>
    </w:p>
    <w:p w14:paraId="471AC8C6" w14:textId="77777777" w:rsidR="0088557E" w:rsidRPr="00CA1CAF" w:rsidRDefault="0088557E" w:rsidP="00915241">
      <w:pPr>
        <w:rPr>
          <w:rFonts w:cstheme="minorHAnsi"/>
          <w:b/>
          <w:bCs/>
        </w:rPr>
      </w:pPr>
    </w:p>
    <w:p w14:paraId="6995236D" w14:textId="77777777" w:rsidR="0088557E" w:rsidRDefault="0088557E" w:rsidP="00915241">
      <w:pPr>
        <w:rPr>
          <w:rFonts w:cstheme="minorHAnsi"/>
        </w:rPr>
      </w:pPr>
      <w:r w:rsidRPr="00CA1CAF">
        <w:rPr>
          <w:rFonts w:cstheme="minorHAnsi"/>
        </w:rPr>
        <w:t>Corresponding author: Giulio Superti-Furga, CeMM Research Center for Molecular Medicine of the Austrian Academy of Sciences, Lazarettgasse 14, AKH BT 25.3, 1090 Vienna, Austria; email:  gsuperti@cemm.oeaw.ac.at, phone: +43 1 40160 70001</w:t>
      </w:r>
    </w:p>
    <w:p w14:paraId="0218542C" w14:textId="4F1437FD" w:rsidR="00D14ABA" w:rsidRDefault="00D14ABA">
      <w:pPr>
        <w:rPr>
          <w:rFonts w:cstheme="minorHAnsi"/>
        </w:rPr>
      </w:pPr>
      <w:r>
        <w:rPr>
          <w:rFonts w:cstheme="minorHAnsi"/>
        </w:rPr>
        <w:br w:type="page"/>
      </w:r>
    </w:p>
    <w:sdt>
      <w:sdtPr>
        <w:rPr>
          <w:rFonts w:asciiTheme="minorHAnsi" w:eastAsiaTheme="minorEastAsia" w:hAnsiTheme="minorHAnsi" w:cstheme="minorBidi"/>
          <w:color w:val="auto"/>
          <w:kern w:val="2"/>
          <w:sz w:val="22"/>
          <w:szCs w:val="22"/>
          <w14:ligatures w14:val="standardContextual"/>
        </w:rPr>
        <w:id w:val="-31496547"/>
        <w:docPartObj>
          <w:docPartGallery w:val="Table of Contents"/>
          <w:docPartUnique/>
        </w:docPartObj>
      </w:sdtPr>
      <w:sdtEndPr>
        <w:rPr>
          <w:b/>
          <w:bCs/>
          <w:noProof/>
        </w:rPr>
      </w:sdtEndPr>
      <w:sdtContent>
        <w:p w14:paraId="63606358" w14:textId="076BB3CC" w:rsidR="009F4461" w:rsidRPr="009F4461" w:rsidRDefault="009F4461">
          <w:pPr>
            <w:pStyle w:val="TOCHeading"/>
            <w:rPr>
              <w:b/>
              <w:color w:val="000000" w:themeColor="text1"/>
              <w:kern w:val="2"/>
              <w14:ligatures w14:val="standardContextual"/>
            </w:rPr>
          </w:pPr>
          <w:r w:rsidRPr="009F4461">
            <w:rPr>
              <w:b/>
              <w:color w:val="000000" w:themeColor="text1"/>
              <w:kern w:val="2"/>
              <w14:ligatures w14:val="standardContextual"/>
            </w:rPr>
            <w:t>Table of Content</w:t>
          </w:r>
        </w:p>
        <w:p w14:paraId="02834EF7" w14:textId="60FF40FB" w:rsidR="00466A79" w:rsidRDefault="009F4461">
          <w:pPr>
            <w:pStyle w:val="TOC1"/>
            <w:tabs>
              <w:tab w:val="right" w:leader="dot" w:pos="9016"/>
            </w:tabs>
            <w:rPr>
              <w:rFonts w:eastAsiaTheme="minorEastAsia"/>
              <w:noProof/>
              <w:sz w:val="24"/>
              <w:szCs w:val="24"/>
            </w:rPr>
          </w:pPr>
          <w:r>
            <w:fldChar w:fldCharType="begin"/>
          </w:r>
          <w:r>
            <w:instrText xml:space="preserve"> TOC \o "1-3" \h \z \u </w:instrText>
          </w:r>
          <w:r>
            <w:fldChar w:fldCharType="separate"/>
          </w:r>
          <w:hyperlink w:anchor="_Toc192510301" w:history="1">
            <w:r w:rsidR="00466A79" w:rsidRPr="001D7B6F">
              <w:rPr>
                <w:rStyle w:val="Hyperlink"/>
                <w:noProof/>
              </w:rPr>
              <w:t>Appendix Figures</w:t>
            </w:r>
            <w:r w:rsidR="00466A79">
              <w:rPr>
                <w:noProof/>
                <w:webHidden/>
              </w:rPr>
              <w:tab/>
            </w:r>
            <w:r w:rsidR="00466A79">
              <w:rPr>
                <w:noProof/>
                <w:webHidden/>
              </w:rPr>
              <w:fldChar w:fldCharType="begin"/>
            </w:r>
            <w:r w:rsidR="00466A79">
              <w:rPr>
                <w:noProof/>
                <w:webHidden/>
              </w:rPr>
              <w:instrText xml:space="preserve"> PAGEREF _Toc192510301 \h </w:instrText>
            </w:r>
            <w:r w:rsidR="00466A79">
              <w:rPr>
                <w:noProof/>
                <w:webHidden/>
              </w:rPr>
            </w:r>
            <w:r w:rsidR="00466A79">
              <w:rPr>
                <w:noProof/>
                <w:webHidden/>
              </w:rPr>
              <w:fldChar w:fldCharType="separate"/>
            </w:r>
            <w:r w:rsidR="00466A79">
              <w:rPr>
                <w:noProof/>
                <w:webHidden/>
              </w:rPr>
              <w:t>3</w:t>
            </w:r>
            <w:r w:rsidR="00466A79">
              <w:rPr>
                <w:noProof/>
                <w:webHidden/>
              </w:rPr>
              <w:fldChar w:fldCharType="end"/>
            </w:r>
          </w:hyperlink>
        </w:p>
        <w:p w14:paraId="02790F75" w14:textId="4C88B8F5" w:rsidR="00466A79" w:rsidRDefault="00466A79">
          <w:pPr>
            <w:pStyle w:val="TOC2"/>
            <w:tabs>
              <w:tab w:val="right" w:leader="dot" w:pos="9016"/>
            </w:tabs>
            <w:rPr>
              <w:rFonts w:eastAsiaTheme="minorEastAsia"/>
              <w:noProof/>
              <w:sz w:val="24"/>
              <w:szCs w:val="24"/>
            </w:rPr>
          </w:pPr>
          <w:hyperlink w:anchor="_Toc192510302" w:history="1">
            <w:r w:rsidRPr="001D7B6F">
              <w:rPr>
                <w:rStyle w:val="Hyperlink"/>
                <w:noProof/>
              </w:rPr>
              <w:t>Appendix Figure S1. General properties of SLC baits and total signal in the SLC-interactome.</w:t>
            </w:r>
            <w:r>
              <w:rPr>
                <w:noProof/>
                <w:webHidden/>
              </w:rPr>
              <w:tab/>
            </w:r>
            <w:r>
              <w:rPr>
                <w:noProof/>
                <w:webHidden/>
              </w:rPr>
              <w:fldChar w:fldCharType="begin"/>
            </w:r>
            <w:r>
              <w:rPr>
                <w:noProof/>
                <w:webHidden/>
              </w:rPr>
              <w:instrText xml:space="preserve"> PAGEREF _Toc192510302 \h </w:instrText>
            </w:r>
            <w:r>
              <w:rPr>
                <w:noProof/>
                <w:webHidden/>
              </w:rPr>
            </w:r>
            <w:r>
              <w:rPr>
                <w:noProof/>
                <w:webHidden/>
              </w:rPr>
              <w:fldChar w:fldCharType="separate"/>
            </w:r>
            <w:r>
              <w:rPr>
                <w:noProof/>
                <w:webHidden/>
              </w:rPr>
              <w:t>3</w:t>
            </w:r>
            <w:r>
              <w:rPr>
                <w:noProof/>
                <w:webHidden/>
              </w:rPr>
              <w:fldChar w:fldCharType="end"/>
            </w:r>
          </w:hyperlink>
        </w:p>
        <w:p w14:paraId="7952B80C" w14:textId="7AE0153A" w:rsidR="00466A79" w:rsidRDefault="00466A79">
          <w:pPr>
            <w:pStyle w:val="TOC2"/>
            <w:tabs>
              <w:tab w:val="right" w:leader="dot" w:pos="9016"/>
            </w:tabs>
            <w:rPr>
              <w:rFonts w:eastAsiaTheme="minorEastAsia"/>
              <w:noProof/>
              <w:sz w:val="24"/>
              <w:szCs w:val="24"/>
            </w:rPr>
          </w:pPr>
          <w:hyperlink w:anchor="_Toc192510303" w:history="1">
            <w:r w:rsidRPr="001D7B6F">
              <w:rPr>
                <w:rStyle w:val="Hyperlink"/>
                <w:noProof/>
              </w:rPr>
              <w:t>Appendix Figure S2. Distribution of preys per SLC AP-MS experiment before and after scoring and quantitative characteristics of the scored SLC-interactome.</w:t>
            </w:r>
            <w:r>
              <w:rPr>
                <w:noProof/>
                <w:webHidden/>
              </w:rPr>
              <w:tab/>
            </w:r>
            <w:r>
              <w:rPr>
                <w:noProof/>
                <w:webHidden/>
              </w:rPr>
              <w:fldChar w:fldCharType="begin"/>
            </w:r>
            <w:r>
              <w:rPr>
                <w:noProof/>
                <w:webHidden/>
              </w:rPr>
              <w:instrText xml:space="preserve"> PAGEREF _Toc192510303 \h </w:instrText>
            </w:r>
            <w:r>
              <w:rPr>
                <w:noProof/>
                <w:webHidden/>
              </w:rPr>
            </w:r>
            <w:r>
              <w:rPr>
                <w:noProof/>
                <w:webHidden/>
              </w:rPr>
              <w:fldChar w:fldCharType="separate"/>
            </w:r>
            <w:r>
              <w:rPr>
                <w:noProof/>
                <w:webHidden/>
              </w:rPr>
              <w:t>4</w:t>
            </w:r>
            <w:r>
              <w:rPr>
                <w:noProof/>
                <w:webHidden/>
              </w:rPr>
              <w:fldChar w:fldCharType="end"/>
            </w:r>
          </w:hyperlink>
        </w:p>
        <w:p w14:paraId="756B8C34" w14:textId="5BB71888" w:rsidR="00466A79" w:rsidRDefault="00466A79">
          <w:pPr>
            <w:pStyle w:val="TOC2"/>
            <w:tabs>
              <w:tab w:val="right" w:leader="dot" w:pos="9016"/>
            </w:tabs>
            <w:rPr>
              <w:rFonts w:eastAsiaTheme="minorEastAsia"/>
              <w:noProof/>
              <w:sz w:val="24"/>
              <w:szCs w:val="24"/>
            </w:rPr>
          </w:pPr>
          <w:hyperlink w:anchor="_Toc192510304" w:history="1">
            <w:r w:rsidRPr="001D7B6F">
              <w:rPr>
                <w:rStyle w:val="Hyperlink"/>
                <w:noProof/>
              </w:rPr>
              <w:t>Appendix Figure S3. Prediction of the PPI-structure of SLC16-family chaperone interactions SLC16A7-BSG and SLC16A1-EMB by AlphaFold multimer.</w:t>
            </w:r>
            <w:r>
              <w:rPr>
                <w:noProof/>
                <w:webHidden/>
              </w:rPr>
              <w:tab/>
            </w:r>
            <w:r>
              <w:rPr>
                <w:noProof/>
                <w:webHidden/>
              </w:rPr>
              <w:fldChar w:fldCharType="begin"/>
            </w:r>
            <w:r>
              <w:rPr>
                <w:noProof/>
                <w:webHidden/>
              </w:rPr>
              <w:instrText xml:space="preserve"> PAGEREF _Toc192510304 \h </w:instrText>
            </w:r>
            <w:r>
              <w:rPr>
                <w:noProof/>
                <w:webHidden/>
              </w:rPr>
            </w:r>
            <w:r>
              <w:rPr>
                <w:noProof/>
                <w:webHidden/>
              </w:rPr>
              <w:fldChar w:fldCharType="separate"/>
            </w:r>
            <w:r>
              <w:rPr>
                <w:noProof/>
                <w:webHidden/>
              </w:rPr>
              <w:t>5</w:t>
            </w:r>
            <w:r>
              <w:rPr>
                <w:noProof/>
                <w:webHidden/>
              </w:rPr>
              <w:fldChar w:fldCharType="end"/>
            </w:r>
          </w:hyperlink>
        </w:p>
        <w:p w14:paraId="39EE9629" w14:textId="27ED2015" w:rsidR="00466A79" w:rsidRDefault="00466A79">
          <w:pPr>
            <w:pStyle w:val="TOC2"/>
            <w:tabs>
              <w:tab w:val="right" w:leader="dot" w:pos="9016"/>
            </w:tabs>
            <w:rPr>
              <w:rFonts w:eastAsiaTheme="minorEastAsia"/>
              <w:noProof/>
              <w:sz w:val="24"/>
              <w:szCs w:val="24"/>
            </w:rPr>
          </w:pPr>
          <w:hyperlink w:anchor="_Toc192510305" w:history="1">
            <w:r w:rsidRPr="001D7B6F">
              <w:rPr>
                <w:rStyle w:val="Hyperlink"/>
                <w:noProof/>
              </w:rPr>
              <w:t>Appendix Figure S4. Structural prediction of SLC-chaperone interactions of SLC7A7-SLC3A2.</w:t>
            </w:r>
            <w:r>
              <w:rPr>
                <w:noProof/>
                <w:webHidden/>
              </w:rPr>
              <w:tab/>
            </w:r>
            <w:r>
              <w:rPr>
                <w:noProof/>
                <w:webHidden/>
              </w:rPr>
              <w:fldChar w:fldCharType="begin"/>
            </w:r>
            <w:r>
              <w:rPr>
                <w:noProof/>
                <w:webHidden/>
              </w:rPr>
              <w:instrText xml:space="preserve"> PAGEREF _Toc192510305 \h </w:instrText>
            </w:r>
            <w:r>
              <w:rPr>
                <w:noProof/>
                <w:webHidden/>
              </w:rPr>
            </w:r>
            <w:r>
              <w:rPr>
                <w:noProof/>
                <w:webHidden/>
              </w:rPr>
              <w:fldChar w:fldCharType="separate"/>
            </w:r>
            <w:r>
              <w:rPr>
                <w:noProof/>
                <w:webHidden/>
              </w:rPr>
              <w:t>6</w:t>
            </w:r>
            <w:r>
              <w:rPr>
                <w:noProof/>
                <w:webHidden/>
              </w:rPr>
              <w:fldChar w:fldCharType="end"/>
            </w:r>
          </w:hyperlink>
        </w:p>
        <w:p w14:paraId="110372B2" w14:textId="118B0FB5" w:rsidR="00466A79" w:rsidRDefault="00466A79">
          <w:pPr>
            <w:pStyle w:val="TOC2"/>
            <w:tabs>
              <w:tab w:val="right" w:leader="dot" w:pos="9016"/>
            </w:tabs>
            <w:rPr>
              <w:rFonts w:eastAsiaTheme="minorEastAsia"/>
              <w:noProof/>
              <w:sz w:val="24"/>
              <w:szCs w:val="24"/>
            </w:rPr>
          </w:pPr>
          <w:hyperlink w:anchor="_Toc192510306" w:history="1">
            <w:r w:rsidRPr="001D7B6F">
              <w:rPr>
                <w:rStyle w:val="Hyperlink"/>
                <w:noProof/>
              </w:rPr>
              <w:t>Appendix Figure S5. Structural prediction of SLC-chaperone interactions of SLC9A2-CHP1.</w:t>
            </w:r>
            <w:r>
              <w:rPr>
                <w:noProof/>
                <w:webHidden/>
              </w:rPr>
              <w:tab/>
            </w:r>
            <w:r>
              <w:rPr>
                <w:noProof/>
                <w:webHidden/>
              </w:rPr>
              <w:fldChar w:fldCharType="begin"/>
            </w:r>
            <w:r>
              <w:rPr>
                <w:noProof/>
                <w:webHidden/>
              </w:rPr>
              <w:instrText xml:space="preserve"> PAGEREF _Toc192510306 \h </w:instrText>
            </w:r>
            <w:r>
              <w:rPr>
                <w:noProof/>
                <w:webHidden/>
              </w:rPr>
            </w:r>
            <w:r>
              <w:rPr>
                <w:noProof/>
                <w:webHidden/>
              </w:rPr>
              <w:fldChar w:fldCharType="separate"/>
            </w:r>
            <w:r>
              <w:rPr>
                <w:noProof/>
                <w:webHidden/>
              </w:rPr>
              <w:t>7</w:t>
            </w:r>
            <w:r>
              <w:rPr>
                <w:noProof/>
                <w:webHidden/>
              </w:rPr>
              <w:fldChar w:fldCharType="end"/>
            </w:r>
          </w:hyperlink>
        </w:p>
        <w:p w14:paraId="4C53DB4C" w14:textId="2D15CF49" w:rsidR="00466A79" w:rsidRDefault="00466A79">
          <w:pPr>
            <w:pStyle w:val="TOC2"/>
            <w:tabs>
              <w:tab w:val="right" w:leader="dot" w:pos="9016"/>
            </w:tabs>
            <w:rPr>
              <w:rFonts w:eastAsiaTheme="minorEastAsia"/>
              <w:noProof/>
              <w:sz w:val="24"/>
              <w:szCs w:val="24"/>
            </w:rPr>
          </w:pPr>
          <w:hyperlink w:anchor="_Toc192510307" w:history="1">
            <w:r w:rsidRPr="001D7B6F">
              <w:rPr>
                <w:rStyle w:val="Hyperlink"/>
                <w:noProof/>
              </w:rPr>
              <w:t>Appendix Figure S6. Prediction of the structure of SLC30A1 interactions with GALNT2 by AlphaFold multimer.</w:t>
            </w:r>
            <w:r>
              <w:rPr>
                <w:noProof/>
                <w:webHidden/>
              </w:rPr>
              <w:tab/>
            </w:r>
            <w:r>
              <w:rPr>
                <w:noProof/>
                <w:webHidden/>
              </w:rPr>
              <w:fldChar w:fldCharType="begin"/>
            </w:r>
            <w:r>
              <w:rPr>
                <w:noProof/>
                <w:webHidden/>
              </w:rPr>
              <w:instrText xml:space="preserve"> PAGEREF _Toc192510307 \h </w:instrText>
            </w:r>
            <w:r>
              <w:rPr>
                <w:noProof/>
                <w:webHidden/>
              </w:rPr>
            </w:r>
            <w:r>
              <w:rPr>
                <w:noProof/>
                <w:webHidden/>
              </w:rPr>
              <w:fldChar w:fldCharType="separate"/>
            </w:r>
            <w:r>
              <w:rPr>
                <w:noProof/>
                <w:webHidden/>
              </w:rPr>
              <w:t>8</w:t>
            </w:r>
            <w:r>
              <w:rPr>
                <w:noProof/>
                <w:webHidden/>
              </w:rPr>
              <w:fldChar w:fldCharType="end"/>
            </w:r>
          </w:hyperlink>
        </w:p>
        <w:p w14:paraId="4810DB22" w14:textId="38538471" w:rsidR="00466A79" w:rsidRDefault="00466A79">
          <w:pPr>
            <w:pStyle w:val="TOC2"/>
            <w:tabs>
              <w:tab w:val="right" w:leader="dot" w:pos="9016"/>
            </w:tabs>
            <w:rPr>
              <w:rFonts w:eastAsiaTheme="minorEastAsia"/>
              <w:noProof/>
              <w:sz w:val="24"/>
              <w:szCs w:val="24"/>
            </w:rPr>
          </w:pPr>
          <w:hyperlink w:anchor="_Toc192510308" w:history="1">
            <w:r w:rsidRPr="001D7B6F">
              <w:rPr>
                <w:rStyle w:val="Hyperlink"/>
                <w:noProof/>
              </w:rPr>
              <w:t>Appendix Figure S7. Assessment of quality of hierarchical clustering of SLC-interactome profiles by the mean silhouette width.</w:t>
            </w:r>
            <w:r>
              <w:rPr>
                <w:noProof/>
                <w:webHidden/>
              </w:rPr>
              <w:tab/>
            </w:r>
            <w:r>
              <w:rPr>
                <w:noProof/>
                <w:webHidden/>
              </w:rPr>
              <w:fldChar w:fldCharType="begin"/>
            </w:r>
            <w:r>
              <w:rPr>
                <w:noProof/>
                <w:webHidden/>
              </w:rPr>
              <w:instrText xml:space="preserve"> PAGEREF _Toc192510308 \h </w:instrText>
            </w:r>
            <w:r>
              <w:rPr>
                <w:noProof/>
                <w:webHidden/>
              </w:rPr>
            </w:r>
            <w:r>
              <w:rPr>
                <w:noProof/>
                <w:webHidden/>
              </w:rPr>
              <w:fldChar w:fldCharType="separate"/>
            </w:r>
            <w:r>
              <w:rPr>
                <w:noProof/>
                <w:webHidden/>
              </w:rPr>
              <w:t>8</w:t>
            </w:r>
            <w:r>
              <w:rPr>
                <w:noProof/>
                <w:webHidden/>
              </w:rPr>
              <w:fldChar w:fldCharType="end"/>
            </w:r>
          </w:hyperlink>
        </w:p>
        <w:p w14:paraId="49B3901A" w14:textId="2E6902A1" w:rsidR="00466A79" w:rsidRDefault="00466A79">
          <w:pPr>
            <w:pStyle w:val="TOC2"/>
            <w:tabs>
              <w:tab w:val="right" w:leader="dot" w:pos="9016"/>
            </w:tabs>
            <w:rPr>
              <w:rFonts w:eastAsiaTheme="minorEastAsia"/>
              <w:noProof/>
              <w:sz w:val="24"/>
              <w:szCs w:val="24"/>
            </w:rPr>
          </w:pPr>
          <w:hyperlink w:anchor="_Toc192510309" w:history="1">
            <w:r w:rsidRPr="001D7B6F">
              <w:rPr>
                <w:rStyle w:val="Hyperlink"/>
                <w:noProof/>
              </w:rPr>
              <w:t>Appendix Figure S8. Functional enrichment analysis of clusters obtained from the SLC-interactome profile analysis.</w:t>
            </w:r>
            <w:r>
              <w:rPr>
                <w:noProof/>
                <w:webHidden/>
              </w:rPr>
              <w:tab/>
            </w:r>
            <w:r>
              <w:rPr>
                <w:noProof/>
                <w:webHidden/>
              </w:rPr>
              <w:fldChar w:fldCharType="begin"/>
            </w:r>
            <w:r>
              <w:rPr>
                <w:noProof/>
                <w:webHidden/>
              </w:rPr>
              <w:instrText xml:space="preserve"> PAGEREF _Toc192510309 \h </w:instrText>
            </w:r>
            <w:r>
              <w:rPr>
                <w:noProof/>
                <w:webHidden/>
              </w:rPr>
            </w:r>
            <w:r>
              <w:rPr>
                <w:noProof/>
                <w:webHidden/>
              </w:rPr>
              <w:fldChar w:fldCharType="separate"/>
            </w:r>
            <w:r>
              <w:rPr>
                <w:noProof/>
                <w:webHidden/>
              </w:rPr>
              <w:t>9</w:t>
            </w:r>
            <w:r>
              <w:rPr>
                <w:noProof/>
                <w:webHidden/>
              </w:rPr>
              <w:fldChar w:fldCharType="end"/>
            </w:r>
          </w:hyperlink>
        </w:p>
        <w:p w14:paraId="08AC0CBE" w14:textId="45A32EF8" w:rsidR="00466A79" w:rsidRDefault="00466A79">
          <w:pPr>
            <w:pStyle w:val="TOC2"/>
            <w:tabs>
              <w:tab w:val="right" w:leader="dot" w:pos="9016"/>
            </w:tabs>
            <w:rPr>
              <w:rFonts w:eastAsiaTheme="minorEastAsia"/>
              <w:noProof/>
              <w:sz w:val="24"/>
              <w:szCs w:val="24"/>
            </w:rPr>
          </w:pPr>
          <w:hyperlink w:anchor="_Toc192510310" w:history="1">
            <w:r w:rsidRPr="001D7B6F">
              <w:rPr>
                <w:rStyle w:val="Hyperlink"/>
                <w:noProof/>
              </w:rPr>
              <w:t>Appendix Figure S9. Co-purification analysis in the SLC-interactome to deconvolute interactome organization to protein complexes.</w:t>
            </w:r>
            <w:r>
              <w:rPr>
                <w:noProof/>
                <w:webHidden/>
              </w:rPr>
              <w:tab/>
            </w:r>
            <w:r>
              <w:rPr>
                <w:noProof/>
                <w:webHidden/>
              </w:rPr>
              <w:fldChar w:fldCharType="begin"/>
            </w:r>
            <w:r>
              <w:rPr>
                <w:noProof/>
                <w:webHidden/>
              </w:rPr>
              <w:instrText xml:space="preserve"> PAGEREF _Toc192510310 \h </w:instrText>
            </w:r>
            <w:r>
              <w:rPr>
                <w:noProof/>
                <w:webHidden/>
              </w:rPr>
            </w:r>
            <w:r>
              <w:rPr>
                <w:noProof/>
                <w:webHidden/>
              </w:rPr>
              <w:fldChar w:fldCharType="separate"/>
            </w:r>
            <w:r>
              <w:rPr>
                <w:noProof/>
                <w:webHidden/>
              </w:rPr>
              <w:t>10</w:t>
            </w:r>
            <w:r>
              <w:rPr>
                <w:noProof/>
                <w:webHidden/>
              </w:rPr>
              <w:fldChar w:fldCharType="end"/>
            </w:r>
          </w:hyperlink>
        </w:p>
        <w:p w14:paraId="4B717997" w14:textId="5231082E" w:rsidR="00466A79" w:rsidRDefault="00466A79">
          <w:pPr>
            <w:pStyle w:val="TOC2"/>
            <w:tabs>
              <w:tab w:val="right" w:leader="dot" w:pos="9016"/>
            </w:tabs>
            <w:rPr>
              <w:rFonts w:eastAsiaTheme="minorEastAsia"/>
              <w:noProof/>
              <w:sz w:val="24"/>
              <w:szCs w:val="24"/>
            </w:rPr>
          </w:pPr>
          <w:hyperlink w:anchor="_Toc192510311" w:history="1">
            <w:r w:rsidRPr="001D7B6F">
              <w:rPr>
                <w:rStyle w:val="Hyperlink"/>
                <w:noProof/>
              </w:rPr>
              <w:t>Appendix Figure S10. Protein Stability after RNAi-mediated depletion of interactor and additional drug treatment.</w:t>
            </w:r>
            <w:r>
              <w:rPr>
                <w:noProof/>
                <w:webHidden/>
              </w:rPr>
              <w:tab/>
            </w:r>
            <w:r>
              <w:rPr>
                <w:noProof/>
                <w:webHidden/>
              </w:rPr>
              <w:fldChar w:fldCharType="begin"/>
            </w:r>
            <w:r>
              <w:rPr>
                <w:noProof/>
                <w:webHidden/>
              </w:rPr>
              <w:instrText xml:space="preserve"> PAGEREF _Toc192510311 \h </w:instrText>
            </w:r>
            <w:r>
              <w:rPr>
                <w:noProof/>
                <w:webHidden/>
              </w:rPr>
            </w:r>
            <w:r>
              <w:rPr>
                <w:noProof/>
                <w:webHidden/>
              </w:rPr>
              <w:fldChar w:fldCharType="separate"/>
            </w:r>
            <w:r>
              <w:rPr>
                <w:noProof/>
                <w:webHidden/>
              </w:rPr>
              <w:t>12</w:t>
            </w:r>
            <w:r>
              <w:rPr>
                <w:noProof/>
                <w:webHidden/>
              </w:rPr>
              <w:fldChar w:fldCharType="end"/>
            </w:r>
          </w:hyperlink>
        </w:p>
        <w:p w14:paraId="5B5261E8" w14:textId="1D584FD1" w:rsidR="00466A79" w:rsidRDefault="00466A79">
          <w:pPr>
            <w:pStyle w:val="TOC2"/>
            <w:tabs>
              <w:tab w:val="right" w:leader="dot" w:pos="9016"/>
            </w:tabs>
            <w:rPr>
              <w:rFonts w:eastAsiaTheme="minorEastAsia"/>
              <w:noProof/>
              <w:sz w:val="24"/>
              <w:szCs w:val="24"/>
            </w:rPr>
          </w:pPr>
          <w:hyperlink w:anchor="_Toc192510312" w:history="1">
            <w:r w:rsidRPr="001D7B6F">
              <w:rPr>
                <w:rStyle w:val="Hyperlink"/>
                <w:noProof/>
              </w:rPr>
              <w:t>Appendix Figure S11. Protein Stability after cDNA-mediated overexpression of interactor and additional drug treatment.</w:t>
            </w:r>
            <w:r>
              <w:rPr>
                <w:noProof/>
                <w:webHidden/>
              </w:rPr>
              <w:tab/>
            </w:r>
            <w:r>
              <w:rPr>
                <w:noProof/>
                <w:webHidden/>
              </w:rPr>
              <w:fldChar w:fldCharType="begin"/>
            </w:r>
            <w:r>
              <w:rPr>
                <w:noProof/>
                <w:webHidden/>
              </w:rPr>
              <w:instrText xml:space="preserve"> PAGEREF _Toc192510312 \h </w:instrText>
            </w:r>
            <w:r>
              <w:rPr>
                <w:noProof/>
                <w:webHidden/>
              </w:rPr>
            </w:r>
            <w:r>
              <w:rPr>
                <w:noProof/>
                <w:webHidden/>
              </w:rPr>
              <w:fldChar w:fldCharType="separate"/>
            </w:r>
            <w:r>
              <w:rPr>
                <w:noProof/>
                <w:webHidden/>
              </w:rPr>
              <w:t>14</w:t>
            </w:r>
            <w:r>
              <w:rPr>
                <w:noProof/>
                <w:webHidden/>
              </w:rPr>
              <w:fldChar w:fldCharType="end"/>
            </w:r>
          </w:hyperlink>
        </w:p>
        <w:p w14:paraId="0282E923" w14:textId="3F7E85E3" w:rsidR="00466A79" w:rsidRDefault="00466A79">
          <w:pPr>
            <w:pStyle w:val="TOC2"/>
            <w:tabs>
              <w:tab w:val="right" w:leader="dot" w:pos="9016"/>
            </w:tabs>
            <w:rPr>
              <w:rFonts w:eastAsiaTheme="minorEastAsia"/>
              <w:noProof/>
              <w:sz w:val="24"/>
              <w:szCs w:val="24"/>
            </w:rPr>
          </w:pPr>
          <w:hyperlink w:anchor="_Toc192510313" w:history="1">
            <w:r w:rsidRPr="001D7B6F">
              <w:rPr>
                <w:rStyle w:val="Hyperlink"/>
                <w:noProof/>
              </w:rPr>
              <w:t>Appendix Figure S12. SLC16A6 binds to an SCF E3 ubiquitin-protein ligase complex which mediates abundance.</w:t>
            </w:r>
            <w:r>
              <w:rPr>
                <w:noProof/>
                <w:webHidden/>
              </w:rPr>
              <w:tab/>
            </w:r>
            <w:r>
              <w:rPr>
                <w:noProof/>
                <w:webHidden/>
              </w:rPr>
              <w:fldChar w:fldCharType="begin"/>
            </w:r>
            <w:r>
              <w:rPr>
                <w:noProof/>
                <w:webHidden/>
              </w:rPr>
              <w:instrText xml:space="preserve"> PAGEREF _Toc192510313 \h </w:instrText>
            </w:r>
            <w:r>
              <w:rPr>
                <w:noProof/>
                <w:webHidden/>
              </w:rPr>
            </w:r>
            <w:r>
              <w:rPr>
                <w:noProof/>
                <w:webHidden/>
              </w:rPr>
              <w:fldChar w:fldCharType="separate"/>
            </w:r>
            <w:r>
              <w:rPr>
                <w:noProof/>
                <w:webHidden/>
              </w:rPr>
              <w:t>15</w:t>
            </w:r>
            <w:r>
              <w:rPr>
                <w:noProof/>
                <w:webHidden/>
              </w:rPr>
              <w:fldChar w:fldCharType="end"/>
            </w:r>
          </w:hyperlink>
        </w:p>
        <w:p w14:paraId="73368DBF" w14:textId="317CC3C3" w:rsidR="00466A79" w:rsidRDefault="00466A79">
          <w:pPr>
            <w:pStyle w:val="TOC2"/>
            <w:tabs>
              <w:tab w:val="right" w:leader="dot" w:pos="9016"/>
            </w:tabs>
            <w:rPr>
              <w:rFonts w:eastAsiaTheme="minorEastAsia"/>
              <w:noProof/>
              <w:sz w:val="24"/>
              <w:szCs w:val="24"/>
            </w:rPr>
          </w:pPr>
          <w:hyperlink w:anchor="_Toc192510314" w:history="1">
            <w:r w:rsidRPr="001D7B6F">
              <w:rPr>
                <w:rStyle w:val="Hyperlink"/>
                <w:noProof/>
              </w:rPr>
              <w:t>Appendix Figure S13. Correlation of relative fluorescence changes after depletion of SLC interactors in protein stability and subcellular localization assays (Fig. 4, Fig. 6).</w:t>
            </w:r>
            <w:r>
              <w:rPr>
                <w:noProof/>
                <w:webHidden/>
              </w:rPr>
              <w:tab/>
            </w:r>
            <w:r>
              <w:rPr>
                <w:noProof/>
                <w:webHidden/>
              </w:rPr>
              <w:fldChar w:fldCharType="begin"/>
            </w:r>
            <w:r>
              <w:rPr>
                <w:noProof/>
                <w:webHidden/>
              </w:rPr>
              <w:instrText xml:space="preserve"> PAGEREF _Toc192510314 \h </w:instrText>
            </w:r>
            <w:r>
              <w:rPr>
                <w:noProof/>
                <w:webHidden/>
              </w:rPr>
            </w:r>
            <w:r>
              <w:rPr>
                <w:noProof/>
                <w:webHidden/>
              </w:rPr>
              <w:fldChar w:fldCharType="separate"/>
            </w:r>
            <w:r>
              <w:rPr>
                <w:noProof/>
                <w:webHidden/>
              </w:rPr>
              <w:t>17</w:t>
            </w:r>
            <w:r>
              <w:rPr>
                <w:noProof/>
                <w:webHidden/>
              </w:rPr>
              <w:fldChar w:fldCharType="end"/>
            </w:r>
          </w:hyperlink>
        </w:p>
        <w:p w14:paraId="0EE8D4C6" w14:textId="2AF1400C" w:rsidR="00466A79" w:rsidRDefault="00466A79">
          <w:pPr>
            <w:pStyle w:val="TOC2"/>
            <w:tabs>
              <w:tab w:val="right" w:leader="dot" w:pos="9016"/>
            </w:tabs>
            <w:rPr>
              <w:rFonts w:eastAsiaTheme="minorEastAsia"/>
              <w:noProof/>
              <w:sz w:val="24"/>
              <w:szCs w:val="24"/>
            </w:rPr>
          </w:pPr>
          <w:hyperlink w:anchor="_Toc192510315" w:history="1">
            <w:r w:rsidRPr="001D7B6F">
              <w:rPr>
                <w:rStyle w:val="Hyperlink"/>
                <w:noProof/>
              </w:rPr>
              <w:t>Appendix Figure S14. Transporter function of SLC1A3 and SLC22A3 is affected by the depletion of distinct interactors.</w:t>
            </w:r>
            <w:r>
              <w:rPr>
                <w:noProof/>
                <w:webHidden/>
              </w:rPr>
              <w:tab/>
            </w:r>
            <w:r>
              <w:rPr>
                <w:noProof/>
                <w:webHidden/>
              </w:rPr>
              <w:fldChar w:fldCharType="begin"/>
            </w:r>
            <w:r>
              <w:rPr>
                <w:noProof/>
                <w:webHidden/>
              </w:rPr>
              <w:instrText xml:space="preserve"> PAGEREF _Toc192510315 \h </w:instrText>
            </w:r>
            <w:r>
              <w:rPr>
                <w:noProof/>
                <w:webHidden/>
              </w:rPr>
            </w:r>
            <w:r>
              <w:rPr>
                <w:noProof/>
                <w:webHidden/>
              </w:rPr>
              <w:fldChar w:fldCharType="separate"/>
            </w:r>
            <w:r>
              <w:rPr>
                <w:noProof/>
                <w:webHidden/>
              </w:rPr>
              <w:t>18</w:t>
            </w:r>
            <w:r>
              <w:rPr>
                <w:noProof/>
                <w:webHidden/>
              </w:rPr>
              <w:fldChar w:fldCharType="end"/>
            </w:r>
          </w:hyperlink>
        </w:p>
        <w:p w14:paraId="15376834" w14:textId="074036AC" w:rsidR="00466A79" w:rsidRDefault="00466A79">
          <w:pPr>
            <w:pStyle w:val="TOC2"/>
            <w:tabs>
              <w:tab w:val="right" w:leader="dot" w:pos="9016"/>
            </w:tabs>
            <w:rPr>
              <w:rFonts w:eastAsiaTheme="minorEastAsia"/>
              <w:noProof/>
              <w:sz w:val="24"/>
              <w:szCs w:val="24"/>
            </w:rPr>
          </w:pPr>
          <w:hyperlink w:anchor="_Toc192510316" w:history="1">
            <w:r w:rsidRPr="001D7B6F">
              <w:rPr>
                <w:rStyle w:val="Hyperlink"/>
                <w:noProof/>
              </w:rPr>
              <w:t>Appendix Figure S15. Transporter assay results for SLC39A8 after RNAi of selected interaction partners.</w:t>
            </w:r>
            <w:r>
              <w:rPr>
                <w:noProof/>
                <w:webHidden/>
              </w:rPr>
              <w:tab/>
            </w:r>
            <w:r>
              <w:rPr>
                <w:noProof/>
                <w:webHidden/>
              </w:rPr>
              <w:fldChar w:fldCharType="begin"/>
            </w:r>
            <w:r>
              <w:rPr>
                <w:noProof/>
                <w:webHidden/>
              </w:rPr>
              <w:instrText xml:space="preserve"> PAGEREF _Toc192510316 \h </w:instrText>
            </w:r>
            <w:r>
              <w:rPr>
                <w:noProof/>
                <w:webHidden/>
              </w:rPr>
            </w:r>
            <w:r>
              <w:rPr>
                <w:noProof/>
                <w:webHidden/>
              </w:rPr>
              <w:fldChar w:fldCharType="separate"/>
            </w:r>
            <w:r>
              <w:rPr>
                <w:noProof/>
                <w:webHidden/>
              </w:rPr>
              <w:t>19</w:t>
            </w:r>
            <w:r>
              <w:rPr>
                <w:noProof/>
                <w:webHidden/>
              </w:rPr>
              <w:fldChar w:fldCharType="end"/>
            </w:r>
          </w:hyperlink>
        </w:p>
        <w:p w14:paraId="09A5562E" w14:textId="770255CC" w:rsidR="00466A79" w:rsidRDefault="00466A79">
          <w:pPr>
            <w:pStyle w:val="TOC2"/>
            <w:tabs>
              <w:tab w:val="right" w:leader="dot" w:pos="9016"/>
            </w:tabs>
            <w:rPr>
              <w:rFonts w:eastAsiaTheme="minorEastAsia"/>
              <w:noProof/>
              <w:sz w:val="24"/>
              <w:szCs w:val="24"/>
            </w:rPr>
          </w:pPr>
          <w:hyperlink w:anchor="_Toc192510317" w:history="1">
            <w:r w:rsidRPr="001D7B6F">
              <w:rPr>
                <w:rStyle w:val="Hyperlink"/>
                <w:noProof/>
              </w:rPr>
              <w:t>Appendix Figure S16. Prediction of the structure of SLC43A2 interactions with LIN7C and MPP1 by AlphaFold multimer</w:t>
            </w:r>
            <w:r>
              <w:rPr>
                <w:noProof/>
                <w:webHidden/>
              </w:rPr>
              <w:tab/>
            </w:r>
            <w:r>
              <w:rPr>
                <w:noProof/>
                <w:webHidden/>
              </w:rPr>
              <w:fldChar w:fldCharType="begin"/>
            </w:r>
            <w:r>
              <w:rPr>
                <w:noProof/>
                <w:webHidden/>
              </w:rPr>
              <w:instrText xml:space="preserve"> PAGEREF _Toc192510317 \h </w:instrText>
            </w:r>
            <w:r>
              <w:rPr>
                <w:noProof/>
                <w:webHidden/>
              </w:rPr>
            </w:r>
            <w:r>
              <w:rPr>
                <w:noProof/>
                <w:webHidden/>
              </w:rPr>
              <w:fldChar w:fldCharType="separate"/>
            </w:r>
            <w:r>
              <w:rPr>
                <w:noProof/>
                <w:webHidden/>
              </w:rPr>
              <w:t>20</w:t>
            </w:r>
            <w:r>
              <w:rPr>
                <w:noProof/>
                <w:webHidden/>
              </w:rPr>
              <w:fldChar w:fldCharType="end"/>
            </w:r>
          </w:hyperlink>
        </w:p>
        <w:p w14:paraId="26E7DA89" w14:textId="0326574B" w:rsidR="00466A79" w:rsidRDefault="00466A79">
          <w:pPr>
            <w:pStyle w:val="TOC2"/>
            <w:tabs>
              <w:tab w:val="right" w:leader="dot" w:pos="9016"/>
            </w:tabs>
            <w:rPr>
              <w:rFonts w:eastAsiaTheme="minorEastAsia"/>
              <w:noProof/>
              <w:sz w:val="24"/>
              <w:szCs w:val="24"/>
            </w:rPr>
          </w:pPr>
          <w:hyperlink w:anchor="_Toc192510318" w:history="1">
            <w:r w:rsidRPr="001D7B6F">
              <w:rPr>
                <w:rStyle w:val="Hyperlink"/>
                <w:noProof/>
              </w:rPr>
              <w:t>Appendix Figure S17. Coverage of endogenously expressed SLCs in transcriptome, full proteome profiling of HEK 293 Jump-In compared to SLC-interactome.</w:t>
            </w:r>
            <w:r>
              <w:rPr>
                <w:noProof/>
                <w:webHidden/>
              </w:rPr>
              <w:tab/>
            </w:r>
            <w:r>
              <w:rPr>
                <w:noProof/>
                <w:webHidden/>
              </w:rPr>
              <w:fldChar w:fldCharType="begin"/>
            </w:r>
            <w:r>
              <w:rPr>
                <w:noProof/>
                <w:webHidden/>
              </w:rPr>
              <w:instrText xml:space="preserve"> PAGEREF _Toc192510318 \h </w:instrText>
            </w:r>
            <w:r>
              <w:rPr>
                <w:noProof/>
                <w:webHidden/>
              </w:rPr>
            </w:r>
            <w:r>
              <w:rPr>
                <w:noProof/>
                <w:webHidden/>
              </w:rPr>
              <w:fldChar w:fldCharType="separate"/>
            </w:r>
            <w:r>
              <w:rPr>
                <w:noProof/>
                <w:webHidden/>
              </w:rPr>
              <w:t>21</w:t>
            </w:r>
            <w:r>
              <w:rPr>
                <w:noProof/>
                <w:webHidden/>
              </w:rPr>
              <w:fldChar w:fldCharType="end"/>
            </w:r>
          </w:hyperlink>
        </w:p>
        <w:p w14:paraId="27B7799C" w14:textId="4BD7847C" w:rsidR="00466A79" w:rsidRDefault="00466A79">
          <w:pPr>
            <w:pStyle w:val="TOC2"/>
            <w:tabs>
              <w:tab w:val="right" w:leader="dot" w:pos="9016"/>
            </w:tabs>
            <w:rPr>
              <w:rFonts w:eastAsiaTheme="minorEastAsia"/>
              <w:noProof/>
              <w:sz w:val="24"/>
              <w:szCs w:val="24"/>
            </w:rPr>
          </w:pPr>
          <w:hyperlink w:anchor="_Toc192510319" w:history="1">
            <w:r w:rsidRPr="001D7B6F">
              <w:rPr>
                <w:rStyle w:val="Hyperlink"/>
                <w:noProof/>
              </w:rPr>
              <w:t>Appendix Figure S18. Validation of 9 DsiRNA pools used for validation of SLC-protein interactions.</w:t>
            </w:r>
            <w:r>
              <w:rPr>
                <w:noProof/>
                <w:webHidden/>
              </w:rPr>
              <w:tab/>
            </w:r>
            <w:r>
              <w:rPr>
                <w:noProof/>
                <w:webHidden/>
              </w:rPr>
              <w:fldChar w:fldCharType="begin"/>
            </w:r>
            <w:r>
              <w:rPr>
                <w:noProof/>
                <w:webHidden/>
              </w:rPr>
              <w:instrText xml:space="preserve"> PAGEREF _Toc192510319 \h </w:instrText>
            </w:r>
            <w:r>
              <w:rPr>
                <w:noProof/>
                <w:webHidden/>
              </w:rPr>
            </w:r>
            <w:r>
              <w:rPr>
                <w:noProof/>
                <w:webHidden/>
              </w:rPr>
              <w:fldChar w:fldCharType="separate"/>
            </w:r>
            <w:r>
              <w:rPr>
                <w:noProof/>
                <w:webHidden/>
              </w:rPr>
              <w:t>22</w:t>
            </w:r>
            <w:r>
              <w:rPr>
                <w:noProof/>
                <w:webHidden/>
              </w:rPr>
              <w:fldChar w:fldCharType="end"/>
            </w:r>
          </w:hyperlink>
        </w:p>
        <w:p w14:paraId="44C12638" w14:textId="424ED288" w:rsidR="00466A79" w:rsidRDefault="00466A79">
          <w:pPr>
            <w:pStyle w:val="TOC2"/>
            <w:tabs>
              <w:tab w:val="right" w:leader="dot" w:pos="9016"/>
            </w:tabs>
            <w:rPr>
              <w:rFonts w:eastAsiaTheme="minorEastAsia"/>
              <w:noProof/>
              <w:sz w:val="24"/>
              <w:szCs w:val="24"/>
            </w:rPr>
          </w:pPr>
          <w:hyperlink w:anchor="_Toc192510320" w:history="1">
            <w:r w:rsidRPr="001D7B6F">
              <w:rPr>
                <w:rStyle w:val="Hyperlink"/>
                <w:noProof/>
              </w:rPr>
              <w:t>Appendix Figure S19. Assessment of RNAi efficiency targeting three SLC interaction partners by full proteome profiling in HEK 293 Jump In T-REx cells.</w:t>
            </w:r>
            <w:r>
              <w:rPr>
                <w:noProof/>
                <w:webHidden/>
              </w:rPr>
              <w:tab/>
            </w:r>
            <w:r>
              <w:rPr>
                <w:noProof/>
                <w:webHidden/>
              </w:rPr>
              <w:fldChar w:fldCharType="begin"/>
            </w:r>
            <w:r>
              <w:rPr>
                <w:noProof/>
                <w:webHidden/>
              </w:rPr>
              <w:instrText xml:space="preserve"> PAGEREF _Toc192510320 \h </w:instrText>
            </w:r>
            <w:r>
              <w:rPr>
                <w:noProof/>
                <w:webHidden/>
              </w:rPr>
            </w:r>
            <w:r>
              <w:rPr>
                <w:noProof/>
                <w:webHidden/>
              </w:rPr>
              <w:fldChar w:fldCharType="separate"/>
            </w:r>
            <w:r>
              <w:rPr>
                <w:noProof/>
                <w:webHidden/>
              </w:rPr>
              <w:t>23</w:t>
            </w:r>
            <w:r>
              <w:rPr>
                <w:noProof/>
                <w:webHidden/>
              </w:rPr>
              <w:fldChar w:fldCharType="end"/>
            </w:r>
          </w:hyperlink>
        </w:p>
        <w:p w14:paraId="40E4164C" w14:textId="46FAFD69" w:rsidR="00466A79" w:rsidRDefault="00466A79">
          <w:pPr>
            <w:pStyle w:val="TOC1"/>
            <w:tabs>
              <w:tab w:val="right" w:leader="dot" w:pos="9016"/>
            </w:tabs>
            <w:rPr>
              <w:rFonts w:eastAsiaTheme="minorEastAsia"/>
              <w:noProof/>
              <w:sz w:val="24"/>
              <w:szCs w:val="24"/>
            </w:rPr>
          </w:pPr>
          <w:hyperlink w:anchor="_Toc192510321" w:history="1">
            <w:r w:rsidRPr="001D7B6F">
              <w:rPr>
                <w:rStyle w:val="Hyperlink"/>
                <w:noProof/>
              </w:rPr>
              <w:t>References</w:t>
            </w:r>
            <w:r>
              <w:rPr>
                <w:noProof/>
                <w:webHidden/>
              </w:rPr>
              <w:tab/>
            </w:r>
            <w:r>
              <w:rPr>
                <w:noProof/>
                <w:webHidden/>
              </w:rPr>
              <w:fldChar w:fldCharType="begin"/>
            </w:r>
            <w:r>
              <w:rPr>
                <w:noProof/>
                <w:webHidden/>
              </w:rPr>
              <w:instrText xml:space="preserve"> PAGEREF _Toc192510321 \h </w:instrText>
            </w:r>
            <w:r>
              <w:rPr>
                <w:noProof/>
                <w:webHidden/>
              </w:rPr>
            </w:r>
            <w:r>
              <w:rPr>
                <w:noProof/>
                <w:webHidden/>
              </w:rPr>
              <w:fldChar w:fldCharType="separate"/>
            </w:r>
            <w:r>
              <w:rPr>
                <w:noProof/>
                <w:webHidden/>
              </w:rPr>
              <w:t>24</w:t>
            </w:r>
            <w:r>
              <w:rPr>
                <w:noProof/>
                <w:webHidden/>
              </w:rPr>
              <w:fldChar w:fldCharType="end"/>
            </w:r>
          </w:hyperlink>
        </w:p>
        <w:p w14:paraId="053CD468" w14:textId="0938474A" w:rsidR="00055EAF" w:rsidRDefault="009F4461" w:rsidP="00915241">
          <w:pPr>
            <w:rPr>
              <w:b/>
              <w:bCs/>
              <w:noProof/>
            </w:rPr>
          </w:pPr>
          <w:r>
            <w:rPr>
              <w:b/>
              <w:bCs/>
              <w:noProof/>
            </w:rPr>
            <w:fldChar w:fldCharType="end"/>
          </w:r>
        </w:p>
      </w:sdtContent>
    </w:sdt>
    <w:p w14:paraId="4804A340" w14:textId="77777777" w:rsidR="0088557E" w:rsidRPr="00CA1CAF" w:rsidRDefault="0088557E" w:rsidP="00915241">
      <w:pPr>
        <w:pStyle w:val="Heading1"/>
      </w:pPr>
      <w:bookmarkStart w:id="0" w:name="_Toc192510301"/>
      <w:r w:rsidRPr="00CA1CAF">
        <w:lastRenderedPageBreak/>
        <w:t>Appendix Figures</w:t>
      </w:r>
      <w:bookmarkEnd w:id="0"/>
    </w:p>
    <w:p w14:paraId="74F7BA38" w14:textId="77777777" w:rsidR="0088557E" w:rsidRPr="00CA1CAF" w:rsidRDefault="0088557E" w:rsidP="00915241">
      <w:pPr>
        <w:jc w:val="both"/>
        <w:rPr>
          <w:rFonts w:cstheme="minorHAnsi"/>
          <w:sz w:val="18"/>
          <w:szCs w:val="18"/>
        </w:rPr>
      </w:pPr>
      <w:r>
        <w:rPr>
          <w:rFonts w:cstheme="minorHAnsi"/>
          <w:noProof/>
          <w:sz w:val="18"/>
          <w:szCs w:val="18"/>
        </w:rPr>
        <w:drawing>
          <wp:inline distT="0" distB="0" distL="0" distR="0" wp14:anchorId="3DF55649" wp14:editId="07FBF6C1">
            <wp:extent cx="5727700" cy="5434965"/>
            <wp:effectExtent l="0" t="0" r="6350" b="0"/>
            <wp:docPr id="1252903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5434965"/>
                    </a:xfrm>
                    <a:prstGeom prst="rect">
                      <a:avLst/>
                    </a:prstGeom>
                    <a:noFill/>
                    <a:ln>
                      <a:noFill/>
                    </a:ln>
                  </pic:spPr>
                </pic:pic>
              </a:graphicData>
            </a:graphic>
          </wp:inline>
        </w:drawing>
      </w:r>
    </w:p>
    <w:p w14:paraId="5EAFECBB" w14:textId="0C8BF3C6" w:rsidR="0088557E" w:rsidRPr="00CA1CAF" w:rsidRDefault="0088557E" w:rsidP="00915241">
      <w:pPr>
        <w:jc w:val="both"/>
      </w:pPr>
      <w:bookmarkStart w:id="1" w:name="_Toc192510302"/>
      <w:r w:rsidRPr="001D7470">
        <w:rPr>
          <w:rStyle w:val="Heading2Char"/>
        </w:rPr>
        <w:t>Appendix Figure S1. General properties of SLC baits and total signal in the SLC-interactome.</w:t>
      </w:r>
      <w:bookmarkEnd w:id="1"/>
      <w:r w:rsidRPr="001D7470">
        <w:rPr>
          <w:rStyle w:val="Heading2Char"/>
        </w:rPr>
        <w:t xml:space="preserve"> </w:t>
      </w:r>
      <w:r w:rsidRPr="00CA1CAF">
        <w:rPr>
          <w:b/>
          <w:bCs/>
          <w:sz w:val="18"/>
          <w:szCs w:val="18"/>
        </w:rPr>
        <w:t xml:space="preserve">(A) </w:t>
      </w:r>
      <w:r w:rsidRPr="00CA1CAF">
        <w:rPr>
          <w:sz w:val="18"/>
          <w:szCs w:val="18"/>
        </w:rPr>
        <w:t xml:space="preserve">Distribution of SLC bait spectral counts (blue) for each AP-MS in the SLC-interactome. The median bait signal was 239 spectral counts (black dashed line), with a 25% quantile of 129.5 and a 75% quantile of 406 spectral counts. The right </w:t>
      </w:r>
      <w:r>
        <w:rPr>
          <w:sz w:val="18"/>
          <w:szCs w:val="18"/>
        </w:rPr>
        <w:t>y</w:t>
      </w:r>
      <w:r w:rsidRPr="00CA1CAF">
        <w:rPr>
          <w:sz w:val="18"/>
          <w:szCs w:val="18"/>
        </w:rPr>
        <w:t xml:space="preserve">-axis indicates cumulative fraction of baits in percentage and the purple line shows the fraction of baits across the SLC-interactome dataset. </w:t>
      </w:r>
      <w:r w:rsidRPr="00CA1CAF">
        <w:rPr>
          <w:b/>
          <w:bCs/>
          <w:sz w:val="18"/>
          <w:szCs w:val="18"/>
        </w:rPr>
        <w:t xml:space="preserve">(B) </w:t>
      </w:r>
      <w:r w:rsidRPr="00CA1CAF">
        <w:rPr>
          <w:sz w:val="18"/>
          <w:szCs w:val="18"/>
        </w:rPr>
        <w:t>log</w:t>
      </w:r>
      <w:r w:rsidRPr="000C7DE0">
        <w:rPr>
          <w:sz w:val="18"/>
          <w:szCs w:val="18"/>
        </w:rPr>
        <w:t>2</w:t>
      </w:r>
      <w:r w:rsidRPr="00CA1CAF">
        <w:rPr>
          <w:sz w:val="18"/>
          <w:szCs w:val="18"/>
        </w:rPr>
        <w:t xml:space="preserve"> of bait spectral count versus log2 of the summed spectral count per sample</w:t>
      </w:r>
      <w:r>
        <w:rPr>
          <w:sz w:val="18"/>
          <w:szCs w:val="18"/>
        </w:rPr>
        <w:t xml:space="preserve"> </w:t>
      </w:r>
      <w:r w:rsidRPr="00CA1CAF">
        <w:rPr>
          <w:sz w:val="18"/>
          <w:szCs w:val="18"/>
        </w:rPr>
        <w:t xml:space="preserve">(n=405). Marginal histograms of data distribution are indicated. </w:t>
      </w:r>
      <w:r w:rsidR="00C34C41" w:rsidRPr="00C34C41">
        <w:rPr>
          <w:sz w:val="18"/>
          <w:szCs w:val="18"/>
        </w:rPr>
        <w:t xml:space="preserve">Pearson correlation coefficient, R=0.22, p&lt;0.001 </w:t>
      </w:r>
      <w:r w:rsidR="00C34C41">
        <w:rPr>
          <w:sz w:val="18"/>
          <w:szCs w:val="18"/>
        </w:rPr>
        <w:t xml:space="preserve">shows no correlation. </w:t>
      </w:r>
      <w:r w:rsidRPr="00CA1CAF">
        <w:rPr>
          <w:b/>
          <w:bCs/>
          <w:sz w:val="18"/>
          <w:szCs w:val="18"/>
        </w:rPr>
        <w:t xml:space="preserve">(C) </w:t>
      </w:r>
      <w:r w:rsidRPr="00CA1CAF">
        <w:rPr>
          <w:sz w:val="18"/>
          <w:szCs w:val="18"/>
        </w:rPr>
        <w:t xml:space="preserve">Average spectral count signal per bait plotted against the count of interactions scored per bait protein. </w:t>
      </w:r>
      <w:bookmarkStart w:id="2" w:name="_Hlk169783378"/>
      <w:r w:rsidRPr="00CA1CAF">
        <w:rPr>
          <w:sz w:val="18"/>
          <w:szCs w:val="18"/>
        </w:rPr>
        <w:t>Marginal histograms of data distribution are indicated</w:t>
      </w:r>
      <w:bookmarkEnd w:id="2"/>
      <w:r>
        <w:rPr>
          <w:sz w:val="18"/>
          <w:szCs w:val="18"/>
        </w:rPr>
        <w:t xml:space="preserve"> </w:t>
      </w:r>
      <w:r w:rsidRPr="00CA1CAF">
        <w:rPr>
          <w:sz w:val="18"/>
          <w:szCs w:val="18"/>
        </w:rPr>
        <w:t xml:space="preserve">(n=405). </w:t>
      </w:r>
      <w:r w:rsidR="00D80854" w:rsidRPr="00D80854">
        <w:rPr>
          <w:sz w:val="18"/>
          <w:szCs w:val="18"/>
        </w:rPr>
        <w:t xml:space="preserve">Pearson correlation coefficient, R=0.07, p=0.162 </w:t>
      </w:r>
      <w:r w:rsidR="00D80854">
        <w:rPr>
          <w:sz w:val="18"/>
          <w:szCs w:val="18"/>
        </w:rPr>
        <w:t xml:space="preserve">shows no correlation. </w:t>
      </w:r>
      <w:r w:rsidRPr="00CA1CAF">
        <w:rPr>
          <w:b/>
          <w:bCs/>
          <w:sz w:val="18"/>
          <w:szCs w:val="18"/>
        </w:rPr>
        <w:t>(D)</w:t>
      </w:r>
      <w:r w:rsidRPr="00CA1CAF">
        <w:rPr>
          <w:sz w:val="18"/>
          <w:szCs w:val="18"/>
        </w:rPr>
        <w:t xml:space="preserve"> For each bait protein the log2FC versus GFP negative controls (x-axis) is plotted against the log2FC versus the average spectral counts of the bait protein quantified within the rest of the interactome samples</w:t>
      </w:r>
      <w:r>
        <w:rPr>
          <w:sz w:val="18"/>
          <w:szCs w:val="18"/>
        </w:rPr>
        <w:t xml:space="preserve"> (SLCs and GFP negative controls)</w:t>
      </w:r>
      <w:r w:rsidRPr="00CA1CAF">
        <w:rPr>
          <w:sz w:val="18"/>
          <w:szCs w:val="18"/>
        </w:rPr>
        <w:t>. Some baits show a lower enrichment against the other SLC AP-MS samples</w:t>
      </w:r>
      <w:r>
        <w:rPr>
          <w:sz w:val="18"/>
          <w:szCs w:val="18"/>
        </w:rPr>
        <w:t xml:space="preserve"> compared to the enrichment against GFP negative controls</w:t>
      </w:r>
      <w:r w:rsidRPr="00CA1CAF">
        <w:rPr>
          <w:sz w:val="18"/>
          <w:szCs w:val="18"/>
        </w:rPr>
        <w:t xml:space="preserve">, indicating that the log2FC derived against the other SLC AP-MS samples is a more conservative measure to filter background </w:t>
      </w:r>
      <w:r>
        <w:rPr>
          <w:sz w:val="18"/>
          <w:szCs w:val="18"/>
        </w:rPr>
        <w:t xml:space="preserve">of </w:t>
      </w:r>
      <w:r w:rsidRPr="00CA1CAF">
        <w:rPr>
          <w:sz w:val="18"/>
          <w:szCs w:val="18"/>
        </w:rPr>
        <w:t xml:space="preserve">SLC </w:t>
      </w:r>
      <w:r>
        <w:rPr>
          <w:sz w:val="18"/>
          <w:szCs w:val="18"/>
        </w:rPr>
        <w:t>AP-MS experiments,</w:t>
      </w:r>
      <w:r w:rsidRPr="00CA1CAF">
        <w:rPr>
          <w:sz w:val="18"/>
          <w:szCs w:val="18"/>
        </w:rPr>
        <w:t xml:space="preserve"> thus modulating stricter the SLC/TMprotein</w:t>
      </w:r>
      <w:r>
        <w:rPr>
          <w:sz w:val="18"/>
          <w:szCs w:val="18"/>
        </w:rPr>
        <w:t>-</w:t>
      </w:r>
      <w:r w:rsidRPr="00CA1CAF">
        <w:rPr>
          <w:sz w:val="18"/>
          <w:szCs w:val="18"/>
        </w:rPr>
        <w:t xml:space="preserve"> specific background. </w:t>
      </w:r>
      <w:r>
        <w:rPr>
          <w:sz w:val="18"/>
          <w:szCs w:val="18"/>
        </w:rPr>
        <w:t>Three</w:t>
      </w:r>
      <w:r w:rsidRPr="00CA1CAF">
        <w:rPr>
          <w:sz w:val="18"/>
          <w:szCs w:val="18"/>
        </w:rPr>
        <w:t xml:space="preserve"> SLCs </w:t>
      </w:r>
      <w:r>
        <w:rPr>
          <w:sz w:val="18"/>
          <w:szCs w:val="18"/>
        </w:rPr>
        <w:t>(</w:t>
      </w:r>
      <w:r w:rsidRPr="007C68DD">
        <w:rPr>
          <w:sz w:val="18"/>
          <w:szCs w:val="18"/>
        </w:rPr>
        <w:t>SLC25A3, SLC25A5, SLC22A25</w:t>
      </w:r>
      <w:r>
        <w:rPr>
          <w:sz w:val="18"/>
          <w:szCs w:val="18"/>
        </w:rPr>
        <w:t xml:space="preserve">) </w:t>
      </w:r>
      <w:r w:rsidRPr="00CA1CAF">
        <w:rPr>
          <w:sz w:val="18"/>
          <w:szCs w:val="18"/>
        </w:rPr>
        <w:t xml:space="preserve">did not pass the </w:t>
      </w:r>
      <w:r w:rsidR="00700692" w:rsidRPr="00CA1CAF">
        <w:rPr>
          <w:sz w:val="18"/>
          <w:szCs w:val="18"/>
        </w:rPr>
        <w:t xml:space="preserve">scoring </w:t>
      </w:r>
      <w:r w:rsidRPr="00CA1CAF">
        <w:rPr>
          <w:sz w:val="18"/>
          <w:szCs w:val="18"/>
        </w:rPr>
        <w:t>probability threshold (red dots), whereas 40</w:t>
      </w:r>
      <w:r>
        <w:rPr>
          <w:sz w:val="18"/>
          <w:szCs w:val="18"/>
        </w:rPr>
        <w:t>2</w:t>
      </w:r>
      <w:r w:rsidRPr="00CA1CAF">
        <w:rPr>
          <w:sz w:val="18"/>
          <w:szCs w:val="18"/>
        </w:rPr>
        <w:t xml:space="preserve"> baits were found significantly scored (blue dots).</w:t>
      </w:r>
      <w:r>
        <w:rPr>
          <w:sz w:val="18"/>
          <w:szCs w:val="18"/>
        </w:rPr>
        <w:t xml:space="preserve"> </w:t>
      </w:r>
      <w:r w:rsidRPr="00B81C56">
        <w:rPr>
          <w:sz w:val="18"/>
          <w:szCs w:val="18"/>
        </w:rPr>
        <w:t xml:space="preserve">The black dotted line indicates a linear regression passing through the origin, and the black </w:t>
      </w:r>
      <w:r w:rsidR="00700692">
        <w:rPr>
          <w:sz w:val="18"/>
          <w:szCs w:val="18"/>
        </w:rPr>
        <w:t>dotted</w:t>
      </w:r>
      <w:r w:rsidRPr="00B81C56">
        <w:rPr>
          <w:sz w:val="18"/>
          <w:szCs w:val="18"/>
        </w:rPr>
        <w:t xml:space="preserve"> line indicates the linear regression </w:t>
      </w:r>
      <w:r w:rsidR="00700692">
        <w:rPr>
          <w:sz w:val="18"/>
          <w:szCs w:val="18"/>
        </w:rPr>
        <w:t xml:space="preserve">and the blacked line the </w:t>
      </w:r>
      <w:r w:rsidRPr="00B81C56">
        <w:rPr>
          <w:sz w:val="18"/>
          <w:szCs w:val="18"/>
        </w:rPr>
        <w:t>Pearson correlatio</w:t>
      </w:r>
      <w:r w:rsidR="00700692">
        <w:rPr>
          <w:sz w:val="18"/>
          <w:szCs w:val="18"/>
        </w:rPr>
        <w:t xml:space="preserve">n (Peason correlation coefficient, </w:t>
      </w:r>
      <w:r w:rsidR="00700692" w:rsidRPr="00700692">
        <w:rPr>
          <w:sz w:val="18"/>
          <w:szCs w:val="18"/>
        </w:rPr>
        <w:t>R=0.93, p-value &lt; 0.01</w:t>
      </w:r>
      <w:r w:rsidR="00700692">
        <w:rPr>
          <w:sz w:val="18"/>
          <w:szCs w:val="18"/>
        </w:rPr>
        <w:t>)</w:t>
      </w:r>
      <w:r w:rsidRPr="00B81C56">
        <w:rPr>
          <w:sz w:val="18"/>
          <w:szCs w:val="18"/>
        </w:rPr>
        <w:t>. The marginal distributions are indicated as histograms.</w:t>
      </w:r>
    </w:p>
    <w:p w14:paraId="1E199B7A" w14:textId="77777777" w:rsidR="0088557E" w:rsidRPr="00CA1CAF" w:rsidRDefault="0088557E" w:rsidP="00915241">
      <w:r w:rsidRPr="00CA1CAF">
        <w:br w:type="page"/>
      </w:r>
    </w:p>
    <w:p w14:paraId="576E4D1E" w14:textId="77777777" w:rsidR="0088557E" w:rsidRPr="00CA1CAF" w:rsidRDefault="0088557E" w:rsidP="00915241">
      <w:pPr>
        <w:rPr>
          <w:sz w:val="18"/>
          <w:szCs w:val="18"/>
        </w:rPr>
      </w:pPr>
      <w:r>
        <w:rPr>
          <w:noProof/>
          <w:sz w:val="18"/>
          <w:szCs w:val="18"/>
        </w:rPr>
        <w:lastRenderedPageBreak/>
        <w:drawing>
          <wp:inline distT="0" distB="0" distL="0" distR="0" wp14:anchorId="6836017C" wp14:editId="7AE3D4CD">
            <wp:extent cx="5730875" cy="8240395"/>
            <wp:effectExtent l="0" t="0" r="3175" b="8255"/>
            <wp:docPr id="21050429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875" cy="8240395"/>
                    </a:xfrm>
                    <a:prstGeom prst="rect">
                      <a:avLst/>
                    </a:prstGeom>
                    <a:noFill/>
                    <a:ln>
                      <a:noFill/>
                    </a:ln>
                  </pic:spPr>
                </pic:pic>
              </a:graphicData>
            </a:graphic>
          </wp:inline>
        </w:drawing>
      </w:r>
    </w:p>
    <w:p w14:paraId="3D9161C6" w14:textId="2B82862C" w:rsidR="0088557E" w:rsidRPr="009421AA" w:rsidRDefault="0088557E" w:rsidP="00915241">
      <w:pPr>
        <w:jc w:val="both"/>
        <w:rPr>
          <w:sz w:val="18"/>
          <w:szCs w:val="18"/>
        </w:rPr>
      </w:pPr>
      <w:bookmarkStart w:id="3" w:name="_Toc192510303"/>
      <w:r w:rsidRPr="001D7470">
        <w:rPr>
          <w:rStyle w:val="Heading2Char"/>
        </w:rPr>
        <w:t>Appendix Figure S2. Distribution of preys per SLC AP-MS experiment before and after scoring and quantitative characteristics of the scored SLC-interactome.</w:t>
      </w:r>
      <w:bookmarkEnd w:id="3"/>
      <w:r w:rsidRPr="00CA1CAF">
        <w:rPr>
          <w:sz w:val="18"/>
          <w:szCs w:val="18"/>
        </w:rPr>
        <w:t xml:space="preserve"> </w:t>
      </w:r>
      <w:r w:rsidRPr="00CA1CAF">
        <w:rPr>
          <w:b/>
          <w:bCs/>
          <w:sz w:val="18"/>
          <w:szCs w:val="18"/>
        </w:rPr>
        <w:t>(A)</w:t>
      </w:r>
      <w:r w:rsidRPr="00CA1CAF">
        <w:rPr>
          <w:sz w:val="18"/>
          <w:szCs w:val="18"/>
        </w:rPr>
        <w:t xml:space="preserve"> Boxplot of all proteins which are not scored (</w:t>
      </w:r>
      <w:r w:rsidR="005E0374">
        <w:rPr>
          <w:sz w:val="18"/>
          <w:szCs w:val="18"/>
        </w:rPr>
        <w:t>n=634,</w:t>
      </w:r>
      <w:r w:rsidR="005F2E41">
        <w:rPr>
          <w:sz w:val="18"/>
          <w:szCs w:val="18"/>
        </w:rPr>
        <w:t xml:space="preserve">125, </w:t>
      </w:r>
      <w:r w:rsidRPr="00CA1CAF">
        <w:rPr>
          <w:sz w:val="18"/>
          <w:szCs w:val="18"/>
        </w:rPr>
        <w:t>grey) and of scored interactors (</w:t>
      </w:r>
      <w:r w:rsidR="005F2E41">
        <w:rPr>
          <w:sz w:val="18"/>
          <w:szCs w:val="18"/>
        </w:rPr>
        <w:t xml:space="preserve">n=18,991, </w:t>
      </w:r>
      <w:r w:rsidRPr="00CA1CAF">
        <w:rPr>
          <w:sz w:val="18"/>
          <w:szCs w:val="18"/>
        </w:rPr>
        <w:t xml:space="preserve">blue). </w:t>
      </w:r>
      <w:r w:rsidR="00273B6F" w:rsidRPr="00B15948">
        <w:rPr>
          <w:sz w:val="18"/>
          <w:szCs w:val="18"/>
        </w:rPr>
        <w:t>Lower and upper hinges of box plots correspond to the 25</w:t>
      </w:r>
      <w:r w:rsidR="00273B6F" w:rsidRPr="00B15948">
        <w:rPr>
          <w:sz w:val="18"/>
          <w:szCs w:val="18"/>
          <w:vertAlign w:val="superscript"/>
        </w:rPr>
        <w:t>th</w:t>
      </w:r>
      <w:r w:rsidR="00273B6F">
        <w:rPr>
          <w:sz w:val="18"/>
          <w:szCs w:val="18"/>
        </w:rPr>
        <w:t xml:space="preserve"> </w:t>
      </w:r>
      <w:r w:rsidR="00273B6F" w:rsidRPr="00B15948">
        <w:rPr>
          <w:sz w:val="18"/>
          <w:szCs w:val="18"/>
        </w:rPr>
        <w:t>and 75</w:t>
      </w:r>
      <w:r w:rsidR="00273B6F" w:rsidRPr="00B15948">
        <w:rPr>
          <w:sz w:val="18"/>
          <w:szCs w:val="18"/>
          <w:vertAlign w:val="superscript"/>
        </w:rPr>
        <w:t>th</w:t>
      </w:r>
      <w:r w:rsidR="00273B6F">
        <w:rPr>
          <w:sz w:val="18"/>
          <w:szCs w:val="18"/>
        </w:rPr>
        <w:t xml:space="preserve"> </w:t>
      </w:r>
      <w:r w:rsidR="00273B6F" w:rsidRPr="00B15948">
        <w:rPr>
          <w:sz w:val="18"/>
          <w:szCs w:val="18"/>
        </w:rPr>
        <w:t xml:space="preserve">percentiles, </w:t>
      </w:r>
      <w:r w:rsidR="00273B6F" w:rsidRPr="00B15948">
        <w:rPr>
          <w:sz w:val="18"/>
          <w:szCs w:val="18"/>
        </w:rPr>
        <w:lastRenderedPageBreak/>
        <w:t>respectively. Lower and upper whiskers extend from the hinge to the smallest or largest value no further than the 1.5× interquartile range from the hinge, respectively. Black line represents the median</w:t>
      </w:r>
      <w:r w:rsidR="009421AA">
        <w:rPr>
          <w:sz w:val="18"/>
          <w:szCs w:val="18"/>
        </w:rPr>
        <w:t xml:space="preserve">. For better readability outliers were removed. </w:t>
      </w:r>
      <w:r w:rsidRPr="00CA1CAF">
        <w:rPr>
          <w:sz w:val="18"/>
          <w:szCs w:val="18"/>
        </w:rPr>
        <w:t xml:space="preserve">Spectral counts (y-axis) were log2 transformed. </w:t>
      </w:r>
      <w:r w:rsidRPr="00CA1CAF">
        <w:rPr>
          <w:b/>
          <w:bCs/>
          <w:sz w:val="18"/>
          <w:szCs w:val="18"/>
        </w:rPr>
        <w:t xml:space="preserve">(B) </w:t>
      </w:r>
      <w:r w:rsidRPr="00CA1CAF">
        <w:rPr>
          <w:sz w:val="18"/>
          <w:szCs w:val="18"/>
        </w:rPr>
        <w:t>Distribution of proteins per SLC-protein before filtering.</w:t>
      </w:r>
      <w:r w:rsidRPr="00CA1CAF">
        <w:rPr>
          <w:b/>
          <w:bCs/>
          <w:sz w:val="18"/>
          <w:szCs w:val="18"/>
        </w:rPr>
        <w:t xml:space="preserve"> (C)</w:t>
      </w:r>
      <w:r w:rsidRPr="00CA1CAF">
        <w:rPr>
          <w:sz w:val="18"/>
          <w:szCs w:val="18"/>
        </w:rPr>
        <w:t xml:space="preserve"> Distribution of scored interaction partners per SLC. </w:t>
      </w:r>
      <w:r w:rsidRPr="00CA1CAF">
        <w:rPr>
          <w:b/>
          <w:bCs/>
          <w:sz w:val="18"/>
          <w:szCs w:val="18"/>
        </w:rPr>
        <w:t xml:space="preserve">(D) </w:t>
      </w:r>
      <w:r w:rsidRPr="00CA1CAF">
        <w:rPr>
          <w:sz w:val="18"/>
          <w:szCs w:val="18"/>
        </w:rPr>
        <w:t>Scored protein interactions plotted against the recovery across the SLC-interactome. The log2 of the average spectral counts (x-axis) are plotted against the percentage of quantification across the SLC-interactome. Marginal histograms of data distribution are indicated (n=18,991)</w:t>
      </w:r>
      <w:r w:rsidRPr="00CA1CAF">
        <w:rPr>
          <w:b/>
          <w:bCs/>
          <w:sz w:val="18"/>
          <w:szCs w:val="18"/>
        </w:rPr>
        <w:t>. (E)</w:t>
      </w:r>
      <w:r w:rsidRPr="00CA1CAF">
        <w:rPr>
          <w:sz w:val="18"/>
          <w:szCs w:val="18"/>
        </w:rPr>
        <w:t xml:space="preserve"> Cumulative degree (y-axis) of all proteins within the PPI-network of the SLC interactome. </w:t>
      </w:r>
      <w:r w:rsidRPr="00CA1CAF">
        <w:rPr>
          <w:b/>
          <w:bCs/>
          <w:sz w:val="18"/>
          <w:szCs w:val="18"/>
        </w:rPr>
        <w:t>(F)</w:t>
      </w:r>
      <w:r w:rsidRPr="00CA1CAF">
        <w:rPr>
          <w:sz w:val="18"/>
          <w:szCs w:val="18"/>
        </w:rPr>
        <w:t xml:space="preserve"> Top 20 most connected interaction partners sorted by the degree of each network node (y-axis). The interactors associated with proteostatic regulation of SLCs are marked in bold. </w:t>
      </w:r>
      <w:r w:rsidRPr="00CA1CAF">
        <w:rPr>
          <w:b/>
          <w:bCs/>
          <w:sz w:val="18"/>
          <w:szCs w:val="18"/>
        </w:rPr>
        <w:t>(G)</w:t>
      </w:r>
      <w:r w:rsidRPr="00CA1CAF">
        <w:rPr>
          <w:sz w:val="18"/>
          <w:szCs w:val="18"/>
        </w:rPr>
        <w:t xml:space="preserve"> </w:t>
      </w:r>
      <w:r>
        <w:rPr>
          <w:sz w:val="18"/>
          <w:szCs w:val="18"/>
        </w:rPr>
        <w:t>Representation of t</w:t>
      </w:r>
      <w:r w:rsidRPr="00CA1CAF">
        <w:rPr>
          <w:sz w:val="18"/>
          <w:szCs w:val="18"/>
        </w:rPr>
        <w:t xml:space="preserve">he 100 most </w:t>
      </w:r>
      <w:r>
        <w:rPr>
          <w:sz w:val="18"/>
          <w:szCs w:val="18"/>
        </w:rPr>
        <w:t xml:space="preserve">connected </w:t>
      </w:r>
      <w:r w:rsidRPr="00CA1CAF">
        <w:rPr>
          <w:sz w:val="18"/>
          <w:szCs w:val="18"/>
        </w:rPr>
        <w:t xml:space="preserve">hubs in the SLC-interactome ranked by the highest hub-score (y-axis). SLCs are </w:t>
      </w:r>
      <w:r w:rsidR="005E2CCB" w:rsidRPr="00CA1CAF">
        <w:rPr>
          <w:sz w:val="18"/>
          <w:szCs w:val="18"/>
        </w:rPr>
        <w:t>colored</w:t>
      </w:r>
      <w:r w:rsidRPr="00CA1CAF">
        <w:rPr>
          <w:sz w:val="18"/>
          <w:szCs w:val="18"/>
        </w:rPr>
        <w:t xml:space="preserve"> yellow and interactors in green. </w:t>
      </w:r>
    </w:p>
    <w:p w14:paraId="0D60B5A9" w14:textId="77777777" w:rsidR="0088557E" w:rsidRPr="00CA1CAF" w:rsidRDefault="0088557E" w:rsidP="00915241">
      <w:pPr>
        <w:jc w:val="both"/>
        <w:rPr>
          <w:sz w:val="18"/>
          <w:szCs w:val="18"/>
        </w:rPr>
      </w:pPr>
      <w:r w:rsidRPr="00CA1CAF">
        <w:rPr>
          <w:noProof/>
          <w:sz w:val="18"/>
          <w:szCs w:val="18"/>
        </w:rPr>
        <w:drawing>
          <wp:inline distT="0" distB="0" distL="0" distR="0" wp14:anchorId="1167A5C0" wp14:editId="504E722B">
            <wp:extent cx="5720080" cy="5347970"/>
            <wp:effectExtent l="0" t="0" r="0" b="5080"/>
            <wp:docPr id="1889690548" name="Picture 2"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90548" name="Picture 2" descr="A close-up of a graph&#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0080" cy="5347970"/>
                    </a:xfrm>
                    <a:prstGeom prst="rect">
                      <a:avLst/>
                    </a:prstGeom>
                    <a:noFill/>
                    <a:ln>
                      <a:noFill/>
                    </a:ln>
                  </pic:spPr>
                </pic:pic>
              </a:graphicData>
            </a:graphic>
          </wp:inline>
        </w:drawing>
      </w:r>
    </w:p>
    <w:p w14:paraId="5225C7DF" w14:textId="33095CE4" w:rsidR="0088557E" w:rsidRPr="00CA1CAF" w:rsidRDefault="0088557E" w:rsidP="00915241">
      <w:pPr>
        <w:jc w:val="both"/>
        <w:rPr>
          <w:sz w:val="18"/>
          <w:szCs w:val="18"/>
        </w:rPr>
      </w:pPr>
      <w:bookmarkStart w:id="4" w:name="_Toc192510304"/>
      <w:r w:rsidRPr="001D7470">
        <w:rPr>
          <w:rStyle w:val="Heading2Char"/>
        </w:rPr>
        <w:t>Appendix Figure S3. Prediction of the PPI-structure of SLC16-family chaperone interactions SLC16A7-BSG and SLC16A1-EMB by AlphaFold multimer.</w:t>
      </w:r>
      <w:bookmarkEnd w:id="4"/>
      <w:r w:rsidRPr="00CA1CAF">
        <w:rPr>
          <w:b/>
          <w:bCs/>
          <w:sz w:val="18"/>
          <w:szCs w:val="18"/>
        </w:rPr>
        <w:t xml:space="preserve"> (A)</w:t>
      </w:r>
      <w:r w:rsidRPr="00CA1CAF">
        <w:rPr>
          <w:sz w:val="18"/>
          <w:szCs w:val="18"/>
        </w:rPr>
        <w:t xml:space="preserve"> AlphaFold multimer confidence in pLDDT/100 for best ranked model of the SLC16A7-BSG interaction. </w:t>
      </w:r>
      <w:r w:rsidRPr="00CA1CAF">
        <w:rPr>
          <w:b/>
          <w:bCs/>
          <w:sz w:val="18"/>
          <w:szCs w:val="18"/>
        </w:rPr>
        <w:t>(B)</w:t>
      </w:r>
      <w:r w:rsidRPr="00CA1CAF">
        <w:rPr>
          <w:sz w:val="18"/>
          <w:szCs w:val="18"/>
        </w:rPr>
        <w:t xml:space="preserve"> Inter PAE (Predicted Aligned Error) heatmap for the best ranked model of the SLC16A7-BSG interaction. </w:t>
      </w:r>
      <w:r w:rsidRPr="00CA1CAF">
        <w:rPr>
          <w:b/>
          <w:bCs/>
          <w:sz w:val="18"/>
          <w:szCs w:val="18"/>
        </w:rPr>
        <w:t>(C)</w:t>
      </w:r>
      <w:r w:rsidRPr="00CA1CAF">
        <w:rPr>
          <w:sz w:val="18"/>
          <w:szCs w:val="18"/>
        </w:rPr>
        <w:t xml:space="preserve"> AlphaFold multimer confidence in pLDDT/100 for best ranked model of the SLC16A1-BSG interaction. </w:t>
      </w:r>
      <w:r w:rsidRPr="00CA1CAF">
        <w:rPr>
          <w:b/>
          <w:bCs/>
          <w:sz w:val="18"/>
          <w:szCs w:val="18"/>
        </w:rPr>
        <w:t>(D)</w:t>
      </w:r>
      <w:r w:rsidRPr="00CA1CAF">
        <w:rPr>
          <w:sz w:val="18"/>
          <w:szCs w:val="18"/>
        </w:rPr>
        <w:t xml:space="preserve"> Inter PAE heatmap for the best ranked structural prediction of the SLC16A1-EMB interaction. </w:t>
      </w:r>
      <w:r w:rsidRPr="00CA1CAF">
        <w:rPr>
          <w:sz w:val="18"/>
          <w:szCs w:val="18"/>
        </w:rPr>
        <w:br w:type="page"/>
      </w:r>
    </w:p>
    <w:p w14:paraId="0E7187B0" w14:textId="77777777" w:rsidR="0088557E" w:rsidRPr="00CA1CAF" w:rsidRDefault="0088557E" w:rsidP="00915241">
      <w:pPr>
        <w:jc w:val="both"/>
        <w:rPr>
          <w:sz w:val="18"/>
          <w:szCs w:val="18"/>
        </w:rPr>
      </w:pPr>
      <w:r>
        <w:rPr>
          <w:noProof/>
          <w:sz w:val="18"/>
          <w:szCs w:val="18"/>
        </w:rPr>
        <w:lastRenderedPageBreak/>
        <w:drawing>
          <wp:inline distT="0" distB="0" distL="0" distR="0" wp14:anchorId="6C7EB708" wp14:editId="54409ED3">
            <wp:extent cx="5729605" cy="4862830"/>
            <wp:effectExtent l="0" t="0" r="4445" b="0"/>
            <wp:docPr id="1565880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9605" cy="4862830"/>
                    </a:xfrm>
                    <a:prstGeom prst="rect">
                      <a:avLst/>
                    </a:prstGeom>
                    <a:noFill/>
                    <a:ln>
                      <a:noFill/>
                    </a:ln>
                  </pic:spPr>
                </pic:pic>
              </a:graphicData>
            </a:graphic>
          </wp:inline>
        </w:drawing>
      </w:r>
    </w:p>
    <w:p w14:paraId="346F1DF7" w14:textId="504A7101" w:rsidR="0088557E" w:rsidRDefault="0088557E" w:rsidP="00915241">
      <w:pPr>
        <w:jc w:val="both"/>
        <w:rPr>
          <w:sz w:val="18"/>
          <w:szCs w:val="18"/>
        </w:rPr>
      </w:pPr>
      <w:bookmarkStart w:id="5" w:name="_Toc192510305"/>
      <w:r w:rsidRPr="001D7470">
        <w:rPr>
          <w:rStyle w:val="Heading2Char"/>
        </w:rPr>
        <w:t>Appendix Figure S4. Structural prediction of SLC-chaperone interactions of SLC7A7-SLC3A2.</w:t>
      </w:r>
      <w:bookmarkEnd w:id="5"/>
      <w:r w:rsidRPr="00CA1CAF">
        <w:rPr>
          <w:b/>
          <w:bCs/>
          <w:sz w:val="18"/>
          <w:szCs w:val="18"/>
        </w:rPr>
        <w:t xml:space="preserve"> </w:t>
      </w:r>
      <w:r>
        <w:rPr>
          <w:b/>
          <w:bCs/>
          <w:sz w:val="18"/>
          <w:szCs w:val="18"/>
        </w:rPr>
        <w:t>(A)</w:t>
      </w:r>
      <w:r>
        <w:rPr>
          <w:sz w:val="18"/>
          <w:szCs w:val="18"/>
        </w:rPr>
        <w:t xml:space="preserve"> </w:t>
      </w:r>
      <w:r w:rsidRPr="00AD3285">
        <w:rPr>
          <w:rFonts w:cstheme="minorHAnsi"/>
          <w:sz w:val="18"/>
          <w:szCs w:val="18"/>
        </w:rPr>
        <w:t>Distribution of SLC3A2 across the SLC-interactome. The left panel shows the log2 transformed SPC for each SLC AP-MS experiment separated by scored interactions (</w:t>
      </w:r>
      <w:r w:rsidR="00BF6E0C">
        <w:rPr>
          <w:rFonts w:cstheme="minorHAnsi"/>
          <w:sz w:val="18"/>
          <w:szCs w:val="18"/>
        </w:rPr>
        <w:t>n=</w:t>
      </w:r>
      <w:r w:rsidR="00D064EC">
        <w:rPr>
          <w:rFonts w:cstheme="minorHAnsi"/>
          <w:sz w:val="18"/>
          <w:szCs w:val="18"/>
        </w:rPr>
        <w:t>7</w:t>
      </w:r>
      <w:r w:rsidR="00BF6E0C">
        <w:rPr>
          <w:rFonts w:cstheme="minorHAnsi"/>
          <w:sz w:val="18"/>
          <w:szCs w:val="18"/>
        </w:rPr>
        <w:t xml:space="preserve">, </w:t>
      </w:r>
      <w:r w:rsidRPr="00AD3285">
        <w:rPr>
          <w:rFonts w:cstheme="minorHAnsi"/>
          <w:sz w:val="18"/>
          <w:szCs w:val="18"/>
        </w:rPr>
        <w:t>blue) and background/ not interacting (</w:t>
      </w:r>
      <w:r w:rsidR="00BF6E0C">
        <w:rPr>
          <w:rFonts w:cstheme="minorHAnsi"/>
          <w:sz w:val="18"/>
          <w:szCs w:val="18"/>
        </w:rPr>
        <w:t>n=</w:t>
      </w:r>
      <w:r w:rsidR="00EF764F">
        <w:rPr>
          <w:rFonts w:cstheme="minorHAnsi"/>
          <w:sz w:val="18"/>
          <w:szCs w:val="18"/>
        </w:rPr>
        <w:t>372</w:t>
      </w:r>
      <w:r w:rsidR="00BF6E0C">
        <w:rPr>
          <w:rFonts w:cstheme="minorHAnsi"/>
          <w:sz w:val="18"/>
          <w:szCs w:val="18"/>
        </w:rPr>
        <w:t xml:space="preserve">, </w:t>
      </w:r>
      <w:r w:rsidRPr="00AD3285">
        <w:rPr>
          <w:rFonts w:cstheme="minorHAnsi"/>
          <w:sz w:val="18"/>
          <w:szCs w:val="18"/>
        </w:rPr>
        <w:t>grey). On the right side it is indicated how often SLC3A2 was identified, scored or found as background.</w:t>
      </w:r>
      <w:r w:rsidR="000012C6" w:rsidRPr="00AD3285">
        <w:rPr>
          <w:rFonts w:cstheme="minorHAnsi"/>
          <w:sz w:val="18"/>
          <w:szCs w:val="18"/>
        </w:rPr>
        <w:t xml:space="preserve"> </w:t>
      </w:r>
      <w:r w:rsidR="000012C6" w:rsidRPr="00B15948">
        <w:rPr>
          <w:sz w:val="18"/>
          <w:szCs w:val="18"/>
        </w:rPr>
        <w:t>Lower and upper hinges of box plots correspond to the 25</w:t>
      </w:r>
      <w:r w:rsidR="000012C6" w:rsidRPr="00B15948">
        <w:rPr>
          <w:sz w:val="18"/>
          <w:szCs w:val="18"/>
          <w:vertAlign w:val="superscript"/>
        </w:rPr>
        <w:t>th</w:t>
      </w:r>
      <w:r w:rsidR="000012C6">
        <w:rPr>
          <w:sz w:val="18"/>
          <w:szCs w:val="18"/>
        </w:rPr>
        <w:t xml:space="preserve"> </w:t>
      </w:r>
      <w:r w:rsidR="000012C6" w:rsidRPr="00B15948">
        <w:rPr>
          <w:sz w:val="18"/>
          <w:szCs w:val="18"/>
        </w:rPr>
        <w:t>and 75</w:t>
      </w:r>
      <w:r w:rsidR="000012C6" w:rsidRPr="00B15948">
        <w:rPr>
          <w:sz w:val="18"/>
          <w:szCs w:val="18"/>
          <w:vertAlign w:val="superscript"/>
        </w:rPr>
        <w:t>th</w:t>
      </w:r>
      <w:r w:rsidR="000012C6">
        <w:rPr>
          <w:sz w:val="18"/>
          <w:szCs w:val="18"/>
        </w:rPr>
        <w:t xml:space="preserve"> </w:t>
      </w:r>
      <w:r w:rsidR="000012C6" w:rsidRPr="00B15948">
        <w:rPr>
          <w:sz w:val="18"/>
          <w:szCs w:val="18"/>
        </w:rPr>
        <w:t xml:space="preserve">percentiles, respectively. Lower and upper whiskers extend from the hinge to the smallest or largest value no further than the 1.5× interquartile range from the hinge, respectively. Black line represents the median </w:t>
      </w:r>
      <w:r w:rsidR="000012C6">
        <w:rPr>
          <w:sz w:val="18"/>
          <w:szCs w:val="18"/>
        </w:rPr>
        <w:t xml:space="preserve">log2 spectral count </w:t>
      </w:r>
      <w:r w:rsidR="00FF27C2">
        <w:rPr>
          <w:sz w:val="18"/>
          <w:szCs w:val="18"/>
        </w:rPr>
        <w:t>signal,</w:t>
      </w:r>
      <w:r w:rsidR="000012C6">
        <w:rPr>
          <w:sz w:val="18"/>
          <w:szCs w:val="18"/>
        </w:rPr>
        <w:t xml:space="preserve"> </w:t>
      </w:r>
      <w:r w:rsidR="000012C6" w:rsidRPr="00B15948">
        <w:rPr>
          <w:sz w:val="18"/>
          <w:szCs w:val="18"/>
        </w:rPr>
        <w:t xml:space="preserve">and the black dots represent </w:t>
      </w:r>
      <w:r w:rsidR="00FF27C2">
        <w:rPr>
          <w:sz w:val="18"/>
          <w:szCs w:val="18"/>
        </w:rPr>
        <w:t xml:space="preserve">the signal per measurement. </w:t>
      </w:r>
      <w:r w:rsidRPr="00AD3285">
        <w:rPr>
          <w:rFonts w:cstheme="minorHAnsi"/>
          <w:b/>
          <w:bCs/>
          <w:sz w:val="18"/>
          <w:szCs w:val="18"/>
        </w:rPr>
        <w:t>(</w:t>
      </w:r>
      <w:r>
        <w:rPr>
          <w:rFonts w:cstheme="minorHAnsi"/>
          <w:b/>
          <w:bCs/>
          <w:sz w:val="18"/>
          <w:szCs w:val="18"/>
        </w:rPr>
        <w:t>B</w:t>
      </w:r>
      <w:r w:rsidRPr="00AD3285">
        <w:rPr>
          <w:rFonts w:cstheme="minorHAnsi"/>
          <w:b/>
          <w:bCs/>
          <w:sz w:val="18"/>
          <w:szCs w:val="18"/>
        </w:rPr>
        <w:t>)</w:t>
      </w:r>
      <w:r w:rsidRPr="00AD3285">
        <w:rPr>
          <w:rFonts w:cstheme="minorHAnsi"/>
          <w:sz w:val="18"/>
          <w:szCs w:val="18"/>
        </w:rPr>
        <w:t xml:space="preserve"> </w:t>
      </w:r>
      <w:r>
        <w:rPr>
          <w:rFonts w:cstheme="minorHAnsi"/>
          <w:sz w:val="18"/>
          <w:szCs w:val="18"/>
        </w:rPr>
        <w:t>The u</w:t>
      </w:r>
      <w:r w:rsidRPr="005C2B1C">
        <w:rPr>
          <w:rFonts w:cstheme="minorHAnsi"/>
          <w:sz w:val="18"/>
          <w:szCs w:val="18"/>
        </w:rPr>
        <w:t xml:space="preserve">pper </w:t>
      </w:r>
      <w:r>
        <w:rPr>
          <w:rFonts w:cstheme="minorHAnsi"/>
          <w:sz w:val="18"/>
          <w:szCs w:val="18"/>
        </w:rPr>
        <w:t xml:space="preserve">bar chart </w:t>
      </w:r>
      <w:r w:rsidRPr="005C2B1C">
        <w:rPr>
          <w:rFonts w:cstheme="minorHAnsi"/>
          <w:sz w:val="18"/>
          <w:szCs w:val="18"/>
        </w:rPr>
        <w:t xml:space="preserve">shows </w:t>
      </w:r>
      <w:r>
        <w:rPr>
          <w:rFonts w:cstheme="minorHAnsi"/>
          <w:sz w:val="18"/>
          <w:szCs w:val="18"/>
        </w:rPr>
        <w:t xml:space="preserve">all SLCs for which SLC3A2 was scored within the </w:t>
      </w:r>
      <w:r w:rsidRPr="005C2B1C">
        <w:rPr>
          <w:rFonts w:cstheme="minorHAnsi"/>
          <w:sz w:val="18"/>
          <w:szCs w:val="18"/>
        </w:rPr>
        <w:t>SLC-interactome (log2FC against GFP, threshold of log2FC &gt; 1).</w:t>
      </w:r>
      <w:r w:rsidRPr="00AD3285">
        <w:rPr>
          <w:rFonts w:cstheme="minorHAnsi"/>
          <w:sz w:val="18"/>
          <w:szCs w:val="18"/>
        </w:rPr>
        <w:t xml:space="preserve"> </w:t>
      </w:r>
      <w:r>
        <w:rPr>
          <w:rFonts w:cstheme="minorHAnsi"/>
          <w:sz w:val="18"/>
          <w:szCs w:val="18"/>
        </w:rPr>
        <w:t>The l</w:t>
      </w:r>
      <w:r w:rsidRPr="00AD3285">
        <w:rPr>
          <w:rFonts w:cstheme="minorHAnsi"/>
          <w:sz w:val="18"/>
          <w:szCs w:val="18"/>
        </w:rPr>
        <w:t xml:space="preserve">ower </w:t>
      </w:r>
      <w:r>
        <w:rPr>
          <w:rFonts w:cstheme="minorHAnsi"/>
          <w:sz w:val="18"/>
          <w:szCs w:val="18"/>
        </w:rPr>
        <w:t xml:space="preserve">section of the bar chart shows the confidence </w:t>
      </w:r>
      <w:r w:rsidRPr="00AD3285">
        <w:rPr>
          <w:rFonts w:cstheme="minorHAnsi"/>
          <w:sz w:val="18"/>
          <w:szCs w:val="18"/>
        </w:rPr>
        <w:t>scores of predicted SLC3A2-SLC complexes (high confidence, pDockQ threshold of &gt; 0.5 indicated by dashed line). Complexes for which the experimental structure was solved are marked with an asterisk (</w:t>
      </w:r>
      <w:r w:rsidR="00AC155F">
        <w:rPr>
          <w:rFonts w:cstheme="minorHAnsi"/>
          <w:sz w:val="18"/>
          <w:szCs w:val="18"/>
        </w:rPr>
        <w:t>“</w:t>
      </w:r>
      <w:r w:rsidRPr="00AD3285">
        <w:rPr>
          <w:rFonts w:cstheme="minorHAnsi"/>
          <w:sz w:val="18"/>
          <w:szCs w:val="18"/>
        </w:rPr>
        <w:t>*</w:t>
      </w:r>
      <w:r w:rsidR="00AC155F">
        <w:rPr>
          <w:rFonts w:cstheme="minorHAnsi"/>
          <w:sz w:val="18"/>
          <w:szCs w:val="18"/>
        </w:rPr>
        <w:t>”</w:t>
      </w:r>
      <w:r w:rsidRPr="00AD3285">
        <w:rPr>
          <w:rFonts w:cstheme="minorHAnsi"/>
          <w:sz w:val="18"/>
          <w:szCs w:val="18"/>
        </w:rPr>
        <w:t>). Predicted complex structures of interactions</w:t>
      </w:r>
      <w:r w:rsidR="00D73689">
        <w:rPr>
          <w:rFonts w:cstheme="minorHAnsi"/>
          <w:sz w:val="18"/>
          <w:szCs w:val="18"/>
        </w:rPr>
        <w:t xml:space="preserve"> (n=7)</w:t>
      </w:r>
      <w:r w:rsidRPr="00AD3285">
        <w:rPr>
          <w:rFonts w:cstheme="minorHAnsi"/>
          <w:sz w:val="18"/>
          <w:szCs w:val="18"/>
        </w:rPr>
        <w:t xml:space="preserve"> were compared against a negative set of SLC-chaperone complexes (</w:t>
      </w:r>
      <w:r w:rsidR="00D73689">
        <w:rPr>
          <w:rFonts w:cstheme="minorHAnsi"/>
          <w:sz w:val="18"/>
          <w:szCs w:val="18"/>
        </w:rPr>
        <w:t xml:space="preserve">n=7; </w:t>
      </w:r>
      <w:r w:rsidRPr="00AD3285">
        <w:rPr>
          <w:rFonts w:cstheme="minorHAnsi"/>
          <w:sz w:val="18"/>
          <w:szCs w:val="18"/>
        </w:rPr>
        <w:t>unpaired student t-test, p-value=0.0009177).</w:t>
      </w:r>
      <w:r w:rsidR="00FC3732">
        <w:rPr>
          <w:rFonts w:cstheme="minorHAnsi"/>
          <w:sz w:val="18"/>
          <w:szCs w:val="18"/>
        </w:rPr>
        <w:t xml:space="preserve"> </w:t>
      </w:r>
      <w:r w:rsidR="00FC3732" w:rsidRPr="00075C5E">
        <w:rPr>
          <w:rFonts w:cstheme="minorHAnsi"/>
          <w:sz w:val="18"/>
          <w:szCs w:val="18"/>
        </w:rPr>
        <w:t xml:space="preserve">In the figure panel, </w:t>
      </w:r>
      <w:r w:rsidR="00FC3732">
        <w:rPr>
          <w:rFonts w:cstheme="minorHAnsi"/>
          <w:sz w:val="18"/>
          <w:szCs w:val="18"/>
        </w:rPr>
        <w:t>p-values</w:t>
      </w:r>
      <w:r w:rsidR="00FC3732" w:rsidRPr="00075C5E">
        <w:rPr>
          <w:rFonts w:cstheme="minorHAnsi"/>
          <w:sz w:val="18"/>
          <w:szCs w:val="18"/>
        </w:rPr>
        <w:t xml:space="preserve"> below 0.01 are </w:t>
      </w:r>
      <w:r w:rsidR="00FC3732">
        <w:rPr>
          <w:rFonts w:cstheme="minorHAnsi"/>
          <w:sz w:val="18"/>
          <w:szCs w:val="18"/>
        </w:rPr>
        <w:t>indicated with</w:t>
      </w:r>
      <w:r w:rsidR="00FC3732" w:rsidRPr="00075C5E">
        <w:rPr>
          <w:rFonts w:cstheme="minorHAnsi"/>
          <w:sz w:val="18"/>
          <w:szCs w:val="18"/>
        </w:rPr>
        <w:t xml:space="preserve"> “</w:t>
      </w:r>
      <w:r w:rsidR="00AC155F">
        <w:rPr>
          <w:rFonts w:cstheme="minorHAnsi"/>
          <w:sz w:val="18"/>
          <w:szCs w:val="18"/>
        </w:rPr>
        <w:t>**</w:t>
      </w:r>
      <w:r w:rsidR="00FC3732" w:rsidRPr="00075C5E">
        <w:rPr>
          <w:rFonts w:cstheme="minorHAnsi"/>
          <w:sz w:val="18"/>
          <w:szCs w:val="18"/>
        </w:rPr>
        <w:t>”.</w:t>
      </w:r>
      <w:r w:rsidR="00FC3732" w:rsidRPr="00AD3285">
        <w:rPr>
          <w:rFonts w:cstheme="minorHAnsi"/>
          <w:sz w:val="18"/>
          <w:szCs w:val="18"/>
        </w:rPr>
        <w:t xml:space="preserve"> </w:t>
      </w:r>
      <w:r w:rsidR="00CD3E33" w:rsidRPr="00B15948">
        <w:rPr>
          <w:sz w:val="18"/>
          <w:szCs w:val="18"/>
        </w:rPr>
        <w:t>Lower and upper hinges of box plots correspond to the 25</w:t>
      </w:r>
      <w:r w:rsidR="00CD3E33" w:rsidRPr="00B15948">
        <w:rPr>
          <w:sz w:val="18"/>
          <w:szCs w:val="18"/>
          <w:vertAlign w:val="superscript"/>
        </w:rPr>
        <w:t>th</w:t>
      </w:r>
      <w:r w:rsidR="00CD3E33">
        <w:rPr>
          <w:sz w:val="18"/>
          <w:szCs w:val="18"/>
        </w:rPr>
        <w:t xml:space="preserve"> </w:t>
      </w:r>
      <w:r w:rsidR="00CD3E33" w:rsidRPr="00B15948">
        <w:rPr>
          <w:sz w:val="18"/>
          <w:szCs w:val="18"/>
        </w:rPr>
        <w:t>and 75</w:t>
      </w:r>
      <w:r w:rsidR="00CD3E33" w:rsidRPr="00B15948">
        <w:rPr>
          <w:sz w:val="18"/>
          <w:szCs w:val="18"/>
          <w:vertAlign w:val="superscript"/>
        </w:rPr>
        <w:t>th</w:t>
      </w:r>
      <w:r w:rsidR="00CD3E33">
        <w:rPr>
          <w:sz w:val="18"/>
          <w:szCs w:val="18"/>
        </w:rPr>
        <w:t xml:space="preserve"> </w:t>
      </w:r>
      <w:r w:rsidR="00CD3E33" w:rsidRPr="00B15948">
        <w:rPr>
          <w:sz w:val="18"/>
          <w:szCs w:val="18"/>
        </w:rPr>
        <w:t xml:space="preserve">percentiles, respectively. Lower and upper whiskers extend from the hinge to the smallest or largest value no further than the 1.5× interquartile range from the hinge, respectively. Black line represents the median and the black dots represent </w:t>
      </w:r>
      <w:r w:rsidR="00CD3E33">
        <w:rPr>
          <w:sz w:val="18"/>
          <w:szCs w:val="18"/>
        </w:rPr>
        <w:t>scores per complex</w:t>
      </w:r>
      <w:r w:rsidR="00CD3E33" w:rsidRPr="00B15948">
        <w:rPr>
          <w:sz w:val="18"/>
          <w:szCs w:val="18"/>
        </w:rPr>
        <w:t>.</w:t>
      </w:r>
      <w:r w:rsidR="00CD3E33">
        <w:rPr>
          <w:sz w:val="18"/>
          <w:szCs w:val="18"/>
        </w:rPr>
        <w:t xml:space="preserve"> </w:t>
      </w:r>
      <w:r w:rsidRPr="00AD3285">
        <w:rPr>
          <w:rFonts w:cstheme="minorHAnsi"/>
          <w:sz w:val="18"/>
          <w:szCs w:val="18"/>
        </w:rPr>
        <w:t>On the right side the model of SLC7A7-SLC3A2 is shown</w:t>
      </w:r>
      <w:r>
        <w:rPr>
          <w:sz w:val="18"/>
          <w:szCs w:val="18"/>
        </w:rPr>
        <w:t xml:space="preserve">. </w:t>
      </w:r>
      <w:r w:rsidRPr="00CA1CAF">
        <w:rPr>
          <w:b/>
          <w:bCs/>
          <w:sz w:val="18"/>
          <w:szCs w:val="18"/>
        </w:rPr>
        <w:t>(</w:t>
      </w:r>
      <w:r>
        <w:rPr>
          <w:b/>
          <w:bCs/>
          <w:sz w:val="18"/>
          <w:szCs w:val="18"/>
        </w:rPr>
        <w:t>C</w:t>
      </w:r>
      <w:r w:rsidRPr="00CA1CAF">
        <w:rPr>
          <w:b/>
          <w:bCs/>
          <w:sz w:val="18"/>
          <w:szCs w:val="18"/>
        </w:rPr>
        <w:t>)</w:t>
      </w:r>
      <w:r w:rsidRPr="00CA1CAF">
        <w:rPr>
          <w:sz w:val="18"/>
          <w:szCs w:val="18"/>
        </w:rPr>
        <w:t xml:space="preserve"> AlphaFold multimer confidence in pLDDT/100 for best ranked model of the hetromer SLC7A7-SLC3A2. </w:t>
      </w:r>
      <w:r w:rsidRPr="00CA1CAF">
        <w:rPr>
          <w:b/>
          <w:bCs/>
          <w:sz w:val="18"/>
          <w:szCs w:val="18"/>
        </w:rPr>
        <w:t>(</w:t>
      </w:r>
      <w:r>
        <w:rPr>
          <w:b/>
          <w:bCs/>
          <w:sz w:val="18"/>
          <w:szCs w:val="18"/>
        </w:rPr>
        <w:t>D</w:t>
      </w:r>
      <w:r w:rsidRPr="00CA1CAF">
        <w:rPr>
          <w:b/>
          <w:bCs/>
          <w:sz w:val="18"/>
          <w:szCs w:val="18"/>
        </w:rPr>
        <w:t>)</w:t>
      </w:r>
      <w:r w:rsidRPr="00CA1CAF">
        <w:rPr>
          <w:sz w:val="18"/>
          <w:szCs w:val="18"/>
        </w:rPr>
        <w:t xml:space="preserve"> Inter PAE (Predicted Aligned Error) heatmap for the best ranked model of SLC7A7-SLC3A2.</w:t>
      </w:r>
    </w:p>
    <w:p w14:paraId="25DD5AF5" w14:textId="77777777" w:rsidR="0088557E" w:rsidRDefault="0088557E">
      <w:pPr>
        <w:rPr>
          <w:sz w:val="18"/>
          <w:szCs w:val="18"/>
        </w:rPr>
      </w:pPr>
      <w:r>
        <w:rPr>
          <w:sz w:val="18"/>
          <w:szCs w:val="18"/>
        </w:rPr>
        <w:br w:type="page"/>
      </w:r>
    </w:p>
    <w:p w14:paraId="37F734C2" w14:textId="77777777" w:rsidR="0088557E" w:rsidRPr="002738E9" w:rsidRDefault="0088557E" w:rsidP="00915241">
      <w:pPr>
        <w:jc w:val="both"/>
        <w:rPr>
          <w:sz w:val="18"/>
          <w:szCs w:val="18"/>
        </w:rPr>
      </w:pPr>
      <w:r>
        <w:rPr>
          <w:noProof/>
          <w:sz w:val="18"/>
          <w:szCs w:val="18"/>
        </w:rPr>
        <w:lastRenderedPageBreak/>
        <w:drawing>
          <wp:inline distT="0" distB="0" distL="0" distR="0" wp14:anchorId="4E19D44D" wp14:editId="4FF26B08">
            <wp:extent cx="5729605" cy="8075295"/>
            <wp:effectExtent l="0" t="0" r="4445" b="1905"/>
            <wp:docPr id="14099120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9605" cy="8075295"/>
                    </a:xfrm>
                    <a:prstGeom prst="rect">
                      <a:avLst/>
                    </a:prstGeom>
                    <a:noFill/>
                    <a:ln>
                      <a:noFill/>
                    </a:ln>
                  </pic:spPr>
                </pic:pic>
              </a:graphicData>
            </a:graphic>
          </wp:inline>
        </w:drawing>
      </w:r>
    </w:p>
    <w:p w14:paraId="21AFC275" w14:textId="4EF12755" w:rsidR="0088557E" w:rsidRDefault="0088557E" w:rsidP="00915241">
      <w:pPr>
        <w:jc w:val="both"/>
        <w:rPr>
          <w:sz w:val="18"/>
          <w:szCs w:val="18"/>
        </w:rPr>
      </w:pPr>
      <w:bookmarkStart w:id="6" w:name="_Toc192510306"/>
      <w:r w:rsidRPr="001D7470">
        <w:rPr>
          <w:rStyle w:val="Heading2Char"/>
        </w:rPr>
        <w:t>Appendix Figure S5. Structural prediction of SLC-chaperone interactions of SLC9A2-CHP1.</w:t>
      </w:r>
      <w:bookmarkEnd w:id="6"/>
      <w:r>
        <w:rPr>
          <w:sz w:val="18"/>
          <w:szCs w:val="18"/>
        </w:rPr>
        <w:t xml:space="preserve"> </w:t>
      </w:r>
      <w:r>
        <w:rPr>
          <w:b/>
          <w:bCs/>
          <w:sz w:val="18"/>
          <w:szCs w:val="18"/>
        </w:rPr>
        <w:t>(A)</w:t>
      </w:r>
      <w:r w:rsidRPr="00C37C75">
        <w:rPr>
          <w:sz w:val="18"/>
          <w:szCs w:val="18"/>
        </w:rPr>
        <w:t xml:space="preserve"> </w:t>
      </w:r>
      <w:r w:rsidRPr="00AD3285">
        <w:rPr>
          <w:rFonts w:cstheme="minorHAnsi"/>
          <w:sz w:val="18"/>
          <w:szCs w:val="18"/>
        </w:rPr>
        <w:t xml:space="preserve">SLC-CHP1 interactions in the SLC-interactome (teal). Na+/H+ antiporters of the SLC9-family are highlighted in purple, other SLCs are grouped by family and coloured in yellow. </w:t>
      </w:r>
      <w:r w:rsidRPr="00AD3285">
        <w:rPr>
          <w:rFonts w:cstheme="minorHAnsi"/>
          <w:b/>
          <w:bCs/>
          <w:sz w:val="18"/>
          <w:szCs w:val="18"/>
        </w:rPr>
        <w:t>(</w:t>
      </w:r>
      <w:r>
        <w:rPr>
          <w:rFonts w:cstheme="minorHAnsi"/>
          <w:b/>
          <w:bCs/>
          <w:sz w:val="18"/>
          <w:szCs w:val="18"/>
        </w:rPr>
        <w:t>B</w:t>
      </w:r>
      <w:r w:rsidRPr="00AD3285">
        <w:rPr>
          <w:rFonts w:cstheme="minorHAnsi"/>
          <w:b/>
          <w:bCs/>
          <w:sz w:val="18"/>
          <w:szCs w:val="18"/>
        </w:rPr>
        <w:t>)</w:t>
      </w:r>
      <w:r w:rsidRPr="00AD3285">
        <w:rPr>
          <w:rFonts w:cstheme="minorHAnsi"/>
          <w:sz w:val="18"/>
          <w:szCs w:val="18"/>
        </w:rPr>
        <w:t xml:space="preserve"> Log2FC against GFP and pDockQ-score of structural models for each SLC-CHP1 complex. Experimentally solved structures are marked in bold and with an asterisk (*). For CHP1 interactions with SLC9-family members (purple) high </w:t>
      </w:r>
      <w:r w:rsidRPr="00AD3285">
        <w:rPr>
          <w:rFonts w:cstheme="minorHAnsi"/>
          <w:sz w:val="18"/>
          <w:szCs w:val="18"/>
        </w:rPr>
        <w:lastRenderedPageBreak/>
        <w:t xml:space="preserve">confidence models (dashed black line pDockQ &gt; 0.5) were obtained, whereas for the other CHP1-SLC interaction (yellow) only medium (dashed grey line pDockQ &gt; 0.25) to low confidence structures were found. A comparison against randomly sampled SLC-CHP1 interaction showed, a significant difference between models of the interactions covered in the SLC-interactome and the control set (unpaired student t-test, p-value=0.03642). </w:t>
      </w:r>
      <w:r w:rsidR="00952EAA" w:rsidRPr="00B15948">
        <w:rPr>
          <w:sz w:val="18"/>
          <w:szCs w:val="18"/>
        </w:rPr>
        <w:t>Lower and upper hinges of box plots correspond to the 25</w:t>
      </w:r>
      <w:r w:rsidR="00952EAA" w:rsidRPr="00B15948">
        <w:rPr>
          <w:sz w:val="18"/>
          <w:szCs w:val="18"/>
          <w:vertAlign w:val="superscript"/>
        </w:rPr>
        <w:t>th</w:t>
      </w:r>
      <w:r w:rsidR="00952EAA">
        <w:rPr>
          <w:sz w:val="18"/>
          <w:szCs w:val="18"/>
        </w:rPr>
        <w:t xml:space="preserve"> </w:t>
      </w:r>
      <w:r w:rsidR="00952EAA" w:rsidRPr="00B15948">
        <w:rPr>
          <w:sz w:val="18"/>
          <w:szCs w:val="18"/>
        </w:rPr>
        <w:t>and 75</w:t>
      </w:r>
      <w:r w:rsidR="00952EAA" w:rsidRPr="00B15948">
        <w:rPr>
          <w:sz w:val="18"/>
          <w:szCs w:val="18"/>
          <w:vertAlign w:val="superscript"/>
        </w:rPr>
        <w:t>th</w:t>
      </w:r>
      <w:r w:rsidR="00952EAA">
        <w:rPr>
          <w:sz w:val="18"/>
          <w:szCs w:val="18"/>
        </w:rPr>
        <w:t xml:space="preserve"> </w:t>
      </w:r>
      <w:r w:rsidR="00952EAA" w:rsidRPr="00B15948">
        <w:rPr>
          <w:sz w:val="18"/>
          <w:szCs w:val="18"/>
        </w:rPr>
        <w:t xml:space="preserve">percentiles, respectively. Lower and upper whiskers extend from the hinge to the smallest or largest value no further than the 1.5× interquartile range from the hinge, respectively. Black line represents the median and the black dots represent </w:t>
      </w:r>
      <w:r w:rsidR="00952EAA">
        <w:rPr>
          <w:sz w:val="18"/>
          <w:szCs w:val="18"/>
        </w:rPr>
        <w:t>scores per complex</w:t>
      </w:r>
      <w:r w:rsidR="00952EAA" w:rsidRPr="00B15948">
        <w:rPr>
          <w:sz w:val="18"/>
          <w:szCs w:val="18"/>
        </w:rPr>
        <w:t>.</w:t>
      </w:r>
      <w:r w:rsidR="00952EAA">
        <w:rPr>
          <w:sz w:val="18"/>
          <w:szCs w:val="18"/>
        </w:rPr>
        <w:t xml:space="preserve"> </w:t>
      </w:r>
      <w:r w:rsidRPr="00715782">
        <w:rPr>
          <w:b/>
          <w:bCs/>
          <w:sz w:val="18"/>
          <w:szCs w:val="18"/>
        </w:rPr>
        <w:t>(</w:t>
      </w:r>
      <w:r>
        <w:rPr>
          <w:b/>
          <w:bCs/>
          <w:sz w:val="18"/>
          <w:szCs w:val="18"/>
        </w:rPr>
        <w:t>C</w:t>
      </w:r>
      <w:r w:rsidRPr="00715782">
        <w:rPr>
          <w:b/>
          <w:bCs/>
          <w:sz w:val="18"/>
          <w:szCs w:val="18"/>
        </w:rPr>
        <w:t>)</w:t>
      </w:r>
      <w:r>
        <w:rPr>
          <w:sz w:val="18"/>
          <w:szCs w:val="18"/>
        </w:rPr>
        <w:t xml:space="preserve"> </w:t>
      </w:r>
      <w:r w:rsidRPr="00AD3285">
        <w:rPr>
          <w:rFonts w:cstheme="minorHAnsi"/>
          <w:sz w:val="18"/>
          <w:szCs w:val="18"/>
        </w:rPr>
        <w:t xml:space="preserve">The model of SLC9A2-CHP1 is shown on the right side. </w:t>
      </w:r>
      <w:r w:rsidRPr="00CA1CAF">
        <w:rPr>
          <w:b/>
          <w:bCs/>
          <w:sz w:val="18"/>
          <w:szCs w:val="18"/>
        </w:rPr>
        <w:t>(</w:t>
      </w:r>
      <w:r>
        <w:rPr>
          <w:b/>
          <w:bCs/>
          <w:sz w:val="18"/>
          <w:szCs w:val="18"/>
        </w:rPr>
        <w:t>D</w:t>
      </w:r>
      <w:r w:rsidRPr="00CA1CAF">
        <w:rPr>
          <w:b/>
          <w:bCs/>
          <w:sz w:val="18"/>
          <w:szCs w:val="18"/>
        </w:rPr>
        <w:t>)</w:t>
      </w:r>
      <w:r w:rsidRPr="00CA1CAF">
        <w:rPr>
          <w:sz w:val="18"/>
          <w:szCs w:val="18"/>
        </w:rPr>
        <w:t xml:space="preserve"> AlphaFold multimer confidence in pLDDT/100 for best ranked model of SLC9A2 interacting with the chaperone CHP1. </w:t>
      </w:r>
      <w:r w:rsidRPr="00CA1CAF">
        <w:rPr>
          <w:b/>
          <w:bCs/>
          <w:sz w:val="18"/>
          <w:szCs w:val="18"/>
        </w:rPr>
        <w:t>(</w:t>
      </w:r>
      <w:r>
        <w:rPr>
          <w:b/>
          <w:bCs/>
          <w:sz w:val="18"/>
          <w:szCs w:val="18"/>
        </w:rPr>
        <w:t>E</w:t>
      </w:r>
      <w:r w:rsidRPr="00CA1CAF">
        <w:rPr>
          <w:b/>
          <w:bCs/>
          <w:sz w:val="18"/>
          <w:szCs w:val="18"/>
        </w:rPr>
        <w:t>)</w:t>
      </w:r>
      <w:r w:rsidRPr="00CA1CAF">
        <w:rPr>
          <w:sz w:val="18"/>
          <w:szCs w:val="18"/>
        </w:rPr>
        <w:t xml:space="preserve"> Inter PAE heatmap for the best ranked structural prediction of SLC9A2-CHP1 interaction.</w:t>
      </w:r>
    </w:p>
    <w:p w14:paraId="75F89FAB" w14:textId="77777777" w:rsidR="0088557E" w:rsidRDefault="0088557E" w:rsidP="00915241">
      <w:pPr>
        <w:jc w:val="both"/>
        <w:rPr>
          <w:sz w:val="18"/>
          <w:szCs w:val="18"/>
        </w:rPr>
      </w:pPr>
    </w:p>
    <w:p w14:paraId="6FF227CC" w14:textId="77777777" w:rsidR="00AB1F72" w:rsidRDefault="00AB1F72" w:rsidP="00915241">
      <w:pPr>
        <w:jc w:val="both"/>
        <w:rPr>
          <w:sz w:val="18"/>
          <w:szCs w:val="18"/>
        </w:rPr>
      </w:pPr>
    </w:p>
    <w:p w14:paraId="5E125490" w14:textId="77777777" w:rsidR="0088557E" w:rsidRDefault="0088557E">
      <w:pPr>
        <w:rPr>
          <w:sz w:val="18"/>
          <w:szCs w:val="18"/>
        </w:rPr>
      </w:pPr>
      <w:r>
        <w:rPr>
          <w:noProof/>
          <w:sz w:val="18"/>
          <w:szCs w:val="18"/>
        </w:rPr>
        <w:drawing>
          <wp:inline distT="0" distB="0" distL="0" distR="0" wp14:anchorId="220102AD" wp14:editId="1BD0687D">
            <wp:extent cx="5732780" cy="2711450"/>
            <wp:effectExtent l="0" t="0" r="1270" b="0"/>
            <wp:docPr id="510226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2780" cy="2711450"/>
                    </a:xfrm>
                    <a:prstGeom prst="rect">
                      <a:avLst/>
                    </a:prstGeom>
                    <a:noFill/>
                    <a:ln>
                      <a:noFill/>
                    </a:ln>
                  </pic:spPr>
                </pic:pic>
              </a:graphicData>
            </a:graphic>
          </wp:inline>
        </w:drawing>
      </w:r>
    </w:p>
    <w:p w14:paraId="0042F275" w14:textId="77777777" w:rsidR="0088557E" w:rsidRDefault="0088557E" w:rsidP="00EB72FB">
      <w:pPr>
        <w:jc w:val="both"/>
        <w:rPr>
          <w:sz w:val="18"/>
          <w:szCs w:val="18"/>
        </w:rPr>
      </w:pPr>
      <w:bookmarkStart w:id="7" w:name="_Toc192510307"/>
      <w:r w:rsidRPr="001D7470">
        <w:rPr>
          <w:rStyle w:val="Heading2Char"/>
        </w:rPr>
        <w:t>Appendix Figure S6. Prediction of the structure of SLC30A1 interactions with GALNT2 by AlphaFold multimer.</w:t>
      </w:r>
      <w:bookmarkEnd w:id="7"/>
      <w:r w:rsidRPr="00CA1CAF">
        <w:rPr>
          <w:b/>
          <w:bCs/>
          <w:sz w:val="18"/>
          <w:szCs w:val="18"/>
        </w:rPr>
        <w:t xml:space="preserve"> (A)</w:t>
      </w:r>
      <w:r w:rsidRPr="00CA1CAF">
        <w:rPr>
          <w:sz w:val="18"/>
          <w:szCs w:val="18"/>
        </w:rPr>
        <w:t xml:space="preserve"> AlphaFold multimer confidence in pLDDT/100 for best ranked model of the </w:t>
      </w:r>
      <w:r>
        <w:rPr>
          <w:sz w:val="18"/>
          <w:szCs w:val="18"/>
        </w:rPr>
        <w:t>SLC30A1</w:t>
      </w:r>
      <w:r w:rsidRPr="00CA1CAF">
        <w:rPr>
          <w:sz w:val="18"/>
          <w:szCs w:val="18"/>
        </w:rPr>
        <w:t>-</w:t>
      </w:r>
      <w:r>
        <w:rPr>
          <w:sz w:val="18"/>
          <w:szCs w:val="18"/>
        </w:rPr>
        <w:t>GALNT2</w:t>
      </w:r>
      <w:r w:rsidRPr="00CA1CAF">
        <w:rPr>
          <w:sz w:val="18"/>
          <w:szCs w:val="18"/>
        </w:rPr>
        <w:t xml:space="preserve"> interaction. </w:t>
      </w:r>
      <w:r w:rsidRPr="00CA1CAF">
        <w:rPr>
          <w:b/>
          <w:bCs/>
          <w:sz w:val="18"/>
          <w:szCs w:val="18"/>
        </w:rPr>
        <w:t>(B)</w:t>
      </w:r>
      <w:r w:rsidRPr="00CA1CAF">
        <w:rPr>
          <w:sz w:val="18"/>
          <w:szCs w:val="18"/>
        </w:rPr>
        <w:t xml:space="preserve"> Inter PAE heatmap for the best ranked model of the </w:t>
      </w:r>
      <w:r>
        <w:rPr>
          <w:sz w:val="18"/>
          <w:szCs w:val="18"/>
        </w:rPr>
        <w:t>SLC30A1</w:t>
      </w:r>
      <w:r w:rsidRPr="00CA1CAF">
        <w:rPr>
          <w:sz w:val="18"/>
          <w:szCs w:val="18"/>
        </w:rPr>
        <w:t>-</w:t>
      </w:r>
      <w:r>
        <w:rPr>
          <w:sz w:val="18"/>
          <w:szCs w:val="18"/>
        </w:rPr>
        <w:t>GALNT2</w:t>
      </w:r>
      <w:r w:rsidRPr="00CA1CAF">
        <w:rPr>
          <w:sz w:val="18"/>
          <w:szCs w:val="18"/>
        </w:rPr>
        <w:t xml:space="preserve"> interaction.</w:t>
      </w:r>
    </w:p>
    <w:p w14:paraId="235C1353" w14:textId="77777777" w:rsidR="0088557E" w:rsidRDefault="0088557E">
      <w:pPr>
        <w:rPr>
          <w:sz w:val="18"/>
          <w:szCs w:val="18"/>
        </w:rPr>
      </w:pPr>
    </w:p>
    <w:p w14:paraId="1E5E2010" w14:textId="77777777" w:rsidR="0088557E" w:rsidRPr="00CA1CAF" w:rsidRDefault="0088557E" w:rsidP="00915241">
      <w:pPr>
        <w:jc w:val="both"/>
        <w:rPr>
          <w:sz w:val="18"/>
          <w:szCs w:val="18"/>
        </w:rPr>
      </w:pPr>
    </w:p>
    <w:p w14:paraId="1C00BD90" w14:textId="77777777" w:rsidR="0088557E" w:rsidRPr="00CA1CAF" w:rsidRDefault="0088557E" w:rsidP="00915241">
      <w:pPr>
        <w:jc w:val="center"/>
        <w:rPr>
          <w:sz w:val="18"/>
          <w:szCs w:val="18"/>
        </w:rPr>
      </w:pPr>
      <w:r w:rsidRPr="00CA1CAF">
        <w:rPr>
          <w:noProof/>
          <w:sz w:val="18"/>
          <w:szCs w:val="18"/>
        </w:rPr>
        <w:drawing>
          <wp:inline distT="0" distB="0" distL="0" distR="0" wp14:anchorId="25453B62" wp14:editId="6C03EC60">
            <wp:extent cx="3597310" cy="1771148"/>
            <wp:effectExtent l="0" t="0" r="3175" b="635"/>
            <wp:docPr id="1138723412" name="Picture 3"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23412" name="Picture 3" descr="A graph with a line going u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05393" cy="1775128"/>
                    </a:xfrm>
                    <a:prstGeom prst="rect">
                      <a:avLst/>
                    </a:prstGeom>
                  </pic:spPr>
                </pic:pic>
              </a:graphicData>
            </a:graphic>
          </wp:inline>
        </w:drawing>
      </w:r>
    </w:p>
    <w:p w14:paraId="6374F62E" w14:textId="3C62DA22" w:rsidR="0088557E" w:rsidRPr="00CA1CAF" w:rsidRDefault="0088557E" w:rsidP="00915241">
      <w:pPr>
        <w:jc w:val="both"/>
        <w:rPr>
          <w:sz w:val="18"/>
          <w:szCs w:val="18"/>
        </w:rPr>
      </w:pPr>
      <w:bookmarkStart w:id="8" w:name="_Toc192510308"/>
      <w:r w:rsidRPr="001D7470">
        <w:rPr>
          <w:rStyle w:val="Heading2Char"/>
        </w:rPr>
        <w:t>Appendix Figure S7. Assessment of quality of hierarchical clustering of SLC-interactome profiles by the mean silhouette width.</w:t>
      </w:r>
      <w:bookmarkEnd w:id="8"/>
      <w:r w:rsidRPr="00CA1CAF">
        <w:rPr>
          <w:sz w:val="18"/>
          <w:szCs w:val="18"/>
        </w:rPr>
        <w:t xml:space="preserve"> The mean silhouette width per cluster with a k=3 to k=100 was calculated, and local maxima were identified. The local maxima at k=38 (black dotted line) was selected. </w:t>
      </w:r>
      <w:r w:rsidRPr="00CA1CAF">
        <w:rPr>
          <w:sz w:val="18"/>
          <w:szCs w:val="18"/>
        </w:rPr>
        <w:br w:type="page"/>
      </w:r>
    </w:p>
    <w:p w14:paraId="19153DBF" w14:textId="77777777" w:rsidR="0088557E" w:rsidRPr="00CA1CAF" w:rsidRDefault="0088557E" w:rsidP="00915241">
      <w:pPr>
        <w:rPr>
          <w:sz w:val="18"/>
          <w:szCs w:val="18"/>
        </w:rPr>
      </w:pPr>
      <w:r>
        <w:rPr>
          <w:noProof/>
          <w:sz w:val="18"/>
          <w:szCs w:val="18"/>
        </w:rPr>
        <w:lastRenderedPageBreak/>
        <w:drawing>
          <wp:inline distT="0" distB="0" distL="0" distR="0" wp14:anchorId="6D900D8B" wp14:editId="4A647246">
            <wp:extent cx="5729605" cy="4660900"/>
            <wp:effectExtent l="0" t="0" r="4445" b="6350"/>
            <wp:docPr id="20564383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9605" cy="4660900"/>
                    </a:xfrm>
                    <a:prstGeom prst="rect">
                      <a:avLst/>
                    </a:prstGeom>
                    <a:noFill/>
                    <a:ln>
                      <a:noFill/>
                    </a:ln>
                  </pic:spPr>
                </pic:pic>
              </a:graphicData>
            </a:graphic>
          </wp:inline>
        </w:drawing>
      </w:r>
    </w:p>
    <w:p w14:paraId="5EEE859A" w14:textId="2C317223" w:rsidR="0088557E" w:rsidRPr="00CA1CAF" w:rsidRDefault="0088557E" w:rsidP="00915241">
      <w:pPr>
        <w:jc w:val="both"/>
        <w:rPr>
          <w:sz w:val="18"/>
          <w:szCs w:val="18"/>
        </w:rPr>
      </w:pPr>
      <w:bookmarkStart w:id="9" w:name="_Toc192510309"/>
      <w:r w:rsidRPr="001D7470">
        <w:rPr>
          <w:rStyle w:val="Heading2Char"/>
        </w:rPr>
        <w:t>Appendix Figure S8. Functional enrichment analysis of clusters obtained from the SLC-interactome profile analysis.</w:t>
      </w:r>
      <w:bookmarkEnd w:id="9"/>
      <w:r w:rsidRPr="00CA1CAF">
        <w:rPr>
          <w:sz w:val="18"/>
          <w:szCs w:val="18"/>
        </w:rPr>
        <w:t xml:space="preserve"> </w:t>
      </w:r>
      <w:r w:rsidRPr="00CA1CAF">
        <w:rPr>
          <w:b/>
          <w:bCs/>
          <w:sz w:val="18"/>
          <w:szCs w:val="18"/>
        </w:rPr>
        <w:t>(A)</w:t>
      </w:r>
      <w:r w:rsidRPr="00CA1CAF">
        <w:rPr>
          <w:sz w:val="18"/>
          <w:szCs w:val="18"/>
        </w:rPr>
        <w:t xml:space="preserve"> Heatmap of significantly enriched GO biological processing terms (p-value &lt; 0.01) across the 38 SLC-interactome profile similarity analysis. The heatmap was grouped by hierarchical clustering (Ward d2) into 44 clusters using Euclidian distance. An uncropped heatmap is provided in the source data. </w:t>
      </w:r>
      <w:r w:rsidRPr="00CA1CAF">
        <w:rPr>
          <w:b/>
          <w:bCs/>
          <w:sz w:val="18"/>
          <w:szCs w:val="18"/>
        </w:rPr>
        <w:t>(B)</w:t>
      </w:r>
      <w:r w:rsidRPr="00CA1CAF">
        <w:rPr>
          <w:sz w:val="18"/>
          <w:szCs w:val="18"/>
        </w:rPr>
        <w:t xml:space="preserve"> Enlarged clusters from the heatmap </w:t>
      </w:r>
      <w:r w:rsidR="00D23745" w:rsidRPr="00CA1CAF">
        <w:rPr>
          <w:sz w:val="18"/>
          <w:szCs w:val="18"/>
        </w:rPr>
        <w:t>are used</w:t>
      </w:r>
      <w:r w:rsidRPr="00CA1CAF">
        <w:rPr>
          <w:sz w:val="18"/>
          <w:szCs w:val="18"/>
        </w:rPr>
        <w:t xml:space="preserve"> to highlight term clusters used for subsequent determination of </w:t>
      </w:r>
      <w:r>
        <w:rPr>
          <w:sz w:val="18"/>
          <w:szCs w:val="18"/>
        </w:rPr>
        <w:t xml:space="preserve">parental </w:t>
      </w:r>
      <w:r w:rsidRPr="00CA1CAF">
        <w:rPr>
          <w:sz w:val="18"/>
          <w:szCs w:val="18"/>
        </w:rPr>
        <w:t xml:space="preserve">GO term for </w:t>
      </w:r>
      <w:r w:rsidRPr="00CA1CAF">
        <w:rPr>
          <w:b/>
          <w:bCs/>
          <w:sz w:val="18"/>
          <w:szCs w:val="18"/>
        </w:rPr>
        <w:t>Fig. 3A</w:t>
      </w:r>
      <w:r w:rsidRPr="00CA1CAF">
        <w:rPr>
          <w:sz w:val="18"/>
          <w:szCs w:val="18"/>
        </w:rPr>
        <w:t xml:space="preserve">. Parental terms are marked in dark green and bold. </w:t>
      </w:r>
      <w:r w:rsidRPr="00CA1CAF">
        <w:rPr>
          <w:b/>
          <w:bCs/>
          <w:sz w:val="18"/>
          <w:szCs w:val="18"/>
        </w:rPr>
        <w:t>(C)</w:t>
      </w:r>
      <w:r w:rsidRPr="00CA1CAF">
        <w:rPr>
          <w:sz w:val="18"/>
          <w:szCs w:val="18"/>
        </w:rPr>
        <w:t xml:space="preserve"> </w:t>
      </w:r>
      <w:r>
        <w:rPr>
          <w:sz w:val="18"/>
          <w:szCs w:val="18"/>
        </w:rPr>
        <w:t xml:space="preserve">TOP: </w:t>
      </w:r>
      <w:r w:rsidRPr="00CA1CAF">
        <w:rPr>
          <w:sz w:val="18"/>
          <w:szCs w:val="18"/>
        </w:rPr>
        <w:t>GO BP cluster 11 similarity matrix</w:t>
      </w:r>
      <w:r>
        <w:rPr>
          <w:sz w:val="18"/>
          <w:szCs w:val="18"/>
        </w:rPr>
        <w:t xml:space="preserve">. Bottom: the </w:t>
      </w:r>
      <w:r w:rsidRPr="00CA1CAF">
        <w:rPr>
          <w:sz w:val="18"/>
          <w:szCs w:val="18"/>
        </w:rPr>
        <w:t>most frequent parental GO term</w:t>
      </w:r>
      <w:r>
        <w:rPr>
          <w:sz w:val="18"/>
          <w:szCs w:val="18"/>
        </w:rPr>
        <w:t>s</w:t>
      </w:r>
      <w:r w:rsidRPr="00CA1CAF">
        <w:rPr>
          <w:sz w:val="18"/>
          <w:szCs w:val="18"/>
        </w:rPr>
        <w:t xml:space="preserve"> </w:t>
      </w:r>
      <w:r>
        <w:rPr>
          <w:sz w:val="18"/>
          <w:szCs w:val="18"/>
        </w:rPr>
        <w:t>represented by cluster 11.</w:t>
      </w:r>
    </w:p>
    <w:p w14:paraId="7F884E24" w14:textId="77777777" w:rsidR="0088557E" w:rsidRPr="00CA1CAF" w:rsidRDefault="0088557E" w:rsidP="00915241">
      <w:pPr>
        <w:rPr>
          <w:sz w:val="18"/>
          <w:szCs w:val="18"/>
        </w:rPr>
      </w:pPr>
      <w:r w:rsidRPr="00CA1CAF">
        <w:rPr>
          <w:sz w:val="18"/>
          <w:szCs w:val="18"/>
        </w:rPr>
        <w:br w:type="page"/>
      </w:r>
    </w:p>
    <w:p w14:paraId="2B2ABC2E" w14:textId="77777777" w:rsidR="0088557E" w:rsidRPr="00CA1CAF" w:rsidRDefault="0088557E" w:rsidP="00915241">
      <w:pPr>
        <w:jc w:val="both"/>
        <w:rPr>
          <w:sz w:val="18"/>
          <w:szCs w:val="18"/>
        </w:rPr>
      </w:pPr>
      <w:r>
        <w:rPr>
          <w:noProof/>
          <w:sz w:val="18"/>
          <w:szCs w:val="18"/>
        </w:rPr>
        <w:lastRenderedPageBreak/>
        <w:drawing>
          <wp:inline distT="0" distB="0" distL="0" distR="0" wp14:anchorId="0A80CD1C" wp14:editId="0A49714F">
            <wp:extent cx="5723890" cy="8194040"/>
            <wp:effectExtent l="0" t="0" r="0" b="0"/>
            <wp:docPr id="17848401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3890" cy="8194040"/>
                    </a:xfrm>
                    <a:prstGeom prst="rect">
                      <a:avLst/>
                    </a:prstGeom>
                    <a:noFill/>
                    <a:ln>
                      <a:noFill/>
                    </a:ln>
                  </pic:spPr>
                </pic:pic>
              </a:graphicData>
            </a:graphic>
          </wp:inline>
        </w:drawing>
      </w:r>
    </w:p>
    <w:p w14:paraId="2182095A" w14:textId="1647DAB8" w:rsidR="0088557E" w:rsidRPr="00CA1CAF" w:rsidRDefault="0088557E" w:rsidP="00915241">
      <w:pPr>
        <w:jc w:val="both"/>
        <w:rPr>
          <w:sz w:val="18"/>
          <w:szCs w:val="18"/>
        </w:rPr>
      </w:pPr>
      <w:bookmarkStart w:id="10" w:name="_Toc192510310"/>
      <w:r w:rsidRPr="001D7470">
        <w:rPr>
          <w:rStyle w:val="Heading2Char"/>
        </w:rPr>
        <w:t>Appendix Figure S9. Co-purification analysis in the SLC-interactome to deconvolute interactome organization to protein complexes.</w:t>
      </w:r>
      <w:bookmarkEnd w:id="10"/>
      <w:r w:rsidRPr="00CA1CAF">
        <w:rPr>
          <w:sz w:val="18"/>
          <w:szCs w:val="18"/>
        </w:rPr>
        <w:t xml:space="preserve"> </w:t>
      </w:r>
      <w:r w:rsidRPr="00CA1CAF">
        <w:rPr>
          <w:b/>
          <w:bCs/>
          <w:sz w:val="18"/>
          <w:szCs w:val="18"/>
        </w:rPr>
        <w:t>(A)</w:t>
      </w:r>
      <w:r w:rsidRPr="00CA1CAF">
        <w:rPr>
          <w:sz w:val="18"/>
          <w:szCs w:val="18"/>
        </w:rPr>
        <w:t xml:space="preserve"> The mean silhouette width per cluster with a k=2 to k=</w:t>
      </w:r>
      <w:r w:rsidRPr="00CA1CAF">
        <w:t xml:space="preserve"> </w:t>
      </w:r>
      <w:r w:rsidRPr="00CA1CAF">
        <w:rPr>
          <w:sz w:val="18"/>
          <w:szCs w:val="18"/>
        </w:rPr>
        <w:t xml:space="preserve">2834 was calculated, and local maxima were identified. The local maxima at k=207 (black dotted line) was selected. </w:t>
      </w:r>
      <w:r w:rsidRPr="00CA1CAF">
        <w:rPr>
          <w:b/>
          <w:bCs/>
          <w:sz w:val="18"/>
          <w:szCs w:val="18"/>
        </w:rPr>
        <w:t>(B)</w:t>
      </w:r>
      <w:r w:rsidRPr="00CA1CAF">
        <w:rPr>
          <w:sz w:val="18"/>
          <w:szCs w:val="18"/>
        </w:rPr>
        <w:t xml:space="preserve"> Distance based prey-prey correlation </w:t>
      </w:r>
      <w:r>
        <w:rPr>
          <w:sz w:val="18"/>
          <w:szCs w:val="18"/>
        </w:rPr>
        <w:t>heatmap</w:t>
      </w:r>
      <w:r w:rsidRPr="00CA1CAF">
        <w:rPr>
          <w:sz w:val="18"/>
          <w:szCs w:val="18"/>
        </w:rPr>
        <w:t xml:space="preserve">. Clusters </w:t>
      </w:r>
      <w:r w:rsidRPr="00CA1CAF">
        <w:rPr>
          <w:sz w:val="18"/>
          <w:szCs w:val="18"/>
        </w:rPr>
        <w:lastRenderedPageBreak/>
        <w:t xml:space="preserve">represent proteins, which are co-purified within multiple SLC AP-MS experiments. </w:t>
      </w:r>
      <w:r w:rsidRPr="00CA1CAF">
        <w:rPr>
          <w:b/>
          <w:bCs/>
          <w:sz w:val="18"/>
          <w:szCs w:val="18"/>
        </w:rPr>
        <w:t>(C)</w:t>
      </w:r>
      <w:r w:rsidRPr="00CA1CAF">
        <w:rPr>
          <w:sz w:val="18"/>
          <w:szCs w:val="18"/>
        </w:rPr>
        <w:t xml:space="preserve"> Distribution of significantly enriched terms per cluster. On average, eight terms were significantly enriched per cluster (showed as dotted line). </w:t>
      </w:r>
      <w:r w:rsidRPr="00CA1CAF">
        <w:rPr>
          <w:b/>
          <w:bCs/>
          <w:sz w:val="18"/>
          <w:szCs w:val="18"/>
        </w:rPr>
        <w:t>(D)</w:t>
      </w:r>
      <w:r w:rsidRPr="00CA1CAF">
        <w:rPr>
          <w:sz w:val="18"/>
          <w:szCs w:val="18"/>
        </w:rPr>
        <w:t xml:space="preserve"> </w:t>
      </w:r>
      <w:r>
        <w:rPr>
          <w:sz w:val="18"/>
          <w:szCs w:val="18"/>
        </w:rPr>
        <w:t>T</w:t>
      </w:r>
      <w:r w:rsidRPr="00CA1CAF">
        <w:rPr>
          <w:sz w:val="18"/>
          <w:szCs w:val="18"/>
        </w:rPr>
        <w:t xml:space="preserve">op 5 significantly scored BP terms across clusters. </w:t>
      </w:r>
      <w:r w:rsidRPr="00CA1CAF">
        <w:rPr>
          <w:b/>
          <w:bCs/>
          <w:sz w:val="18"/>
          <w:szCs w:val="18"/>
        </w:rPr>
        <w:t>(E)</w:t>
      </w:r>
      <w:r w:rsidRPr="00CA1CAF">
        <w:rPr>
          <w:sz w:val="18"/>
          <w:szCs w:val="18"/>
        </w:rPr>
        <w:t xml:space="preserve"> Overview of </w:t>
      </w:r>
      <w:r>
        <w:rPr>
          <w:sz w:val="18"/>
          <w:szCs w:val="18"/>
        </w:rPr>
        <w:t>copurified</w:t>
      </w:r>
      <w:r w:rsidRPr="00CA1CAF">
        <w:rPr>
          <w:sz w:val="18"/>
          <w:szCs w:val="18"/>
        </w:rPr>
        <w:t xml:space="preserve"> protein complexes. The number of identified subunits is plotted against the protein complex completeness. Marginal histograms of data distribution are indicated. </w:t>
      </w:r>
      <w:r w:rsidRPr="00CA1CAF">
        <w:rPr>
          <w:b/>
          <w:bCs/>
          <w:sz w:val="18"/>
          <w:szCs w:val="18"/>
        </w:rPr>
        <w:t>(F)</w:t>
      </w:r>
      <w:r w:rsidRPr="00CA1CAF">
        <w:rPr>
          <w:sz w:val="18"/>
          <w:szCs w:val="18"/>
        </w:rPr>
        <w:t xml:space="preserve"> Ragulator-Rag complex (Complex IDs: 8325, 8324, 8324, 8306) and LIN-complex (Complex IDs: 617, 1448, 3207, 3208, 3209, 6263)</w:t>
      </w:r>
      <w:r>
        <w:rPr>
          <w:sz w:val="18"/>
          <w:szCs w:val="18"/>
        </w:rPr>
        <w:t xml:space="preserve"> based on distance matrix derived from prey-prey correlation</w:t>
      </w:r>
      <w:r w:rsidRPr="00CA1CAF">
        <w:rPr>
          <w:sz w:val="18"/>
          <w:szCs w:val="18"/>
        </w:rPr>
        <w:t>. Line thickness represents density between as a measure of correlation as used in panel B. Color correlates with density values</w:t>
      </w:r>
      <w:r w:rsidR="00511380">
        <w:rPr>
          <w:sz w:val="18"/>
          <w:szCs w:val="18"/>
        </w:rPr>
        <w:t xml:space="preserve">. </w:t>
      </w:r>
      <w:r w:rsidR="00511380" w:rsidRPr="00511380">
        <w:rPr>
          <w:sz w:val="18"/>
          <w:szCs w:val="18"/>
        </w:rPr>
        <w:t xml:space="preserve">Complex subunits are colored blue, while other proteins </w:t>
      </w:r>
      <w:r w:rsidR="00511380">
        <w:rPr>
          <w:sz w:val="18"/>
          <w:szCs w:val="18"/>
        </w:rPr>
        <w:t xml:space="preserve">present </w:t>
      </w:r>
      <w:r w:rsidR="00511380" w:rsidRPr="00511380">
        <w:rPr>
          <w:sz w:val="18"/>
          <w:szCs w:val="18"/>
        </w:rPr>
        <w:t>in the cluster are colored yellow.</w:t>
      </w:r>
    </w:p>
    <w:p w14:paraId="14AD96F7" w14:textId="77777777" w:rsidR="0088557E" w:rsidRDefault="0088557E" w:rsidP="00915241">
      <w:r w:rsidRPr="00CA1CAF">
        <w:br w:type="page"/>
      </w:r>
    </w:p>
    <w:p w14:paraId="1FFA4699" w14:textId="64587089" w:rsidR="00D5189E" w:rsidRDefault="65E80AD1" w:rsidP="00D5189E">
      <w:pPr>
        <w:jc w:val="both"/>
        <w:rPr>
          <w:b/>
          <w:bCs/>
          <w:sz w:val="18"/>
          <w:szCs w:val="18"/>
        </w:rPr>
      </w:pPr>
      <w:r>
        <w:rPr>
          <w:noProof/>
        </w:rPr>
        <w:lastRenderedPageBreak/>
        <w:drawing>
          <wp:inline distT="0" distB="0" distL="0" distR="0" wp14:anchorId="61115A38" wp14:editId="6E80A902">
            <wp:extent cx="5639783" cy="7258048"/>
            <wp:effectExtent l="0" t="0" r="0" b="0"/>
            <wp:docPr id="132506287" name="Picture 132506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639783" cy="7258048"/>
                    </a:xfrm>
                    <a:prstGeom prst="rect">
                      <a:avLst/>
                    </a:prstGeom>
                  </pic:spPr>
                </pic:pic>
              </a:graphicData>
            </a:graphic>
          </wp:inline>
        </w:drawing>
      </w:r>
    </w:p>
    <w:p w14:paraId="6DDFC53F" w14:textId="5FA1D6C0" w:rsidR="00D5189E" w:rsidRPr="00DA578C" w:rsidRDefault="00D5189E" w:rsidP="4804F89B">
      <w:pPr>
        <w:jc w:val="both"/>
        <w:rPr>
          <w:b/>
          <w:bCs/>
          <w:sz w:val="18"/>
          <w:szCs w:val="18"/>
        </w:rPr>
      </w:pPr>
      <w:bookmarkStart w:id="11" w:name="_Toc192510311"/>
      <w:r w:rsidRPr="001D7470">
        <w:rPr>
          <w:rStyle w:val="Heading2Char"/>
        </w:rPr>
        <w:t>Appendix Figure S10. Protein Stability after RNAi-mediated depletion of interactor and additional drug treatment.</w:t>
      </w:r>
      <w:bookmarkEnd w:id="11"/>
      <w:r w:rsidRPr="4804F89B">
        <w:rPr>
          <w:b/>
          <w:bCs/>
          <w:sz w:val="18"/>
          <w:szCs w:val="18"/>
        </w:rPr>
        <w:t xml:space="preserve"> </w:t>
      </w:r>
      <w:r w:rsidR="6EFA7D50" w:rsidRPr="006105CD">
        <w:rPr>
          <w:sz w:val="18"/>
          <w:szCs w:val="18"/>
        </w:rPr>
        <w:t xml:space="preserve">All experiments were performed alongside the protein stability experiments shown in Figure 4D with an additional drug treatment of 4.5–6 hours before analysis (DMSO, 0.05% DMSO; TAK, 0.5 </w:t>
      </w:r>
      <w:r w:rsidR="62F58388" w:rsidRPr="4804F89B">
        <w:rPr>
          <w:b/>
          <w:bCs/>
          <w:sz w:val="18"/>
          <w:szCs w:val="18"/>
        </w:rPr>
        <w:t>µ</w:t>
      </w:r>
      <w:r w:rsidR="6EFA7D50" w:rsidRPr="006105CD">
        <w:rPr>
          <w:sz w:val="18"/>
          <w:szCs w:val="18"/>
        </w:rPr>
        <w:t xml:space="preserve">M TAK-243; MLN, 0.5 </w:t>
      </w:r>
      <w:r w:rsidR="62519106" w:rsidRPr="4804F89B">
        <w:rPr>
          <w:b/>
          <w:bCs/>
          <w:sz w:val="18"/>
          <w:szCs w:val="18"/>
        </w:rPr>
        <w:t>µ</w:t>
      </w:r>
      <w:r w:rsidR="6EFA7D50" w:rsidRPr="006105CD">
        <w:rPr>
          <w:sz w:val="18"/>
          <w:szCs w:val="18"/>
        </w:rPr>
        <w:t>M MLN4924; BafA, 100 nM Bafilomycin A1; MG132, 1</w:t>
      </w:r>
      <w:r w:rsidR="6252CBA9" w:rsidRPr="4804F89B">
        <w:rPr>
          <w:sz w:val="18"/>
          <w:szCs w:val="18"/>
        </w:rPr>
        <w:t>0</w:t>
      </w:r>
      <w:r w:rsidR="6EFA7D50" w:rsidRPr="006105CD">
        <w:rPr>
          <w:sz w:val="18"/>
          <w:szCs w:val="18"/>
        </w:rPr>
        <w:t xml:space="preserve"> </w:t>
      </w:r>
      <w:r w:rsidR="3706B3EA" w:rsidRPr="4804F89B">
        <w:rPr>
          <w:b/>
          <w:bCs/>
          <w:sz w:val="18"/>
          <w:szCs w:val="18"/>
        </w:rPr>
        <w:t>µ</w:t>
      </w:r>
      <w:r w:rsidR="6EFA7D50" w:rsidRPr="006105CD">
        <w:rPr>
          <w:sz w:val="18"/>
          <w:szCs w:val="18"/>
        </w:rPr>
        <w:t xml:space="preserve">M MG132). Graphs show median GFP:RFP ratio compared to control RNAi without drugs. Error bars denote upper and lower quartile. </w:t>
      </w:r>
      <w:r w:rsidRPr="4804F89B">
        <w:rPr>
          <w:b/>
          <w:bCs/>
          <w:sz w:val="18"/>
          <w:szCs w:val="18"/>
        </w:rPr>
        <w:t>(A)</w:t>
      </w:r>
      <w:r w:rsidRPr="4804F89B">
        <w:rPr>
          <w:sz w:val="18"/>
          <w:szCs w:val="18"/>
        </w:rPr>
        <w:t xml:space="preserve"> </w:t>
      </w:r>
      <w:r w:rsidR="3972FDEB" w:rsidRPr="4804F89B">
        <w:rPr>
          <w:sz w:val="18"/>
          <w:szCs w:val="18"/>
        </w:rPr>
        <w:t xml:space="preserve">SLC1A2-GFP protein stability assay (n&gt;9670 events per sample). </w:t>
      </w:r>
      <w:r w:rsidR="3972FDEB" w:rsidRPr="006105CD">
        <w:rPr>
          <w:b/>
          <w:bCs/>
          <w:sz w:val="18"/>
          <w:szCs w:val="18"/>
        </w:rPr>
        <w:t>(B)</w:t>
      </w:r>
      <w:r w:rsidR="3972FDEB" w:rsidRPr="4804F89B">
        <w:rPr>
          <w:sz w:val="18"/>
          <w:szCs w:val="18"/>
        </w:rPr>
        <w:t xml:space="preserve"> SLC2A8-GFP protein stability assay (n&gt;9899) events per sample). </w:t>
      </w:r>
      <w:r w:rsidR="3972FDEB" w:rsidRPr="006105CD">
        <w:rPr>
          <w:b/>
          <w:bCs/>
          <w:sz w:val="18"/>
          <w:szCs w:val="18"/>
        </w:rPr>
        <w:t>(C)</w:t>
      </w:r>
      <w:r w:rsidR="3972FDEB" w:rsidRPr="4804F89B">
        <w:rPr>
          <w:sz w:val="18"/>
          <w:szCs w:val="18"/>
        </w:rPr>
        <w:t xml:space="preserve"> SLC6A8-GFP protein stability assay (n&gt;4588 events per sample). </w:t>
      </w:r>
      <w:r w:rsidR="3972FDEB" w:rsidRPr="006105CD">
        <w:rPr>
          <w:b/>
          <w:bCs/>
          <w:sz w:val="18"/>
          <w:szCs w:val="18"/>
        </w:rPr>
        <w:t>(D)</w:t>
      </w:r>
      <w:r w:rsidR="3972FDEB" w:rsidRPr="4804F89B">
        <w:rPr>
          <w:sz w:val="18"/>
          <w:szCs w:val="18"/>
        </w:rPr>
        <w:t xml:space="preserve"> SLC6A15-GFP protein stability assay (n&gt;8513 events per sample). </w:t>
      </w:r>
      <w:r w:rsidR="3972FDEB" w:rsidRPr="006105CD">
        <w:rPr>
          <w:b/>
          <w:bCs/>
          <w:sz w:val="18"/>
          <w:szCs w:val="18"/>
        </w:rPr>
        <w:t>(E)</w:t>
      </w:r>
      <w:r w:rsidR="3972FDEB" w:rsidRPr="4804F89B">
        <w:rPr>
          <w:sz w:val="18"/>
          <w:szCs w:val="18"/>
        </w:rPr>
        <w:t xml:space="preserve"> SLC6A17-GFP protein stability assay (n&gt;9496 events per sample). </w:t>
      </w:r>
      <w:r w:rsidR="3972FDEB" w:rsidRPr="006105CD">
        <w:rPr>
          <w:b/>
          <w:bCs/>
          <w:sz w:val="18"/>
          <w:szCs w:val="18"/>
        </w:rPr>
        <w:t>(F)</w:t>
      </w:r>
      <w:r w:rsidR="3972FDEB" w:rsidRPr="4804F89B">
        <w:rPr>
          <w:sz w:val="18"/>
          <w:szCs w:val="18"/>
        </w:rPr>
        <w:t xml:space="preserve"> SLC7A1-GFP protein stability assay (n&gt;9210 events per sample). </w:t>
      </w:r>
      <w:r w:rsidR="3972FDEB" w:rsidRPr="006105CD">
        <w:rPr>
          <w:b/>
          <w:bCs/>
          <w:sz w:val="18"/>
          <w:szCs w:val="18"/>
        </w:rPr>
        <w:t>(G)</w:t>
      </w:r>
      <w:r w:rsidR="3972FDEB" w:rsidRPr="4804F89B">
        <w:rPr>
          <w:sz w:val="18"/>
          <w:szCs w:val="18"/>
        </w:rPr>
        <w:t xml:space="preserve"> SLC7A7-GFP protein stability assay (n&gt;9848 events per sample). </w:t>
      </w:r>
      <w:r w:rsidR="3972FDEB" w:rsidRPr="006105CD">
        <w:rPr>
          <w:b/>
          <w:bCs/>
          <w:sz w:val="18"/>
          <w:szCs w:val="18"/>
        </w:rPr>
        <w:t>(H)</w:t>
      </w:r>
      <w:r w:rsidR="3972FDEB" w:rsidRPr="4804F89B">
        <w:rPr>
          <w:sz w:val="18"/>
          <w:szCs w:val="18"/>
        </w:rPr>
        <w:t xml:space="preserve"> SLC12A8-GFP protein stability assay (n&gt;9321 events per sample). </w:t>
      </w:r>
      <w:r w:rsidR="3972FDEB" w:rsidRPr="006105CD">
        <w:rPr>
          <w:b/>
          <w:bCs/>
          <w:sz w:val="18"/>
          <w:szCs w:val="18"/>
        </w:rPr>
        <w:t>(I)</w:t>
      </w:r>
      <w:r w:rsidR="3972FDEB" w:rsidRPr="4804F89B">
        <w:rPr>
          <w:sz w:val="18"/>
          <w:szCs w:val="18"/>
        </w:rPr>
        <w:t xml:space="preserve"> SLCO1B3-GFP protein stability </w:t>
      </w:r>
      <w:r w:rsidR="3972FDEB" w:rsidRPr="4804F89B">
        <w:rPr>
          <w:sz w:val="18"/>
          <w:szCs w:val="18"/>
        </w:rPr>
        <w:lastRenderedPageBreak/>
        <w:t xml:space="preserve">assay (n&gt;8129 events per sample). </w:t>
      </w:r>
      <w:r w:rsidR="3972FDEB" w:rsidRPr="006105CD">
        <w:rPr>
          <w:b/>
          <w:bCs/>
          <w:sz w:val="18"/>
          <w:szCs w:val="18"/>
        </w:rPr>
        <w:t>(J)</w:t>
      </w:r>
      <w:r w:rsidR="3972FDEB" w:rsidRPr="4804F89B">
        <w:rPr>
          <w:sz w:val="18"/>
          <w:szCs w:val="18"/>
        </w:rPr>
        <w:t xml:space="preserve"> SLCO4C1-GFP protein stability assay (n&gt;5538 events per sample). </w:t>
      </w:r>
      <w:r w:rsidR="3972FDEB" w:rsidRPr="006105CD">
        <w:rPr>
          <w:b/>
          <w:bCs/>
          <w:sz w:val="18"/>
          <w:szCs w:val="18"/>
        </w:rPr>
        <w:t>(K)</w:t>
      </w:r>
      <w:r w:rsidR="3972FDEB" w:rsidRPr="4804F89B">
        <w:rPr>
          <w:sz w:val="18"/>
          <w:szCs w:val="18"/>
        </w:rPr>
        <w:t xml:space="preserve"> SLC22A4-GFP protein stability assay (n&gt;8309 events per sample). </w:t>
      </w:r>
      <w:r w:rsidR="3972FDEB" w:rsidRPr="006105CD">
        <w:rPr>
          <w:b/>
          <w:bCs/>
          <w:sz w:val="18"/>
          <w:szCs w:val="18"/>
        </w:rPr>
        <w:t>(L)</w:t>
      </w:r>
      <w:r w:rsidR="3972FDEB" w:rsidRPr="4804F89B">
        <w:rPr>
          <w:sz w:val="18"/>
          <w:szCs w:val="18"/>
        </w:rPr>
        <w:t xml:space="preserve"> SLC22A11-GFP protein stability assay (n&gt;10010 events per sample). Note that proteasome inhibitor MG132 was used in this assay instead of TAK-243. </w:t>
      </w:r>
      <w:r w:rsidR="3972FDEB" w:rsidRPr="006105CD">
        <w:rPr>
          <w:b/>
          <w:bCs/>
          <w:sz w:val="18"/>
          <w:szCs w:val="18"/>
        </w:rPr>
        <w:t>(M)</w:t>
      </w:r>
      <w:r w:rsidR="3972FDEB" w:rsidRPr="4804F89B">
        <w:rPr>
          <w:sz w:val="18"/>
          <w:szCs w:val="18"/>
        </w:rPr>
        <w:t xml:space="preserve"> SLC22A17-GFP protein stability assay (n&gt;9527 events per sample). </w:t>
      </w:r>
      <w:r w:rsidR="3972FDEB" w:rsidRPr="006105CD">
        <w:rPr>
          <w:b/>
          <w:bCs/>
          <w:sz w:val="18"/>
          <w:szCs w:val="18"/>
        </w:rPr>
        <w:t>(N)</w:t>
      </w:r>
      <w:r w:rsidR="3972FDEB" w:rsidRPr="4804F89B">
        <w:rPr>
          <w:sz w:val="18"/>
          <w:szCs w:val="18"/>
        </w:rPr>
        <w:t xml:space="preserve"> SLC23A1-GFP protein stability assay (n&gt;5969 events per sample). </w:t>
      </w:r>
      <w:r w:rsidR="3972FDEB" w:rsidRPr="006105CD">
        <w:rPr>
          <w:b/>
          <w:bCs/>
          <w:sz w:val="18"/>
          <w:szCs w:val="18"/>
        </w:rPr>
        <w:t>(O)</w:t>
      </w:r>
      <w:r w:rsidR="3972FDEB" w:rsidRPr="4804F89B">
        <w:rPr>
          <w:sz w:val="18"/>
          <w:szCs w:val="18"/>
        </w:rPr>
        <w:t xml:space="preserve"> MTCH2-GFP protein stability assay (n&gt;6005 events per sample). </w:t>
      </w:r>
      <w:r w:rsidR="3972FDEB" w:rsidRPr="006105CD">
        <w:rPr>
          <w:b/>
          <w:bCs/>
          <w:sz w:val="18"/>
          <w:szCs w:val="18"/>
        </w:rPr>
        <w:t>(P)</w:t>
      </w:r>
      <w:r w:rsidR="3972FDEB" w:rsidRPr="4804F89B">
        <w:rPr>
          <w:sz w:val="18"/>
          <w:szCs w:val="18"/>
        </w:rPr>
        <w:t xml:space="preserve"> MTCH1-GFP protein stability assay (n&gt;4376 events per sample). </w:t>
      </w:r>
      <w:r w:rsidR="3972FDEB" w:rsidRPr="006105CD">
        <w:rPr>
          <w:b/>
          <w:bCs/>
          <w:sz w:val="18"/>
          <w:szCs w:val="18"/>
        </w:rPr>
        <w:t>(Q)</w:t>
      </w:r>
      <w:r w:rsidR="3972FDEB" w:rsidRPr="4804F89B">
        <w:rPr>
          <w:sz w:val="18"/>
          <w:szCs w:val="18"/>
        </w:rPr>
        <w:t xml:space="preserve"> SLC27A1-GFP protein stability assay (n&gt;3813 events per sample). </w:t>
      </w:r>
      <w:r w:rsidR="3972FDEB" w:rsidRPr="006105CD">
        <w:rPr>
          <w:b/>
          <w:bCs/>
          <w:sz w:val="18"/>
          <w:szCs w:val="18"/>
        </w:rPr>
        <w:t>(R)</w:t>
      </w:r>
      <w:r w:rsidR="3972FDEB" w:rsidRPr="4804F89B">
        <w:rPr>
          <w:sz w:val="18"/>
          <w:szCs w:val="18"/>
        </w:rPr>
        <w:t xml:space="preserve"> SLC27A4-GFP protein stability assay (n&gt;9963 events per sample). </w:t>
      </w:r>
      <w:r w:rsidR="3972FDEB" w:rsidRPr="006105CD">
        <w:rPr>
          <w:b/>
          <w:bCs/>
          <w:sz w:val="18"/>
          <w:szCs w:val="18"/>
        </w:rPr>
        <w:t>(S)</w:t>
      </w:r>
      <w:r w:rsidR="3972FDEB" w:rsidRPr="4804F89B">
        <w:rPr>
          <w:sz w:val="18"/>
          <w:szCs w:val="18"/>
        </w:rPr>
        <w:t xml:space="preserve"> SLC30A4-GFP protein stability assay (n&gt;2342 events per sample). </w:t>
      </w:r>
      <w:r w:rsidR="3972FDEB" w:rsidRPr="006105CD">
        <w:rPr>
          <w:b/>
          <w:bCs/>
          <w:sz w:val="18"/>
          <w:szCs w:val="18"/>
        </w:rPr>
        <w:t>(T)</w:t>
      </w:r>
      <w:r w:rsidR="3972FDEB" w:rsidRPr="4804F89B">
        <w:rPr>
          <w:sz w:val="18"/>
          <w:szCs w:val="18"/>
        </w:rPr>
        <w:t xml:space="preserve"> SLC31A1-GFP protein stability assay (n&gt;6839 events per sample). </w:t>
      </w:r>
      <w:r w:rsidR="3972FDEB" w:rsidRPr="006105CD">
        <w:rPr>
          <w:b/>
          <w:bCs/>
          <w:sz w:val="18"/>
          <w:szCs w:val="18"/>
        </w:rPr>
        <w:t>(U)</w:t>
      </w:r>
      <w:r w:rsidR="3972FDEB" w:rsidRPr="4804F89B">
        <w:rPr>
          <w:sz w:val="18"/>
          <w:szCs w:val="18"/>
        </w:rPr>
        <w:t xml:space="preserve"> SLC34A1-GFP protein stability assay (n&gt;8777 events per sample). </w:t>
      </w:r>
      <w:r w:rsidR="3972FDEB" w:rsidRPr="006105CD">
        <w:rPr>
          <w:b/>
          <w:bCs/>
          <w:sz w:val="18"/>
          <w:szCs w:val="18"/>
        </w:rPr>
        <w:t>(V)</w:t>
      </w:r>
      <w:r w:rsidR="3972FDEB" w:rsidRPr="4804F89B">
        <w:rPr>
          <w:sz w:val="18"/>
          <w:szCs w:val="18"/>
        </w:rPr>
        <w:t xml:space="preserve"> SLC35F2-GFP protein stability assay (n&gt;8798 events per sample). </w:t>
      </w:r>
      <w:r w:rsidR="3972FDEB" w:rsidRPr="006105CD">
        <w:rPr>
          <w:b/>
          <w:bCs/>
          <w:sz w:val="18"/>
          <w:szCs w:val="18"/>
        </w:rPr>
        <w:t>(W)</w:t>
      </w:r>
      <w:r w:rsidR="3972FDEB" w:rsidRPr="4804F89B">
        <w:rPr>
          <w:sz w:val="18"/>
          <w:szCs w:val="18"/>
        </w:rPr>
        <w:t xml:space="preserve"> SLC37A2-GFP protein stability assay (n&gt;9620 events per sample). </w:t>
      </w:r>
      <w:r w:rsidR="3972FDEB" w:rsidRPr="006105CD">
        <w:rPr>
          <w:b/>
          <w:bCs/>
          <w:sz w:val="18"/>
          <w:szCs w:val="18"/>
        </w:rPr>
        <w:t>(X)</w:t>
      </w:r>
      <w:r w:rsidR="3972FDEB" w:rsidRPr="4804F89B">
        <w:rPr>
          <w:sz w:val="18"/>
          <w:szCs w:val="18"/>
        </w:rPr>
        <w:t xml:space="preserve"> SLC39A8-GFP protein stability assay (n&gt;6809 events per sample). </w:t>
      </w:r>
      <w:r w:rsidR="3972FDEB" w:rsidRPr="006105CD">
        <w:rPr>
          <w:b/>
          <w:bCs/>
          <w:sz w:val="18"/>
          <w:szCs w:val="18"/>
        </w:rPr>
        <w:t>(Y)</w:t>
      </w:r>
      <w:r w:rsidR="3972FDEB" w:rsidRPr="4804F89B">
        <w:rPr>
          <w:sz w:val="18"/>
          <w:szCs w:val="18"/>
        </w:rPr>
        <w:t xml:space="preserve"> SLC43A2-GFP protein stability assay (n&gt;9674 events per sample). </w:t>
      </w:r>
    </w:p>
    <w:p w14:paraId="33D030E9" w14:textId="325401FD" w:rsidR="002D720B" w:rsidRDefault="002D720B">
      <w:pPr>
        <w:rPr>
          <w:sz w:val="18"/>
          <w:szCs w:val="18"/>
        </w:rPr>
      </w:pPr>
      <w:r>
        <w:rPr>
          <w:sz w:val="18"/>
          <w:szCs w:val="18"/>
        </w:rPr>
        <w:br w:type="page"/>
      </w:r>
    </w:p>
    <w:p w14:paraId="70E597FB" w14:textId="3FCC22A4" w:rsidR="00D5189E" w:rsidRDefault="3B5C5855" w:rsidP="00D5189E">
      <w:pPr>
        <w:jc w:val="both"/>
        <w:rPr>
          <w:b/>
          <w:bCs/>
          <w:sz w:val="18"/>
          <w:szCs w:val="18"/>
        </w:rPr>
      </w:pPr>
      <w:r>
        <w:rPr>
          <w:noProof/>
        </w:rPr>
        <w:lastRenderedPageBreak/>
        <w:drawing>
          <wp:inline distT="0" distB="0" distL="0" distR="0" wp14:anchorId="2DB3CB43" wp14:editId="025EC56B">
            <wp:extent cx="5724524" cy="2152650"/>
            <wp:effectExtent l="0" t="0" r="0" b="0"/>
            <wp:docPr id="811895499" name="Picture 81189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724524" cy="2152650"/>
                    </a:xfrm>
                    <a:prstGeom prst="rect">
                      <a:avLst/>
                    </a:prstGeom>
                  </pic:spPr>
                </pic:pic>
              </a:graphicData>
            </a:graphic>
          </wp:inline>
        </w:drawing>
      </w:r>
    </w:p>
    <w:p w14:paraId="24B19D3A" w14:textId="75C39CA8" w:rsidR="00D5189E" w:rsidRDefault="00D5189E" w:rsidP="4804F89B">
      <w:pPr>
        <w:jc w:val="both"/>
        <w:rPr>
          <w:sz w:val="18"/>
          <w:szCs w:val="18"/>
        </w:rPr>
      </w:pPr>
      <w:bookmarkStart w:id="12" w:name="_Toc192510312"/>
      <w:r w:rsidRPr="001D7470">
        <w:rPr>
          <w:rStyle w:val="Heading2Char"/>
        </w:rPr>
        <w:t>Appendix Figure S11. Protein Stability after</w:t>
      </w:r>
      <w:r w:rsidR="19F32552" w:rsidRPr="001D7470">
        <w:rPr>
          <w:rStyle w:val="Heading2Char"/>
        </w:rPr>
        <w:t xml:space="preserve"> cDNA-mediated overexpression</w:t>
      </w:r>
      <w:r w:rsidRPr="001D7470">
        <w:rPr>
          <w:rStyle w:val="Heading2Char"/>
        </w:rPr>
        <w:t xml:space="preserve"> of interactor and additional drug treatment.</w:t>
      </w:r>
      <w:bookmarkEnd w:id="12"/>
      <w:r w:rsidRPr="4804F89B">
        <w:rPr>
          <w:b/>
          <w:bCs/>
          <w:sz w:val="18"/>
          <w:szCs w:val="18"/>
        </w:rPr>
        <w:t xml:space="preserve"> </w:t>
      </w:r>
      <w:r w:rsidR="05C3B34F" w:rsidRPr="001D7470">
        <w:rPr>
          <w:sz w:val="18"/>
          <w:szCs w:val="18"/>
        </w:rPr>
        <w:t xml:space="preserve">All experiments were performed alongside the protein stability experiments shown in </w:t>
      </w:r>
      <w:r w:rsidR="05C3B34F" w:rsidRPr="001D7470">
        <w:rPr>
          <w:b/>
          <w:bCs/>
          <w:sz w:val="18"/>
          <w:szCs w:val="18"/>
        </w:rPr>
        <w:t>F</w:t>
      </w:r>
      <w:r w:rsidR="001D7470" w:rsidRPr="001D7470">
        <w:rPr>
          <w:b/>
          <w:bCs/>
          <w:sz w:val="18"/>
          <w:szCs w:val="18"/>
        </w:rPr>
        <w:t>ig.</w:t>
      </w:r>
      <w:r w:rsidR="05C3B34F" w:rsidRPr="001D7470">
        <w:rPr>
          <w:b/>
          <w:bCs/>
          <w:sz w:val="18"/>
          <w:szCs w:val="18"/>
        </w:rPr>
        <w:t xml:space="preserve"> 4E</w:t>
      </w:r>
      <w:r w:rsidR="05C3B34F" w:rsidRPr="001D7470">
        <w:rPr>
          <w:sz w:val="18"/>
          <w:szCs w:val="18"/>
        </w:rPr>
        <w:t xml:space="preserve"> with an additional drug treatment of 4.5–6 hours before analysis (DMSO, 0.05% DMSO; TAK, 0.5 </w:t>
      </w:r>
      <w:r w:rsidR="53FEBAC6" w:rsidRPr="001D7470">
        <w:rPr>
          <w:sz w:val="18"/>
          <w:szCs w:val="18"/>
        </w:rPr>
        <w:t>µ</w:t>
      </w:r>
      <w:r w:rsidR="05C3B34F" w:rsidRPr="001D7470">
        <w:rPr>
          <w:sz w:val="18"/>
          <w:szCs w:val="18"/>
        </w:rPr>
        <w:t xml:space="preserve">M TAK-243; MLN, 0.5 </w:t>
      </w:r>
      <w:r w:rsidR="644AC6B1" w:rsidRPr="001D7470">
        <w:rPr>
          <w:sz w:val="18"/>
          <w:szCs w:val="18"/>
        </w:rPr>
        <w:t>µ</w:t>
      </w:r>
      <w:r w:rsidR="05C3B34F" w:rsidRPr="001D7470">
        <w:rPr>
          <w:sz w:val="18"/>
          <w:szCs w:val="18"/>
        </w:rPr>
        <w:t>M MLN4924; BafA, 100 nM Bafilomycin A1). Graphs show median GFP:RFP ratio compared to BFP overexpression without drugs. Error bars denote upper and lower quartile.</w:t>
      </w:r>
      <w:r w:rsidR="05C3B34F" w:rsidRPr="4804F89B">
        <w:rPr>
          <w:b/>
          <w:bCs/>
          <w:sz w:val="18"/>
          <w:szCs w:val="18"/>
        </w:rPr>
        <w:t xml:space="preserve"> </w:t>
      </w:r>
      <w:r w:rsidRPr="4804F89B">
        <w:rPr>
          <w:b/>
          <w:bCs/>
          <w:sz w:val="18"/>
          <w:szCs w:val="18"/>
        </w:rPr>
        <w:t>(A)</w:t>
      </w:r>
      <w:r w:rsidRPr="4804F89B">
        <w:rPr>
          <w:sz w:val="18"/>
          <w:szCs w:val="18"/>
        </w:rPr>
        <w:t xml:space="preserve"> </w:t>
      </w:r>
      <w:r w:rsidR="434C1EDB" w:rsidRPr="4804F89B">
        <w:rPr>
          <w:sz w:val="18"/>
          <w:szCs w:val="18"/>
        </w:rPr>
        <w:t xml:space="preserve">SLC2A8-GFP protein stability assay (n&gt;4606 events per sample). </w:t>
      </w:r>
      <w:r w:rsidR="434C1EDB" w:rsidRPr="006105CD">
        <w:rPr>
          <w:b/>
          <w:bCs/>
          <w:sz w:val="18"/>
          <w:szCs w:val="18"/>
        </w:rPr>
        <w:t>(B)</w:t>
      </w:r>
      <w:r w:rsidR="434C1EDB" w:rsidRPr="4804F89B">
        <w:rPr>
          <w:sz w:val="18"/>
          <w:szCs w:val="18"/>
        </w:rPr>
        <w:t xml:space="preserve"> SLC6A15-GFP protein stability assay (n&gt;3297 events per sample). </w:t>
      </w:r>
      <w:r w:rsidR="434C1EDB" w:rsidRPr="006105CD">
        <w:rPr>
          <w:b/>
          <w:bCs/>
          <w:sz w:val="18"/>
          <w:szCs w:val="18"/>
        </w:rPr>
        <w:t>(C)</w:t>
      </w:r>
      <w:r w:rsidR="434C1EDB" w:rsidRPr="4804F89B">
        <w:rPr>
          <w:sz w:val="18"/>
          <w:szCs w:val="18"/>
        </w:rPr>
        <w:t xml:space="preserve"> SLC6A17-GFP protein stability assay (n&gt;1615 events per sample). </w:t>
      </w:r>
      <w:r w:rsidR="434C1EDB" w:rsidRPr="006105CD">
        <w:rPr>
          <w:b/>
          <w:bCs/>
          <w:sz w:val="18"/>
          <w:szCs w:val="18"/>
        </w:rPr>
        <w:t>(D)</w:t>
      </w:r>
      <w:r w:rsidR="434C1EDB" w:rsidRPr="4804F89B">
        <w:rPr>
          <w:sz w:val="18"/>
          <w:szCs w:val="18"/>
        </w:rPr>
        <w:t xml:space="preserve"> MTCH1-GFP protein stability assay (n&gt;3006 events per sample). </w:t>
      </w:r>
      <w:r w:rsidR="434C1EDB" w:rsidRPr="006105CD">
        <w:rPr>
          <w:b/>
          <w:bCs/>
          <w:sz w:val="18"/>
          <w:szCs w:val="18"/>
        </w:rPr>
        <w:t>(E)</w:t>
      </w:r>
      <w:r w:rsidR="434C1EDB" w:rsidRPr="4804F89B">
        <w:rPr>
          <w:sz w:val="18"/>
          <w:szCs w:val="18"/>
        </w:rPr>
        <w:t xml:space="preserve"> MTCH2-GFP protein stability assay (n&gt;1673 events per sample). </w:t>
      </w:r>
      <w:r w:rsidR="434C1EDB" w:rsidRPr="006105CD">
        <w:rPr>
          <w:b/>
          <w:bCs/>
          <w:sz w:val="18"/>
          <w:szCs w:val="18"/>
        </w:rPr>
        <w:t>(F)</w:t>
      </w:r>
      <w:r w:rsidR="434C1EDB" w:rsidRPr="4804F89B">
        <w:rPr>
          <w:sz w:val="18"/>
          <w:szCs w:val="18"/>
        </w:rPr>
        <w:t xml:space="preserve"> SLC30A7-GFP protein stability assay (n&gt;4680 events per sample). </w:t>
      </w:r>
      <w:r w:rsidR="434C1EDB" w:rsidRPr="006105CD">
        <w:rPr>
          <w:b/>
          <w:bCs/>
          <w:sz w:val="18"/>
          <w:szCs w:val="18"/>
        </w:rPr>
        <w:t>(G)</w:t>
      </w:r>
      <w:r w:rsidR="434C1EDB" w:rsidRPr="4804F89B">
        <w:rPr>
          <w:sz w:val="18"/>
          <w:szCs w:val="18"/>
        </w:rPr>
        <w:t xml:space="preserve"> NIPA1-GFP protein stability assay (n&gt;2872 events per sample). </w:t>
      </w:r>
      <w:r w:rsidR="434C1EDB" w:rsidRPr="006105CD">
        <w:rPr>
          <w:b/>
          <w:bCs/>
          <w:sz w:val="18"/>
          <w:szCs w:val="18"/>
        </w:rPr>
        <w:t>(H)</w:t>
      </w:r>
      <w:r w:rsidR="434C1EDB" w:rsidRPr="4804F89B">
        <w:rPr>
          <w:sz w:val="18"/>
          <w:szCs w:val="18"/>
        </w:rPr>
        <w:t xml:space="preserve"> ANKH-GFP protein stability assay (n&gt;3490 events per sample).</w:t>
      </w:r>
    </w:p>
    <w:p w14:paraId="5C0277C6" w14:textId="6EF19A0A" w:rsidR="002D720B" w:rsidRDefault="002D720B">
      <w:pPr>
        <w:rPr>
          <w:sz w:val="18"/>
          <w:szCs w:val="18"/>
        </w:rPr>
      </w:pPr>
      <w:r>
        <w:rPr>
          <w:sz w:val="18"/>
          <w:szCs w:val="18"/>
        </w:rPr>
        <w:br w:type="page"/>
      </w:r>
    </w:p>
    <w:p w14:paraId="0D95799F" w14:textId="77777777" w:rsidR="0088557E" w:rsidRDefault="0088557E">
      <w:pPr>
        <w:rPr>
          <w:sz w:val="18"/>
          <w:szCs w:val="18"/>
        </w:rPr>
      </w:pPr>
    </w:p>
    <w:p w14:paraId="4EDACCF1" w14:textId="5BBF6EE4" w:rsidR="00F9197B" w:rsidRDefault="005A0123">
      <w:pPr>
        <w:rPr>
          <w:sz w:val="18"/>
          <w:szCs w:val="18"/>
        </w:rPr>
      </w:pPr>
      <w:r>
        <w:rPr>
          <w:noProof/>
        </w:rPr>
        <w:drawing>
          <wp:inline distT="0" distB="0" distL="0" distR="0" wp14:anchorId="5A0E02E8" wp14:editId="6C4F2AAD">
            <wp:extent cx="5731510" cy="7286054"/>
            <wp:effectExtent l="0" t="0" r="2540" b="0"/>
            <wp:docPr id="1663281499" name="Picture 5"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81499" name="Picture 5" descr="A close-up of a graph&#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7286054"/>
                    </a:xfrm>
                    <a:prstGeom prst="rect">
                      <a:avLst/>
                    </a:prstGeom>
                    <a:noFill/>
                    <a:ln>
                      <a:noFill/>
                    </a:ln>
                  </pic:spPr>
                </pic:pic>
              </a:graphicData>
            </a:graphic>
          </wp:inline>
        </w:drawing>
      </w:r>
    </w:p>
    <w:p w14:paraId="7F47E17E" w14:textId="23B62D67" w:rsidR="00631952" w:rsidRDefault="00CC393D" w:rsidP="00631952">
      <w:pPr>
        <w:spacing w:after="0"/>
        <w:jc w:val="both"/>
        <w:rPr>
          <w:sz w:val="18"/>
          <w:szCs w:val="18"/>
        </w:rPr>
      </w:pPr>
      <w:bookmarkStart w:id="13" w:name="_Toc192510313"/>
      <w:r w:rsidRPr="32E386F3">
        <w:rPr>
          <w:rStyle w:val="Heading2Char"/>
        </w:rPr>
        <w:t xml:space="preserve">Appendix Figure </w:t>
      </w:r>
      <w:r w:rsidR="00631952" w:rsidRPr="32E386F3">
        <w:rPr>
          <w:rStyle w:val="Heading2Char"/>
        </w:rPr>
        <w:t>S12</w:t>
      </w:r>
      <w:r w:rsidRPr="32E386F3">
        <w:rPr>
          <w:rStyle w:val="Heading2Char"/>
        </w:rPr>
        <w:t xml:space="preserve">. </w:t>
      </w:r>
      <w:r w:rsidR="00631952" w:rsidRPr="32E386F3">
        <w:rPr>
          <w:rStyle w:val="Heading2Char"/>
        </w:rPr>
        <w:t>SLC16A6 binds to an SCF E3 ubiquitin-protein ligase complex which mediates abundance.</w:t>
      </w:r>
      <w:bookmarkEnd w:id="13"/>
      <w:r w:rsidR="00631952" w:rsidRPr="32E386F3">
        <w:rPr>
          <w:b/>
          <w:bCs/>
          <w:sz w:val="18"/>
          <w:szCs w:val="18"/>
        </w:rPr>
        <w:t xml:space="preserve"> (A) </w:t>
      </w:r>
      <w:r w:rsidR="00631952" w:rsidRPr="32E386F3">
        <w:rPr>
          <w:sz w:val="18"/>
          <w:szCs w:val="18"/>
        </w:rPr>
        <w:t xml:space="preserve">Scored interactors (blue points, n=31) of SLC16A6 plotted against identification across the SLC-interactome in percentage. Marginal histograms of data distribution are indicated on the x- and y-axis. SCF complex subunits are labelled. </w:t>
      </w:r>
      <w:r w:rsidR="00631952" w:rsidRPr="32E386F3">
        <w:rPr>
          <w:b/>
          <w:bCs/>
          <w:sz w:val="18"/>
          <w:szCs w:val="18"/>
        </w:rPr>
        <w:t xml:space="preserve">(B) </w:t>
      </w:r>
      <w:r w:rsidR="00631952" w:rsidRPr="32E386F3">
        <w:rPr>
          <w:sz w:val="18"/>
          <w:szCs w:val="18"/>
        </w:rPr>
        <w:t>Abundance distribution and interactor scoring results of</w:t>
      </w:r>
      <w:r w:rsidR="00631952" w:rsidRPr="32E386F3">
        <w:rPr>
          <w:b/>
          <w:bCs/>
          <w:sz w:val="18"/>
          <w:szCs w:val="18"/>
        </w:rPr>
        <w:t xml:space="preserve"> </w:t>
      </w:r>
      <w:r w:rsidR="00631952" w:rsidRPr="32E386F3">
        <w:rPr>
          <w:sz w:val="18"/>
          <w:szCs w:val="18"/>
        </w:rPr>
        <w:t xml:space="preserve">SCF complex members BTRC, CUL1, FBXW11 and SKP1. SKP1 was found in the background of the SLC16A6 purification. </w:t>
      </w:r>
      <w:r w:rsidR="00631952" w:rsidRPr="32E386F3">
        <w:rPr>
          <w:b/>
          <w:bCs/>
          <w:sz w:val="18"/>
          <w:szCs w:val="18"/>
        </w:rPr>
        <w:t>(C)</w:t>
      </w:r>
      <w:r w:rsidR="00631952" w:rsidRPr="32E386F3">
        <w:rPr>
          <w:sz w:val="18"/>
          <w:szCs w:val="18"/>
        </w:rPr>
        <w:t xml:space="preserve"> Five most significant GO biological processing terms enriched in the interactome of SLC16A6. </w:t>
      </w:r>
      <w:r w:rsidR="00631952" w:rsidRPr="32E386F3">
        <w:rPr>
          <w:b/>
          <w:bCs/>
          <w:sz w:val="18"/>
          <w:szCs w:val="18"/>
        </w:rPr>
        <w:t xml:space="preserve">(D) </w:t>
      </w:r>
      <w:r w:rsidR="00631952" w:rsidRPr="32E386F3">
        <w:rPr>
          <w:sz w:val="18"/>
          <w:szCs w:val="18"/>
        </w:rPr>
        <w:t>Protein stability assay of SLC16A6</w:t>
      </w:r>
      <w:r w:rsidR="00631952" w:rsidRPr="32E386F3">
        <w:rPr>
          <w:sz w:val="18"/>
          <w:szCs w:val="18"/>
          <w:vertAlign w:val="superscript"/>
        </w:rPr>
        <w:t>WT</w:t>
      </w:r>
      <w:r w:rsidR="00631952" w:rsidRPr="32E386F3">
        <w:rPr>
          <w:sz w:val="18"/>
          <w:szCs w:val="18"/>
        </w:rPr>
        <w:t xml:space="preserve"> after depletion of BTRC and FBXW11 followed by inhibition of the neddylation pathway by MLN4924. SLC16A6 is fully stabilized by co-depletion of BTRC and FBXW11 without notable stability increase by neddylation inhibition (median + upper quartile, n&gt;14,000 cells per condition). </w:t>
      </w:r>
      <w:r w:rsidR="00631952" w:rsidRPr="32E386F3">
        <w:rPr>
          <w:b/>
          <w:bCs/>
          <w:sz w:val="18"/>
          <w:szCs w:val="18"/>
        </w:rPr>
        <w:t xml:space="preserve">(E) </w:t>
      </w:r>
      <w:r w:rsidR="00631952" w:rsidRPr="32E386F3">
        <w:rPr>
          <w:sz w:val="18"/>
          <w:szCs w:val="18"/>
        </w:rPr>
        <w:t xml:space="preserve">Graphical illustration for </w:t>
      </w:r>
      <w:r w:rsidR="00631952" w:rsidRPr="32E386F3">
        <w:rPr>
          <w:sz w:val="18"/>
          <w:szCs w:val="18"/>
        </w:rPr>
        <w:lastRenderedPageBreak/>
        <w:t xml:space="preserve">phospho-degron dependent degradation. </w:t>
      </w:r>
      <w:r w:rsidR="00631952" w:rsidRPr="32E386F3">
        <w:rPr>
          <w:b/>
          <w:bCs/>
          <w:sz w:val="18"/>
          <w:szCs w:val="18"/>
        </w:rPr>
        <w:t>(F)</w:t>
      </w:r>
      <w:r w:rsidR="00631952" w:rsidRPr="32E386F3">
        <w:rPr>
          <w:sz w:val="18"/>
          <w:szCs w:val="18"/>
        </w:rPr>
        <w:t xml:space="preserve"> Quantification of SLC16A6-GFP wild-type and phospho-mutants fluorescence at the plasma membrane (n=160 images per condition; unpaired student t-test was used to compare phospho-mutants against wildtype).</w:t>
      </w:r>
      <w:r w:rsidR="00884D73" w:rsidRPr="32E386F3">
        <w:rPr>
          <w:sz w:val="18"/>
          <w:szCs w:val="18"/>
        </w:rPr>
        <w:t xml:space="preserve"> Representative images </w:t>
      </w:r>
      <w:r w:rsidR="00614AB7" w:rsidRPr="32E386F3">
        <w:rPr>
          <w:sz w:val="18"/>
          <w:szCs w:val="18"/>
        </w:rPr>
        <w:t>of the S240A and T245E mutant are highlighted below the quantification plot.</w:t>
      </w:r>
      <w:r w:rsidR="00631952" w:rsidRPr="32E386F3">
        <w:rPr>
          <w:sz w:val="18"/>
          <w:szCs w:val="18"/>
        </w:rPr>
        <w:t xml:space="preserve"> </w:t>
      </w:r>
      <w:r w:rsidR="60FA5A21" w:rsidRPr="32E386F3">
        <w:rPr>
          <w:sz w:val="18"/>
          <w:szCs w:val="18"/>
        </w:rPr>
        <w:t xml:space="preserve">Lower and upper hinges of box plots correspond to the 25th and 75th percentiles, respectively. Lower and upper whiskers extend from the hinge to the smallest or largest value no further than the 1.5× interquartile range from the hinge, respectively. Black line represents the mean and dots represent outliers. </w:t>
      </w:r>
      <w:r w:rsidR="00631952" w:rsidRPr="32E386F3">
        <w:rPr>
          <w:b/>
          <w:bCs/>
          <w:sz w:val="18"/>
          <w:szCs w:val="18"/>
        </w:rPr>
        <w:t xml:space="preserve">(G) </w:t>
      </w:r>
      <w:r w:rsidR="00631952" w:rsidRPr="32E386F3">
        <w:rPr>
          <w:sz w:val="18"/>
          <w:szCs w:val="18"/>
        </w:rPr>
        <w:t>Protein stability assay of SLC16A6</w:t>
      </w:r>
      <w:r w:rsidR="00631952" w:rsidRPr="32E386F3">
        <w:rPr>
          <w:sz w:val="18"/>
          <w:szCs w:val="18"/>
          <w:vertAlign w:val="superscript"/>
        </w:rPr>
        <w:t>WT</w:t>
      </w:r>
      <w:r w:rsidR="00631952" w:rsidRPr="32E386F3">
        <w:rPr>
          <w:sz w:val="18"/>
          <w:szCs w:val="18"/>
        </w:rPr>
        <w:t xml:space="preserve"> and SLC16A6 phospho-mutants in combination with RNAi treatment of adaptor proteins BTRC and FBXW11 (n=4). </w:t>
      </w:r>
      <w:r w:rsidR="00631952" w:rsidRPr="32E386F3">
        <w:rPr>
          <w:b/>
          <w:bCs/>
          <w:sz w:val="18"/>
          <w:szCs w:val="18"/>
        </w:rPr>
        <w:t>(H)</w:t>
      </w:r>
      <w:r w:rsidR="00631952" w:rsidRPr="32E386F3">
        <w:rPr>
          <w:sz w:val="18"/>
          <w:szCs w:val="18"/>
        </w:rPr>
        <w:t xml:space="preserve"> Spectral counts of SCF-complex subunits quantified in AP-MS experiments of SLC16A6 phospho-mutants versus SLC16A6</w:t>
      </w:r>
      <w:r w:rsidR="00631952" w:rsidRPr="32E386F3">
        <w:rPr>
          <w:sz w:val="18"/>
          <w:szCs w:val="18"/>
          <w:vertAlign w:val="superscript"/>
        </w:rPr>
        <w:t>WT</w:t>
      </w:r>
      <w:r w:rsidR="00631952" w:rsidRPr="32E386F3">
        <w:rPr>
          <w:sz w:val="18"/>
          <w:szCs w:val="18"/>
        </w:rPr>
        <w:t>. Data are represented as mean spectral counts ± SD. Points represent SPC for four MS-injections (n=2 biologically independent replicates with n=2 technical injections).</w:t>
      </w:r>
    </w:p>
    <w:p w14:paraId="5A4E6A83" w14:textId="77777777" w:rsidR="00631952" w:rsidRDefault="00631952" w:rsidP="00631952">
      <w:pPr>
        <w:rPr>
          <w:sz w:val="18"/>
          <w:szCs w:val="18"/>
        </w:rPr>
      </w:pPr>
      <w:r>
        <w:rPr>
          <w:sz w:val="18"/>
          <w:szCs w:val="18"/>
        </w:rPr>
        <w:br w:type="page"/>
      </w:r>
    </w:p>
    <w:p w14:paraId="15D76BD1" w14:textId="7851E7B2" w:rsidR="00F9197B" w:rsidRDefault="00F9197B" w:rsidP="00631952">
      <w:pPr>
        <w:spacing w:after="0"/>
        <w:jc w:val="both"/>
        <w:rPr>
          <w:sz w:val="18"/>
          <w:szCs w:val="18"/>
        </w:rPr>
      </w:pPr>
    </w:p>
    <w:p w14:paraId="54F11709" w14:textId="77777777" w:rsidR="0088557E" w:rsidRDefault="0088557E" w:rsidP="00F56FA1">
      <w:r>
        <w:rPr>
          <w:noProof/>
        </w:rPr>
        <w:drawing>
          <wp:inline distT="0" distB="0" distL="0" distR="0" wp14:anchorId="5B99C754" wp14:editId="3580D91A">
            <wp:extent cx="5729605" cy="2416810"/>
            <wp:effectExtent l="0" t="0" r="4445" b="2540"/>
            <wp:docPr id="12310398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9605" cy="2416810"/>
                    </a:xfrm>
                    <a:prstGeom prst="rect">
                      <a:avLst/>
                    </a:prstGeom>
                    <a:noFill/>
                    <a:ln>
                      <a:noFill/>
                    </a:ln>
                  </pic:spPr>
                </pic:pic>
              </a:graphicData>
            </a:graphic>
          </wp:inline>
        </w:drawing>
      </w:r>
    </w:p>
    <w:p w14:paraId="400D9D8B" w14:textId="5BB386BB" w:rsidR="0088557E" w:rsidRDefault="0088557E" w:rsidP="00F56FA1">
      <w:pPr>
        <w:jc w:val="both"/>
        <w:rPr>
          <w:sz w:val="18"/>
          <w:szCs w:val="18"/>
        </w:rPr>
      </w:pPr>
      <w:bookmarkStart w:id="14" w:name="_Toc192510314"/>
      <w:r w:rsidRPr="001D7470">
        <w:rPr>
          <w:rStyle w:val="Heading2Char"/>
        </w:rPr>
        <w:t>Appendix Figure S1</w:t>
      </w:r>
      <w:r w:rsidR="00631952" w:rsidRPr="001D7470">
        <w:rPr>
          <w:rStyle w:val="Heading2Char"/>
        </w:rPr>
        <w:t>3</w:t>
      </w:r>
      <w:r w:rsidR="00CC393D" w:rsidRPr="001D7470">
        <w:rPr>
          <w:rStyle w:val="Heading2Char"/>
        </w:rPr>
        <w:t>.</w:t>
      </w:r>
      <w:r w:rsidRPr="001D7470">
        <w:rPr>
          <w:rStyle w:val="Heading2Char"/>
        </w:rPr>
        <w:t xml:space="preserve"> Correlation of relative fluorescence changes after depletion of SLC interactors in protein stability and subcellular localization assays (Fig. 4, Fig. 6).</w:t>
      </w:r>
      <w:bookmarkEnd w:id="14"/>
      <w:r w:rsidRPr="52389B59">
        <w:rPr>
          <w:b/>
          <w:bCs/>
          <w:sz w:val="18"/>
          <w:szCs w:val="18"/>
        </w:rPr>
        <w:t xml:space="preserve"> (A)</w:t>
      </w:r>
      <w:r w:rsidRPr="52389B59">
        <w:rPr>
          <w:sz w:val="18"/>
          <w:szCs w:val="18"/>
        </w:rPr>
        <w:t xml:space="preserve"> GFP intensity changes after depletion or overexpression of an SLC interactor compared to control treatment measured at the cytometer (horizontal axis) and at the microscope at the region of interest (ROI) marked by RFP (vertical axis) are plotted. The relative GFP intensity changes correlate well (Pearson correlation coefficient </w:t>
      </w:r>
      <w:r w:rsidR="00C15D66">
        <w:rPr>
          <w:sz w:val="18"/>
          <w:szCs w:val="18"/>
        </w:rPr>
        <w:t>R</w:t>
      </w:r>
      <w:r w:rsidRPr="52389B59">
        <w:rPr>
          <w:sz w:val="18"/>
          <w:szCs w:val="18"/>
        </w:rPr>
        <w:t>=0.81166, p=7.48938e</w:t>
      </w:r>
      <w:r w:rsidRPr="00C15D66">
        <w:rPr>
          <w:sz w:val="18"/>
          <w:szCs w:val="18"/>
          <w:vertAlign w:val="superscript"/>
        </w:rPr>
        <w:t>-33</w:t>
      </w:r>
      <w:r w:rsidRPr="52389B59">
        <w:rPr>
          <w:sz w:val="18"/>
          <w:szCs w:val="18"/>
        </w:rPr>
        <w:t xml:space="preserve">). </w:t>
      </w:r>
      <w:r w:rsidRPr="52389B59">
        <w:rPr>
          <w:b/>
          <w:bCs/>
          <w:sz w:val="18"/>
          <w:szCs w:val="18"/>
        </w:rPr>
        <w:t xml:space="preserve">(B) </w:t>
      </w:r>
      <w:r w:rsidRPr="52389B59">
        <w:rPr>
          <w:sz w:val="18"/>
          <w:szCs w:val="18"/>
        </w:rPr>
        <w:t xml:space="preserve">RFP intensity changes after depletion or overexpression of an SLC interactor compared to control treatment measured at the cytometer (horizontal axis) and at the microscope at the region of interest (ROI) marked by RFP (vertical axis) are plotted. The relative RFP intensity changes correlate well (Pearson correlation coefficient </w:t>
      </w:r>
      <w:r w:rsidR="00C15D66">
        <w:rPr>
          <w:sz w:val="18"/>
          <w:szCs w:val="18"/>
        </w:rPr>
        <w:t>R</w:t>
      </w:r>
      <w:r w:rsidRPr="52389B59">
        <w:rPr>
          <w:sz w:val="18"/>
          <w:szCs w:val="18"/>
        </w:rPr>
        <w:t>=0.6914, p=1.65633e</w:t>
      </w:r>
      <w:r w:rsidRPr="00C15D66">
        <w:rPr>
          <w:sz w:val="18"/>
          <w:szCs w:val="18"/>
          <w:vertAlign w:val="superscript"/>
        </w:rPr>
        <w:t>-20</w:t>
      </w:r>
      <w:r w:rsidRPr="52389B59">
        <w:rPr>
          <w:sz w:val="18"/>
          <w:szCs w:val="18"/>
        </w:rPr>
        <w:t>).</w:t>
      </w:r>
    </w:p>
    <w:p w14:paraId="6561BF33" w14:textId="77777777" w:rsidR="0088557E" w:rsidRDefault="0088557E" w:rsidP="00F56FA1">
      <w:r>
        <w:br w:type="page"/>
      </w:r>
    </w:p>
    <w:p w14:paraId="71F10255" w14:textId="77777777" w:rsidR="0088557E" w:rsidRDefault="0088557E" w:rsidP="0084487B">
      <w:pPr>
        <w:spacing w:line="276" w:lineRule="auto"/>
        <w:jc w:val="both"/>
        <w:rPr>
          <w:rFonts w:eastAsiaTheme="minorEastAsia"/>
          <w:b/>
          <w:bCs/>
          <w:noProof/>
          <w:sz w:val="18"/>
          <w:szCs w:val="18"/>
        </w:rPr>
      </w:pPr>
      <w:r>
        <w:rPr>
          <w:rFonts w:eastAsiaTheme="minorEastAsia"/>
          <w:b/>
          <w:bCs/>
          <w:noProof/>
          <w:sz w:val="18"/>
          <w:szCs w:val="18"/>
        </w:rPr>
        <w:lastRenderedPageBreak/>
        <w:drawing>
          <wp:inline distT="0" distB="0" distL="0" distR="0" wp14:anchorId="2B159064" wp14:editId="75510CEA">
            <wp:extent cx="5723890" cy="4940300"/>
            <wp:effectExtent l="0" t="0" r="0" b="0"/>
            <wp:docPr id="14965877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3890" cy="4940300"/>
                    </a:xfrm>
                    <a:prstGeom prst="rect">
                      <a:avLst/>
                    </a:prstGeom>
                    <a:noFill/>
                    <a:ln>
                      <a:noFill/>
                    </a:ln>
                  </pic:spPr>
                </pic:pic>
              </a:graphicData>
            </a:graphic>
          </wp:inline>
        </w:drawing>
      </w:r>
    </w:p>
    <w:p w14:paraId="45F36BEB" w14:textId="6C1CE502" w:rsidR="0088557E" w:rsidRPr="00CA1CAF" w:rsidRDefault="0088557E" w:rsidP="0084487B">
      <w:pPr>
        <w:spacing w:line="276" w:lineRule="auto"/>
        <w:jc w:val="both"/>
        <w:rPr>
          <w:rFonts w:eastAsiaTheme="minorEastAsia"/>
          <w:sz w:val="18"/>
          <w:szCs w:val="18"/>
        </w:rPr>
      </w:pPr>
      <w:bookmarkStart w:id="15" w:name="_Toc192510315"/>
      <w:r w:rsidRPr="001D7470">
        <w:rPr>
          <w:rStyle w:val="Heading2Char"/>
        </w:rPr>
        <w:t>Appendix Figure S1</w:t>
      </w:r>
      <w:r w:rsidR="00631952" w:rsidRPr="001D7470">
        <w:rPr>
          <w:rStyle w:val="Heading2Char"/>
        </w:rPr>
        <w:t>4</w:t>
      </w:r>
      <w:r w:rsidRPr="001D7470">
        <w:rPr>
          <w:rStyle w:val="Heading2Char"/>
        </w:rPr>
        <w:t>. Transporter function of SLC1A3 and SLC22A3 is affected by the depletion of distinct interactors.</w:t>
      </w:r>
      <w:bookmarkEnd w:id="15"/>
      <w:r w:rsidRPr="00CA1CAF">
        <w:rPr>
          <w:rFonts w:eastAsiaTheme="minorEastAsia"/>
          <w:sz w:val="18"/>
          <w:szCs w:val="18"/>
        </w:rPr>
        <w:t xml:space="preserve"> </w:t>
      </w:r>
      <w:r w:rsidRPr="00CA1CAF">
        <w:rPr>
          <w:rFonts w:eastAsiaTheme="minorEastAsia"/>
          <w:b/>
          <w:bCs/>
          <w:sz w:val="18"/>
          <w:szCs w:val="18"/>
        </w:rPr>
        <w:t>(A–E)</w:t>
      </w:r>
      <w:r w:rsidRPr="00CA1CAF">
        <w:rPr>
          <w:rFonts w:eastAsiaTheme="minorEastAsia"/>
          <w:sz w:val="18"/>
          <w:szCs w:val="18"/>
        </w:rPr>
        <w:t xml:space="preserve"> HEK 293 Jump In T-REx cells expressing SLC1A3-SH (RESOLUTE Cell line ID CE029W-F) were treated with DsiRNA pools against its interactors </w:t>
      </w:r>
      <w:r w:rsidRPr="00CA1CAF">
        <w:rPr>
          <w:rFonts w:eastAsiaTheme="minorEastAsia"/>
          <w:b/>
          <w:bCs/>
          <w:sz w:val="18"/>
          <w:szCs w:val="18"/>
        </w:rPr>
        <w:t xml:space="preserve">(A) </w:t>
      </w:r>
      <w:r w:rsidRPr="00CA1CAF">
        <w:rPr>
          <w:rFonts w:eastAsiaTheme="minorEastAsia"/>
          <w:sz w:val="18"/>
          <w:szCs w:val="18"/>
        </w:rPr>
        <w:t xml:space="preserve">IQSEC1, </w:t>
      </w:r>
      <w:r w:rsidRPr="00CA1CAF">
        <w:rPr>
          <w:rFonts w:eastAsiaTheme="minorEastAsia"/>
          <w:b/>
          <w:bCs/>
          <w:sz w:val="18"/>
          <w:szCs w:val="18"/>
        </w:rPr>
        <w:t xml:space="preserve">(B) </w:t>
      </w:r>
      <w:r w:rsidRPr="00CA1CAF">
        <w:rPr>
          <w:rFonts w:eastAsiaTheme="minorEastAsia"/>
          <w:sz w:val="18"/>
          <w:szCs w:val="18"/>
        </w:rPr>
        <w:t xml:space="preserve">KCTD2, </w:t>
      </w:r>
      <w:r w:rsidRPr="00CA1CAF">
        <w:rPr>
          <w:rFonts w:eastAsiaTheme="minorEastAsia"/>
          <w:b/>
          <w:bCs/>
          <w:sz w:val="18"/>
          <w:szCs w:val="18"/>
        </w:rPr>
        <w:t>(C)</w:t>
      </w:r>
      <w:r w:rsidRPr="00CA1CAF">
        <w:rPr>
          <w:rFonts w:eastAsiaTheme="minorEastAsia"/>
          <w:sz w:val="18"/>
          <w:szCs w:val="18"/>
        </w:rPr>
        <w:t xml:space="preserve"> KCTD5, </w:t>
      </w:r>
      <w:r w:rsidRPr="00CA1CAF">
        <w:rPr>
          <w:rFonts w:eastAsiaTheme="minorEastAsia"/>
          <w:b/>
          <w:bCs/>
          <w:sz w:val="18"/>
          <w:szCs w:val="18"/>
        </w:rPr>
        <w:t>(D)</w:t>
      </w:r>
      <w:r w:rsidRPr="00CA1CAF">
        <w:rPr>
          <w:rFonts w:eastAsiaTheme="minorEastAsia"/>
          <w:sz w:val="18"/>
          <w:szCs w:val="18"/>
        </w:rPr>
        <w:t xml:space="preserve"> KCTD17 or </w:t>
      </w:r>
      <w:r w:rsidRPr="00CA1CAF">
        <w:rPr>
          <w:rFonts w:eastAsiaTheme="minorEastAsia"/>
          <w:b/>
          <w:bCs/>
          <w:sz w:val="18"/>
          <w:szCs w:val="18"/>
        </w:rPr>
        <w:t>(E)</w:t>
      </w:r>
      <w:r w:rsidRPr="00CA1CAF">
        <w:rPr>
          <w:rFonts w:eastAsiaTheme="minorEastAsia"/>
          <w:sz w:val="18"/>
          <w:szCs w:val="18"/>
        </w:rPr>
        <w:t xml:space="preserve"> NFXL1 for 2 days before dox induction for 24 hours. Cells were stimulated with increasing concentrations of L-Glutamate and transport activity was detected as phenotypic impedance measured by an xCELLigence instrument</w:t>
      </w:r>
      <w:r>
        <w:rPr>
          <w:rFonts w:eastAsiaTheme="minorEastAsia"/>
          <w:sz w:val="18"/>
          <w:szCs w:val="18"/>
        </w:rPr>
        <w:t xml:space="preserve"> </w:t>
      </w:r>
      <w:r>
        <w:rPr>
          <w:rFonts w:ascii="Calibri" w:eastAsia="Times New Roman" w:hAnsi="Calibri" w:cs="Calibri"/>
          <w:sz w:val="18"/>
        </w:rPr>
        <w:t>(Sijben </w:t>
      </w:r>
      <w:r>
        <w:rPr>
          <w:rFonts w:ascii="Calibri" w:eastAsia="Times New Roman" w:hAnsi="Calibri" w:cs="Calibri"/>
          <w:i/>
          <w:sz w:val="18"/>
        </w:rPr>
        <w:t>et al</w:t>
      </w:r>
      <w:r>
        <w:rPr>
          <w:rFonts w:ascii="Calibri" w:eastAsia="Times New Roman" w:hAnsi="Calibri" w:cs="Calibri"/>
          <w:sz w:val="18"/>
        </w:rPr>
        <w:t>, 2022)</w:t>
      </w:r>
      <w:r w:rsidRPr="00CA1CAF">
        <w:rPr>
          <w:rFonts w:eastAsiaTheme="minorEastAsia"/>
          <w:sz w:val="18"/>
          <w:szCs w:val="18"/>
        </w:rPr>
        <w:t>. Data are shown as background corrected mean area under the curve (AUC) quantification of three experiments (each performed in duplicate) relative to the negative control RNAi ±SEM. p-values were calculated using unpaired t</w:t>
      </w:r>
      <w:r>
        <w:rPr>
          <w:rFonts w:eastAsiaTheme="minorEastAsia"/>
          <w:sz w:val="18"/>
          <w:szCs w:val="18"/>
        </w:rPr>
        <w:t>-</w:t>
      </w:r>
      <w:r w:rsidRPr="00CA1CAF">
        <w:rPr>
          <w:rFonts w:eastAsiaTheme="minorEastAsia"/>
          <w:sz w:val="18"/>
          <w:szCs w:val="18"/>
        </w:rPr>
        <w:t xml:space="preserve">test. Significant differences are indicated compared to control RNAi. </w:t>
      </w:r>
      <w:r w:rsidRPr="00CA1CAF">
        <w:rPr>
          <w:rFonts w:eastAsiaTheme="minorEastAsia"/>
          <w:b/>
          <w:bCs/>
          <w:sz w:val="18"/>
          <w:szCs w:val="18"/>
        </w:rPr>
        <w:t>(F)</w:t>
      </w:r>
      <w:r w:rsidRPr="00CA1CAF">
        <w:rPr>
          <w:rFonts w:eastAsiaTheme="minorEastAsia"/>
          <w:sz w:val="18"/>
          <w:szCs w:val="18"/>
        </w:rPr>
        <w:t xml:space="preserve"> Cells were processed as in (A–E) without the addition of doxycycline to measure background response to the RNAi. Data are shown as background corrected mean AUC quantification of 3 experiments (in duplicate) relative to the control RNAi ±</w:t>
      </w:r>
      <w:r>
        <w:rPr>
          <w:rFonts w:eastAsiaTheme="minorEastAsia"/>
          <w:sz w:val="18"/>
          <w:szCs w:val="18"/>
        </w:rPr>
        <w:t xml:space="preserve"> </w:t>
      </w:r>
      <w:r w:rsidRPr="00CA1CAF">
        <w:rPr>
          <w:rFonts w:eastAsiaTheme="minorEastAsia"/>
          <w:sz w:val="18"/>
          <w:szCs w:val="18"/>
        </w:rPr>
        <w:t xml:space="preserve">SEM. </w:t>
      </w:r>
      <w:r w:rsidRPr="00CA1CAF">
        <w:rPr>
          <w:rFonts w:eastAsiaTheme="minorEastAsia"/>
          <w:b/>
          <w:bCs/>
          <w:sz w:val="18"/>
          <w:szCs w:val="18"/>
        </w:rPr>
        <w:t>(G–I)</w:t>
      </w:r>
      <w:r w:rsidRPr="00CA1CAF">
        <w:rPr>
          <w:rFonts w:eastAsiaTheme="minorEastAsia"/>
          <w:sz w:val="18"/>
          <w:szCs w:val="18"/>
        </w:rPr>
        <w:t xml:space="preserve"> HEK 293 Jump In T-REx cells expressing SLC22A3-SH (RESOLUTE Cell line ID CE028P-M) were treated with DsiRNA pools against its interactors </w:t>
      </w:r>
      <w:r w:rsidRPr="00CA1CAF">
        <w:rPr>
          <w:rFonts w:eastAsiaTheme="minorEastAsia"/>
          <w:b/>
          <w:bCs/>
          <w:sz w:val="18"/>
          <w:szCs w:val="18"/>
        </w:rPr>
        <w:t>(</w:t>
      </w:r>
      <w:r w:rsidR="001B1F19">
        <w:rPr>
          <w:rFonts w:eastAsiaTheme="minorEastAsia"/>
          <w:b/>
          <w:bCs/>
          <w:sz w:val="18"/>
          <w:szCs w:val="18"/>
        </w:rPr>
        <w:t>G</w:t>
      </w:r>
      <w:r w:rsidRPr="00CA1CAF">
        <w:rPr>
          <w:rFonts w:eastAsiaTheme="minorEastAsia"/>
          <w:b/>
          <w:bCs/>
          <w:sz w:val="18"/>
          <w:szCs w:val="18"/>
        </w:rPr>
        <w:t xml:space="preserve">) </w:t>
      </w:r>
      <w:r w:rsidRPr="00CA1CAF">
        <w:rPr>
          <w:rFonts w:eastAsiaTheme="minorEastAsia"/>
          <w:sz w:val="18"/>
          <w:szCs w:val="18"/>
        </w:rPr>
        <w:t xml:space="preserve">FRMD5 or </w:t>
      </w:r>
      <w:r w:rsidRPr="00CA1CAF">
        <w:rPr>
          <w:rFonts w:eastAsiaTheme="minorEastAsia"/>
          <w:b/>
          <w:bCs/>
          <w:sz w:val="18"/>
          <w:szCs w:val="18"/>
        </w:rPr>
        <w:t>(</w:t>
      </w:r>
      <w:r w:rsidR="001B1F19">
        <w:rPr>
          <w:rFonts w:eastAsiaTheme="minorEastAsia"/>
          <w:b/>
          <w:bCs/>
          <w:sz w:val="18"/>
          <w:szCs w:val="18"/>
        </w:rPr>
        <w:t>H</w:t>
      </w:r>
      <w:r w:rsidRPr="00CA1CAF">
        <w:rPr>
          <w:rFonts w:eastAsiaTheme="minorEastAsia"/>
          <w:b/>
          <w:bCs/>
          <w:sz w:val="18"/>
          <w:szCs w:val="18"/>
        </w:rPr>
        <w:t xml:space="preserve">) </w:t>
      </w:r>
      <w:r w:rsidRPr="00CA1CAF">
        <w:rPr>
          <w:rFonts w:eastAsiaTheme="minorEastAsia"/>
          <w:sz w:val="18"/>
          <w:szCs w:val="18"/>
        </w:rPr>
        <w:t>HOOK2 for 2 days before dox induction for 24 hours. Cells were stimulated with increasing concentrations of neurotoxin MPP</w:t>
      </w:r>
      <w:r w:rsidRPr="00CA1CAF">
        <w:rPr>
          <w:rFonts w:eastAsiaTheme="minorEastAsia"/>
          <w:sz w:val="18"/>
          <w:szCs w:val="18"/>
          <w:vertAlign w:val="superscript"/>
        </w:rPr>
        <w:t>+</w:t>
      </w:r>
      <w:r w:rsidRPr="00CA1CAF">
        <w:rPr>
          <w:rFonts w:eastAsiaTheme="minorEastAsia"/>
          <w:sz w:val="18"/>
          <w:szCs w:val="18"/>
        </w:rPr>
        <w:t xml:space="preserve"> and response was monitored for 2 hours by xCELLigence </w:t>
      </w:r>
      <w:r>
        <w:rPr>
          <w:rFonts w:ascii="Calibri" w:eastAsia="Times New Roman" w:hAnsi="Calibri" w:cs="Calibri"/>
          <w:sz w:val="18"/>
        </w:rPr>
        <w:t>(Mocking </w:t>
      </w:r>
      <w:r>
        <w:rPr>
          <w:rFonts w:ascii="Calibri" w:eastAsia="Times New Roman" w:hAnsi="Calibri" w:cs="Calibri"/>
          <w:i/>
          <w:sz w:val="18"/>
        </w:rPr>
        <w:t>et al</w:t>
      </w:r>
      <w:r>
        <w:rPr>
          <w:rFonts w:ascii="Calibri" w:eastAsia="Times New Roman" w:hAnsi="Calibri" w:cs="Calibri"/>
          <w:sz w:val="18"/>
        </w:rPr>
        <w:t>, 2022)</w:t>
      </w:r>
      <w:r w:rsidRPr="00CA1CAF">
        <w:rPr>
          <w:rFonts w:eastAsiaTheme="minorEastAsia"/>
          <w:sz w:val="18"/>
          <w:szCs w:val="18"/>
        </w:rPr>
        <w:t>. Shown are background corrected mean AUC quantifications of 3 experiments (each performed in duplicate) relative to the control RNAi ±SEM. p-values were calculated using unpaired t</w:t>
      </w:r>
      <w:r>
        <w:rPr>
          <w:rFonts w:eastAsiaTheme="minorEastAsia"/>
          <w:sz w:val="18"/>
          <w:szCs w:val="18"/>
        </w:rPr>
        <w:t>-</w:t>
      </w:r>
      <w:r w:rsidRPr="00CA1CAF">
        <w:rPr>
          <w:rFonts w:eastAsiaTheme="minorEastAsia"/>
          <w:sz w:val="18"/>
          <w:szCs w:val="18"/>
        </w:rPr>
        <w:t>test. Significant differences are indicated compared to control RNAi.</w:t>
      </w:r>
    </w:p>
    <w:p w14:paraId="267FE5B9" w14:textId="77777777" w:rsidR="0088557E" w:rsidRDefault="0088557E" w:rsidP="0084487B">
      <w:r w:rsidRPr="00CA1CAF">
        <w:br w:type="page"/>
      </w:r>
    </w:p>
    <w:p w14:paraId="139CAB66" w14:textId="77777777" w:rsidR="0088557E" w:rsidRPr="00CA1CAF" w:rsidRDefault="0088557E" w:rsidP="00915241">
      <w:pPr>
        <w:rPr>
          <w:b/>
          <w:bCs/>
          <w:sz w:val="18"/>
          <w:szCs w:val="18"/>
        </w:rPr>
      </w:pPr>
      <w:r>
        <w:rPr>
          <w:noProof/>
        </w:rPr>
        <w:lastRenderedPageBreak/>
        <w:drawing>
          <wp:inline distT="0" distB="0" distL="0" distR="0" wp14:anchorId="41695CE0" wp14:editId="021CDE90">
            <wp:extent cx="5723890" cy="6917690"/>
            <wp:effectExtent l="0" t="0" r="0" b="0"/>
            <wp:docPr id="9848867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3890" cy="6917690"/>
                    </a:xfrm>
                    <a:prstGeom prst="rect">
                      <a:avLst/>
                    </a:prstGeom>
                    <a:noFill/>
                    <a:ln>
                      <a:noFill/>
                    </a:ln>
                  </pic:spPr>
                </pic:pic>
              </a:graphicData>
            </a:graphic>
          </wp:inline>
        </w:drawing>
      </w:r>
    </w:p>
    <w:p w14:paraId="7C681C93" w14:textId="7F3A15DD" w:rsidR="0088557E" w:rsidRPr="00CA1CAF" w:rsidRDefault="0088557E" w:rsidP="00915241">
      <w:pPr>
        <w:jc w:val="both"/>
        <w:rPr>
          <w:sz w:val="18"/>
          <w:szCs w:val="18"/>
        </w:rPr>
      </w:pPr>
      <w:bookmarkStart w:id="16" w:name="_Toc192510316"/>
      <w:r w:rsidRPr="001D7470">
        <w:rPr>
          <w:rStyle w:val="Heading2Char"/>
        </w:rPr>
        <w:t>Appendix Figure S1</w:t>
      </w:r>
      <w:r w:rsidR="00631952" w:rsidRPr="001D7470">
        <w:rPr>
          <w:rStyle w:val="Heading2Char"/>
        </w:rPr>
        <w:t>5</w:t>
      </w:r>
      <w:r w:rsidRPr="001D7470">
        <w:rPr>
          <w:rStyle w:val="Heading2Char"/>
        </w:rPr>
        <w:t>. Transporter assay results for SLC39A8 after RNAi of selected interaction partners.</w:t>
      </w:r>
      <w:bookmarkEnd w:id="16"/>
      <w:r w:rsidRPr="00CA1CAF">
        <w:rPr>
          <w:sz w:val="18"/>
          <w:szCs w:val="18"/>
        </w:rPr>
        <w:t xml:space="preserve"> </w:t>
      </w:r>
      <w:r w:rsidRPr="00CA1CAF">
        <w:rPr>
          <w:b/>
          <w:bCs/>
          <w:sz w:val="18"/>
          <w:szCs w:val="18"/>
        </w:rPr>
        <w:t>(A)</w:t>
      </w:r>
      <w:r w:rsidRPr="00CA1CAF">
        <w:rPr>
          <w:sz w:val="18"/>
          <w:szCs w:val="18"/>
        </w:rPr>
        <w:t xml:space="preserve"> Relative fluorescence unit (RFU</w:t>
      </w:r>
      <w:r>
        <w:rPr>
          <w:sz w:val="18"/>
          <w:szCs w:val="18"/>
        </w:rPr>
        <w:t xml:space="preserve">, </w:t>
      </w:r>
      <w:r w:rsidRPr="002836E1">
        <w:rPr>
          <w:sz w:val="18"/>
          <w:szCs w:val="18"/>
        </w:rPr>
        <w:t>excitation wavelength of 480 nm and an emission of 540 nm</w:t>
      </w:r>
      <w:r w:rsidRPr="00CA1CAF">
        <w:rPr>
          <w:sz w:val="18"/>
          <w:szCs w:val="18"/>
        </w:rPr>
        <w:t>) curve to measure the transport activity of SLC39A8 after RNAi against GOLM1, MTMR3, NFXL1 and SNX25. For each target two RNAi pools are shown against a</w:t>
      </w:r>
      <w:r>
        <w:rPr>
          <w:sz w:val="18"/>
          <w:szCs w:val="18"/>
        </w:rPr>
        <w:t xml:space="preserve"> mock</w:t>
      </w:r>
      <w:r w:rsidRPr="00CA1CAF">
        <w:rPr>
          <w:sz w:val="18"/>
          <w:szCs w:val="18"/>
        </w:rPr>
        <w:t xml:space="preserve"> RNAi treated control. Each condition was tested with and without </w:t>
      </w:r>
      <w:r w:rsidR="00C15D66" w:rsidRPr="00CA1CAF">
        <w:rPr>
          <w:sz w:val="18"/>
          <w:szCs w:val="18"/>
        </w:rPr>
        <w:t>the induction</w:t>
      </w:r>
      <w:r w:rsidRPr="00CA1CAF">
        <w:rPr>
          <w:sz w:val="18"/>
          <w:szCs w:val="18"/>
        </w:rPr>
        <w:t xml:space="preserve"> of SLC39A8. The traces represent the mean min-max normalized RFU values across </w:t>
      </w:r>
      <w:r w:rsidR="00C15D66" w:rsidRPr="00CA1CAF">
        <w:rPr>
          <w:sz w:val="18"/>
          <w:szCs w:val="18"/>
        </w:rPr>
        <w:t>replicates</w:t>
      </w:r>
      <w:r w:rsidRPr="00CA1CAF">
        <w:rPr>
          <w:sz w:val="18"/>
          <w:szCs w:val="18"/>
        </w:rPr>
        <w:t xml:space="preserve"> and the curve shades indicate the +/- SD for each time point (n=3 biologically independent replicates, with n=8 technical replicates/wells). </w:t>
      </w:r>
      <w:r w:rsidRPr="00CA1CAF">
        <w:rPr>
          <w:b/>
          <w:bCs/>
          <w:sz w:val="18"/>
          <w:szCs w:val="18"/>
        </w:rPr>
        <w:t>(B)</w:t>
      </w:r>
      <w:r w:rsidRPr="00CA1CAF">
        <w:rPr>
          <w:sz w:val="18"/>
          <w:szCs w:val="18"/>
        </w:rPr>
        <w:t xml:space="preserve"> Mean area under the curve (AUC) per each RNAi pool for the dox induced (purple) vs. </w:t>
      </w:r>
      <w:r>
        <w:rPr>
          <w:sz w:val="18"/>
          <w:szCs w:val="18"/>
        </w:rPr>
        <w:t>un</w:t>
      </w:r>
      <w:r w:rsidRPr="00CA1CAF">
        <w:rPr>
          <w:sz w:val="18"/>
          <w:szCs w:val="18"/>
        </w:rPr>
        <w:t xml:space="preserve">induced condition (sand). The mean AUC (bars) </w:t>
      </w:r>
      <w:r>
        <w:rPr>
          <w:sz w:val="18"/>
          <w:szCs w:val="18"/>
        </w:rPr>
        <w:t>were</w:t>
      </w:r>
      <w:r w:rsidRPr="00CA1CAF">
        <w:rPr>
          <w:sz w:val="18"/>
          <w:szCs w:val="18"/>
        </w:rPr>
        <w:t xml:space="preserve"> calculated from the normalized RFU traces </w:t>
      </w:r>
      <w:r>
        <w:rPr>
          <w:sz w:val="18"/>
          <w:szCs w:val="18"/>
        </w:rPr>
        <w:t xml:space="preserve">of </w:t>
      </w:r>
      <w:r w:rsidRPr="00CA1CAF">
        <w:rPr>
          <w:sz w:val="18"/>
          <w:szCs w:val="18"/>
        </w:rPr>
        <w:t xml:space="preserve">all replicates. Overlayed black points </w:t>
      </w:r>
      <w:r>
        <w:rPr>
          <w:sz w:val="18"/>
          <w:szCs w:val="18"/>
        </w:rPr>
        <w:t xml:space="preserve">represent </w:t>
      </w:r>
      <w:r w:rsidRPr="00CA1CAF">
        <w:rPr>
          <w:sz w:val="18"/>
          <w:szCs w:val="18"/>
        </w:rPr>
        <w:t xml:space="preserve">the biological replicates (n=3 biologically independent replicates, with n = 8 technical replicates/wells). Significance of changes in transport activity for dox induced conditions was tested against control RNAi pool (negative control) using an unpaired two-tailed </w:t>
      </w:r>
      <w:r>
        <w:rPr>
          <w:sz w:val="18"/>
          <w:szCs w:val="18"/>
        </w:rPr>
        <w:t>S</w:t>
      </w:r>
      <w:r w:rsidRPr="00CA1CAF">
        <w:rPr>
          <w:sz w:val="18"/>
          <w:szCs w:val="18"/>
        </w:rPr>
        <w:t>tudent t-test. A significant change was only found for GOLM1 RNAi and SNX25 RNAi (</w:t>
      </w:r>
      <w:r w:rsidR="00531DCF">
        <w:rPr>
          <w:sz w:val="18"/>
          <w:szCs w:val="18"/>
        </w:rPr>
        <w:t>“</w:t>
      </w:r>
      <w:r w:rsidRPr="00CA1CAF">
        <w:rPr>
          <w:sz w:val="18"/>
          <w:szCs w:val="18"/>
        </w:rPr>
        <w:t>*</w:t>
      </w:r>
      <w:r w:rsidR="00531DCF">
        <w:rPr>
          <w:sz w:val="18"/>
          <w:szCs w:val="18"/>
        </w:rPr>
        <w:t>”</w:t>
      </w:r>
      <w:r w:rsidRPr="00CA1CAF">
        <w:rPr>
          <w:sz w:val="18"/>
          <w:szCs w:val="18"/>
        </w:rPr>
        <w:t xml:space="preserve"> p-value &lt; 0.05). </w:t>
      </w:r>
      <w:r w:rsidRPr="00CA1CAF">
        <w:rPr>
          <w:b/>
          <w:bCs/>
          <w:sz w:val="18"/>
          <w:szCs w:val="18"/>
        </w:rPr>
        <w:t>(C)</w:t>
      </w:r>
      <w:r w:rsidRPr="00CA1CAF">
        <w:rPr>
          <w:sz w:val="18"/>
          <w:szCs w:val="18"/>
        </w:rPr>
        <w:t xml:space="preserve"> Cell viability assay (Cell Titer-Glo) of HEK 293 WT OE cell lines </w:t>
      </w:r>
      <w:r w:rsidRPr="00CA1CAF">
        <w:rPr>
          <w:sz w:val="18"/>
          <w:szCs w:val="18"/>
        </w:rPr>
        <w:lastRenderedPageBreak/>
        <w:t>treated with RNAi pools target</w:t>
      </w:r>
      <w:r>
        <w:rPr>
          <w:sz w:val="18"/>
          <w:szCs w:val="18"/>
        </w:rPr>
        <w:t xml:space="preserve">ing </w:t>
      </w:r>
      <w:r w:rsidRPr="00CA1CAF">
        <w:rPr>
          <w:sz w:val="18"/>
          <w:szCs w:val="18"/>
        </w:rPr>
        <w:t xml:space="preserve">prey proteins. No significant change was found with an unpaired </w:t>
      </w:r>
      <w:r>
        <w:rPr>
          <w:sz w:val="18"/>
          <w:szCs w:val="18"/>
        </w:rPr>
        <w:t>S</w:t>
      </w:r>
      <w:r w:rsidRPr="00CA1CAF">
        <w:rPr>
          <w:sz w:val="18"/>
          <w:szCs w:val="18"/>
        </w:rPr>
        <w:t>tudent t-test (n=2 biologically independent replicates).</w:t>
      </w:r>
    </w:p>
    <w:p w14:paraId="411D4045" w14:textId="77777777" w:rsidR="0088557E" w:rsidRPr="00CA1CAF" w:rsidRDefault="0088557E" w:rsidP="00915241">
      <w:pPr>
        <w:jc w:val="both"/>
        <w:rPr>
          <w:sz w:val="18"/>
          <w:szCs w:val="18"/>
        </w:rPr>
      </w:pPr>
      <w:r>
        <w:rPr>
          <w:noProof/>
          <w:sz w:val="18"/>
          <w:szCs w:val="18"/>
        </w:rPr>
        <w:drawing>
          <wp:inline distT="0" distB="0" distL="0" distR="0" wp14:anchorId="2892DDFB" wp14:editId="255AAB59">
            <wp:extent cx="5723890" cy="5326380"/>
            <wp:effectExtent l="0" t="0" r="0" b="7620"/>
            <wp:docPr id="19733928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3890" cy="5326380"/>
                    </a:xfrm>
                    <a:prstGeom prst="rect">
                      <a:avLst/>
                    </a:prstGeom>
                    <a:noFill/>
                    <a:ln>
                      <a:noFill/>
                    </a:ln>
                  </pic:spPr>
                </pic:pic>
              </a:graphicData>
            </a:graphic>
          </wp:inline>
        </w:drawing>
      </w:r>
    </w:p>
    <w:p w14:paraId="1A375D21" w14:textId="69443791" w:rsidR="0088557E" w:rsidRPr="00CA1CAF" w:rsidRDefault="0088557E" w:rsidP="00915241">
      <w:pPr>
        <w:jc w:val="both"/>
        <w:rPr>
          <w:sz w:val="18"/>
          <w:szCs w:val="18"/>
        </w:rPr>
      </w:pPr>
      <w:bookmarkStart w:id="17" w:name="_Toc192510317"/>
      <w:r w:rsidRPr="001D7470">
        <w:rPr>
          <w:rStyle w:val="Heading2Char"/>
        </w:rPr>
        <w:t>Appendix Figure S1</w:t>
      </w:r>
      <w:r w:rsidR="00631952" w:rsidRPr="001D7470">
        <w:rPr>
          <w:rStyle w:val="Heading2Char"/>
        </w:rPr>
        <w:t>6</w:t>
      </w:r>
      <w:r w:rsidRPr="001D7470">
        <w:rPr>
          <w:rStyle w:val="Heading2Char"/>
        </w:rPr>
        <w:t>. Prediction of the structure of SLC43A2 interactions with LIN7C and MPP1 by AlphaFold multimer</w:t>
      </w:r>
      <w:bookmarkEnd w:id="17"/>
      <w:r w:rsidRPr="00CA1CAF">
        <w:rPr>
          <w:b/>
          <w:bCs/>
          <w:sz w:val="18"/>
          <w:szCs w:val="18"/>
        </w:rPr>
        <w:t>. (A)</w:t>
      </w:r>
      <w:r w:rsidRPr="00CA1CAF">
        <w:rPr>
          <w:sz w:val="18"/>
          <w:szCs w:val="18"/>
        </w:rPr>
        <w:t xml:space="preserve"> AlphaFold multimer confidence in pLDDT/100 for best ranked model of the SLC43A2-LIN7C interaction. </w:t>
      </w:r>
      <w:r w:rsidRPr="00CA1CAF">
        <w:rPr>
          <w:b/>
          <w:bCs/>
          <w:sz w:val="18"/>
          <w:szCs w:val="18"/>
        </w:rPr>
        <w:t>(B)</w:t>
      </w:r>
      <w:r w:rsidRPr="00CA1CAF">
        <w:rPr>
          <w:sz w:val="18"/>
          <w:szCs w:val="18"/>
        </w:rPr>
        <w:t xml:space="preserve"> Inter PAE heatmap for the best ranked model of the SLC43A2-LIN7C interaction. The interaction of the CT-tail of SLC43A2 and the PDZ domain of LIN7C are indicated in the map. </w:t>
      </w:r>
      <w:r w:rsidRPr="00CA1CAF">
        <w:rPr>
          <w:b/>
          <w:bCs/>
          <w:sz w:val="18"/>
          <w:szCs w:val="18"/>
        </w:rPr>
        <w:t>(C)</w:t>
      </w:r>
      <w:r w:rsidRPr="00CA1CAF">
        <w:rPr>
          <w:sz w:val="18"/>
          <w:szCs w:val="18"/>
        </w:rPr>
        <w:t xml:space="preserve"> AlphaFold multimer confidence in pLDDT/100 for best ranked model of the SLC43A2-MPP1 interaction. </w:t>
      </w:r>
      <w:r w:rsidRPr="00CA1CAF">
        <w:rPr>
          <w:b/>
          <w:bCs/>
          <w:sz w:val="18"/>
          <w:szCs w:val="18"/>
        </w:rPr>
        <w:t>(D)</w:t>
      </w:r>
      <w:r w:rsidRPr="00CA1CAF">
        <w:rPr>
          <w:sz w:val="18"/>
          <w:szCs w:val="18"/>
        </w:rPr>
        <w:t xml:space="preserve"> Inter PAE heatmap for the best ranked model of the SLC43A2-MPP1 interaction. The interaction of the CT-tail of SLC43A2 and the PDZ domain of MPP1 are indicated in the map.</w:t>
      </w:r>
    </w:p>
    <w:p w14:paraId="58FC6818" w14:textId="77777777" w:rsidR="0088557E" w:rsidRDefault="0088557E" w:rsidP="00915241">
      <w:pPr>
        <w:rPr>
          <w:noProof/>
        </w:rPr>
      </w:pPr>
      <w:r w:rsidRPr="00CA1CAF">
        <w:rPr>
          <w:sz w:val="18"/>
          <w:szCs w:val="18"/>
        </w:rPr>
        <w:br w:type="page"/>
      </w:r>
    </w:p>
    <w:p w14:paraId="663247E5" w14:textId="77777777" w:rsidR="0088557E" w:rsidRPr="00CA1CAF" w:rsidRDefault="0088557E" w:rsidP="00915241">
      <w:r>
        <w:rPr>
          <w:noProof/>
        </w:rPr>
        <w:lastRenderedPageBreak/>
        <w:drawing>
          <wp:inline distT="0" distB="0" distL="0" distR="0" wp14:anchorId="226C328D" wp14:editId="2BDC0E0F">
            <wp:extent cx="5727700" cy="5771515"/>
            <wp:effectExtent l="0" t="0" r="6350" b="635"/>
            <wp:docPr id="1574975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7700" cy="5771515"/>
                    </a:xfrm>
                    <a:prstGeom prst="rect">
                      <a:avLst/>
                    </a:prstGeom>
                    <a:noFill/>
                    <a:ln>
                      <a:noFill/>
                    </a:ln>
                  </pic:spPr>
                </pic:pic>
              </a:graphicData>
            </a:graphic>
          </wp:inline>
        </w:drawing>
      </w:r>
    </w:p>
    <w:p w14:paraId="31FCFA9A" w14:textId="7B219149" w:rsidR="0088557E" w:rsidRPr="00CA1CAF" w:rsidRDefault="0088557E" w:rsidP="00915241">
      <w:pPr>
        <w:jc w:val="both"/>
        <w:rPr>
          <w:sz w:val="18"/>
          <w:szCs w:val="18"/>
        </w:rPr>
      </w:pPr>
      <w:bookmarkStart w:id="18" w:name="_Toc192510318"/>
      <w:r w:rsidRPr="001D7470">
        <w:rPr>
          <w:rStyle w:val="Heading2Char"/>
        </w:rPr>
        <w:t>Appendix Figure S1</w:t>
      </w:r>
      <w:r w:rsidR="00631952" w:rsidRPr="001D7470">
        <w:rPr>
          <w:rStyle w:val="Heading2Char"/>
        </w:rPr>
        <w:t>7</w:t>
      </w:r>
      <w:r w:rsidRPr="001D7470">
        <w:rPr>
          <w:rStyle w:val="Heading2Char"/>
        </w:rPr>
        <w:t>. Coverage of endogenously expressed SLCs in transcriptome, full proteome profiling of HEK 293 Jump-In compared to SLC-interactome.</w:t>
      </w:r>
      <w:bookmarkEnd w:id="18"/>
      <w:r w:rsidRPr="00CA1CAF">
        <w:rPr>
          <w:b/>
          <w:bCs/>
          <w:sz w:val="18"/>
          <w:szCs w:val="18"/>
        </w:rPr>
        <w:t xml:space="preserve"> (A) </w:t>
      </w:r>
      <w:r w:rsidRPr="00CA1CAF">
        <w:rPr>
          <w:sz w:val="18"/>
          <w:szCs w:val="18"/>
        </w:rPr>
        <w:t xml:space="preserve">Expression of 447 SLCs </w:t>
      </w:r>
      <w:r>
        <w:rPr>
          <w:rFonts w:ascii="Calibri" w:eastAsia="Times New Roman" w:hAnsi="Calibri" w:cs="Calibri"/>
          <w:sz w:val="18"/>
        </w:rPr>
        <w:t>(Meixner </w:t>
      </w:r>
      <w:r>
        <w:rPr>
          <w:rFonts w:ascii="Calibri" w:eastAsia="Times New Roman" w:hAnsi="Calibri" w:cs="Calibri"/>
          <w:i/>
          <w:sz w:val="18"/>
        </w:rPr>
        <w:t>et al</w:t>
      </w:r>
      <w:r>
        <w:rPr>
          <w:rFonts w:ascii="Calibri" w:eastAsia="Times New Roman" w:hAnsi="Calibri" w:cs="Calibri"/>
          <w:sz w:val="18"/>
        </w:rPr>
        <w:t>, 2020)</w:t>
      </w:r>
      <w:r>
        <w:rPr>
          <w:rFonts w:eastAsia="Times New Roman"/>
          <w:sz w:val="18"/>
          <w:szCs w:val="18"/>
        </w:rPr>
        <w:t xml:space="preserve"> </w:t>
      </w:r>
      <w:r w:rsidRPr="00CA1CAF">
        <w:rPr>
          <w:sz w:val="18"/>
          <w:szCs w:val="18"/>
        </w:rPr>
        <w:t xml:space="preserve">across 1206 human cell lines reported by Human protein atlas </w:t>
      </w:r>
      <w:r>
        <w:rPr>
          <w:rFonts w:ascii="Calibri" w:eastAsia="Times New Roman" w:hAnsi="Calibri" w:cs="Calibri"/>
          <w:sz w:val="18"/>
        </w:rPr>
        <w:t>(Uhlén </w:t>
      </w:r>
      <w:r>
        <w:rPr>
          <w:rFonts w:ascii="Calibri" w:eastAsia="Times New Roman" w:hAnsi="Calibri" w:cs="Calibri"/>
          <w:i/>
          <w:sz w:val="18"/>
        </w:rPr>
        <w:t>et al</w:t>
      </w:r>
      <w:r>
        <w:rPr>
          <w:rFonts w:ascii="Calibri" w:eastAsia="Times New Roman" w:hAnsi="Calibri" w:cs="Calibri"/>
          <w:sz w:val="18"/>
        </w:rPr>
        <w:t>, 2015)</w:t>
      </w:r>
      <w:r w:rsidRPr="00CA1CAF">
        <w:rPr>
          <w:sz w:val="18"/>
          <w:szCs w:val="18"/>
        </w:rPr>
        <w:t xml:space="preserve">. A gene was considered to be expressed if the normalized TPM was larger or equal to 1. Expression of SLCs across cell lines is shown in blue. HEK 293WT is ranked at position 613 across all the cell lines and has 246 </w:t>
      </w:r>
      <w:r w:rsidR="00C15D66" w:rsidRPr="00CA1CAF">
        <w:rPr>
          <w:sz w:val="18"/>
          <w:szCs w:val="18"/>
        </w:rPr>
        <w:t>express</w:t>
      </w:r>
      <w:r w:rsidRPr="00CA1CAF">
        <w:rPr>
          <w:sz w:val="18"/>
          <w:szCs w:val="18"/>
        </w:rPr>
        <w:t xml:space="preserve"> SLCs (HEK 293</w:t>
      </w:r>
      <w:r>
        <w:rPr>
          <w:sz w:val="18"/>
          <w:szCs w:val="18"/>
        </w:rPr>
        <w:t xml:space="preserve"> </w:t>
      </w:r>
      <w:r w:rsidRPr="00CA1CAF">
        <w:rPr>
          <w:sz w:val="18"/>
          <w:szCs w:val="18"/>
        </w:rPr>
        <w:t xml:space="preserve">WT indicated black dashed line). The median and mean of all cell lines were 246 </w:t>
      </w:r>
      <w:r>
        <w:rPr>
          <w:sz w:val="18"/>
          <w:szCs w:val="18"/>
        </w:rPr>
        <w:t>and</w:t>
      </w:r>
      <w:r w:rsidRPr="00CA1CAF">
        <w:rPr>
          <w:sz w:val="18"/>
          <w:szCs w:val="18"/>
        </w:rPr>
        <w:t>246.5 SLCs</w:t>
      </w:r>
      <w:r>
        <w:rPr>
          <w:sz w:val="18"/>
          <w:szCs w:val="18"/>
        </w:rPr>
        <w:t xml:space="preserve"> </w:t>
      </w:r>
      <w:r w:rsidRPr="00CA1CAF">
        <w:rPr>
          <w:sz w:val="18"/>
          <w:szCs w:val="18"/>
        </w:rPr>
        <w:t xml:space="preserve">respectively. Coverage of SLCs (in red) used as </w:t>
      </w:r>
      <w:r w:rsidR="00675E8F">
        <w:rPr>
          <w:sz w:val="18"/>
          <w:szCs w:val="18"/>
        </w:rPr>
        <w:t>bait</w:t>
      </w:r>
      <w:r w:rsidRPr="00CA1CAF">
        <w:rPr>
          <w:sz w:val="18"/>
          <w:szCs w:val="18"/>
        </w:rPr>
        <w:t xml:space="preserve"> in this study, HEK 293WT is with 91.46% (dotted grey line) close to the mean (91.31%) and median (91.35%). </w:t>
      </w:r>
      <w:r w:rsidRPr="00CA1CAF">
        <w:rPr>
          <w:b/>
          <w:bCs/>
          <w:sz w:val="18"/>
          <w:szCs w:val="18"/>
        </w:rPr>
        <w:t>(B)</w:t>
      </w:r>
      <w:r w:rsidRPr="00CA1CAF">
        <w:rPr>
          <w:sz w:val="18"/>
          <w:szCs w:val="18"/>
        </w:rPr>
        <w:t xml:space="preserve"> SLCs quantified by expression proteomics across seven human cell lines and the coverage in percentage of SLC bait proteins included in the study. HEK 293 Jump-In cell line (blue) has 214 SLCs quantified by proteomics and 93.93% of all SLCs endogenously expressed and covered by proteomics are included in the interaction study. </w:t>
      </w:r>
      <w:r w:rsidRPr="00CA1CAF">
        <w:rPr>
          <w:b/>
          <w:bCs/>
          <w:sz w:val="18"/>
          <w:szCs w:val="18"/>
        </w:rPr>
        <w:t>(C)</w:t>
      </w:r>
      <w:r w:rsidRPr="00CA1CAF">
        <w:rPr>
          <w:sz w:val="18"/>
          <w:szCs w:val="18"/>
        </w:rPr>
        <w:t xml:space="preserve"> SLCs expressed and covered within our study (blue) and SLCs expressed in HEK 293 Jump-In but not covered (grey). Within the SLC-interactome 91.09% of SLCs expressed with more than 1 TPM in HEK 293 Jump</w:t>
      </w:r>
      <w:r>
        <w:rPr>
          <w:sz w:val="18"/>
          <w:szCs w:val="18"/>
        </w:rPr>
        <w:t xml:space="preserve"> </w:t>
      </w:r>
      <w:r w:rsidRPr="00CA1CAF">
        <w:rPr>
          <w:sz w:val="18"/>
          <w:szCs w:val="18"/>
        </w:rPr>
        <w:t xml:space="preserve">In are covered. </w:t>
      </w:r>
      <w:r w:rsidRPr="00CA1CAF">
        <w:rPr>
          <w:b/>
          <w:bCs/>
          <w:sz w:val="18"/>
          <w:szCs w:val="18"/>
        </w:rPr>
        <w:t>(D)</w:t>
      </w:r>
      <w:r w:rsidRPr="00CA1CAF">
        <w:rPr>
          <w:sz w:val="18"/>
          <w:szCs w:val="18"/>
        </w:rPr>
        <w:t xml:space="preserve"> SLCs endogenously expressed in HEK 293 Jump</w:t>
      </w:r>
      <w:r>
        <w:rPr>
          <w:sz w:val="18"/>
          <w:szCs w:val="18"/>
        </w:rPr>
        <w:t xml:space="preserve"> </w:t>
      </w:r>
      <w:r w:rsidRPr="00CA1CAF">
        <w:rPr>
          <w:sz w:val="18"/>
          <w:szCs w:val="18"/>
        </w:rPr>
        <w:t>In and reported in the interactome (blue), endogenously expressed but not part of the SLC-interactome dataset (grey), SLC as baits within the SLC-interactome but not expressed in HEK 293 Jump-In (dark blue) and the SLCs which are not part of SLC-interactome and also not expressed in HEK 293 Jump</w:t>
      </w:r>
      <w:r>
        <w:rPr>
          <w:sz w:val="18"/>
          <w:szCs w:val="18"/>
        </w:rPr>
        <w:t xml:space="preserve"> </w:t>
      </w:r>
      <w:r w:rsidRPr="00CA1CAF">
        <w:rPr>
          <w:sz w:val="18"/>
          <w:szCs w:val="18"/>
        </w:rPr>
        <w:t>In (grey). With 89.95% coverage of the non-expressed</w:t>
      </w:r>
      <w:r>
        <w:rPr>
          <w:sz w:val="18"/>
          <w:szCs w:val="18"/>
        </w:rPr>
        <w:t>,</w:t>
      </w:r>
      <w:r w:rsidRPr="00CA1CAF">
        <w:rPr>
          <w:sz w:val="18"/>
          <w:szCs w:val="18"/>
        </w:rPr>
        <w:t xml:space="preserve"> the two groups have comparable coverage.</w:t>
      </w:r>
    </w:p>
    <w:p w14:paraId="5126BAB0" w14:textId="77777777" w:rsidR="0088557E" w:rsidRPr="00CA1CAF" w:rsidRDefault="0088557E" w:rsidP="00915241">
      <w:pPr>
        <w:rPr>
          <w:sz w:val="18"/>
          <w:szCs w:val="18"/>
        </w:rPr>
      </w:pPr>
    </w:p>
    <w:p w14:paraId="55D4DC7C" w14:textId="77777777" w:rsidR="0088557E" w:rsidRPr="00CA1CAF" w:rsidRDefault="0088557E" w:rsidP="00915241"/>
    <w:p w14:paraId="621B6620" w14:textId="77777777" w:rsidR="0088557E" w:rsidRPr="00CA1CAF" w:rsidRDefault="0088557E" w:rsidP="00915241">
      <w:pPr>
        <w:jc w:val="both"/>
        <w:rPr>
          <w:b/>
          <w:bCs/>
          <w:sz w:val="18"/>
          <w:szCs w:val="18"/>
        </w:rPr>
      </w:pPr>
      <w:r>
        <w:rPr>
          <w:noProof/>
        </w:rPr>
        <w:lastRenderedPageBreak/>
        <w:drawing>
          <wp:inline distT="0" distB="0" distL="0" distR="0" wp14:anchorId="34143030" wp14:editId="05897A02">
            <wp:extent cx="5727700" cy="4608830"/>
            <wp:effectExtent l="0" t="0" r="6350" b="1270"/>
            <wp:docPr id="8626004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7700" cy="4608830"/>
                    </a:xfrm>
                    <a:prstGeom prst="rect">
                      <a:avLst/>
                    </a:prstGeom>
                    <a:noFill/>
                    <a:ln>
                      <a:noFill/>
                    </a:ln>
                  </pic:spPr>
                </pic:pic>
              </a:graphicData>
            </a:graphic>
          </wp:inline>
        </w:drawing>
      </w:r>
    </w:p>
    <w:p w14:paraId="5029B4BD" w14:textId="631B044B" w:rsidR="0088557E" w:rsidRPr="00CA1CAF" w:rsidRDefault="0088557E" w:rsidP="00915241">
      <w:pPr>
        <w:jc w:val="both"/>
        <w:rPr>
          <w:sz w:val="18"/>
          <w:szCs w:val="18"/>
        </w:rPr>
      </w:pPr>
      <w:bookmarkStart w:id="19" w:name="_Toc192510319"/>
      <w:r w:rsidRPr="001D7470">
        <w:rPr>
          <w:rStyle w:val="Heading2Char"/>
        </w:rPr>
        <w:t>Appendix Figure S1</w:t>
      </w:r>
      <w:r w:rsidR="00631952" w:rsidRPr="001D7470">
        <w:rPr>
          <w:rStyle w:val="Heading2Char"/>
        </w:rPr>
        <w:t>8</w:t>
      </w:r>
      <w:r w:rsidRPr="001D7470">
        <w:rPr>
          <w:rStyle w:val="Heading2Char"/>
        </w:rPr>
        <w:t>. Validation of 9 DsiRNA pools used for validation of SLC-protein interactions.</w:t>
      </w:r>
      <w:bookmarkEnd w:id="19"/>
      <w:r w:rsidRPr="00CA1CAF">
        <w:rPr>
          <w:sz w:val="18"/>
          <w:szCs w:val="18"/>
        </w:rPr>
        <w:t xml:space="preserve"> Relative normalized expression for genes targeted by DsiRNA pools. The </w:t>
      </w:r>
      <w:r w:rsidRPr="00CA1CAF">
        <w:rPr>
          <w:rFonts w:ascii="Franklin Gothic Book" w:hAnsi="Franklin Gothic Book"/>
          <w:sz w:val="18"/>
          <w:szCs w:val="18"/>
        </w:rPr>
        <w:t>∆</w:t>
      </w:r>
      <w:r w:rsidRPr="00CA1CAF">
        <w:rPr>
          <w:sz w:val="18"/>
          <w:szCs w:val="18"/>
        </w:rPr>
        <w:t>Cq was calculated against the housekeeping gene HPRT1 for target and control DsiRNA samples. The 2</w:t>
      </w:r>
      <w:r w:rsidRPr="00CA1CAF">
        <w:rPr>
          <w:sz w:val="18"/>
          <w:szCs w:val="18"/>
          <w:vertAlign w:val="superscript"/>
        </w:rPr>
        <w:t>-</w:t>
      </w:r>
      <w:r w:rsidRPr="00CA1CAF">
        <w:rPr>
          <w:rFonts w:ascii="Franklin Gothic Book" w:hAnsi="Franklin Gothic Book"/>
          <w:sz w:val="18"/>
          <w:szCs w:val="18"/>
          <w:vertAlign w:val="superscript"/>
        </w:rPr>
        <w:t xml:space="preserve">∆∆Cq </w:t>
      </w:r>
      <w:r w:rsidRPr="00CA1CAF">
        <w:rPr>
          <w:rFonts w:ascii="Franklin Gothic Book" w:hAnsi="Franklin Gothic Book"/>
          <w:sz w:val="18"/>
          <w:szCs w:val="18"/>
        </w:rPr>
        <w:t xml:space="preserve">(delta-delta cycle quantification threshold) per target gene (blue bars) were derived against control DsiRNA samples (gray). </w:t>
      </w:r>
      <w:r w:rsidRPr="00CA1CAF">
        <w:rPr>
          <w:sz w:val="18"/>
          <w:szCs w:val="18"/>
        </w:rPr>
        <w:t xml:space="preserve">Bars represent the average across replicates (n=3) and error bars represent +/- SEM of relative normalized expression. Data were analyzed with unpaired Student's t-tests; significant hits are marked with asterisks </w:t>
      </w:r>
      <w:r w:rsidR="00C61570">
        <w:rPr>
          <w:sz w:val="18"/>
          <w:szCs w:val="18"/>
        </w:rPr>
        <w:t xml:space="preserve">(‘**’) </w:t>
      </w:r>
      <w:r w:rsidRPr="00CA1CAF">
        <w:rPr>
          <w:sz w:val="18"/>
          <w:szCs w:val="18"/>
        </w:rPr>
        <w:t>representing a p-value ≤ 0.01. Validation of RNAi pools were conducted in different cell lines indicated below each graph. Samples expressing GFP-tagged SLCs were processed alongside protein stability and cytometry experiments (</w:t>
      </w:r>
      <w:r w:rsidRPr="001A7066">
        <w:rPr>
          <w:b/>
          <w:bCs/>
          <w:sz w:val="18"/>
          <w:szCs w:val="18"/>
        </w:rPr>
        <w:t>Dataset EV</w:t>
      </w:r>
      <w:r>
        <w:rPr>
          <w:b/>
          <w:bCs/>
          <w:sz w:val="18"/>
          <w:szCs w:val="18"/>
        </w:rPr>
        <w:t>7</w:t>
      </w:r>
      <w:r w:rsidRPr="00CA1CAF">
        <w:rPr>
          <w:sz w:val="18"/>
          <w:szCs w:val="18"/>
        </w:rPr>
        <w:t xml:space="preserve">) and expression was induced for 24 h with doxycycline. </w:t>
      </w:r>
      <w:r w:rsidRPr="00CA1CAF">
        <w:rPr>
          <w:sz w:val="18"/>
          <w:szCs w:val="18"/>
        </w:rPr>
        <w:br w:type="page"/>
      </w:r>
    </w:p>
    <w:p w14:paraId="6B078BB4" w14:textId="77777777" w:rsidR="0088557E" w:rsidRPr="00CA1CAF" w:rsidRDefault="0088557E" w:rsidP="00915241">
      <w:pPr>
        <w:rPr>
          <w:b/>
          <w:bCs/>
          <w:sz w:val="18"/>
          <w:szCs w:val="18"/>
        </w:rPr>
      </w:pPr>
      <w:r>
        <w:rPr>
          <w:noProof/>
        </w:rPr>
        <w:lastRenderedPageBreak/>
        <w:drawing>
          <wp:inline distT="0" distB="0" distL="0" distR="0" wp14:anchorId="061A46AB" wp14:editId="3915BA7B">
            <wp:extent cx="5727700" cy="8171180"/>
            <wp:effectExtent l="0" t="0" r="6350" b="1270"/>
            <wp:docPr id="17878992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7700" cy="8171180"/>
                    </a:xfrm>
                    <a:prstGeom prst="rect">
                      <a:avLst/>
                    </a:prstGeom>
                    <a:noFill/>
                    <a:ln>
                      <a:noFill/>
                    </a:ln>
                  </pic:spPr>
                </pic:pic>
              </a:graphicData>
            </a:graphic>
          </wp:inline>
        </w:drawing>
      </w:r>
    </w:p>
    <w:p w14:paraId="1B875874" w14:textId="074B53E8" w:rsidR="0088557E" w:rsidRDefault="0088557E" w:rsidP="00915241">
      <w:pPr>
        <w:jc w:val="both"/>
        <w:rPr>
          <w:sz w:val="18"/>
          <w:szCs w:val="18"/>
        </w:rPr>
      </w:pPr>
      <w:bookmarkStart w:id="20" w:name="_Toc192510320"/>
      <w:r w:rsidRPr="001D7470">
        <w:rPr>
          <w:rStyle w:val="Heading2Char"/>
        </w:rPr>
        <w:t>Appendix Figure S1</w:t>
      </w:r>
      <w:r w:rsidR="00631952" w:rsidRPr="001D7470">
        <w:rPr>
          <w:rStyle w:val="Heading2Char"/>
        </w:rPr>
        <w:t>9</w:t>
      </w:r>
      <w:r w:rsidRPr="001D7470">
        <w:rPr>
          <w:rStyle w:val="Heading2Char"/>
        </w:rPr>
        <w:t>. Assessment of RNAi efficiency targeting three SLC interaction partners by full proteome profiling in HEK 293 Jump In T-REx cells.</w:t>
      </w:r>
      <w:bookmarkEnd w:id="20"/>
      <w:r w:rsidRPr="00CA1CAF">
        <w:rPr>
          <w:b/>
          <w:bCs/>
          <w:sz w:val="18"/>
          <w:szCs w:val="18"/>
        </w:rPr>
        <w:t xml:space="preserve"> (A)</w:t>
      </w:r>
      <w:r w:rsidRPr="00CA1CAF">
        <w:rPr>
          <w:sz w:val="18"/>
          <w:szCs w:val="18"/>
        </w:rPr>
        <w:t xml:space="preserve"> Distribution of </w:t>
      </w:r>
      <w:r>
        <w:rPr>
          <w:sz w:val="18"/>
          <w:szCs w:val="18"/>
        </w:rPr>
        <w:t>peptide</w:t>
      </w:r>
      <w:r w:rsidRPr="00CA1CAF">
        <w:rPr>
          <w:sz w:val="18"/>
          <w:szCs w:val="18"/>
        </w:rPr>
        <w:t xml:space="preserve"> intensities before (upper panel) and after median normalization (lower panel). </w:t>
      </w:r>
      <w:r w:rsidR="00D629BC" w:rsidRPr="004D0ECE">
        <w:rPr>
          <w:sz w:val="18"/>
          <w:szCs w:val="18"/>
        </w:rPr>
        <w:t>Lower and upper hinges of box plots correspond to the 25</w:t>
      </w:r>
      <w:r w:rsidR="00D629BC" w:rsidRPr="00CC5E80">
        <w:rPr>
          <w:sz w:val="18"/>
          <w:szCs w:val="18"/>
          <w:vertAlign w:val="superscript"/>
        </w:rPr>
        <w:t>th</w:t>
      </w:r>
      <w:r w:rsidR="00D629BC">
        <w:rPr>
          <w:sz w:val="18"/>
          <w:szCs w:val="18"/>
        </w:rPr>
        <w:t xml:space="preserve"> </w:t>
      </w:r>
      <w:r w:rsidR="00D629BC" w:rsidRPr="004D0ECE">
        <w:rPr>
          <w:sz w:val="18"/>
          <w:szCs w:val="18"/>
        </w:rPr>
        <w:t>and 75</w:t>
      </w:r>
      <w:r w:rsidR="00D629BC" w:rsidRPr="00CC5E80">
        <w:rPr>
          <w:sz w:val="18"/>
          <w:szCs w:val="18"/>
          <w:vertAlign w:val="superscript"/>
        </w:rPr>
        <w:t>th</w:t>
      </w:r>
      <w:r w:rsidR="00D629BC">
        <w:rPr>
          <w:sz w:val="18"/>
          <w:szCs w:val="18"/>
        </w:rPr>
        <w:t xml:space="preserve"> </w:t>
      </w:r>
      <w:r w:rsidR="00D629BC" w:rsidRPr="004D0ECE">
        <w:rPr>
          <w:sz w:val="18"/>
          <w:szCs w:val="18"/>
        </w:rPr>
        <w:t xml:space="preserve">percentiles, respectively. Lower and upper </w:t>
      </w:r>
      <w:r w:rsidR="00D629BC" w:rsidRPr="004D0ECE">
        <w:rPr>
          <w:sz w:val="18"/>
          <w:szCs w:val="18"/>
        </w:rPr>
        <w:lastRenderedPageBreak/>
        <w:t>whiskers extend from the hinge to the smallest or largest value no further than the 1.5× interquartile range from the hinge, respectively.</w:t>
      </w:r>
      <w:r w:rsidR="00D629BC" w:rsidRPr="004C06F3">
        <w:rPr>
          <w:sz w:val="18"/>
          <w:szCs w:val="18"/>
        </w:rPr>
        <w:t xml:space="preserve"> </w:t>
      </w:r>
      <w:r w:rsidR="00D629BC" w:rsidRPr="00AD3285">
        <w:rPr>
          <w:sz w:val="18"/>
          <w:szCs w:val="18"/>
        </w:rPr>
        <w:t>Black line represents the median and the black dots represent</w:t>
      </w:r>
      <w:r w:rsidR="00D629BC">
        <w:rPr>
          <w:sz w:val="18"/>
          <w:szCs w:val="18"/>
        </w:rPr>
        <w:t xml:space="preserve"> outliers. The experiment was </w:t>
      </w:r>
      <w:r w:rsidR="00055EAF">
        <w:rPr>
          <w:sz w:val="18"/>
          <w:szCs w:val="18"/>
        </w:rPr>
        <w:t>conducted</w:t>
      </w:r>
      <w:r w:rsidR="00D629BC">
        <w:rPr>
          <w:sz w:val="18"/>
          <w:szCs w:val="18"/>
        </w:rPr>
        <w:t xml:space="preserve"> with </w:t>
      </w:r>
      <w:r w:rsidRPr="00CA1CAF">
        <w:rPr>
          <w:sz w:val="18"/>
          <w:szCs w:val="18"/>
        </w:rPr>
        <w:t xml:space="preserve">n=3 biological replicates. </w:t>
      </w:r>
      <w:r w:rsidRPr="00CA1CAF">
        <w:rPr>
          <w:b/>
          <w:bCs/>
          <w:sz w:val="18"/>
          <w:szCs w:val="18"/>
        </w:rPr>
        <w:t>(B)</w:t>
      </w:r>
      <w:r w:rsidRPr="00CA1CAF">
        <w:rPr>
          <w:sz w:val="18"/>
          <w:szCs w:val="18"/>
        </w:rPr>
        <w:t xml:space="preserve"> Quantified proteins per RNAi sample condition. The bars indicate the average quantified proteins whereas the error bars are +/- SD of the mean. Black dots represent the count of quantified proteins per sample (n=3 biological replicates). Colors indicate different siRNA pools. On the x-axis the target genes of the siRNA pools are indicated. </w:t>
      </w:r>
      <w:r w:rsidRPr="00CA1CAF">
        <w:rPr>
          <w:b/>
          <w:bCs/>
          <w:sz w:val="18"/>
          <w:szCs w:val="18"/>
        </w:rPr>
        <w:t>(C)</w:t>
      </w:r>
      <w:r w:rsidRPr="00CA1CAF">
        <w:rPr>
          <w:sz w:val="18"/>
          <w:szCs w:val="18"/>
        </w:rPr>
        <w:t xml:space="preserve"> Peptides of the target genes LTN1 (olive), ZFPL1 (dark blue) and NFXL1 (siRNA pool 1: dark red; siRNA pool 2: red) quantified within each sample and the negative siRNA control (grey). </w:t>
      </w:r>
      <w:r w:rsidRPr="00CA1CAF">
        <w:rPr>
          <w:b/>
          <w:bCs/>
          <w:sz w:val="18"/>
          <w:szCs w:val="18"/>
        </w:rPr>
        <w:t>(D)</w:t>
      </w:r>
      <w:r w:rsidRPr="00CA1CAF">
        <w:rPr>
          <w:sz w:val="18"/>
          <w:szCs w:val="18"/>
        </w:rPr>
        <w:t xml:space="preserve"> </w:t>
      </w:r>
      <w:r>
        <w:rPr>
          <w:sz w:val="18"/>
          <w:szCs w:val="18"/>
        </w:rPr>
        <w:t>For each targeted gene, the r</w:t>
      </w:r>
      <w:r w:rsidRPr="00CA1CAF">
        <w:rPr>
          <w:sz w:val="18"/>
          <w:szCs w:val="18"/>
        </w:rPr>
        <w:t xml:space="preserve">atios against the negative control RNAi samples were derived. The x-axis shows the ratio against negative control siRNA within each of the different samples (indicated by color, see legend), whereas the y-axis shows the ratio normalized to the negative control. Within RNAi target samples the corresponding protein abundance was reduced from 50% to 90% relative to the control. </w:t>
      </w:r>
      <w:r w:rsidRPr="00CA1CAF">
        <w:rPr>
          <w:b/>
          <w:bCs/>
          <w:sz w:val="18"/>
          <w:szCs w:val="18"/>
        </w:rPr>
        <w:t>(E)</w:t>
      </w:r>
      <w:r w:rsidRPr="00CA1CAF">
        <w:rPr>
          <w:sz w:val="18"/>
          <w:szCs w:val="18"/>
        </w:rPr>
        <w:t xml:space="preserve"> Differential enrichment of proteins in LTN1 RNAi treated samples against negative controls. The x-axis represents the log2FC of each protein against the signal in the control. The y-axis shows the -log10 of the adjusted p-value (unpaired </w:t>
      </w:r>
      <w:r>
        <w:rPr>
          <w:sz w:val="18"/>
          <w:szCs w:val="18"/>
        </w:rPr>
        <w:t>S</w:t>
      </w:r>
      <w:r w:rsidRPr="00CA1CAF">
        <w:rPr>
          <w:sz w:val="18"/>
          <w:szCs w:val="18"/>
        </w:rPr>
        <w:t xml:space="preserve">tudent t-test, BH correction). As thresholds for significantly enriched proteins a log2FC ≥ 2 and an adjusted p-value ≤ 0.01 were used (dotted lines). Proteins are shown in teal. </w:t>
      </w:r>
      <w:r w:rsidRPr="00CA1CAF">
        <w:rPr>
          <w:b/>
          <w:bCs/>
          <w:sz w:val="18"/>
          <w:szCs w:val="18"/>
        </w:rPr>
        <w:t>(F)</w:t>
      </w:r>
      <w:r w:rsidRPr="00CA1CAF">
        <w:rPr>
          <w:sz w:val="18"/>
          <w:szCs w:val="18"/>
        </w:rPr>
        <w:t xml:space="preserve"> Differential enrichment of proteins in ZFPL1 DsiRNA treated samples against negative controls. Thresholds were set as in panel (E). </w:t>
      </w:r>
      <w:r w:rsidRPr="00CA1CAF">
        <w:rPr>
          <w:b/>
          <w:bCs/>
          <w:sz w:val="18"/>
          <w:szCs w:val="18"/>
        </w:rPr>
        <w:t xml:space="preserve">(G) </w:t>
      </w:r>
      <w:r w:rsidRPr="00CA1CAF">
        <w:rPr>
          <w:sz w:val="18"/>
          <w:szCs w:val="18"/>
        </w:rPr>
        <w:t>and</w:t>
      </w:r>
      <w:r w:rsidRPr="00CA1CAF">
        <w:rPr>
          <w:b/>
          <w:bCs/>
          <w:sz w:val="18"/>
          <w:szCs w:val="18"/>
        </w:rPr>
        <w:t xml:space="preserve"> (H)</w:t>
      </w:r>
      <w:r w:rsidRPr="00CA1CAF">
        <w:rPr>
          <w:sz w:val="18"/>
          <w:szCs w:val="18"/>
        </w:rPr>
        <w:t xml:space="preserve"> show differential enrichment of proteins in NFXL1 DsiRNA treated samples against negative controls for DsiRNA pool 1 and pool 2 targeting NFXL1. Thresholds were set as in panel (E).</w:t>
      </w:r>
    </w:p>
    <w:p w14:paraId="59F9D2C4" w14:textId="77777777" w:rsidR="00466A79" w:rsidRPr="00CA1CAF" w:rsidRDefault="00466A79" w:rsidP="00915241">
      <w:pPr>
        <w:jc w:val="both"/>
        <w:rPr>
          <w:sz w:val="18"/>
          <w:szCs w:val="18"/>
        </w:rPr>
      </w:pPr>
    </w:p>
    <w:p w14:paraId="1CA8C0DE" w14:textId="0446B788" w:rsidR="0088557E" w:rsidRPr="00CA1CAF" w:rsidRDefault="0088557E" w:rsidP="00915241">
      <w:pPr>
        <w:pStyle w:val="Heading1"/>
      </w:pPr>
      <w:bookmarkStart w:id="21" w:name="_Toc192510321"/>
      <w:r w:rsidRPr="00CA1CAF">
        <w:t>References</w:t>
      </w:r>
      <w:bookmarkEnd w:id="21"/>
    </w:p>
    <w:p w14:paraId="339AE0D2" w14:textId="3A0938BD" w:rsidR="0088557E" w:rsidRPr="00AC155F" w:rsidRDefault="0088557E" w:rsidP="0088557E">
      <w:pPr>
        <w:pStyle w:val="NormalWeb"/>
        <w:spacing w:afterLines="100" w:after="240" w:line="220" w:lineRule="auto"/>
        <w:ind w:left="220" w:hanging="220"/>
        <w:divId w:val="161094443"/>
        <w:rPr>
          <w:rStyle w:val="csl-entry"/>
          <w:rFonts w:ascii="Calibri" w:hAnsi="Calibri" w:cs="Calibri"/>
          <w:color w:val="000000"/>
          <w:sz w:val="22"/>
        </w:rPr>
      </w:pPr>
      <w:r w:rsidRPr="00AC155F">
        <w:rPr>
          <w:rStyle w:val="csl-entry"/>
          <w:rFonts w:ascii="Calibri" w:hAnsi="Calibri" w:cs="Calibri"/>
          <w:color w:val="000000"/>
          <w:sz w:val="22"/>
        </w:rPr>
        <w:t xml:space="preserve">Meixner E, Goldmann U, Sedlyarov V, Scorzoni S, Rebsamen M, Girardi E &amp; Superti-Furga G (2020) A substrate-based ontology for human solute carriers. </w:t>
      </w:r>
      <w:r w:rsidRPr="00AC155F">
        <w:rPr>
          <w:rStyle w:val="csl-entry"/>
          <w:rFonts w:ascii="Calibri" w:hAnsi="Calibri" w:cs="Calibri"/>
          <w:i/>
          <w:iCs/>
          <w:color w:val="000000"/>
          <w:sz w:val="22"/>
        </w:rPr>
        <w:t>Mol Syst Biol</w:t>
      </w:r>
      <w:r w:rsidRPr="00AC155F">
        <w:rPr>
          <w:rStyle w:val="csl-entry"/>
          <w:rFonts w:ascii="Calibri" w:hAnsi="Calibri" w:cs="Calibri"/>
          <w:color w:val="000000"/>
          <w:sz w:val="22"/>
        </w:rPr>
        <w:t xml:space="preserve"> 16: e9652</w:t>
      </w:r>
    </w:p>
    <w:p w14:paraId="26B89435" w14:textId="77777777" w:rsidR="00AC155F" w:rsidRPr="00AC155F" w:rsidRDefault="00AC155F" w:rsidP="00AC155F">
      <w:pPr>
        <w:pStyle w:val="NormalWeb"/>
        <w:spacing w:afterLines="100" w:after="240" w:line="220" w:lineRule="auto"/>
        <w:ind w:left="220" w:hanging="220"/>
        <w:divId w:val="161094443"/>
        <w:rPr>
          <w:rFonts w:ascii="Calibri" w:hAnsi="Calibri" w:cs="Calibri"/>
          <w:color w:val="000000"/>
          <w:sz w:val="22"/>
        </w:rPr>
      </w:pPr>
      <w:r w:rsidRPr="00AC155F">
        <w:rPr>
          <w:rStyle w:val="csl-entry"/>
          <w:rFonts w:ascii="Calibri" w:hAnsi="Calibri" w:cs="Calibri"/>
          <w:color w:val="000000"/>
          <w:sz w:val="22"/>
        </w:rPr>
        <w:t xml:space="preserve">Mocking TAM, Sijben HJ, Vermeulen YW, IJzerman AP &amp; Heitman LH (2022) MPP+-Induced Changes in Cellular Impedance as a Measure for Organic Cation Transporter (SLC22A1-3) Activity and Inhibition. </w:t>
      </w:r>
      <w:r w:rsidRPr="00AC155F">
        <w:rPr>
          <w:rStyle w:val="csl-entry"/>
          <w:rFonts w:ascii="Calibri" w:hAnsi="Calibri" w:cs="Calibri"/>
          <w:i/>
          <w:iCs/>
          <w:color w:val="000000"/>
          <w:sz w:val="22"/>
        </w:rPr>
        <w:t>Int J Mol Sci</w:t>
      </w:r>
      <w:r w:rsidRPr="00AC155F">
        <w:rPr>
          <w:rStyle w:val="csl-entry"/>
          <w:rFonts w:ascii="Calibri" w:hAnsi="Calibri" w:cs="Calibri"/>
          <w:color w:val="000000"/>
          <w:sz w:val="22"/>
        </w:rPr>
        <w:t xml:space="preserve"> 23</w:t>
      </w:r>
    </w:p>
    <w:p w14:paraId="0671F92F" w14:textId="240114B5" w:rsidR="0088557E" w:rsidRPr="00AC155F" w:rsidRDefault="0088557E" w:rsidP="0088557E">
      <w:pPr>
        <w:pStyle w:val="NormalWeb"/>
        <w:spacing w:afterLines="100" w:after="240" w:line="220" w:lineRule="auto"/>
        <w:ind w:left="220" w:hanging="220"/>
        <w:divId w:val="161094443"/>
        <w:rPr>
          <w:rFonts w:ascii="Calibri" w:hAnsi="Calibri" w:cs="Calibri"/>
          <w:color w:val="000000"/>
          <w:sz w:val="22"/>
        </w:rPr>
      </w:pPr>
      <w:r w:rsidRPr="00AC155F">
        <w:rPr>
          <w:rStyle w:val="csl-entry"/>
          <w:rFonts w:ascii="Calibri" w:hAnsi="Calibri" w:cs="Calibri"/>
          <w:color w:val="000000"/>
          <w:sz w:val="22"/>
        </w:rPr>
        <w:t xml:space="preserve">Sijben HJ, Dall’ Acqua L, Liu R, Jarret A, Christodoulaki E, Onstein S, Wolf G, Verburgt SJ, Le Dévédec SE, Wiedmer T, </w:t>
      </w:r>
      <w:r w:rsidRPr="00AC155F">
        <w:rPr>
          <w:rStyle w:val="csl-entry"/>
          <w:rFonts w:ascii="Calibri" w:hAnsi="Calibri" w:cs="Calibri"/>
          <w:i/>
          <w:iCs/>
          <w:color w:val="000000"/>
          <w:sz w:val="22"/>
        </w:rPr>
        <w:t>et al</w:t>
      </w:r>
      <w:r w:rsidRPr="00AC155F">
        <w:rPr>
          <w:rStyle w:val="csl-entry"/>
          <w:rFonts w:ascii="Calibri" w:hAnsi="Calibri" w:cs="Calibri"/>
          <w:color w:val="000000"/>
          <w:sz w:val="22"/>
        </w:rPr>
        <w:t xml:space="preserve"> (2022) Impedance-Based Phenotypic Readout of Transporter Function: A Case for Glutamate Transporters. </w:t>
      </w:r>
      <w:r w:rsidRPr="00AC155F">
        <w:rPr>
          <w:rStyle w:val="csl-entry"/>
          <w:rFonts w:ascii="Calibri" w:hAnsi="Calibri" w:cs="Calibri"/>
          <w:i/>
          <w:iCs/>
          <w:color w:val="000000"/>
          <w:sz w:val="22"/>
        </w:rPr>
        <w:t>Front Pharmacol</w:t>
      </w:r>
      <w:r w:rsidRPr="00AC155F">
        <w:rPr>
          <w:rStyle w:val="csl-entry"/>
          <w:rFonts w:ascii="Calibri" w:hAnsi="Calibri" w:cs="Calibri"/>
          <w:color w:val="000000"/>
          <w:sz w:val="22"/>
        </w:rPr>
        <w:t xml:space="preserve"> 13: 872335</w:t>
      </w:r>
    </w:p>
    <w:p w14:paraId="459FF652" w14:textId="5D11D662" w:rsidR="00AC155F" w:rsidRPr="00AC155F" w:rsidRDefault="0088557E" w:rsidP="00AC155F">
      <w:pPr>
        <w:pStyle w:val="NormalWeb"/>
        <w:spacing w:afterLines="100" w:after="240" w:line="220" w:lineRule="auto"/>
        <w:ind w:left="220" w:hanging="220"/>
        <w:divId w:val="161094443"/>
        <w:rPr>
          <w:rFonts w:ascii="Calibri" w:hAnsi="Calibri" w:cs="Calibri"/>
          <w:color w:val="000000"/>
          <w:sz w:val="22"/>
        </w:rPr>
      </w:pPr>
      <w:r w:rsidRPr="00AC155F">
        <w:rPr>
          <w:rStyle w:val="csl-entry"/>
          <w:rFonts w:ascii="Calibri" w:hAnsi="Calibri" w:cs="Calibri"/>
          <w:color w:val="000000"/>
          <w:sz w:val="22"/>
        </w:rPr>
        <w:t xml:space="preserve">Uhlén M, Fagerberg L, Hallström BM, Lindskog C, Oksvold P, Mardinoglu A, Sivertsson Å, Kampf C, Sjöstedt E, Asplund A, </w:t>
      </w:r>
      <w:r w:rsidRPr="00AC155F">
        <w:rPr>
          <w:rStyle w:val="csl-entry"/>
          <w:rFonts w:ascii="Calibri" w:hAnsi="Calibri" w:cs="Calibri"/>
          <w:i/>
          <w:iCs/>
          <w:color w:val="000000"/>
          <w:sz w:val="22"/>
        </w:rPr>
        <w:t>et al</w:t>
      </w:r>
      <w:r w:rsidRPr="00AC155F">
        <w:rPr>
          <w:rStyle w:val="csl-entry"/>
          <w:rFonts w:ascii="Calibri" w:hAnsi="Calibri" w:cs="Calibri"/>
          <w:color w:val="000000"/>
          <w:sz w:val="22"/>
        </w:rPr>
        <w:t xml:space="preserve"> (2015) Tissue-based map of the human proteome. </w:t>
      </w:r>
      <w:r w:rsidRPr="00AC155F">
        <w:rPr>
          <w:rStyle w:val="csl-entry"/>
          <w:rFonts w:ascii="Calibri" w:hAnsi="Calibri" w:cs="Calibri"/>
          <w:i/>
          <w:iCs/>
          <w:color w:val="000000"/>
          <w:sz w:val="22"/>
        </w:rPr>
        <w:t>Science</w:t>
      </w:r>
      <w:r w:rsidRPr="00AC155F">
        <w:rPr>
          <w:rStyle w:val="csl-entry"/>
          <w:rFonts w:ascii="Calibri" w:hAnsi="Calibri" w:cs="Calibri"/>
          <w:color w:val="000000"/>
          <w:sz w:val="22"/>
        </w:rPr>
        <w:t xml:space="preserve"> 347: 1260419</w:t>
      </w:r>
    </w:p>
    <w:sectPr w:rsidR="00AC155F" w:rsidRPr="00AC155F" w:rsidSect="00703C04">
      <w:footerReference w:type="default" r:id="rId3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6F9A6" w14:textId="77777777" w:rsidR="007C795C" w:rsidRDefault="007C795C" w:rsidP="009544D1">
      <w:pPr>
        <w:spacing w:after="0" w:line="240" w:lineRule="auto"/>
      </w:pPr>
      <w:r>
        <w:separator/>
      </w:r>
    </w:p>
  </w:endnote>
  <w:endnote w:type="continuationSeparator" w:id="0">
    <w:p w14:paraId="633584CE" w14:textId="77777777" w:rsidR="007C795C" w:rsidRDefault="007C795C" w:rsidP="009544D1">
      <w:pPr>
        <w:spacing w:after="0" w:line="240" w:lineRule="auto"/>
      </w:pPr>
      <w:r>
        <w:continuationSeparator/>
      </w:r>
    </w:p>
  </w:endnote>
  <w:endnote w:type="continuationNotice" w:id="1">
    <w:p w14:paraId="5BD3EEE1" w14:textId="77777777" w:rsidR="007C795C" w:rsidRDefault="007C79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593391"/>
      <w:docPartObj>
        <w:docPartGallery w:val="Page Numbers (Bottom of Page)"/>
        <w:docPartUnique/>
      </w:docPartObj>
    </w:sdtPr>
    <w:sdtContent>
      <w:sdt>
        <w:sdtPr>
          <w:id w:val="-1769616900"/>
          <w:docPartObj>
            <w:docPartGallery w:val="Page Numbers (Top of Page)"/>
            <w:docPartUnique/>
          </w:docPartObj>
        </w:sdtPr>
        <w:sdtContent>
          <w:p w14:paraId="22C043B2" w14:textId="51DE3EA0" w:rsidR="00E734EC" w:rsidRDefault="00E734E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51B05E1" w14:textId="77777777" w:rsidR="007248BF" w:rsidRDefault="00724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E6097" w14:textId="77777777" w:rsidR="007C795C" w:rsidRDefault="007C795C" w:rsidP="009544D1">
      <w:pPr>
        <w:spacing w:after="0" w:line="240" w:lineRule="auto"/>
      </w:pPr>
      <w:r>
        <w:separator/>
      </w:r>
    </w:p>
  </w:footnote>
  <w:footnote w:type="continuationSeparator" w:id="0">
    <w:p w14:paraId="7FF1C694" w14:textId="77777777" w:rsidR="007C795C" w:rsidRDefault="007C795C" w:rsidP="009544D1">
      <w:pPr>
        <w:spacing w:after="0" w:line="240" w:lineRule="auto"/>
      </w:pPr>
      <w:r>
        <w:continuationSeparator/>
      </w:r>
    </w:p>
  </w:footnote>
  <w:footnote w:type="continuationNotice" w:id="1">
    <w:p w14:paraId="5A962E46" w14:textId="77777777" w:rsidR="007C795C" w:rsidRDefault="007C795C">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061F2"/>
    <w:multiLevelType w:val="hybridMultilevel"/>
    <w:tmpl w:val="6D2CABE6"/>
    <w:lvl w:ilvl="0" w:tplc="1FA683EA">
      <w:start w:val="1"/>
      <w:numFmt w:val="bullet"/>
      <w:lvlText w:val=""/>
      <w:lvlJc w:val="left"/>
      <w:pPr>
        <w:ind w:left="720" w:hanging="360"/>
      </w:pPr>
      <w:rPr>
        <w:rFonts w:ascii="Wingdings" w:hAnsi="Wingdings" w:hint="default"/>
      </w:rPr>
    </w:lvl>
    <w:lvl w:ilvl="1" w:tplc="23CA817C">
      <w:start w:val="1"/>
      <w:numFmt w:val="bullet"/>
      <w:lvlText w:val="o"/>
      <w:lvlJc w:val="left"/>
      <w:pPr>
        <w:ind w:left="1440" w:hanging="360"/>
      </w:pPr>
      <w:rPr>
        <w:rFonts w:ascii="Courier New" w:hAnsi="Courier New" w:hint="default"/>
      </w:rPr>
    </w:lvl>
    <w:lvl w:ilvl="2" w:tplc="EFC04A8C">
      <w:start w:val="1"/>
      <w:numFmt w:val="bullet"/>
      <w:lvlText w:val=""/>
      <w:lvlJc w:val="left"/>
      <w:pPr>
        <w:ind w:left="2160" w:hanging="360"/>
      </w:pPr>
      <w:rPr>
        <w:rFonts w:ascii="Wingdings" w:hAnsi="Wingdings" w:hint="default"/>
      </w:rPr>
    </w:lvl>
    <w:lvl w:ilvl="3" w:tplc="660E91C2">
      <w:start w:val="1"/>
      <w:numFmt w:val="bullet"/>
      <w:lvlText w:val=""/>
      <w:lvlJc w:val="left"/>
      <w:pPr>
        <w:ind w:left="2880" w:hanging="360"/>
      </w:pPr>
      <w:rPr>
        <w:rFonts w:ascii="Symbol" w:hAnsi="Symbol" w:hint="default"/>
      </w:rPr>
    </w:lvl>
    <w:lvl w:ilvl="4" w:tplc="5504CCD0">
      <w:start w:val="1"/>
      <w:numFmt w:val="bullet"/>
      <w:lvlText w:val="o"/>
      <w:lvlJc w:val="left"/>
      <w:pPr>
        <w:ind w:left="3600" w:hanging="360"/>
      </w:pPr>
      <w:rPr>
        <w:rFonts w:ascii="Courier New" w:hAnsi="Courier New" w:hint="default"/>
      </w:rPr>
    </w:lvl>
    <w:lvl w:ilvl="5" w:tplc="EE4EAB5C">
      <w:start w:val="1"/>
      <w:numFmt w:val="bullet"/>
      <w:lvlText w:val=""/>
      <w:lvlJc w:val="left"/>
      <w:pPr>
        <w:ind w:left="4320" w:hanging="360"/>
      </w:pPr>
      <w:rPr>
        <w:rFonts w:ascii="Wingdings" w:hAnsi="Wingdings" w:hint="default"/>
      </w:rPr>
    </w:lvl>
    <w:lvl w:ilvl="6" w:tplc="8CC25E6A">
      <w:start w:val="1"/>
      <w:numFmt w:val="bullet"/>
      <w:lvlText w:val=""/>
      <w:lvlJc w:val="left"/>
      <w:pPr>
        <w:ind w:left="5040" w:hanging="360"/>
      </w:pPr>
      <w:rPr>
        <w:rFonts w:ascii="Symbol" w:hAnsi="Symbol" w:hint="default"/>
      </w:rPr>
    </w:lvl>
    <w:lvl w:ilvl="7" w:tplc="8CB0E05A">
      <w:start w:val="1"/>
      <w:numFmt w:val="bullet"/>
      <w:lvlText w:val="o"/>
      <w:lvlJc w:val="left"/>
      <w:pPr>
        <w:ind w:left="5760" w:hanging="360"/>
      </w:pPr>
      <w:rPr>
        <w:rFonts w:ascii="Courier New" w:hAnsi="Courier New" w:hint="default"/>
      </w:rPr>
    </w:lvl>
    <w:lvl w:ilvl="8" w:tplc="9BA81A1A">
      <w:start w:val="1"/>
      <w:numFmt w:val="bullet"/>
      <w:lvlText w:val=""/>
      <w:lvlJc w:val="left"/>
      <w:pPr>
        <w:ind w:left="6480" w:hanging="360"/>
      </w:pPr>
      <w:rPr>
        <w:rFonts w:ascii="Wingdings" w:hAnsi="Wingdings" w:hint="default"/>
      </w:rPr>
    </w:lvl>
  </w:abstractNum>
  <w:abstractNum w:abstractNumId="1" w15:restartNumberingAfterBreak="0">
    <w:nsid w:val="640C7D00"/>
    <w:multiLevelType w:val="hybridMultilevel"/>
    <w:tmpl w:val="CADE42F0"/>
    <w:lvl w:ilvl="0" w:tplc="0E44BF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1A08B2"/>
    <w:multiLevelType w:val="hybridMultilevel"/>
    <w:tmpl w:val="D0447F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107124">
    <w:abstractNumId w:val="0"/>
  </w:num>
  <w:num w:numId="2" w16cid:durableId="1401950368">
    <w:abstractNumId w:val="1"/>
  </w:num>
  <w:num w:numId="3" w16cid:durableId="745999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94D"/>
    <w:rsid w:val="000012C6"/>
    <w:rsid w:val="000016D9"/>
    <w:rsid w:val="00002E82"/>
    <w:rsid w:val="00002F13"/>
    <w:rsid w:val="00002F6C"/>
    <w:rsid w:val="00005E6A"/>
    <w:rsid w:val="000120C1"/>
    <w:rsid w:val="00017150"/>
    <w:rsid w:val="00020289"/>
    <w:rsid w:val="00020649"/>
    <w:rsid w:val="00020999"/>
    <w:rsid w:val="00022DFC"/>
    <w:rsid w:val="00023789"/>
    <w:rsid w:val="000237C2"/>
    <w:rsid w:val="0002669D"/>
    <w:rsid w:val="00027DCB"/>
    <w:rsid w:val="00027FAA"/>
    <w:rsid w:val="00031592"/>
    <w:rsid w:val="0003356E"/>
    <w:rsid w:val="00033C0D"/>
    <w:rsid w:val="0003603C"/>
    <w:rsid w:val="000365A6"/>
    <w:rsid w:val="00037FDB"/>
    <w:rsid w:val="000417C5"/>
    <w:rsid w:val="00041EBB"/>
    <w:rsid w:val="0004235D"/>
    <w:rsid w:val="00043FFC"/>
    <w:rsid w:val="00046EF5"/>
    <w:rsid w:val="00046FCE"/>
    <w:rsid w:val="000520E5"/>
    <w:rsid w:val="00055352"/>
    <w:rsid w:val="00055457"/>
    <w:rsid w:val="0005581A"/>
    <w:rsid w:val="00055EAF"/>
    <w:rsid w:val="00057067"/>
    <w:rsid w:val="00061C1F"/>
    <w:rsid w:val="00063C76"/>
    <w:rsid w:val="000645EE"/>
    <w:rsid w:val="00065CFC"/>
    <w:rsid w:val="00065EBF"/>
    <w:rsid w:val="00067D4E"/>
    <w:rsid w:val="00070866"/>
    <w:rsid w:val="00071433"/>
    <w:rsid w:val="00073C8B"/>
    <w:rsid w:val="00083583"/>
    <w:rsid w:val="000841BF"/>
    <w:rsid w:val="000857FE"/>
    <w:rsid w:val="00085895"/>
    <w:rsid w:val="00085CFC"/>
    <w:rsid w:val="00087541"/>
    <w:rsid w:val="000931B6"/>
    <w:rsid w:val="00094637"/>
    <w:rsid w:val="00094B40"/>
    <w:rsid w:val="00096EE7"/>
    <w:rsid w:val="000A032A"/>
    <w:rsid w:val="000A0EEB"/>
    <w:rsid w:val="000A1207"/>
    <w:rsid w:val="000A3C2A"/>
    <w:rsid w:val="000A4BC0"/>
    <w:rsid w:val="000A705A"/>
    <w:rsid w:val="000A7459"/>
    <w:rsid w:val="000A753B"/>
    <w:rsid w:val="000B5424"/>
    <w:rsid w:val="000B6D68"/>
    <w:rsid w:val="000C009D"/>
    <w:rsid w:val="000C2073"/>
    <w:rsid w:val="000C286D"/>
    <w:rsid w:val="000C2C36"/>
    <w:rsid w:val="000C446C"/>
    <w:rsid w:val="000C4B66"/>
    <w:rsid w:val="000C579C"/>
    <w:rsid w:val="000C7DE0"/>
    <w:rsid w:val="000D2EF3"/>
    <w:rsid w:val="000D3153"/>
    <w:rsid w:val="000D3644"/>
    <w:rsid w:val="000D37B8"/>
    <w:rsid w:val="000D3C3C"/>
    <w:rsid w:val="000D4B29"/>
    <w:rsid w:val="000D6E43"/>
    <w:rsid w:val="000D7FD9"/>
    <w:rsid w:val="000E13C5"/>
    <w:rsid w:val="000E48A4"/>
    <w:rsid w:val="000E5692"/>
    <w:rsid w:val="000E5760"/>
    <w:rsid w:val="000E7CD6"/>
    <w:rsid w:val="000F0F42"/>
    <w:rsid w:val="000F1C04"/>
    <w:rsid w:val="000F24FE"/>
    <w:rsid w:val="000F46D0"/>
    <w:rsid w:val="000F6219"/>
    <w:rsid w:val="000F75D6"/>
    <w:rsid w:val="0010224F"/>
    <w:rsid w:val="00104E64"/>
    <w:rsid w:val="001060F8"/>
    <w:rsid w:val="001100FB"/>
    <w:rsid w:val="00113C81"/>
    <w:rsid w:val="00114319"/>
    <w:rsid w:val="001167E6"/>
    <w:rsid w:val="00121D33"/>
    <w:rsid w:val="00122655"/>
    <w:rsid w:val="001273BB"/>
    <w:rsid w:val="00127A34"/>
    <w:rsid w:val="0013070D"/>
    <w:rsid w:val="00131014"/>
    <w:rsid w:val="0013208B"/>
    <w:rsid w:val="00132E28"/>
    <w:rsid w:val="001330C3"/>
    <w:rsid w:val="00134047"/>
    <w:rsid w:val="00134CF4"/>
    <w:rsid w:val="00136638"/>
    <w:rsid w:val="00140A35"/>
    <w:rsid w:val="00140CAD"/>
    <w:rsid w:val="00143CEC"/>
    <w:rsid w:val="001456CF"/>
    <w:rsid w:val="001470FC"/>
    <w:rsid w:val="00147E06"/>
    <w:rsid w:val="00147EA7"/>
    <w:rsid w:val="00150CDF"/>
    <w:rsid w:val="0015128A"/>
    <w:rsid w:val="00151C8F"/>
    <w:rsid w:val="00152160"/>
    <w:rsid w:val="00156C30"/>
    <w:rsid w:val="0016066E"/>
    <w:rsid w:val="001614A1"/>
    <w:rsid w:val="00162AB8"/>
    <w:rsid w:val="00162C4B"/>
    <w:rsid w:val="001641FF"/>
    <w:rsid w:val="00165B35"/>
    <w:rsid w:val="001665A9"/>
    <w:rsid w:val="0017021E"/>
    <w:rsid w:val="001719F2"/>
    <w:rsid w:val="001776FC"/>
    <w:rsid w:val="0018368E"/>
    <w:rsid w:val="00184611"/>
    <w:rsid w:val="0019049A"/>
    <w:rsid w:val="00190BBA"/>
    <w:rsid w:val="00192F36"/>
    <w:rsid w:val="001945B0"/>
    <w:rsid w:val="00194E85"/>
    <w:rsid w:val="001979E7"/>
    <w:rsid w:val="001A030C"/>
    <w:rsid w:val="001A349E"/>
    <w:rsid w:val="001A3A98"/>
    <w:rsid w:val="001A5D14"/>
    <w:rsid w:val="001A7066"/>
    <w:rsid w:val="001A7540"/>
    <w:rsid w:val="001A75B1"/>
    <w:rsid w:val="001A7B51"/>
    <w:rsid w:val="001AF3C7"/>
    <w:rsid w:val="001B01FD"/>
    <w:rsid w:val="001B1F19"/>
    <w:rsid w:val="001B3AE8"/>
    <w:rsid w:val="001B5316"/>
    <w:rsid w:val="001B54C9"/>
    <w:rsid w:val="001B6DA4"/>
    <w:rsid w:val="001B716A"/>
    <w:rsid w:val="001C0F6B"/>
    <w:rsid w:val="001C473A"/>
    <w:rsid w:val="001C75E3"/>
    <w:rsid w:val="001D44BE"/>
    <w:rsid w:val="001D5737"/>
    <w:rsid w:val="001D64E0"/>
    <w:rsid w:val="001D7470"/>
    <w:rsid w:val="001D795E"/>
    <w:rsid w:val="001E39FB"/>
    <w:rsid w:val="001F08A2"/>
    <w:rsid w:val="001F3163"/>
    <w:rsid w:val="001F4D79"/>
    <w:rsid w:val="001F7070"/>
    <w:rsid w:val="001F7C13"/>
    <w:rsid w:val="002008E0"/>
    <w:rsid w:val="00202645"/>
    <w:rsid w:val="00202DDE"/>
    <w:rsid w:val="00202EF0"/>
    <w:rsid w:val="00202F6A"/>
    <w:rsid w:val="00205303"/>
    <w:rsid w:val="00205729"/>
    <w:rsid w:val="00205F52"/>
    <w:rsid w:val="002131B6"/>
    <w:rsid w:val="002140A5"/>
    <w:rsid w:val="0022051E"/>
    <w:rsid w:val="00220696"/>
    <w:rsid w:val="002224F0"/>
    <w:rsid w:val="00223131"/>
    <w:rsid w:val="00224057"/>
    <w:rsid w:val="00227EC6"/>
    <w:rsid w:val="00231A11"/>
    <w:rsid w:val="00231DA9"/>
    <w:rsid w:val="002335E8"/>
    <w:rsid w:val="00234B16"/>
    <w:rsid w:val="002359D0"/>
    <w:rsid w:val="002376AD"/>
    <w:rsid w:val="00237F94"/>
    <w:rsid w:val="002407A1"/>
    <w:rsid w:val="002424EE"/>
    <w:rsid w:val="00243B54"/>
    <w:rsid w:val="00244200"/>
    <w:rsid w:val="002470E9"/>
    <w:rsid w:val="002479D2"/>
    <w:rsid w:val="0024A79C"/>
    <w:rsid w:val="00250123"/>
    <w:rsid w:val="0025074A"/>
    <w:rsid w:val="002526D5"/>
    <w:rsid w:val="0025283A"/>
    <w:rsid w:val="00252E0F"/>
    <w:rsid w:val="00254158"/>
    <w:rsid w:val="002558FD"/>
    <w:rsid w:val="0025689F"/>
    <w:rsid w:val="00256CB1"/>
    <w:rsid w:val="002612FF"/>
    <w:rsid w:val="00261792"/>
    <w:rsid w:val="00261E52"/>
    <w:rsid w:val="00262DEC"/>
    <w:rsid w:val="00263834"/>
    <w:rsid w:val="002655FB"/>
    <w:rsid w:val="0026643A"/>
    <w:rsid w:val="00270DD9"/>
    <w:rsid w:val="00271A9E"/>
    <w:rsid w:val="002738E9"/>
    <w:rsid w:val="00273B6F"/>
    <w:rsid w:val="0027586A"/>
    <w:rsid w:val="00277A29"/>
    <w:rsid w:val="00277D21"/>
    <w:rsid w:val="00282CE2"/>
    <w:rsid w:val="002836E1"/>
    <w:rsid w:val="00286EEC"/>
    <w:rsid w:val="00294705"/>
    <w:rsid w:val="002958C0"/>
    <w:rsid w:val="00295A2F"/>
    <w:rsid w:val="002A42C2"/>
    <w:rsid w:val="002A50E9"/>
    <w:rsid w:val="002A6344"/>
    <w:rsid w:val="002A704E"/>
    <w:rsid w:val="002B182D"/>
    <w:rsid w:val="002B255E"/>
    <w:rsid w:val="002BE7AD"/>
    <w:rsid w:val="002C4D7D"/>
    <w:rsid w:val="002D0AD2"/>
    <w:rsid w:val="002D1CD2"/>
    <w:rsid w:val="002D2206"/>
    <w:rsid w:val="002D5CAE"/>
    <w:rsid w:val="002D720B"/>
    <w:rsid w:val="002E1193"/>
    <w:rsid w:val="002E4325"/>
    <w:rsid w:val="002F1CFC"/>
    <w:rsid w:val="002F2298"/>
    <w:rsid w:val="002F3FC0"/>
    <w:rsid w:val="002F6605"/>
    <w:rsid w:val="002F662F"/>
    <w:rsid w:val="002F6EB0"/>
    <w:rsid w:val="00301694"/>
    <w:rsid w:val="00301725"/>
    <w:rsid w:val="00304852"/>
    <w:rsid w:val="003049EE"/>
    <w:rsid w:val="00304F31"/>
    <w:rsid w:val="00305C2E"/>
    <w:rsid w:val="003110BE"/>
    <w:rsid w:val="00312459"/>
    <w:rsid w:val="003128B6"/>
    <w:rsid w:val="003146A9"/>
    <w:rsid w:val="00316934"/>
    <w:rsid w:val="00322BE1"/>
    <w:rsid w:val="00325D76"/>
    <w:rsid w:val="00335E75"/>
    <w:rsid w:val="003371D1"/>
    <w:rsid w:val="003401DA"/>
    <w:rsid w:val="003414A7"/>
    <w:rsid w:val="0034293D"/>
    <w:rsid w:val="0035076A"/>
    <w:rsid w:val="00351F83"/>
    <w:rsid w:val="0035384B"/>
    <w:rsid w:val="00354887"/>
    <w:rsid w:val="003549DE"/>
    <w:rsid w:val="003560FF"/>
    <w:rsid w:val="0035687F"/>
    <w:rsid w:val="003568FE"/>
    <w:rsid w:val="0035694D"/>
    <w:rsid w:val="003576C5"/>
    <w:rsid w:val="003600CC"/>
    <w:rsid w:val="00360BB4"/>
    <w:rsid w:val="003627A3"/>
    <w:rsid w:val="003664A0"/>
    <w:rsid w:val="00366C8D"/>
    <w:rsid w:val="003711BF"/>
    <w:rsid w:val="00372B84"/>
    <w:rsid w:val="00372F10"/>
    <w:rsid w:val="00374D1D"/>
    <w:rsid w:val="00374F40"/>
    <w:rsid w:val="003774A4"/>
    <w:rsid w:val="00377716"/>
    <w:rsid w:val="0038009D"/>
    <w:rsid w:val="00380C56"/>
    <w:rsid w:val="00383A4D"/>
    <w:rsid w:val="00385358"/>
    <w:rsid w:val="0038560D"/>
    <w:rsid w:val="003901C0"/>
    <w:rsid w:val="00391288"/>
    <w:rsid w:val="0039166B"/>
    <w:rsid w:val="00392C61"/>
    <w:rsid w:val="00393FBF"/>
    <w:rsid w:val="003A5B58"/>
    <w:rsid w:val="003A692B"/>
    <w:rsid w:val="003A7CC8"/>
    <w:rsid w:val="003B0744"/>
    <w:rsid w:val="003B086A"/>
    <w:rsid w:val="003B2A5A"/>
    <w:rsid w:val="003B4674"/>
    <w:rsid w:val="003B4E39"/>
    <w:rsid w:val="003B5198"/>
    <w:rsid w:val="003B5D90"/>
    <w:rsid w:val="003B6D38"/>
    <w:rsid w:val="003B6DDC"/>
    <w:rsid w:val="003C155E"/>
    <w:rsid w:val="003C637C"/>
    <w:rsid w:val="003C7D5D"/>
    <w:rsid w:val="003D1F86"/>
    <w:rsid w:val="003D23C8"/>
    <w:rsid w:val="003D2523"/>
    <w:rsid w:val="003D4477"/>
    <w:rsid w:val="003D504C"/>
    <w:rsid w:val="003D578D"/>
    <w:rsid w:val="003D6657"/>
    <w:rsid w:val="003E25EA"/>
    <w:rsid w:val="003E30B0"/>
    <w:rsid w:val="003E3B86"/>
    <w:rsid w:val="003E4FAB"/>
    <w:rsid w:val="003E512A"/>
    <w:rsid w:val="003E66CC"/>
    <w:rsid w:val="003E7A54"/>
    <w:rsid w:val="003E7AAB"/>
    <w:rsid w:val="003E7C41"/>
    <w:rsid w:val="003E7CE4"/>
    <w:rsid w:val="003F17FA"/>
    <w:rsid w:val="003F3FB1"/>
    <w:rsid w:val="003F7592"/>
    <w:rsid w:val="0040001B"/>
    <w:rsid w:val="004019C4"/>
    <w:rsid w:val="00403F96"/>
    <w:rsid w:val="00406236"/>
    <w:rsid w:val="00406E3C"/>
    <w:rsid w:val="00410482"/>
    <w:rsid w:val="004108B1"/>
    <w:rsid w:val="00411E94"/>
    <w:rsid w:val="004129C4"/>
    <w:rsid w:val="00412B9E"/>
    <w:rsid w:val="00412C2F"/>
    <w:rsid w:val="00413B62"/>
    <w:rsid w:val="004169E8"/>
    <w:rsid w:val="00417164"/>
    <w:rsid w:val="004229E6"/>
    <w:rsid w:val="0042685F"/>
    <w:rsid w:val="004274B0"/>
    <w:rsid w:val="004361EA"/>
    <w:rsid w:val="00441C0B"/>
    <w:rsid w:val="00443DD8"/>
    <w:rsid w:val="0044525D"/>
    <w:rsid w:val="00445CEA"/>
    <w:rsid w:val="004471D6"/>
    <w:rsid w:val="00451476"/>
    <w:rsid w:val="00454A2C"/>
    <w:rsid w:val="00457246"/>
    <w:rsid w:val="00461A3D"/>
    <w:rsid w:val="00462C49"/>
    <w:rsid w:val="004632C2"/>
    <w:rsid w:val="00465DD6"/>
    <w:rsid w:val="00465EC1"/>
    <w:rsid w:val="00466A79"/>
    <w:rsid w:val="004703CF"/>
    <w:rsid w:val="0047083E"/>
    <w:rsid w:val="00471231"/>
    <w:rsid w:val="004721C8"/>
    <w:rsid w:val="004748BE"/>
    <w:rsid w:val="00474EB3"/>
    <w:rsid w:val="004761DF"/>
    <w:rsid w:val="00477C33"/>
    <w:rsid w:val="004801C9"/>
    <w:rsid w:val="004804E3"/>
    <w:rsid w:val="00483451"/>
    <w:rsid w:val="00484C73"/>
    <w:rsid w:val="00486706"/>
    <w:rsid w:val="00490091"/>
    <w:rsid w:val="004909E5"/>
    <w:rsid w:val="00492BB3"/>
    <w:rsid w:val="00494E36"/>
    <w:rsid w:val="00494FC4"/>
    <w:rsid w:val="00495A41"/>
    <w:rsid w:val="0049637C"/>
    <w:rsid w:val="0049694D"/>
    <w:rsid w:val="00497722"/>
    <w:rsid w:val="004A15ED"/>
    <w:rsid w:val="004A2825"/>
    <w:rsid w:val="004A3FDA"/>
    <w:rsid w:val="004A7455"/>
    <w:rsid w:val="004B061E"/>
    <w:rsid w:val="004B1D7F"/>
    <w:rsid w:val="004B4201"/>
    <w:rsid w:val="004B6BE9"/>
    <w:rsid w:val="004B76CA"/>
    <w:rsid w:val="004B7935"/>
    <w:rsid w:val="004C1989"/>
    <w:rsid w:val="004C52C5"/>
    <w:rsid w:val="004C555E"/>
    <w:rsid w:val="004C7D50"/>
    <w:rsid w:val="004D0058"/>
    <w:rsid w:val="004D0A65"/>
    <w:rsid w:val="004D0D0E"/>
    <w:rsid w:val="004D1CEA"/>
    <w:rsid w:val="004D2060"/>
    <w:rsid w:val="004D2591"/>
    <w:rsid w:val="004D49DC"/>
    <w:rsid w:val="004D60CF"/>
    <w:rsid w:val="004D622C"/>
    <w:rsid w:val="004D6337"/>
    <w:rsid w:val="004D6798"/>
    <w:rsid w:val="004D7A34"/>
    <w:rsid w:val="004E04C9"/>
    <w:rsid w:val="004E0B21"/>
    <w:rsid w:val="004E21B5"/>
    <w:rsid w:val="004E31E5"/>
    <w:rsid w:val="004E3655"/>
    <w:rsid w:val="004E3C7D"/>
    <w:rsid w:val="004E40F5"/>
    <w:rsid w:val="004E42ED"/>
    <w:rsid w:val="004F17AA"/>
    <w:rsid w:val="004F32FA"/>
    <w:rsid w:val="004F3ACE"/>
    <w:rsid w:val="004F5CBC"/>
    <w:rsid w:val="004F719E"/>
    <w:rsid w:val="0050201F"/>
    <w:rsid w:val="005048F3"/>
    <w:rsid w:val="0051000E"/>
    <w:rsid w:val="005112CF"/>
    <w:rsid w:val="00511380"/>
    <w:rsid w:val="005117DB"/>
    <w:rsid w:val="00512790"/>
    <w:rsid w:val="00512B1B"/>
    <w:rsid w:val="00513996"/>
    <w:rsid w:val="005201B2"/>
    <w:rsid w:val="005215CE"/>
    <w:rsid w:val="00522536"/>
    <w:rsid w:val="005266AD"/>
    <w:rsid w:val="0052785E"/>
    <w:rsid w:val="00527E23"/>
    <w:rsid w:val="00531DCF"/>
    <w:rsid w:val="00531E98"/>
    <w:rsid w:val="005325A8"/>
    <w:rsid w:val="00534362"/>
    <w:rsid w:val="005343B0"/>
    <w:rsid w:val="00536035"/>
    <w:rsid w:val="00537042"/>
    <w:rsid w:val="00537294"/>
    <w:rsid w:val="00541409"/>
    <w:rsid w:val="00543715"/>
    <w:rsid w:val="005442DC"/>
    <w:rsid w:val="005459A9"/>
    <w:rsid w:val="00546A74"/>
    <w:rsid w:val="005502FD"/>
    <w:rsid w:val="00551B3C"/>
    <w:rsid w:val="00554542"/>
    <w:rsid w:val="00557BF9"/>
    <w:rsid w:val="00557FC2"/>
    <w:rsid w:val="005611C2"/>
    <w:rsid w:val="00562A1A"/>
    <w:rsid w:val="00564759"/>
    <w:rsid w:val="00564764"/>
    <w:rsid w:val="0056688E"/>
    <w:rsid w:val="00567BD5"/>
    <w:rsid w:val="00570BB9"/>
    <w:rsid w:val="00570C30"/>
    <w:rsid w:val="0057118C"/>
    <w:rsid w:val="00571ABA"/>
    <w:rsid w:val="00571ACE"/>
    <w:rsid w:val="00571AD5"/>
    <w:rsid w:val="00572199"/>
    <w:rsid w:val="005730EB"/>
    <w:rsid w:val="00577108"/>
    <w:rsid w:val="005800E1"/>
    <w:rsid w:val="005808DE"/>
    <w:rsid w:val="00580A4D"/>
    <w:rsid w:val="00582A51"/>
    <w:rsid w:val="005833AB"/>
    <w:rsid w:val="00590A82"/>
    <w:rsid w:val="00590C60"/>
    <w:rsid w:val="00592E91"/>
    <w:rsid w:val="0059318A"/>
    <w:rsid w:val="00593457"/>
    <w:rsid w:val="00594532"/>
    <w:rsid w:val="005957FB"/>
    <w:rsid w:val="005968C4"/>
    <w:rsid w:val="005A0123"/>
    <w:rsid w:val="005A2212"/>
    <w:rsid w:val="005A5D23"/>
    <w:rsid w:val="005A6C32"/>
    <w:rsid w:val="005A79EB"/>
    <w:rsid w:val="005A7DC3"/>
    <w:rsid w:val="005B196E"/>
    <w:rsid w:val="005B1E17"/>
    <w:rsid w:val="005B2A08"/>
    <w:rsid w:val="005B3528"/>
    <w:rsid w:val="005B3960"/>
    <w:rsid w:val="005B6990"/>
    <w:rsid w:val="005B77A2"/>
    <w:rsid w:val="005C248E"/>
    <w:rsid w:val="005C2DB7"/>
    <w:rsid w:val="005C51CF"/>
    <w:rsid w:val="005C554B"/>
    <w:rsid w:val="005C64C7"/>
    <w:rsid w:val="005D15E3"/>
    <w:rsid w:val="005D3888"/>
    <w:rsid w:val="005D41BB"/>
    <w:rsid w:val="005D7D4D"/>
    <w:rsid w:val="005E0374"/>
    <w:rsid w:val="005E2907"/>
    <w:rsid w:val="005E2CCB"/>
    <w:rsid w:val="005E5FBA"/>
    <w:rsid w:val="005E7463"/>
    <w:rsid w:val="005E77C7"/>
    <w:rsid w:val="005F2E41"/>
    <w:rsid w:val="005F383C"/>
    <w:rsid w:val="005F3FC3"/>
    <w:rsid w:val="005F4D80"/>
    <w:rsid w:val="005F5B7E"/>
    <w:rsid w:val="005F689F"/>
    <w:rsid w:val="0060073B"/>
    <w:rsid w:val="006017FD"/>
    <w:rsid w:val="006023AC"/>
    <w:rsid w:val="006038D8"/>
    <w:rsid w:val="0060484F"/>
    <w:rsid w:val="00604A88"/>
    <w:rsid w:val="00610534"/>
    <w:rsid w:val="006105CD"/>
    <w:rsid w:val="00614AB7"/>
    <w:rsid w:val="006164B3"/>
    <w:rsid w:val="0061687B"/>
    <w:rsid w:val="00620E85"/>
    <w:rsid w:val="006233FE"/>
    <w:rsid w:val="006238E1"/>
    <w:rsid w:val="00624391"/>
    <w:rsid w:val="006256AF"/>
    <w:rsid w:val="00625708"/>
    <w:rsid w:val="00627862"/>
    <w:rsid w:val="006313F5"/>
    <w:rsid w:val="00631952"/>
    <w:rsid w:val="00631D8F"/>
    <w:rsid w:val="0063454E"/>
    <w:rsid w:val="006349A3"/>
    <w:rsid w:val="00636058"/>
    <w:rsid w:val="00636AD8"/>
    <w:rsid w:val="00637FF1"/>
    <w:rsid w:val="00640257"/>
    <w:rsid w:val="00640F18"/>
    <w:rsid w:val="006447B1"/>
    <w:rsid w:val="00647088"/>
    <w:rsid w:val="00650A06"/>
    <w:rsid w:val="00650D99"/>
    <w:rsid w:val="0065311B"/>
    <w:rsid w:val="006547BC"/>
    <w:rsid w:val="006567CC"/>
    <w:rsid w:val="00657C5F"/>
    <w:rsid w:val="00661590"/>
    <w:rsid w:val="00661999"/>
    <w:rsid w:val="006640EA"/>
    <w:rsid w:val="00664D8A"/>
    <w:rsid w:val="006659D2"/>
    <w:rsid w:val="0067042A"/>
    <w:rsid w:val="00672F16"/>
    <w:rsid w:val="006743CE"/>
    <w:rsid w:val="0067561D"/>
    <w:rsid w:val="00675E8F"/>
    <w:rsid w:val="00680BDF"/>
    <w:rsid w:val="00681F50"/>
    <w:rsid w:val="0068337F"/>
    <w:rsid w:val="00683598"/>
    <w:rsid w:val="00683FD8"/>
    <w:rsid w:val="006848AF"/>
    <w:rsid w:val="006874C0"/>
    <w:rsid w:val="00690571"/>
    <w:rsid w:val="00691F73"/>
    <w:rsid w:val="006922BB"/>
    <w:rsid w:val="006938C5"/>
    <w:rsid w:val="00693A1D"/>
    <w:rsid w:val="0069503B"/>
    <w:rsid w:val="00697CC6"/>
    <w:rsid w:val="006A0342"/>
    <w:rsid w:val="006A1B31"/>
    <w:rsid w:val="006A42F5"/>
    <w:rsid w:val="006A74A8"/>
    <w:rsid w:val="006A779D"/>
    <w:rsid w:val="006B2AB7"/>
    <w:rsid w:val="006B3485"/>
    <w:rsid w:val="006B49C5"/>
    <w:rsid w:val="006C0F3A"/>
    <w:rsid w:val="006C4769"/>
    <w:rsid w:val="006C4D77"/>
    <w:rsid w:val="006C4EC2"/>
    <w:rsid w:val="006C7532"/>
    <w:rsid w:val="006D0901"/>
    <w:rsid w:val="006D4587"/>
    <w:rsid w:val="006D48EE"/>
    <w:rsid w:val="006E47DE"/>
    <w:rsid w:val="006F017C"/>
    <w:rsid w:val="006F28F7"/>
    <w:rsid w:val="006F3EB0"/>
    <w:rsid w:val="006F57C9"/>
    <w:rsid w:val="006F6794"/>
    <w:rsid w:val="007004AD"/>
    <w:rsid w:val="00700692"/>
    <w:rsid w:val="00701B82"/>
    <w:rsid w:val="00703C04"/>
    <w:rsid w:val="00706A66"/>
    <w:rsid w:val="00710156"/>
    <w:rsid w:val="00710549"/>
    <w:rsid w:val="00715782"/>
    <w:rsid w:val="00717396"/>
    <w:rsid w:val="00717F07"/>
    <w:rsid w:val="00721FE6"/>
    <w:rsid w:val="0072238C"/>
    <w:rsid w:val="007241FE"/>
    <w:rsid w:val="007248BF"/>
    <w:rsid w:val="00725096"/>
    <w:rsid w:val="00725430"/>
    <w:rsid w:val="00726713"/>
    <w:rsid w:val="00727195"/>
    <w:rsid w:val="00732BA0"/>
    <w:rsid w:val="00732BF9"/>
    <w:rsid w:val="00733088"/>
    <w:rsid w:val="00733353"/>
    <w:rsid w:val="00735218"/>
    <w:rsid w:val="00741869"/>
    <w:rsid w:val="00742B85"/>
    <w:rsid w:val="00746C70"/>
    <w:rsid w:val="0075049B"/>
    <w:rsid w:val="00750C78"/>
    <w:rsid w:val="00754A43"/>
    <w:rsid w:val="00754AA6"/>
    <w:rsid w:val="007552DF"/>
    <w:rsid w:val="007563CC"/>
    <w:rsid w:val="00756F4D"/>
    <w:rsid w:val="007606E0"/>
    <w:rsid w:val="0076154E"/>
    <w:rsid w:val="00762036"/>
    <w:rsid w:val="007642E1"/>
    <w:rsid w:val="007650CB"/>
    <w:rsid w:val="00765E5A"/>
    <w:rsid w:val="007671BD"/>
    <w:rsid w:val="00771A38"/>
    <w:rsid w:val="007748AA"/>
    <w:rsid w:val="00774A3F"/>
    <w:rsid w:val="00774A93"/>
    <w:rsid w:val="00774B5F"/>
    <w:rsid w:val="00774F13"/>
    <w:rsid w:val="0077535D"/>
    <w:rsid w:val="007810E4"/>
    <w:rsid w:val="0078717A"/>
    <w:rsid w:val="00790399"/>
    <w:rsid w:val="0079281D"/>
    <w:rsid w:val="00794581"/>
    <w:rsid w:val="007951E4"/>
    <w:rsid w:val="00796A1D"/>
    <w:rsid w:val="0079798B"/>
    <w:rsid w:val="00797CE4"/>
    <w:rsid w:val="007A120F"/>
    <w:rsid w:val="007A21A1"/>
    <w:rsid w:val="007A284B"/>
    <w:rsid w:val="007A2C72"/>
    <w:rsid w:val="007A39F7"/>
    <w:rsid w:val="007A700E"/>
    <w:rsid w:val="007A7EFC"/>
    <w:rsid w:val="007B170E"/>
    <w:rsid w:val="007B38F6"/>
    <w:rsid w:val="007B6641"/>
    <w:rsid w:val="007B727B"/>
    <w:rsid w:val="007C221D"/>
    <w:rsid w:val="007C29F8"/>
    <w:rsid w:val="007C36F0"/>
    <w:rsid w:val="007C485E"/>
    <w:rsid w:val="007C5A1D"/>
    <w:rsid w:val="007C68DD"/>
    <w:rsid w:val="007C7308"/>
    <w:rsid w:val="007C78EA"/>
    <w:rsid w:val="007C795C"/>
    <w:rsid w:val="007D15BF"/>
    <w:rsid w:val="007D1DCA"/>
    <w:rsid w:val="007D3CEF"/>
    <w:rsid w:val="007D5546"/>
    <w:rsid w:val="007E0C3C"/>
    <w:rsid w:val="007F08B3"/>
    <w:rsid w:val="007F3237"/>
    <w:rsid w:val="007F3A18"/>
    <w:rsid w:val="007F405D"/>
    <w:rsid w:val="0080086F"/>
    <w:rsid w:val="00800B8A"/>
    <w:rsid w:val="00800B8F"/>
    <w:rsid w:val="0080299D"/>
    <w:rsid w:val="008047A3"/>
    <w:rsid w:val="00804E75"/>
    <w:rsid w:val="00806AA1"/>
    <w:rsid w:val="00807957"/>
    <w:rsid w:val="008109F6"/>
    <w:rsid w:val="00810D52"/>
    <w:rsid w:val="0081213B"/>
    <w:rsid w:val="00812CB9"/>
    <w:rsid w:val="008156EB"/>
    <w:rsid w:val="00815975"/>
    <w:rsid w:val="00816162"/>
    <w:rsid w:val="00816A48"/>
    <w:rsid w:val="00816BCE"/>
    <w:rsid w:val="008215D1"/>
    <w:rsid w:val="008258EA"/>
    <w:rsid w:val="00825991"/>
    <w:rsid w:val="008278E9"/>
    <w:rsid w:val="00827B9D"/>
    <w:rsid w:val="008316EC"/>
    <w:rsid w:val="00834A7A"/>
    <w:rsid w:val="00835595"/>
    <w:rsid w:val="00836230"/>
    <w:rsid w:val="00841006"/>
    <w:rsid w:val="00842409"/>
    <w:rsid w:val="00843A59"/>
    <w:rsid w:val="00844213"/>
    <w:rsid w:val="0084487B"/>
    <w:rsid w:val="00846947"/>
    <w:rsid w:val="00846C95"/>
    <w:rsid w:val="00854822"/>
    <w:rsid w:val="00860ECF"/>
    <w:rsid w:val="00862D40"/>
    <w:rsid w:val="008678D1"/>
    <w:rsid w:val="0087166A"/>
    <w:rsid w:val="00872F98"/>
    <w:rsid w:val="00873672"/>
    <w:rsid w:val="008753EA"/>
    <w:rsid w:val="0087638F"/>
    <w:rsid w:val="00876391"/>
    <w:rsid w:val="00877C1F"/>
    <w:rsid w:val="00880584"/>
    <w:rsid w:val="00881C1C"/>
    <w:rsid w:val="00882836"/>
    <w:rsid w:val="00883B97"/>
    <w:rsid w:val="00884D73"/>
    <w:rsid w:val="00885117"/>
    <w:rsid w:val="0088557E"/>
    <w:rsid w:val="008930B1"/>
    <w:rsid w:val="008949B3"/>
    <w:rsid w:val="008A25EC"/>
    <w:rsid w:val="008A53FD"/>
    <w:rsid w:val="008A6538"/>
    <w:rsid w:val="008B19B9"/>
    <w:rsid w:val="008B2CAC"/>
    <w:rsid w:val="008B35A1"/>
    <w:rsid w:val="008B58F9"/>
    <w:rsid w:val="008C1277"/>
    <w:rsid w:val="008C3056"/>
    <w:rsid w:val="008C3927"/>
    <w:rsid w:val="008C4385"/>
    <w:rsid w:val="008C572C"/>
    <w:rsid w:val="008C6FDE"/>
    <w:rsid w:val="008D3A2B"/>
    <w:rsid w:val="008D4C7B"/>
    <w:rsid w:val="008D516D"/>
    <w:rsid w:val="008D5285"/>
    <w:rsid w:val="008D78C8"/>
    <w:rsid w:val="008E0341"/>
    <w:rsid w:val="008E14B1"/>
    <w:rsid w:val="008E2459"/>
    <w:rsid w:val="008E4E6C"/>
    <w:rsid w:val="008E528C"/>
    <w:rsid w:val="008E7203"/>
    <w:rsid w:val="008F117B"/>
    <w:rsid w:val="008F1240"/>
    <w:rsid w:val="008F312F"/>
    <w:rsid w:val="008F52F4"/>
    <w:rsid w:val="008F58E7"/>
    <w:rsid w:val="008F6463"/>
    <w:rsid w:val="008F6B84"/>
    <w:rsid w:val="008F7883"/>
    <w:rsid w:val="009004A8"/>
    <w:rsid w:val="0090173E"/>
    <w:rsid w:val="009017AA"/>
    <w:rsid w:val="00901980"/>
    <w:rsid w:val="009021F4"/>
    <w:rsid w:val="0090321F"/>
    <w:rsid w:val="00906470"/>
    <w:rsid w:val="00906B60"/>
    <w:rsid w:val="00913DA0"/>
    <w:rsid w:val="009141DE"/>
    <w:rsid w:val="00915241"/>
    <w:rsid w:val="009155AD"/>
    <w:rsid w:val="00915EEF"/>
    <w:rsid w:val="009161CB"/>
    <w:rsid w:val="00916586"/>
    <w:rsid w:val="009201A2"/>
    <w:rsid w:val="009235CF"/>
    <w:rsid w:val="00924E51"/>
    <w:rsid w:val="00930C74"/>
    <w:rsid w:val="00930CE1"/>
    <w:rsid w:val="00932525"/>
    <w:rsid w:val="00932730"/>
    <w:rsid w:val="00932841"/>
    <w:rsid w:val="009331F1"/>
    <w:rsid w:val="00935BFD"/>
    <w:rsid w:val="009413A7"/>
    <w:rsid w:val="009421AA"/>
    <w:rsid w:val="0094220F"/>
    <w:rsid w:val="00943587"/>
    <w:rsid w:val="00952EAA"/>
    <w:rsid w:val="00953068"/>
    <w:rsid w:val="009543DE"/>
    <w:rsid w:val="009544D1"/>
    <w:rsid w:val="00954D88"/>
    <w:rsid w:val="00954F01"/>
    <w:rsid w:val="00956C4C"/>
    <w:rsid w:val="0095702D"/>
    <w:rsid w:val="00960BCA"/>
    <w:rsid w:val="009622A6"/>
    <w:rsid w:val="00964E87"/>
    <w:rsid w:val="00966956"/>
    <w:rsid w:val="00966D3D"/>
    <w:rsid w:val="0097064E"/>
    <w:rsid w:val="00970653"/>
    <w:rsid w:val="00970B05"/>
    <w:rsid w:val="00972F7F"/>
    <w:rsid w:val="00973279"/>
    <w:rsid w:val="00976BF6"/>
    <w:rsid w:val="009800BC"/>
    <w:rsid w:val="009815A7"/>
    <w:rsid w:val="009817DF"/>
    <w:rsid w:val="009823DC"/>
    <w:rsid w:val="00985874"/>
    <w:rsid w:val="00986F03"/>
    <w:rsid w:val="0099014D"/>
    <w:rsid w:val="00991873"/>
    <w:rsid w:val="009942AA"/>
    <w:rsid w:val="009967CB"/>
    <w:rsid w:val="009A06C6"/>
    <w:rsid w:val="009A194F"/>
    <w:rsid w:val="009A4049"/>
    <w:rsid w:val="009A4990"/>
    <w:rsid w:val="009A50DF"/>
    <w:rsid w:val="009B1D9D"/>
    <w:rsid w:val="009B2136"/>
    <w:rsid w:val="009B2E77"/>
    <w:rsid w:val="009B33BF"/>
    <w:rsid w:val="009B401C"/>
    <w:rsid w:val="009B4905"/>
    <w:rsid w:val="009B5470"/>
    <w:rsid w:val="009B6B05"/>
    <w:rsid w:val="009C10E3"/>
    <w:rsid w:val="009C5BD4"/>
    <w:rsid w:val="009D243C"/>
    <w:rsid w:val="009D6D5C"/>
    <w:rsid w:val="009D75D1"/>
    <w:rsid w:val="009E0C4C"/>
    <w:rsid w:val="009E7342"/>
    <w:rsid w:val="009F4461"/>
    <w:rsid w:val="009F566C"/>
    <w:rsid w:val="009F68DC"/>
    <w:rsid w:val="009F7644"/>
    <w:rsid w:val="00A0211A"/>
    <w:rsid w:val="00A03287"/>
    <w:rsid w:val="00A03AD8"/>
    <w:rsid w:val="00A06AF1"/>
    <w:rsid w:val="00A06DE1"/>
    <w:rsid w:val="00A07009"/>
    <w:rsid w:val="00A12EFD"/>
    <w:rsid w:val="00A13381"/>
    <w:rsid w:val="00A158CB"/>
    <w:rsid w:val="00A17F69"/>
    <w:rsid w:val="00A21293"/>
    <w:rsid w:val="00A23F92"/>
    <w:rsid w:val="00A24748"/>
    <w:rsid w:val="00A256AB"/>
    <w:rsid w:val="00A279BD"/>
    <w:rsid w:val="00A27E75"/>
    <w:rsid w:val="00A3184E"/>
    <w:rsid w:val="00A31E0D"/>
    <w:rsid w:val="00A32D5D"/>
    <w:rsid w:val="00A32DAA"/>
    <w:rsid w:val="00A34C9A"/>
    <w:rsid w:val="00A376E5"/>
    <w:rsid w:val="00A4251C"/>
    <w:rsid w:val="00A42908"/>
    <w:rsid w:val="00A4351E"/>
    <w:rsid w:val="00A43E6B"/>
    <w:rsid w:val="00A445EA"/>
    <w:rsid w:val="00A4597C"/>
    <w:rsid w:val="00A46DFC"/>
    <w:rsid w:val="00A52017"/>
    <w:rsid w:val="00A53318"/>
    <w:rsid w:val="00A5716F"/>
    <w:rsid w:val="00A60BAA"/>
    <w:rsid w:val="00A61339"/>
    <w:rsid w:val="00A625C9"/>
    <w:rsid w:val="00A63780"/>
    <w:rsid w:val="00A63E7B"/>
    <w:rsid w:val="00A67EDC"/>
    <w:rsid w:val="00A72CAB"/>
    <w:rsid w:val="00A74C82"/>
    <w:rsid w:val="00A81343"/>
    <w:rsid w:val="00A83F40"/>
    <w:rsid w:val="00A8538C"/>
    <w:rsid w:val="00A86097"/>
    <w:rsid w:val="00A8682F"/>
    <w:rsid w:val="00A9262F"/>
    <w:rsid w:val="00A9293D"/>
    <w:rsid w:val="00A939B4"/>
    <w:rsid w:val="00A96EE1"/>
    <w:rsid w:val="00AA019B"/>
    <w:rsid w:val="00AA02E6"/>
    <w:rsid w:val="00AA11EA"/>
    <w:rsid w:val="00AA2106"/>
    <w:rsid w:val="00AA4114"/>
    <w:rsid w:val="00AA7509"/>
    <w:rsid w:val="00AA7EAA"/>
    <w:rsid w:val="00AB0069"/>
    <w:rsid w:val="00AB1F72"/>
    <w:rsid w:val="00AB244C"/>
    <w:rsid w:val="00AB2495"/>
    <w:rsid w:val="00AB46D8"/>
    <w:rsid w:val="00AB4880"/>
    <w:rsid w:val="00AB4CE4"/>
    <w:rsid w:val="00AB54B9"/>
    <w:rsid w:val="00AB6924"/>
    <w:rsid w:val="00AB7522"/>
    <w:rsid w:val="00AC0573"/>
    <w:rsid w:val="00AC155F"/>
    <w:rsid w:val="00AC17AA"/>
    <w:rsid w:val="00AC3039"/>
    <w:rsid w:val="00AC315A"/>
    <w:rsid w:val="00AC70D1"/>
    <w:rsid w:val="00AD0065"/>
    <w:rsid w:val="00AD12BD"/>
    <w:rsid w:val="00AD1862"/>
    <w:rsid w:val="00AD4063"/>
    <w:rsid w:val="00AD4460"/>
    <w:rsid w:val="00AE032D"/>
    <w:rsid w:val="00AE6237"/>
    <w:rsid w:val="00AE6F85"/>
    <w:rsid w:val="00AE7A1A"/>
    <w:rsid w:val="00AF0187"/>
    <w:rsid w:val="00AF1F36"/>
    <w:rsid w:val="00B01AFB"/>
    <w:rsid w:val="00B030F9"/>
    <w:rsid w:val="00B03996"/>
    <w:rsid w:val="00B04A60"/>
    <w:rsid w:val="00B05B1F"/>
    <w:rsid w:val="00B11E25"/>
    <w:rsid w:val="00B12076"/>
    <w:rsid w:val="00B16522"/>
    <w:rsid w:val="00B21D43"/>
    <w:rsid w:val="00B24AC9"/>
    <w:rsid w:val="00B24F8E"/>
    <w:rsid w:val="00B24FE1"/>
    <w:rsid w:val="00B2718E"/>
    <w:rsid w:val="00B330D0"/>
    <w:rsid w:val="00B347FA"/>
    <w:rsid w:val="00B352F3"/>
    <w:rsid w:val="00B353A2"/>
    <w:rsid w:val="00B36078"/>
    <w:rsid w:val="00B36AE7"/>
    <w:rsid w:val="00B376BA"/>
    <w:rsid w:val="00B37B6E"/>
    <w:rsid w:val="00B43FD6"/>
    <w:rsid w:val="00B50570"/>
    <w:rsid w:val="00B528AA"/>
    <w:rsid w:val="00B5331A"/>
    <w:rsid w:val="00B53699"/>
    <w:rsid w:val="00B55C91"/>
    <w:rsid w:val="00B55D14"/>
    <w:rsid w:val="00B649FE"/>
    <w:rsid w:val="00B66F75"/>
    <w:rsid w:val="00B71F5B"/>
    <w:rsid w:val="00B7645F"/>
    <w:rsid w:val="00B7770D"/>
    <w:rsid w:val="00B81912"/>
    <w:rsid w:val="00B81C56"/>
    <w:rsid w:val="00B830A9"/>
    <w:rsid w:val="00B83963"/>
    <w:rsid w:val="00B8505B"/>
    <w:rsid w:val="00B8572F"/>
    <w:rsid w:val="00B858FB"/>
    <w:rsid w:val="00B85E83"/>
    <w:rsid w:val="00B92572"/>
    <w:rsid w:val="00B9304E"/>
    <w:rsid w:val="00B93069"/>
    <w:rsid w:val="00B94291"/>
    <w:rsid w:val="00B97874"/>
    <w:rsid w:val="00B97891"/>
    <w:rsid w:val="00BA1923"/>
    <w:rsid w:val="00BA604E"/>
    <w:rsid w:val="00BA7686"/>
    <w:rsid w:val="00BB023A"/>
    <w:rsid w:val="00BB0E80"/>
    <w:rsid w:val="00BB0F4C"/>
    <w:rsid w:val="00BC25D8"/>
    <w:rsid w:val="00BC2725"/>
    <w:rsid w:val="00BC2CDA"/>
    <w:rsid w:val="00BC33F5"/>
    <w:rsid w:val="00BC43D5"/>
    <w:rsid w:val="00BC4446"/>
    <w:rsid w:val="00BC4F09"/>
    <w:rsid w:val="00BD0DF7"/>
    <w:rsid w:val="00BD2FD8"/>
    <w:rsid w:val="00BD3B03"/>
    <w:rsid w:val="00BD3B2A"/>
    <w:rsid w:val="00BD4E40"/>
    <w:rsid w:val="00BD6B25"/>
    <w:rsid w:val="00BD6E31"/>
    <w:rsid w:val="00BE31C3"/>
    <w:rsid w:val="00BE408F"/>
    <w:rsid w:val="00BE5D8D"/>
    <w:rsid w:val="00BE6446"/>
    <w:rsid w:val="00BE650F"/>
    <w:rsid w:val="00BF0D29"/>
    <w:rsid w:val="00BF1A53"/>
    <w:rsid w:val="00BF3A8E"/>
    <w:rsid w:val="00BF6B81"/>
    <w:rsid w:val="00BF6E0C"/>
    <w:rsid w:val="00BF72C6"/>
    <w:rsid w:val="00C03A90"/>
    <w:rsid w:val="00C0427C"/>
    <w:rsid w:val="00C04F05"/>
    <w:rsid w:val="00C05C20"/>
    <w:rsid w:val="00C070F0"/>
    <w:rsid w:val="00C11F09"/>
    <w:rsid w:val="00C124D2"/>
    <w:rsid w:val="00C13089"/>
    <w:rsid w:val="00C15D66"/>
    <w:rsid w:val="00C17672"/>
    <w:rsid w:val="00C206A1"/>
    <w:rsid w:val="00C2080A"/>
    <w:rsid w:val="00C20958"/>
    <w:rsid w:val="00C20A64"/>
    <w:rsid w:val="00C20F77"/>
    <w:rsid w:val="00C2187B"/>
    <w:rsid w:val="00C21F9D"/>
    <w:rsid w:val="00C23AB8"/>
    <w:rsid w:val="00C24B7A"/>
    <w:rsid w:val="00C30040"/>
    <w:rsid w:val="00C3137D"/>
    <w:rsid w:val="00C349C8"/>
    <w:rsid w:val="00C34C41"/>
    <w:rsid w:val="00C36E2E"/>
    <w:rsid w:val="00C375B7"/>
    <w:rsid w:val="00C406B0"/>
    <w:rsid w:val="00C41591"/>
    <w:rsid w:val="00C415A9"/>
    <w:rsid w:val="00C51EEB"/>
    <w:rsid w:val="00C5204C"/>
    <w:rsid w:val="00C5334E"/>
    <w:rsid w:val="00C53BB0"/>
    <w:rsid w:val="00C543F4"/>
    <w:rsid w:val="00C55200"/>
    <w:rsid w:val="00C57033"/>
    <w:rsid w:val="00C57394"/>
    <w:rsid w:val="00C57950"/>
    <w:rsid w:val="00C57BA7"/>
    <w:rsid w:val="00C61388"/>
    <w:rsid w:val="00C61570"/>
    <w:rsid w:val="00C64FAC"/>
    <w:rsid w:val="00C65A4D"/>
    <w:rsid w:val="00C66BEA"/>
    <w:rsid w:val="00C6779B"/>
    <w:rsid w:val="00C70BCF"/>
    <w:rsid w:val="00C7660F"/>
    <w:rsid w:val="00C76CE0"/>
    <w:rsid w:val="00C778A5"/>
    <w:rsid w:val="00C83B12"/>
    <w:rsid w:val="00C8418C"/>
    <w:rsid w:val="00C915D8"/>
    <w:rsid w:val="00C91BE3"/>
    <w:rsid w:val="00C931D7"/>
    <w:rsid w:val="00C931F3"/>
    <w:rsid w:val="00C93529"/>
    <w:rsid w:val="00CA1CAF"/>
    <w:rsid w:val="00CA41C9"/>
    <w:rsid w:val="00CA4DF6"/>
    <w:rsid w:val="00CA5FC3"/>
    <w:rsid w:val="00CA6457"/>
    <w:rsid w:val="00CA654F"/>
    <w:rsid w:val="00CA683F"/>
    <w:rsid w:val="00CB375E"/>
    <w:rsid w:val="00CB4645"/>
    <w:rsid w:val="00CB5802"/>
    <w:rsid w:val="00CB6367"/>
    <w:rsid w:val="00CB6755"/>
    <w:rsid w:val="00CC057D"/>
    <w:rsid w:val="00CC1CA4"/>
    <w:rsid w:val="00CC23EB"/>
    <w:rsid w:val="00CC2E83"/>
    <w:rsid w:val="00CC393D"/>
    <w:rsid w:val="00CC4474"/>
    <w:rsid w:val="00CC4838"/>
    <w:rsid w:val="00CD13E9"/>
    <w:rsid w:val="00CD1568"/>
    <w:rsid w:val="00CD1840"/>
    <w:rsid w:val="00CD3077"/>
    <w:rsid w:val="00CD3721"/>
    <w:rsid w:val="00CD3E33"/>
    <w:rsid w:val="00CD6044"/>
    <w:rsid w:val="00CE152A"/>
    <w:rsid w:val="00CE17EF"/>
    <w:rsid w:val="00CE1F18"/>
    <w:rsid w:val="00CE3E1E"/>
    <w:rsid w:val="00CE4C50"/>
    <w:rsid w:val="00CE5550"/>
    <w:rsid w:val="00CE61C9"/>
    <w:rsid w:val="00CE6841"/>
    <w:rsid w:val="00CF0603"/>
    <w:rsid w:val="00CF0846"/>
    <w:rsid w:val="00CF1462"/>
    <w:rsid w:val="00CF1753"/>
    <w:rsid w:val="00CF2EC9"/>
    <w:rsid w:val="00CF359F"/>
    <w:rsid w:val="00CF4C18"/>
    <w:rsid w:val="00CF619D"/>
    <w:rsid w:val="00CF6561"/>
    <w:rsid w:val="00D016AB"/>
    <w:rsid w:val="00D01D87"/>
    <w:rsid w:val="00D02B87"/>
    <w:rsid w:val="00D03EB6"/>
    <w:rsid w:val="00D064EC"/>
    <w:rsid w:val="00D07967"/>
    <w:rsid w:val="00D12FF0"/>
    <w:rsid w:val="00D14120"/>
    <w:rsid w:val="00D14ABA"/>
    <w:rsid w:val="00D16168"/>
    <w:rsid w:val="00D17135"/>
    <w:rsid w:val="00D20133"/>
    <w:rsid w:val="00D209AF"/>
    <w:rsid w:val="00D20EBE"/>
    <w:rsid w:val="00D22145"/>
    <w:rsid w:val="00D23745"/>
    <w:rsid w:val="00D237FD"/>
    <w:rsid w:val="00D26763"/>
    <w:rsid w:val="00D26A42"/>
    <w:rsid w:val="00D30821"/>
    <w:rsid w:val="00D30925"/>
    <w:rsid w:val="00D328A5"/>
    <w:rsid w:val="00D32FC7"/>
    <w:rsid w:val="00D33E24"/>
    <w:rsid w:val="00D340FB"/>
    <w:rsid w:val="00D34A76"/>
    <w:rsid w:val="00D40206"/>
    <w:rsid w:val="00D4211A"/>
    <w:rsid w:val="00D43D41"/>
    <w:rsid w:val="00D469A0"/>
    <w:rsid w:val="00D5189E"/>
    <w:rsid w:val="00D554DA"/>
    <w:rsid w:val="00D55A3B"/>
    <w:rsid w:val="00D629BC"/>
    <w:rsid w:val="00D629D7"/>
    <w:rsid w:val="00D6420E"/>
    <w:rsid w:val="00D646D3"/>
    <w:rsid w:val="00D64A1A"/>
    <w:rsid w:val="00D718D9"/>
    <w:rsid w:val="00D72F2B"/>
    <w:rsid w:val="00D732BF"/>
    <w:rsid w:val="00D73689"/>
    <w:rsid w:val="00D76C30"/>
    <w:rsid w:val="00D77773"/>
    <w:rsid w:val="00D803FB"/>
    <w:rsid w:val="00D80854"/>
    <w:rsid w:val="00D80C25"/>
    <w:rsid w:val="00D80DD3"/>
    <w:rsid w:val="00D81E9A"/>
    <w:rsid w:val="00D82099"/>
    <w:rsid w:val="00D82B70"/>
    <w:rsid w:val="00D83A28"/>
    <w:rsid w:val="00D83AEE"/>
    <w:rsid w:val="00D85A4C"/>
    <w:rsid w:val="00D86698"/>
    <w:rsid w:val="00D873F0"/>
    <w:rsid w:val="00D875C3"/>
    <w:rsid w:val="00D914AA"/>
    <w:rsid w:val="00D924AB"/>
    <w:rsid w:val="00D947E4"/>
    <w:rsid w:val="00D97087"/>
    <w:rsid w:val="00D97886"/>
    <w:rsid w:val="00DA4BB6"/>
    <w:rsid w:val="00DA5636"/>
    <w:rsid w:val="00DA578C"/>
    <w:rsid w:val="00DA680C"/>
    <w:rsid w:val="00DB1A4F"/>
    <w:rsid w:val="00DB2D38"/>
    <w:rsid w:val="00DB3078"/>
    <w:rsid w:val="00DB7CE5"/>
    <w:rsid w:val="00DC05D8"/>
    <w:rsid w:val="00DC2622"/>
    <w:rsid w:val="00DC2891"/>
    <w:rsid w:val="00DC53F1"/>
    <w:rsid w:val="00DC629F"/>
    <w:rsid w:val="00DD025F"/>
    <w:rsid w:val="00DD0521"/>
    <w:rsid w:val="00DD3812"/>
    <w:rsid w:val="00DD7B29"/>
    <w:rsid w:val="00DE05BA"/>
    <w:rsid w:val="00DE1808"/>
    <w:rsid w:val="00DE1B35"/>
    <w:rsid w:val="00DE40F4"/>
    <w:rsid w:val="00DE532F"/>
    <w:rsid w:val="00DF1F13"/>
    <w:rsid w:val="00DF299F"/>
    <w:rsid w:val="00DF3302"/>
    <w:rsid w:val="00DF398F"/>
    <w:rsid w:val="00DF4708"/>
    <w:rsid w:val="00DF6E8E"/>
    <w:rsid w:val="00DF72EC"/>
    <w:rsid w:val="00E03CF0"/>
    <w:rsid w:val="00E06D8E"/>
    <w:rsid w:val="00E07607"/>
    <w:rsid w:val="00E107CE"/>
    <w:rsid w:val="00E135E5"/>
    <w:rsid w:val="00E169F8"/>
    <w:rsid w:val="00E16E53"/>
    <w:rsid w:val="00E174A6"/>
    <w:rsid w:val="00E20DBE"/>
    <w:rsid w:val="00E24A7D"/>
    <w:rsid w:val="00E27186"/>
    <w:rsid w:val="00E324D1"/>
    <w:rsid w:val="00E32697"/>
    <w:rsid w:val="00E3388D"/>
    <w:rsid w:val="00E33DBF"/>
    <w:rsid w:val="00E375D1"/>
    <w:rsid w:val="00E37861"/>
    <w:rsid w:val="00E405AB"/>
    <w:rsid w:val="00E40BC6"/>
    <w:rsid w:val="00E41300"/>
    <w:rsid w:val="00E418B8"/>
    <w:rsid w:val="00E440D4"/>
    <w:rsid w:val="00E442B5"/>
    <w:rsid w:val="00E45EE9"/>
    <w:rsid w:val="00E45F4F"/>
    <w:rsid w:val="00E47979"/>
    <w:rsid w:val="00E5009B"/>
    <w:rsid w:val="00E51231"/>
    <w:rsid w:val="00E539DC"/>
    <w:rsid w:val="00E56E27"/>
    <w:rsid w:val="00E573BB"/>
    <w:rsid w:val="00E619D0"/>
    <w:rsid w:val="00E6301C"/>
    <w:rsid w:val="00E63F6A"/>
    <w:rsid w:val="00E642B7"/>
    <w:rsid w:val="00E65476"/>
    <w:rsid w:val="00E65C22"/>
    <w:rsid w:val="00E72E1C"/>
    <w:rsid w:val="00E734EC"/>
    <w:rsid w:val="00E73EBD"/>
    <w:rsid w:val="00E773D5"/>
    <w:rsid w:val="00E81EF5"/>
    <w:rsid w:val="00E820DB"/>
    <w:rsid w:val="00E83B11"/>
    <w:rsid w:val="00E85942"/>
    <w:rsid w:val="00E85E0C"/>
    <w:rsid w:val="00E91C82"/>
    <w:rsid w:val="00E93B0B"/>
    <w:rsid w:val="00E945A4"/>
    <w:rsid w:val="00E95B33"/>
    <w:rsid w:val="00E971F2"/>
    <w:rsid w:val="00EA2F9F"/>
    <w:rsid w:val="00EA5F6A"/>
    <w:rsid w:val="00EA75F8"/>
    <w:rsid w:val="00EB0E75"/>
    <w:rsid w:val="00EB124A"/>
    <w:rsid w:val="00EB18C7"/>
    <w:rsid w:val="00EB2A6A"/>
    <w:rsid w:val="00EB2E07"/>
    <w:rsid w:val="00EB3877"/>
    <w:rsid w:val="00EB44BB"/>
    <w:rsid w:val="00EB53FB"/>
    <w:rsid w:val="00EB6396"/>
    <w:rsid w:val="00EB6418"/>
    <w:rsid w:val="00EB72FB"/>
    <w:rsid w:val="00EB777E"/>
    <w:rsid w:val="00EC1F5B"/>
    <w:rsid w:val="00EC21DB"/>
    <w:rsid w:val="00EC3DB0"/>
    <w:rsid w:val="00EC41B3"/>
    <w:rsid w:val="00EC5F25"/>
    <w:rsid w:val="00EC6480"/>
    <w:rsid w:val="00EC6C5A"/>
    <w:rsid w:val="00EC6CF7"/>
    <w:rsid w:val="00ED116A"/>
    <w:rsid w:val="00ED4246"/>
    <w:rsid w:val="00ED4F9B"/>
    <w:rsid w:val="00ED55FE"/>
    <w:rsid w:val="00ED7785"/>
    <w:rsid w:val="00EE0AC9"/>
    <w:rsid w:val="00EE1883"/>
    <w:rsid w:val="00EE5A4A"/>
    <w:rsid w:val="00EE679E"/>
    <w:rsid w:val="00EE72B2"/>
    <w:rsid w:val="00EE76FB"/>
    <w:rsid w:val="00EF1AFB"/>
    <w:rsid w:val="00EF1E0C"/>
    <w:rsid w:val="00EF22DE"/>
    <w:rsid w:val="00EF6AB8"/>
    <w:rsid w:val="00EF764F"/>
    <w:rsid w:val="00F004C0"/>
    <w:rsid w:val="00F0086F"/>
    <w:rsid w:val="00F01FAD"/>
    <w:rsid w:val="00F0465A"/>
    <w:rsid w:val="00F0680B"/>
    <w:rsid w:val="00F11145"/>
    <w:rsid w:val="00F1441A"/>
    <w:rsid w:val="00F14947"/>
    <w:rsid w:val="00F15376"/>
    <w:rsid w:val="00F160F0"/>
    <w:rsid w:val="00F1612A"/>
    <w:rsid w:val="00F17AE3"/>
    <w:rsid w:val="00F20CF5"/>
    <w:rsid w:val="00F2126C"/>
    <w:rsid w:val="00F236AB"/>
    <w:rsid w:val="00F246FD"/>
    <w:rsid w:val="00F2550C"/>
    <w:rsid w:val="00F25781"/>
    <w:rsid w:val="00F257AD"/>
    <w:rsid w:val="00F26B53"/>
    <w:rsid w:val="00F30008"/>
    <w:rsid w:val="00F30634"/>
    <w:rsid w:val="00F33F64"/>
    <w:rsid w:val="00F34549"/>
    <w:rsid w:val="00F37457"/>
    <w:rsid w:val="00F40474"/>
    <w:rsid w:val="00F41D65"/>
    <w:rsid w:val="00F42029"/>
    <w:rsid w:val="00F44400"/>
    <w:rsid w:val="00F45693"/>
    <w:rsid w:val="00F46A2E"/>
    <w:rsid w:val="00F47D75"/>
    <w:rsid w:val="00F53752"/>
    <w:rsid w:val="00F55BE6"/>
    <w:rsid w:val="00F56FA1"/>
    <w:rsid w:val="00F571EC"/>
    <w:rsid w:val="00F60952"/>
    <w:rsid w:val="00F64A7A"/>
    <w:rsid w:val="00F64FEE"/>
    <w:rsid w:val="00F65885"/>
    <w:rsid w:val="00F70CE9"/>
    <w:rsid w:val="00F70DA6"/>
    <w:rsid w:val="00F717A0"/>
    <w:rsid w:val="00F73112"/>
    <w:rsid w:val="00F75B25"/>
    <w:rsid w:val="00F76E63"/>
    <w:rsid w:val="00F77885"/>
    <w:rsid w:val="00F81A82"/>
    <w:rsid w:val="00F842D0"/>
    <w:rsid w:val="00F85A88"/>
    <w:rsid w:val="00F876AF"/>
    <w:rsid w:val="00F9013C"/>
    <w:rsid w:val="00F90374"/>
    <w:rsid w:val="00F91158"/>
    <w:rsid w:val="00F91730"/>
    <w:rsid w:val="00F9197B"/>
    <w:rsid w:val="00F920D9"/>
    <w:rsid w:val="00F927E0"/>
    <w:rsid w:val="00F95C26"/>
    <w:rsid w:val="00F966BF"/>
    <w:rsid w:val="00F96C0A"/>
    <w:rsid w:val="00FA07BA"/>
    <w:rsid w:val="00FA0FD9"/>
    <w:rsid w:val="00FA434E"/>
    <w:rsid w:val="00FA4C0B"/>
    <w:rsid w:val="00FA7CB8"/>
    <w:rsid w:val="00FB0AD2"/>
    <w:rsid w:val="00FB24C1"/>
    <w:rsid w:val="00FB26EA"/>
    <w:rsid w:val="00FB409D"/>
    <w:rsid w:val="00FC2756"/>
    <w:rsid w:val="00FC28EE"/>
    <w:rsid w:val="00FC2DF7"/>
    <w:rsid w:val="00FC2E5A"/>
    <w:rsid w:val="00FC3732"/>
    <w:rsid w:val="00FC3F3A"/>
    <w:rsid w:val="00FD1DEF"/>
    <w:rsid w:val="00FD20EF"/>
    <w:rsid w:val="00FD3FEC"/>
    <w:rsid w:val="00FD58B8"/>
    <w:rsid w:val="00FD5DD3"/>
    <w:rsid w:val="00FD6377"/>
    <w:rsid w:val="00FE10CD"/>
    <w:rsid w:val="00FE17F2"/>
    <w:rsid w:val="00FE2CF3"/>
    <w:rsid w:val="00FF09F3"/>
    <w:rsid w:val="00FF27C2"/>
    <w:rsid w:val="00FF4D22"/>
    <w:rsid w:val="00FF4FAD"/>
    <w:rsid w:val="010E8B70"/>
    <w:rsid w:val="01120569"/>
    <w:rsid w:val="0116E159"/>
    <w:rsid w:val="01705493"/>
    <w:rsid w:val="022F766A"/>
    <w:rsid w:val="026D17C1"/>
    <w:rsid w:val="02C1CAEB"/>
    <w:rsid w:val="02D0996F"/>
    <w:rsid w:val="0308E365"/>
    <w:rsid w:val="0361983E"/>
    <w:rsid w:val="03745FF9"/>
    <w:rsid w:val="03F59513"/>
    <w:rsid w:val="044D6EF0"/>
    <w:rsid w:val="048D96A5"/>
    <w:rsid w:val="050A1B82"/>
    <w:rsid w:val="0515866B"/>
    <w:rsid w:val="05754B51"/>
    <w:rsid w:val="05C3B34F"/>
    <w:rsid w:val="05D8F114"/>
    <w:rsid w:val="05DA3A72"/>
    <w:rsid w:val="05F63045"/>
    <w:rsid w:val="062AD289"/>
    <w:rsid w:val="062CFB94"/>
    <w:rsid w:val="064F61B7"/>
    <w:rsid w:val="0689EF57"/>
    <w:rsid w:val="06B44D14"/>
    <w:rsid w:val="06C1FF56"/>
    <w:rsid w:val="070EC7CB"/>
    <w:rsid w:val="074B9F63"/>
    <w:rsid w:val="07E2B65C"/>
    <w:rsid w:val="08E4B870"/>
    <w:rsid w:val="092225DE"/>
    <w:rsid w:val="09292C36"/>
    <w:rsid w:val="0930B265"/>
    <w:rsid w:val="09C39E82"/>
    <w:rsid w:val="09E30E56"/>
    <w:rsid w:val="0A1BBD90"/>
    <w:rsid w:val="0A43EC7C"/>
    <w:rsid w:val="0A9E5EBE"/>
    <w:rsid w:val="0AA3449A"/>
    <w:rsid w:val="0AB1194F"/>
    <w:rsid w:val="0ABC5BC9"/>
    <w:rsid w:val="0AC648BE"/>
    <w:rsid w:val="0AD13949"/>
    <w:rsid w:val="0AE1E00B"/>
    <w:rsid w:val="0B6416EB"/>
    <w:rsid w:val="0BE154E4"/>
    <w:rsid w:val="0CAB928A"/>
    <w:rsid w:val="0CC34568"/>
    <w:rsid w:val="0CC582CA"/>
    <w:rsid w:val="0CE3E578"/>
    <w:rsid w:val="0CEA28DA"/>
    <w:rsid w:val="0D28D1FB"/>
    <w:rsid w:val="0D7AACE6"/>
    <w:rsid w:val="0D7FFCF2"/>
    <w:rsid w:val="0DE6D32C"/>
    <w:rsid w:val="0E43BF67"/>
    <w:rsid w:val="0EA06F79"/>
    <w:rsid w:val="0EC37AE9"/>
    <w:rsid w:val="0F3EEC72"/>
    <w:rsid w:val="0F664010"/>
    <w:rsid w:val="0FAA3A9F"/>
    <w:rsid w:val="103C7583"/>
    <w:rsid w:val="107576B7"/>
    <w:rsid w:val="10B7CE02"/>
    <w:rsid w:val="10BB2988"/>
    <w:rsid w:val="10DB8F64"/>
    <w:rsid w:val="10F462DE"/>
    <w:rsid w:val="1130352B"/>
    <w:rsid w:val="1183C2BB"/>
    <w:rsid w:val="11895874"/>
    <w:rsid w:val="11A1920B"/>
    <w:rsid w:val="11C2A941"/>
    <w:rsid w:val="11DCC04E"/>
    <w:rsid w:val="11F8AFB6"/>
    <w:rsid w:val="122CFFBD"/>
    <w:rsid w:val="130B3DC7"/>
    <w:rsid w:val="1315759F"/>
    <w:rsid w:val="133D763E"/>
    <w:rsid w:val="138ED1F4"/>
    <w:rsid w:val="1390B843"/>
    <w:rsid w:val="142BD374"/>
    <w:rsid w:val="145E293E"/>
    <w:rsid w:val="1537F5E8"/>
    <w:rsid w:val="15952503"/>
    <w:rsid w:val="15DBFBB1"/>
    <w:rsid w:val="15E4D30A"/>
    <w:rsid w:val="15EFF5B4"/>
    <w:rsid w:val="1631EA2B"/>
    <w:rsid w:val="164F8552"/>
    <w:rsid w:val="1687A6FA"/>
    <w:rsid w:val="169C44A2"/>
    <w:rsid w:val="16A6D123"/>
    <w:rsid w:val="16E716C2"/>
    <w:rsid w:val="16EA5C52"/>
    <w:rsid w:val="16F244FF"/>
    <w:rsid w:val="174EEF72"/>
    <w:rsid w:val="176712C5"/>
    <w:rsid w:val="176C86DD"/>
    <w:rsid w:val="177C7F11"/>
    <w:rsid w:val="177EA001"/>
    <w:rsid w:val="17D3FD75"/>
    <w:rsid w:val="18379900"/>
    <w:rsid w:val="186FD442"/>
    <w:rsid w:val="18F48C3B"/>
    <w:rsid w:val="197C9889"/>
    <w:rsid w:val="19CDA957"/>
    <w:rsid w:val="19F32552"/>
    <w:rsid w:val="1A99F7BA"/>
    <w:rsid w:val="1AD4324F"/>
    <w:rsid w:val="1B18C788"/>
    <w:rsid w:val="1B5E9FFD"/>
    <w:rsid w:val="1BF7F272"/>
    <w:rsid w:val="1C2316EC"/>
    <w:rsid w:val="1C50F32A"/>
    <w:rsid w:val="1C5BBE70"/>
    <w:rsid w:val="1C6D18F1"/>
    <w:rsid w:val="1C9E2028"/>
    <w:rsid w:val="1D0261D1"/>
    <w:rsid w:val="1D4E32D3"/>
    <w:rsid w:val="1DCF3E6A"/>
    <w:rsid w:val="1DE8720F"/>
    <w:rsid w:val="1E0D00BF"/>
    <w:rsid w:val="1E0F4BEC"/>
    <w:rsid w:val="1E5E40D3"/>
    <w:rsid w:val="1E7275C1"/>
    <w:rsid w:val="1E9C66A3"/>
    <w:rsid w:val="1EA450F3"/>
    <w:rsid w:val="1EB11BE9"/>
    <w:rsid w:val="1EB5833D"/>
    <w:rsid w:val="1EF05BED"/>
    <w:rsid w:val="1F930F3B"/>
    <w:rsid w:val="1F96F90D"/>
    <w:rsid w:val="1F970D8A"/>
    <w:rsid w:val="1FC5E638"/>
    <w:rsid w:val="1FD45508"/>
    <w:rsid w:val="2042B299"/>
    <w:rsid w:val="20789B14"/>
    <w:rsid w:val="207A98BC"/>
    <w:rsid w:val="208C4B48"/>
    <w:rsid w:val="208C9D29"/>
    <w:rsid w:val="20BA871A"/>
    <w:rsid w:val="21451946"/>
    <w:rsid w:val="214F2FF7"/>
    <w:rsid w:val="2212864D"/>
    <w:rsid w:val="223EC83D"/>
    <w:rsid w:val="223F04FA"/>
    <w:rsid w:val="22428C1E"/>
    <w:rsid w:val="22892E47"/>
    <w:rsid w:val="2389DCEB"/>
    <w:rsid w:val="23B2336B"/>
    <w:rsid w:val="24FBE22B"/>
    <w:rsid w:val="2511875C"/>
    <w:rsid w:val="25130393"/>
    <w:rsid w:val="253FB30C"/>
    <w:rsid w:val="25CE20B8"/>
    <w:rsid w:val="2644453A"/>
    <w:rsid w:val="264AE671"/>
    <w:rsid w:val="267F6E74"/>
    <w:rsid w:val="276310A8"/>
    <w:rsid w:val="2826449D"/>
    <w:rsid w:val="2870FE1E"/>
    <w:rsid w:val="28DEB8BF"/>
    <w:rsid w:val="29002068"/>
    <w:rsid w:val="2960FA88"/>
    <w:rsid w:val="296737BC"/>
    <w:rsid w:val="2982F219"/>
    <w:rsid w:val="299E0AC8"/>
    <w:rsid w:val="29BFE73B"/>
    <w:rsid w:val="29D21FA4"/>
    <w:rsid w:val="2A671D93"/>
    <w:rsid w:val="2AA99E25"/>
    <w:rsid w:val="2AD0735A"/>
    <w:rsid w:val="2AF07A28"/>
    <w:rsid w:val="2B0AE63C"/>
    <w:rsid w:val="2B16E101"/>
    <w:rsid w:val="2B3E0B52"/>
    <w:rsid w:val="2B8306CA"/>
    <w:rsid w:val="2B8FAD17"/>
    <w:rsid w:val="2C44F4B6"/>
    <w:rsid w:val="2CC8E78D"/>
    <w:rsid w:val="2CEFFC12"/>
    <w:rsid w:val="2D16A1A6"/>
    <w:rsid w:val="2D223B4E"/>
    <w:rsid w:val="2D50CA49"/>
    <w:rsid w:val="2D8A5439"/>
    <w:rsid w:val="2D936160"/>
    <w:rsid w:val="2DB7F410"/>
    <w:rsid w:val="2F3D5D71"/>
    <w:rsid w:val="2F3DC6F4"/>
    <w:rsid w:val="2F88FA60"/>
    <w:rsid w:val="2FDFCE35"/>
    <w:rsid w:val="3012B132"/>
    <w:rsid w:val="302531E5"/>
    <w:rsid w:val="306AFD40"/>
    <w:rsid w:val="30818B58"/>
    <w:rsid w:val="30AF2FBC"/>
    <w:rsid w:val="30DCC75D"/>
    <w:rsid w:val="3183F603"/>
    <w:rsid w:val="31A2AD17"/>
    <w:rsid w:val="31B1F4D4"/>
    <w:rsid w:val="31D30620"/>
    <w:rsid w:val="31F1E312"/>
    <w:rsid w:val="32214821"/>
    <w:rsid w:val="322213B6"/>
    <w:rsid w:val="32237D08"/>
    <w:rsid w:val="3243ED36"/>
    <w:rsid w:val="32744824"/>
    <w:rsid w:val="328382A4"/>
    <w:rsid w:val="32B21E1A"/>
    <w:rsid w:val="32E386F3"/>
    <w:rsid w:val="330F307F"/>
    <w:rsid w:val="333C7801"/>
    <w:rsid w:val="333C99EC"/>
    <w:rsid w:val="339CE81E"/>
    <w:rsid w:val="33B73C73"/>
    <w:rsid w:val="3451A5A6"/>
    <w:rsid w:val="34B20CE0"/>
    <w:rsid w:val="34B7D40E"/>
    <w:rsid w:val="34C05B22"/>
    <w:rsid w:val="3507E708"/>
    <w:rsid w:val="3551F393"/>
    <w:rsid w:val="361E73B0"/>
    <w:rsid w:val="36770354"/>
    <w:rsid w:val="36888D6D"/>
    <w:rsid w:val="368ACE82"/>
    <w:rsid w:val="36AC8BC1"/>
    <w:rsid w:val="36CF6EAA"/>
    <w:rsid w:val="3706B3EA"/>
    <w:rsid w:val="37906EAC"/>
    <w:rsid w:val="379D3365"/>
    <w:rsid w:val="37A57718"/>
    <w:rsid w:val="37BF41A2"/>
    <w:rsid w:val="37C2F3AD"/>
    <w:rsid w:val="37D506A5"/>
    <w:rsid w:val="37FC43AF"/>
    <w:rsid w:val="382F881E"/>
    <w:rsid w:val="3868AF8A"/>
    <w:rsid w:val="38E9DC9A"/>
    <w:rsid w:val="38FB107F"/>
    <w:rsid w:val="3924CB90"/>
    <w:rsid w:val="39662C6F"/>
    <w:rsid w:val="3972FDEB"/>
    <w:rsid w:val="39A6198B"/>
    <w:rsid w:val="39F7744F"/>
    <w:rsid w:val="39FC8A7C"/>
    <w:rsid w:val="3A623A5D"/>
    <w:rsid w:val="3AE6C07A"/>
    <w:rsid w:val="3B5C5855"/>
    <w:rsid w:val="3B684D26"/>
    <w:rsid w:val="3B7E1809"/>
    <w:rsid w:val="3BA43ED6"/>
    <w:rsid w:val="3BA5B894"/>
    <w:rsid w:val="3BAF51FE"/>
    <w:rsid w:val="3BD574D4"/>
    <w:rsid w:val="3C19D847"/>
    <w:rsid w:val="3C686652"/>
    <w:rsid w:val="3C830762"/>
    <w:rsid w:val="3C8C72E9"/>
    <w:rsid w:val="3CAB3E66"/>
    <w:rsid w:val="3CDB876C"/>
    <w:rsid w:val="3CF1D3F4"/>
    <w:rsid w:val="3D4EDD05"/>
    <w:rsid w:val="3D76D184"/>
    <w:rsid w:val="3D7897A1"/>
    <w:rsid w:val="3D8ED9AA"/>
    <w:rsid w:val="3DB83A23"/>
    <w:rsid w:val="3DE6C892"/>
    <w:rsid w:val="3E0C56A6"/>
    <w:rsid w:val="3E1F8C1D"/>
    <w:rsid w:val="3E2BEA8E"/>
    <w:rsid w:val="3E6DEF9B"/>
    <w:rsid w:val="3EC08A4B"/>
    <w:rsid w:val="3EF8A5A7"/>
    <w:rsid w:val="3F05D7FD"/>
    <w:rsid w:val="3F0CA5F7"/>
    <w:rsid w:val="3F229FDB"/>
    <w:rsid w:val="3FAE4AB6"/>
    <w:rsid w:val="40300B4F"/>
    <w:rsid w:val="4068D753"/>
    <w:rsid w:val="4071CD3B"/>
    <w:rsid w:val="408619AF"/>
    <w:rsid w:val="4094DCE4"/>
    <w:rsid w:val="40BC3F79"/>
    <w:rsid w:val="40D3AFFD"/>
    <w:rsid w:val="40EA9F03"/>
    <w:rsid w:val="41561ACE"/>
    <w:rsid w:val="42053032"/>
    <w:rsid w:val="4213AE6B"/>
    <w:rsid w:val="4219E41A"/>
    <w:rsid w:val="4247BD12"/>
    <w:rsid w:val="4269897A"/>
    <w:rsid w:val="42BD7138"/>
    <w:rsid w:val="42BF4B37"/>
    <w:rsid w:val="42CDA815"/>
    <w:rsid w:val="42CEE56C"/>
    <w:rsid w:val="42D6A9DA"/>
    <w:rsid w:val="42DC4CC8"/>
    <w:rsid w:val="42FE8F69"/>
    <w:rsid w:val="432CB779"/>
    <w:rsid w:val="432E2FA8"/>
    <w:rsid w:val="434C1EDB"/>
    <w:rsid w:val="438FF09A"/>
    <w:rsid w:val="43919FF9"/>
    <w:rsid w:val="43B1A0FC"/>
    <w:rsid w:val="4429A826"/>
    <w:rsid w:val="442CA54E"/>
    <w:rsid w:val="443EC816"/>
    <w:rsid w:val="447D54FE"/>
    <w:rsid w:val="449A9B92"/>
    <w:rsid w:val="44E459E8"/>
    <w:rsid w:val="45B9A74C"/>
    <w:rsid w:val="45CE85D4"/>
    <w:rsid w:val="45F11A55"/>
    <w:rsid w:val="460E13CB"/>
    <w:rsid w:val="4623437A"/>
    <w:rsid w:val="470CEF4B"/>
    <w:rsid w:val="478FE2D8"/>
    <w:rsid w:val="47C3E523"/>
    <w:rsid w:val="47D1640C"/>
    <w:rsid w:val="4804F89B"/>
    <w:rsid w:val="48419A01"/>
    <w:rsid w:val="486CBB72"/>
    <w:rsid w:val="487BF26B"/>
    <w:rsid w:val="4890690D"/>
    <w:rsid w:val="48B13141"/>
    <w:rsid w:val="48B5FDFC"/>
    <w:rsid w:val="49007FE9"/>
    <w:rsid w:val="4911204A"/>
    <w:rsid w:val="491C3A51"/>
    <w:rsid w:val="49275079"/>
    <w:rsid w:val="4951FB94"/>
    <w:rsid w:val="4955EDF0"/>
    <w:rsid w:val="4971182D"/>
    <w:rsid w:val="497D3CF6"/>
    <w:rsid w:val="49A94530"/>
    <w:rsid w:val="49ADC483"/>
    <w:rsid w:val="49E0CB44"/>
    <w:rsid w:val="4A04B929"/>
    <w:rsid w:val="4A2AD312"/>
    <w:rsid w:val="4A65A48B"/>
    <w:rsid w:val="4A6CCB88"/>
    <w:rsid w:val="4BB81478"/>
    <w:rsid w:val="4BD89EC7"/>
    <w:rsid w:val="4C190D3F"/>
    <w:rsid w:val="4CA88A6A"/>
    <w:rsid w:val="4CB889C7"/>
    <w:rsid w:val="4CBC41A0"/>
    <w:rsid w:val="4CEC57AB"/>
    <w:rsid w:val="4CF9B4E9"/>
    <w:rsid w:val="4D728651"/>
    <w:rsid w:val="4D97A71A"/>
    <w:rsid w:val="4DD6BD27"/>
    <w:rsid w:val="4E026030"/>
    <w:rsid w:val="4E0879FF"/>
    <w:rsid w:val="4E62A633"/>
    <w:rsid w:val="4F065891"/>
    <w:rsid w:val="4F750550"/>
    <w:rsid w:val="4F75DA61"/>
    <w:rsid w:val="4FD0DF69"/>
    <w:rsid w:val="502DA589"/>
    <w:rsid w:val="5031D8AC"/>
    <w:rsid w:val="517FACA7"/>
    <w:rsid w:val="51C765EA"/>
    <w:rsid w:val="52389B59"/>
    <w:rsid w:val="524617B2"/>
    <w:rsid w:val="52997408"/>
    <w:rsid w:val="52C737E9"/>
    <w:rsid w:val="52EB6251"/>
    <w:rsid w:val="53240E31"/>
    <w:rsid w:val="5334459D"/>
    <w:rsid w:val="534C62A5"/>
    <w:rsid w:val="5355ABB2"/>
    <w:rsid w:val="53599C89"/>
    <w:rsid w:val="53B9E305"/>
    <w:rsid w:val="53CAAB39"/>
    <w:rsid w:val="53FEBAC6"/>
    <w:rsid w:val="5436FF31"/>
    <w:rsid w:val="543D9ECC"/>
    <w:rsid w:val="54815CFA"/>
    <w:rsid w:val="549F6026"/>
    <w:rsid w:val="54FE96ED"/>
    <w:rsid w:val="55190992"/>
    <w:rsid w:val="5537448E"/>
    <w:rsid w:val="554A8F6C"/>
    <w:rsid w:val="5560CC37"/>
    <w:rsid w:val="557628AB"/>
    <w:rsid w:val="55B61925"/>
    <w:rsid w:val="55D579E3"/>
    <w:rsid w:val="55F4E1B0"/>
    <w:rsid w:val="560157FB"/>
    <w:rsid w:val="56271C2B"/>
    <w:rsid w:val="563C012E"/>
    <w:rsid w:val="565D5EE8"/>
    <w:rsid w:val="57BFB72C"/>
    <w:rsid w:val="58163DE2"/>
    <w:rsid w:val="5827BCAE"/>
    <w:rsid w:val="585A56AC"/>
    <w:rsid w:val="58F27CBD"/>
    <w:rsid w:val="5900B0D2"/>
    <w:rsid w:val="59364CF2"/>
    <w:rsid w:val="593734BF"/>
    <w:rsid w:val="594EE431"/>
    <w:rsid w:val="5A5DC64F"/>
    <w:rsid w:val="5A7F48D0"/>
    <w:rsid w:val="5AE224B7"/>
    <w:rsid w:val="5B2CA3A9"/>
    <w:rsid w:val="5B3AA353"/>
    <w:rsid w:val="5B3B916F"/>
    <w:rsid w:val="5BA8A31C"/>
    <w:rsid w:val="5BE849D6"/>
    <w:rsid w:val="5C15C726"/>
    <w:rsid w:val="5C4BFB37"/>
    <w:rsid w:val="5CFCECA9"/>
    <w:rsid w:val="5D034D83"/>
    <w:rsid w:val="5D06C846"/>
    <w:rsid w:val="5D083843"/>
    <w:rsid w:val="5D09BE23"/>
    <w:rsid w:val="5D0BE10E"/>
    <w:rsid w:val="5D32D623"/>
    <w:rsid w:val="5D54C09D"/>
    <w:rsid w:val="5D79C4AF"/>
    <w:rsid w:val="5D980034"/>
    <w:rsid w:val="5DD654A0"/>
    <w:rsid w:val="5DFE01FC"/>
    <w:rsid w:val="5E42B757"/>
    <w:rsid w:val="5E4EDCD5"/>
    <w:rsid w:val="5E6108DC"/>
    <w:rsid w:val="5E7DE935"/>
    <w:rsid w:val="5E843551"/>
    <w:rsid w:val="5E9AE2B2"/>
    <w:rsid w:val="5EA8A373"/>
    <w:rsid w:val="5EAA7077"/>
    <w:rsid w:val="5EB08234"/>
    <w:rsid w:val="5EC3CA08"/>
    <w:rsid w:val="5ECFF25B"/>
    <w:rsid w:val="5EE7C81C"/>
    <w:rsid w:val="5EEAAFBD"/>
    <w:rsid w:val="5F04EF4E"/>
    <w:rsid w:val="5F0E58B2"/>
    <w:rsid w:val="5F105794"/>
    <w:rsid w:val="5F625C56"/>
    <w:rsid w:val="5FD0230D"/>
    <w:rsid w:val="5FD6AA8A"/>
    <w:rsid w:val="6085E518"/>
    <w:rsid w:val="60C8CF85"/>
    <w:rsid w:val="60CCB358"/>
    <w:rsid w:val="60FA5A21"/>
    <w:rsid w:val="6108DFBE"/>
    <w:rsid w:val="61DE1336"/>
    <w:rsid w:val="61E12464"/>
    <w:rsid w:val="62519106"/>
    <w:rsid w:val="6252CBA9"/>
    <w:rsid w:val="626F27FE"/>
    <w:rsid w:val="627C7C66"/>
    <w:rsid w:val="62E7ADFC"/>
    <w:rsid w:val="62EBB569"/>
    <w:rsid w:val="62F58388"/>
    <w:rsid w:val="6350E6D0"/>
    <w:rsid w:val="637E90FC"/>
    <w:rsid w:val="63A2B71B"/>
    <w:rsid w:val="63DEBD58"/>
    <w:rsid w:val="63F1C82B"/>
    <w:rsid w:val="63FE5527"/>
    <w:rsid w:val="644AC6B1"/>
    <w:rsid w:val="6456CA92"/>
    <w:rsid w:val="64BB132C"/>
    <w:rsid w:val="64D1180F"/>
    <w:rsid w:val="64DAD024"/>
    <w:rsid w:val="6528407A"/>
    <w:rsid w:val="652B2B07"/>
    <w:rsid w:val="655119D5"/>
    <w:rsid w:val="655CD2E3"/>
    <w:rsid w:val="655E99D7"/>
    <w:rsid w:val="65E80AD1"/>
    <w:rsid w:val="66088FE3"/>
    <w:rsid w:val="66207DB7"/>
    <w:rsid w:val="6638A1AD"/>
    <w:rsid w:val="664C97C5"/>
    <w:rsid w:val="66650596"/>
    <w:rsid w:val="66742C40"/>
    <w:rsid w:val="669A9684"/>
    <w:rsid w:val="66BDEFFF"/>
    <w:rsid w:val="66DBAA8F"/>
    <w:rsid w:val="671E0E47"/>
    <w:rsid w:val="67586B25"/>
    <w:rsid w:val="676FC118"/>
    <w:rsid w:val="67C069DB"/>
    <w:rsid w:val="6816DB79"/>
    <w:rsid w:val="6826ED10"/>
    <w:rsid w:val="682B49DB"/>
    <w:rsid w:val="68963E68"/>
    <w:rsid w:val="68AE3BEA"/>
    <w:rsid w:val="68F8F25B"/>
    <w:rsid w:val="694D9CBD"/>
    <w:rsid w:val="6952B668"/>
    <w:rsid w:val="69677D62"/>
    <w:rsid w:val="6982BC80"/>
    <w:rsid w:val="69915CA0"/>
    <w:rsid w:val="6AC42A25"/>
    <w:rsid w:val="6ACB5F20"/>
    <w:rsid w:val="6AD8FB9D"/>
    <w:rsid w:val="6AF1F04C"/>
    <w:rsid w:val="6B1CEBD0"/>
    <w:rsid w:val="6B3EA179"/>
    <w:rsid w:val="6BA8D0F4"/>
    <w:rsid w:val="6BDB87C9"/>
    <w:rsid w:val="6BDBC5C2"/>
    <w:rsid w:val="6C0A55B9"/>
    <w:rsid w:val="6D21E26A"/>
    <w:rsid w:val="6D80DB72"/>
    <w:rsid w:val="6DA79D73"/>
    <w:rsid w:val="6DD3CCC2"/>
    <w:rsid w:val="6DFA06A7"/>
    <w:rsid w:val="6E3BF1DF"/>
    <w:rsid w:val="6E400D73"/>
    <w:rsid w:val="6EEBE3CA"/>
    <w:rsid w:val="6EFA7D50"/>
    <w:rsid w:val="6EFE88B2"/>
    <w:rsid w:val="6F25CAE8"/>
    <w:rsid w:val="6F5335B7"/>
    <w:rsid w:val="6F70FAB0"/>
    <w:rsid w:val="6F724932"/>
    <w:rsid w:val="6FB63860"/>
    <w:rsid w:val="6FD68522"/>
    <w:rsid w:val="70469B10"/>
    <w:rsid w:val="70907580"/>
    <w:rsid w:val="70A7892D"/>
    <w:rsid w:val="70C04278"/>
    <w:rsid w:val="70FE4147"/>
    <w:rsid w:val="7131E1F3"/>
    <w:rsid w:val="7162B9C9"/>
    <w:rsid w:val="71E4F4ED"/>
    <w:rsid w:val="71FD27F2"/>
    <w:rsid w:val="721398BB"/>
    <w:rsid w:val="722B9045"/>
    <w:rsid w:val="722BD3CE"/>
    <w:rsid w:val="725AA0CF"/>
    <w:rsid w:val="72735DB2"/>
    <w:rsid w:val="72791564"/>
    <w:rsid w:val="727C2E8F"/>
    <w:rsid w:val="72C3EACE"/>
    <w:rsid w:val="733C0918"/>
    <w:rsid w:val="735A704A"/>
    <w:rsid w:val="737CF5E5"/>
    <w:rsid w:val="73D1E45E"/>
    <w:rsid w:val="741BB3B0"/>
    <w:rsid w:val="7451DD08"/>
    <w:rsid w:val="75317E14"/>
    <w:rsid w:val="758EE5C8"/>
    <w:rsid w:val="75A20DB2"/>
    <w:rsid w:val="75AA3847"/>
    <w:rsid w:val="75D96175"/>
    <w:rsid w:val="75F19D6F"/>
    <w:rsid w:val="76326F65"/>
    <w:rsid w:val="7679E3CC"/>
    <w:rsid w:val="76926C15"/>
    <w:rsid w:val="76C97574"/>
    <w:rsid w:val="7729220F"/>
    <w:rsid w:val="77389F51"/>
    <w:rsid w:val="7749573A"/>
    <w:rsid w:val="77591941"/>
    <w:rsid w:val="7778E23A"/>
    <w:rsid w:val="786EF252"/>
    <w:rsid w:val="78B6BFFC"/>
    <w:rsid w:val="78C2AF51"/>
    <w:rsid w:val="78F23A28"/>
    <w:rsid w:val="78F9451B"/>
    <w:rsid w:val="7905485D"/>
    <w:rsid w:val="793AEB70"/>
    <w:rsid w:val="793FC508"/>
    <w:rsid w:val="794E1F3E"/>
    <w:rsid w:val="79AADD42"/>
    <w:rsid w:val="79B378AE"/>
    <w:rsid w:val="79D2482D"/>
    <w:rsid w:val="79DD0F99"/>
    <w:rsid w:val="79F46270"/>
    <w:rsid w:val="7A29FA9A"/>
    <w:rsid w:val="7AB78FB0"/>
    <w:rsid w:val="7AC88EEE"/>
    <w:rsid w:val="7B2F13D4"/>
    <w:rsid w:val="7C6AE23E"/>
    <w:rsid w:val="7C7DAC4B"/>
    <w:rsid w:val="7CCC8594"/>
    <w:rsid w:val="7D008FE4"/>
    <w:rsid w:val="7D05949D"/>
    <w:rsid w:val="7D9F6ABC"/>
    <w:rsid w:val="7DF63D05"/>
    <w:rsid w:val="7E29ACAD"/>
    <w:rsid w:val="7E384BF5"/>
    <w:rsid w:val="7E9B5276"/>
    <w:rsid w:val="7E9D8572"/>
    <w:rsid w:val="7F24AFD9"/>
    <w:rsid w:val="7F4FC9A7"/>
    <w:rsid w:val="7F7973F1"/>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3E148"/>
  <w15:chartTrackingRefBased/>
  <w15:docId w15:val="{57561D55-C57F-428C-8A74-6ECE9CA6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70D"/>
    <w:pPr>
      <w:keepNext/>
      <w:keepLines/>
      <w:spacing w:before="240" w:after="0"/>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1D7470"/>
    <w:pPr>
      <w:jc w:val="both"/>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2599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99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7770D"/>
    <w:rPr>
      <w:rFonts w:asciiTheme="majorHAnsi" w:eastAsiaTheme="majorEastAsia" w:hAnsiTheme="majorHAnsi" w:cstheme="majorBidi"/>
      <w:b/>
      <w:color w:val="000000" w:themeColor="text1"/>
      <w:sz w:val="32"/>
      <w:szCs w:val="32"/>
    </w:rPr>
  </w:style>
  <w:style w:type="paragraph" w:styleId="NormalWeb">
    <w:name w:val="Normal (Web)"/>
    <w:basedOn w:val="Normal"/>
    <w:uiPriority w:val="99"/>
    <w:unhideWhenUsed/>
    <w:rsid w:val="0068337F"/>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csl-entry">
    <w:name w:val="csl-entry"/>
    <w:basedOn w:val="DefaultParagraphFont"/>
    <w:rsid w:val="0068337F"/>
  </w:style>
  <w:style w:type="paragraph" w:styleId="ListParagraph">
    <w:name w:val="List Paragraph"/>
    <w:basedOn w:val="Normal"/>
    <w:uiPriority w:val="34"/>
    <w:qFormat/>
    <w:rsid w:val="00EF6AB8"/>
    <w:pPr>
      <w:ind w:left="720"/>
      <w:contextualSpacing/>
    </w:pPr>
  </w:style>
  <w:style w:type="paragraph" w:styleId="Header">
    <w:name w:val="header"/>
    <w:basedOn w:val="Normal"/>
    <w:link w:val="HeaderChar"/>
    <w:uiPriority w:val="99"/>
    <w:unhideWhenUsed/>
    <w:rsid w:val="00954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4D1"/>
  </w:style>
  <w:style w:type="paragraph" w:styleId="Footer">
    <w:name w:val="footer"/>
    <w:basedOn w:val="Normal"/>
    <w:link w:val="FooterChar"/>
    <w:uiPriority w:val="99"/>
    <w:unhideWhenUsed/>
    <w:rsid w:val="00954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4D1"/>
  </w:style>
  <w:style w:type="character" w:styleId="Hyperlink">
    <w:name w:val="Hyperlink"/>
    <w:basedOn w:val="DefaultParagraphFont"/>
    <w:uiPriority w:val="99"/>
    <w:unhideWhenUsed/>
    <w:rsid w:val="006A74A8"/>
    <w:rPr>
      <w:color w:val="0563C1" w:themeColor="hyperlink"/>
      <w:u w:val="single"/>
    </w:rPr>
  </w:style>
  <w:style w:type="character" w:styleId="CommentReference">
    <w:name w:val="annotation reference"/>
    <w:basedOn w:val="DefaultParagraphFont"/>
    <w:uiPriority w:val="99"/>
    <w:semiHidden/>
    <w:unhideWhenUsed/>
    <w:rsid w:val="006A74A8"/>
    <w:rPr>
      <w:sz w:val="16"/>
      <w:szCs w:val="16"/>
    </w:rPr>
  </w:style>
  <w:style w:type="paragraph" w:styleId="CommentText">
    <w:name w:val="annotation text"/>
    <w:basedOn w:val="Normal"/>
    <w:link w:val="CommentTextChar"/>
    <w:uiPriority w:val="99"/>
    <w:unhideWhenUsed/>
    <w:rsid w:val="006A74A8"/>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A74A8"/>
    <w:rPr>
      <w:kern w:val="0"/>
      <w:sz w:val="20"/>
      <w:szCs w:val="20"/>
      <w14:ligatures w14:val="none"/>
    </w:rPr>
  </w:style>
  <w:style w:type="character" w:customStyle="1" w:styleId="Heading2Char">
    <w:name w:val="Heading 2 Char"/>
    <w:basedOn w:val="DefaultParagraphFont"/>
    <w:link w:val="Heading2"/>
    <w:uiPriority w:val="9"/>
    <w:rsid w:val="001D7470"/>
    <w:rPr>
      <w:b/>
      <w:bCs/>
      <w:sz w:val="18"/>
      <w:szCs w:val="18"/>
    </w:rPr>
  </w:style>
  <w:style w:type="paragraph" w:styleId="CommentSubject">
    <w:name w:val="annotation subject"/>
    <w:basedOn w:val="CommentText"/>
    <w:next w:val="CommentText"/>
    <w:link w:val="CommentSubjectChar"/>
    <w:uiPriority w:val="99"/>
    <w:semiHidden/>
    <w:unhideWhenUsed/>
    <w:rsid w:val="007563CC"/>
    <w:rPr>
      <w:b/>
      <w:bCs/>
      <w:kern w:val="2"/>
      <w14:ligatures w14:val="standardContextual"/>
    </w:rPr>
  </w:style>
  <w:style w:type="character" w:customStyle="1" w:styleId="CommentSubjectChar">
    <w:name w:val="Comment Subject Char"/>
    <w:basedOn w:val="CommentTextChar"/>
    <w:link w:val="CommentSubject"/>
    <w:uiPriority w:val="99"/>
    <w:semiHidden/>
    <w:rsid w:val="007563CC"/>
    <w:rPr>
      <w:b/>
      <w:bCs/>
      <w:kern w:val="0"/>
      <w:sz w:val="20"/>
      <w:szCs w:val="20"/>
      <w14:ligatures w14:val="none"/>
    </w:rPr>
  </w:style>
  <w:style w:type="paragraph" w:customStyle="1" w:styleId="Default">
    <w:name w:val="Default"/>
    <w:rsid w:val="003F3FB1"/>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59"/>
    <w:rsid w:val="00A133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8156EB"/>
    <w:rPr>
      <w:color w:val="2B579A"/>
      <w:shd w:val="clear" w:color="auto" w:fill="E1DFDD"/>
    </w:rPr>
  </w:style>
  <w:style w:type="character" w:styleId="UnresolvedMention">
    <w:name w:val="Unresolved Mention"/>
    <w:basedOn w:val="DefaultParagraphFont"/>
    <w:uiPriority w:val="99"/>
    <w:semiHidden/>
    <w:unhideWhenUsed/>
    <w:rsid w:val="008E0341"/>
    <w:rPr>
      <w:color w:val="605E5C"/>
      <w:shd w:val="clear" w:color="auto" w:fill="E1DFDD"/>
    </w:rPr>
  </w:style>
  <w:style w:type="character" w:customStyle="1" w:styleId="csl-left-margin">
    <w:name w:val="csl-left-margin"/>
    <w:basedOn w:val="DefaultParagraphFont"/>
    <w:rsid w:val="003C637C"/>
  </w:style>
  <w:style w:type="character" w:customStyle="1" w:styleId="csl-right-inline">
    <w:name w:val="csl-right-inline"/>
    <w:basedOn w:val="DefaultParagraphFont"/>
    <w:rsid w:val="003C637C"/>
  </w:style>
  <w:style w:type="paragraph" w:styleId="Revision">
    <w:name w:val="Revision"/>
    <w:hidden/>
    <w:uiPriority w:val="99"/>
    <w:semiHidden/>
    <w:rsid w:val="003560FF"/>
    <w:pPr>
      <w:spacing w:after="0" w:line="240" w:lineRule="auto"/>
    </w:pPr>
  </w:style>
  <w:style w:type="character" w:styleId="LineNumber">
    <w:name w:val="line number"/>
    <w:basedOn w:val="DefaultParagraphFont"/>
    <w:uiPriority w:val="99"/>
    <w:semiHidden/>
    <w:unhideWhenUsed/>
    <w:rsid w:val="00277A29"/>
  </w:style>
  <w:style w:type="paragraph" w:styleId="TOCHeading">
    <w:name w:val="TOC Heading"/>
    <w:basedOn w:val="Heading1"/>
    <w:next w:val="Normal"/>
    <w:uiPriority w:val="39"/>
    <w:unhideWhenUsed/>
    <w:qFormat/>
    <w:rsid w:val="009F4461"/>
    <w:pPr>
      <w:outlineLvl w:val="9"/>
    </w:pPr>
    <w:rPr>
      <w:b w:val="0"/>
      <w:color w:val="2F5496" w:themeColor="accent1" w:themeShade="BF"/>
      <w:kern w:val="0"/>
      <w14:ligatures w14:val="none"/>
    </w:rPr>
  </w:style>
  <w:style w:type="paragraph" w:styleId="TOC1">
    <w:name w:val="toc 1"/>
    <w:basedOn w:val="Normal"/>
    <w:next w:val="Normal"/>
    <w:autoRedefine/>
    <w:uiPriority w:val="39"/>
    <w:unhideWhenUsed/>
    <w:rsid w:val="009F4461"/>
    <w:pPr>
      <w:spacing w:after="100"/>
    </w:pPr>
  </w:style>
  <w:style w:type="paragraph" w:styleId="TOC2">
    <w:name w:val="toc 2"/>
    <w:basedOn w:val="Normal"/>
    <w:next w:val="Normal"/>
    <w:autoRedefine/>
    <w:uiPriority w:val="39"/>
    <w:unhideWhenUsed/>
    <w:rsid w:val="009F446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8237">
      <w:bodyDiv w:val="1"/>
      <w:marLeft w:val="0"/>
      <w:marRight w:val="0"/>
      <w:marTop w:val="0"/>
      <w:marBottom w:val="0"/>
      <w:divBdr>
        <w:top w:val="none" w:sz="0" w:space="0" w:color="auto"/>
        <w:left w:val="none" w:sz="0" w:space="0" w:color="auto"/>
        <w:bottom w:val="none" w:sz="0" w:space="0" w:color="auto"/>
        <w:right w:val="none" w:sz="0" w:space="0" w:color="auto"/>
      </w:divBdr>
    </w:div>
    <w:div w:id="10497152">
      <w:bodyDiv w:val="1"/>
      <w:marLeft w:val="0"/>
      <w:marRight w:val="0"/>
      <w:marTop w:val="0"/>
      <w:marBottom w:val="0"/>
      <w:divBdr>
        <w:top w:val="none" w:sz="0" w:space="0" w:color="auto"/>
        <w:left w:val="none" w:sz="0" w:space="0" w:color="auto"/>
        <w:bottom w:val="none" w:sz="0" w:space="0" w:color="auto"/>
        <w:right w:val="none" w:sz="0" w:space="0" w:color="auto"/>
      </w:divBdr>
    </w:div>
    <w:div w:id="44187814">
      <w:bodyDiv w:val="1"/>
      <w:marLeft w:val="0"/>
      <w:marRight w:val="0"/>
      <w:marTop w:val="0"/>
      <w:marBottom w:val="0"/>
      <w:divBdr>
        <w:top w:val="none" w:sz="0" w:space="0" w:color="auto"/>
        <w:left w:val="none" w:sz="0" w:space="0" w:color="auto"/>
        <w:bottom w:val="none" w:sz="0" w:space="0" w:color="auto"/>
        <w:right w:val="none" w:sz="0" w:space="0" w:color="auto"/>
      </w:divBdr>
    </w:div>
    <w:div w:id="118499721">
      <w:marLeft w:val="0"/>
      <w:marRight w:val="0"/>
      <w:marTop w:val="0"/>
      <w:marBottom w:val="0"/>
      <w:divBdr>
        <w:top w:val="none" w:sz="0" w:space="0" w:color="auto"/>
        <w:left w:val="none" w:sz="0" w:space="0" w:color="auto"/>
        <w:bottom w:val="none" w:sz="0" w:space="0" w:color="auto"/>
        <w:right w:val="none" w:sz="0" w:space="0" w:color="auto"/>
      </w:divBdr>
    </w:div>
    <w:div w:id="158741240">
      <w:bodyDiv w:val="1"/>
      <w:marLeft w:val="0"/>
      <w:marRight w:val="0"/>
      <w:marTop w:val="0"/>
      <w:marBottom w:val="0"/>
      <w:divBdr>
        <w:top w:val="none" w:sz="0" w:space="0" w:color="auto"/>
        <w:left w:val="none" w:sz="0" w:space="0" w:color="auto"/>
        <w:bottom w:val="none" w:sz="0" w:space="0" w:color="auto"/>
        <w:right w:val="none" w:sz="0" w:space="0" w:color="auto"/>
      </w:divBdr>
    </w:div>
    <w:div w:id="161094443">
      <w:bodyDiv w:val="1"/>
      <w:marLeft w:val="0"/>
      <w:marRight w:val="0"/>
      <w:marTop w:val="0"/>
      <w:marBottom w:val="0"/>
      <w:divBdr>
        <w:top w:val="none" w:sz="0" w:space="0" w:color="auto"/>
        <w:left w:val="none" w:sz="0" w:space="0" w:color="auto"/>
        <w:bottom w:val="none" w:sz="0" w:space="0" w:color="auto"/>
        <w:right w:val="none" w:sz="0" w:space="0" w:color="auto"/>
      </w:divBdr>
    </w:div>
    <w:div w:id="179438160">
      <w:bodyDiv w:val="1"/>
      <w:marLeft w:val="0"/>
      <w:marRight w:val="0"/>
      <w:marTop w:val="0"/>
      <w:marBottom w:val="0"/>
      <w:divBdr>
        <w:top w:val="none" w:sz="0" w:space="0" w:color="auto"/>
        <w:left w:val="none" w:sz="0" w:space="0" w:color="auto"/>
        <w:bottom w:val="none" w:sz="0" w:space="0" w:color="auto"/>
        <w:right w:val="none" w:sz="0" w:space="0" w:color="auto"/>
      </w:divBdr>
    </w:div>
    <w:div w:id="211815133">
      <w:bodyDiv w:val="1"/>
      <w:marLeft w:val="0"/>
      <w:marRight w:val="0"/>
      <w:marTop w:val="0"/>
      <w:marBottom w:val="0"/>
      <w:divBdr>
        <w:top w:val="none" w:sz="0" w:space="0" w:color="auto"/>
        <w:left w:val="none" w:sz="0" w:space="0" w:color="auto"/>
        <w:bottom w:val="none" w:sz="0" w:space="0" w:color="auto"/>
        <w:right w:val="none" w:sz="0" w:space="0" w:color="auto"/>
      </w:divBdr>
    </w:div>
    <w:div w:id="305089276">
      <w:bodyDiv w:val="1"/>
      <w:marLeft w:val="0"/>
      <w:marRight w:val="0"/>
      <w:marTop w:val="0"/>
      <w:marBottom w:val="0"/>
      <w:divBdr>
        <w:top w:val="none" w:sz="0" w:space="0" w:color="auto"/>
        <w:left w:val="none" w:sz="0" w:space="0" w:color="auto"/>
        <w:bottom w:val="none" w:sz="0" w:space="0" w:color="auto"/>
        <w:right w:val="none" w:sz="0" w:space="0" w:color="auto"/>
      </w:divBdr>
    </w:div>
    <w:div w:id="305670326">
      <w:bodyDiv w:val="1"/>
      <w:marLeft w:val="0"/>
      <w:marRight w:val="0"/>
      <w:marTop w:val="0"/>
      <w:marBottom w:val="0"/>
      <w:divBdr>
        <w:top w:val="none" w:sz="0" w:space="0" w:color="auto"/>
        <w:left w:val="none" w:sz="0" w:space="0" w:color="auto"/>
        <w:bottom w:val="none" w:sz="0" w:space="0" w:color="auto"/>
        <w:right w:val="none" w:sz="0" w:space="0" w:color="auto"/>
      </w:divBdr>
    </w:div>
    <w:div w:id="321275911">
      <w:bodyDiv w:val="1"/>
      <w:marLeft w:val="0"/>
      <w:marRight w:val="0"/>
      <w:marTop w:val="0"/>
      <w:marBottom w:val="0"/>
      <w:divBdr>
        <w:top w:val="none" w:sz="0" w:space="0" w:color="auto"/>
        <w:left w:val="none" w:sz="0" w:space="0" w:color="auto"/>
        <w:bottom w:val="none" w:sz="0" w:space="0" w:color="auto"/>
        <w:right w:val="none" w:sz="0" w:space="0" w:color="auto"/>
      </w:divBdr>
    </w:div>
    <w:div w:id="420761403">
      <w:bodyDiv w:val="1"/>
      <w:marLeft w:val="0"/>
      <w:marRight w:val="0"/>
      <w:marTop w:val="0"/>
      <w:marBottom w:val="0"/>
      <w:divBdr>
        <w:top w:val="none" w:sz="0" w:space="0" w:color="auto"/>
        <w:left w:val="none" w:sz="0" w:space="0" w:color="auto"/>
        <w:bottom w:val="none" w:sz="0" w:space="0" w:color="auto"/>
        <w:right w:val="none" w:sz="0" w:space="0" w:color="auto"/>
      </w:divBdr>
    </w:div>
    <w:div w:id="444228664">
      <w:bodyDiv w:val="1"/>
      <w:marLeft w:val="0"/>
      <w:marRight w:val="0"/>
      <w:marTop w:val="0"/>
      <w:marBottom w:val="0"/>
      <w:divBdr>
        <w:top w:val="none" w:sz="0" w:space="0" w:color="auto"/>
        <w:left w:val="none" w:sz="0" w:space="0" w:color="auto"/>
        <w:bottom w:val="none" w:sz="0" w:space="0" w:color="auto"/>
        <w:right w:val="none" w:sz="0" w:space="0" w:color="auto"/>
      </w:divBdr>
    </w:div>
    <w:div w:id="485167861">
      <w:bodyDiv w:val="1"/>
      <w:marLeft w:val="0"/>
      <w:marRight w:val="0"/>
      <w:marTop w:val="0"/>
      <w:marBottom w:val="0"/>
      <w:divBdr>
        <w:top w:val="none" w:sz="0" w:space="0" w:color="auto"/>
        <w:left w:val="none" w:sz="0" w:space="0" w:color="auto"/>
        <w:bottom w:val="none" w:sz="0" w:space="0" w:color="auto"/>
        <w:right w:val="none" w:sz="0" w:space="0" w:color="auto"/>
      </w:divBdr>
    </w:div>
    <w:div w:id="525412904">
      <w:bodyDiv w:val="1"/>
      <w:marLeft w:val="0"/>
      <w:marRight w:val="0"/>
      <w:marTop w:val="0"/>
      <w:marBottom w:val="0"/>
      <w:divBdr>
        <w:top w:val="none" w:sz="0" w:space="0" w:color="auto"/>
        <w:left w:val="none" w:sz="0" w:space="0" w:color="auto"/>
        <w:bottom w:val="none" w:sz="0" w:space="0" w:color="auto"/>
        <w:right w:val="none" w:sz="0" w:space="0" w:color="auto"/>
      </w:divBdr>
    </w:div>
    <w:div w:id="624897460">
      <w:bodyDiv w:val="1"/>
      <w:marLeft w:val="0"/>
      <w:marRight w:val="0"/>
      <w:marTop w:val="0"/>
      <w:marBottom w:val="0"/>
      <w:divBdr>
        <w:top w:val="none" w:sz="0" w:space="0" w:color="auto"/>
        <w:left w:val="none" w:sz="0" w:space="0" w:color="auto"/>
        <w:bottom w:val="none" w:sz="0" w:space="0" w:color="auto"/>
        <w:right w:val="none" w:sz="0" w:space="0" w:color="auto"/>
      </w:divBdr>
    </w:div>
    <w:div w:id="640886643">
      <w:bodyDiv w:val="1"/>
      <w:marLeft w:val="0"/>
      <w:marRight w:val="0"/>
      <w:marTop w:val="0"/>
      <w:marBottom w:val="0"/>
      <w:divBdr>
        <w:top w:val="none" w:sz="0" w:space="0" w:color="auto"/>
        <w:left w:val="none" w:sz="0" w:space="0" w:color="auto"/>
        <w:bottom w:val="none" w:sz="0" w:space="0" w:color="auto"/>
        <w:right w:val="none" w:sz="0" w:space="0" w:color="auto"/>
      </w:divBdr>
    </w:div>
    <w:div w:id="736785730">
      <w:bodyDiv w:val="1"/>
      <w:marLeft w:val="0"/>
      <w:marRight w:val="0"/>
      <w:marTop w:val="0"/>
      <w:marBottom w:val="0"/>
      <w:divBdr>
        <w:top w:val="none" w:sz="0" w:space="0" w:color="auto"/>
        <w:left w:val="none" w:sz="0" w:space="0" w:color="auto"/>
        <w:bottom w:val="none" w:sz="0" w:space="0" w:color="auto"/>
        <w:right w:val="none" w:sz="0" w:space="0" w:color="auto"/>
      </w:divBdr>
    </w:div>
    <w:div w:id="758477822">
      <w:bodyDiv w:val="1"/>
      <w:marLeft w:val="0"/>
      <w:marRight w:val="0"/>
      <w:marTop w:val="0"/>
      <w:marBottom w:val="0"/>
      <w:divBdr>
        <w:top w:val="none" w:sz="0" w:space="0" w:color="auto"/>
        <w:left w:val="none" w:sz="0" w:space="0" w:color="auto"/>
        <w:bottom w:val="none" w:sz="0" w:space="0" w:color="auto"/>
        <w:right w:val="none" w:sz="0" w:space="0" w:color="auto"/>
      </w:divBdr>
    </w:div>
    <w:div w:id="862091617">
      <w:bodyDiv w:val="1"/>
      <w:marLeft w:val="0"/>
      <w:marRight w:val="0"/>
      <w:marTop w:val="0"/>
      <w:marBottom w:val="0"/>
      <w:divBdr>
        <w:top w:val="none" w:sz="0" w:space="0" w:color="auto"/>
        <w:left w:val="none" w:sz="0" w:space="0" w:color="auto"/>
        <w:bottom w:val="none" w:sz="0" w:space="0" w:color="auto"/>
        <w:right w:val="none" w:sz="0" w:space="0" w:color="auto"/>
      </w:divBdr>
    </w:div>
    <w:div w:id="927806950">
      <w:bodyDiv w:val="1"/>
      <w:marLeft w:val="0"/>
      <w:marRight w:val="0"/>
      <w:marTop w:val="0"/>
      <w:marBottom w:val="0"/>
      <w:divBdr>
        <w:top w:val="none" w:sz="0" w:space="0" w:color="auto"/>
        <w:left w:val="none" w:sz="0" w:space="0" w:color="auto"/>
        <w:bottom w:val="none" w:sz="0" w:space="0" w:color="auto"/>
        <w:right w:val="none" w:sz="0" w:space="0" w:color="auto"/>
      </w:divBdr>
    </w:div>
    <w:div w:id="1025982171">
      <w:bodyDiv w:val="1"/>
      <w:marLeft w:val="0"/>
      <w:marRight w:val="0"/>
      <w:marTop w:val="0"/>
      <w:marBottom w:val="0"/>
      <w:divBdr>
        <w:top w:val="none" w:sz="0" w:space="0" w:color="auto"/>
        <w:left w:val="none" w:sz="0" w:space="0" w:color="auto"/>
        <w:bottom w:val="none" w:sz="0" w:space="0" w:color="auto"/>
        <w:right w:val="none" w:sz="0" w:space="0" w:color="auto"/>
      </w:divBdr>
    </w:div>
    <w:div w:id="1061832630">
      <w:bodyDiv w:val="1"/>
      <w:marLeft w:val="0"/>
      <w:marRight w:val="0"/>
      <w:marTop w:val="0"/>
      <w:marBottom w:val="0"/>
      <w:divBdr>
        <w:top w:val="none" w:sz="0" w:space="0" w:color="auto"/>
        <w:left w:val="none" w:sz="0" w:space="0" w:color="auto"/>
        <w:bottom w:val="none" w:sz="0" w:space="0" w:color="auto"/>
        <w:right w:val="none" w:sz="0" w:space="0" w:color="auto"/>
      </w:divBdr>
    </w:div>
    <w:div w:id="1129667441">
      <w:bodyDiv w:val="1"/>
      <w:marLeft w:val="0"/>
      <w:marRight w:val="0"/>
      <w:marTop w:val="0"/>
      <w:marBottom w:val="0"/>
      <w:divBdr>
        <w:top w:val="none" w:sz="0" w:space="0" w:color="auto"/>
        <w:left w:val="none" w:sz="0" w:space="0" w:color="auto"/>
        <w:bottom w:val="none" w:sz="0" w:space="0" w:color="auto"/>
        <w:right w:val="none" w:sz="0" w:space="0" w:color="auto"/>
      </w:divBdr>
    </w:div>
    <w:div w:id="1162621391">
      <w:bodyDiv w:val="1"/>
      <w:marLeft w:val="0"/>
      <w:marRight w:val="0"/>
      <w:marTop w:val="0"/>
      <w:marBottom w:val="0"/>
      <w:divBdr>
        <w:top w:val="none" w:sz="0" w:space="0" w:color="auto"/>
        <w:left w:val="none" w:sz="0" w:space="0" w:color="auto"/>
        <w:bottom w:val="none" w:sz="0" w:space="0" w:color="auto"/>
        <w:right w:val="none" w:sz="0" w:space="0" w:color="auto"/>
      </w:divBdr>
    </w:div>
    <w:div w:id="1410074480">
      <w:bodyDiv w:val="1"/>
      <w:marLeft w:val="0"/>
      <w:marRight w:val="0"/>
      <w:marTop w:val="0"/>
      <w:marBottom w:val="0"/>
      <w:divBdr>
        <w:top w:val="none" w:sz="0" w:space="0" w:color="auto"/>
        <w:left w:val="none" w:sz="0" w:space="0" w:color="auto"/>
        <w:bottom w:val="none" w:sz="0" w:space="0" w:color="auto"/>
        <w:right w:val="none" w:sz="0" w:space="0" w:color="auto"/>
      </w:divBdr>
    </w:div>
    <w:div w:id="1483083433">
      <w:bodyDiv w:val="1"/>
      <w:marLeft w:val="0"/>
      <w:marRight w:val="0"/>
      <w:marTop w:val="0"/>
      <w:marBottom w:val="0"/>
      <w:divBdr>
        <w:top w:val="none" w:sz="0" w:space="0" w:color="auto"/>
        <w:left w:val="none" w:sz="0" w:space="0" w:color="auto"/>
        <w:bottom w:val="none" w:sz="0" w:space="0" w:color="auto"/>
        <w:right w:val="none" w:sz="0" w:space="0" w:color="auto"/>
      </w:divBdr>
    </w:div>
    <w:div w:id="1508709107">
      <w:bodyDiv w:val="1"/>
      <w:marLeft w:val="0"/>
      <w:marRight w:val="0"/>
      <w:marTop w:val="0"/>
      <w:marBottom w:val="0"/>
      <w:divBdr>
        <w:top w:val="none" w:sz="0" w:space="0" w:color="auto"/>
        <w:left w:val="none" w:sz="0" w:space="0" w:color="auto"/>
        <w:bottom w:val="none" w:sz="0" w:space="0" w:color="auto"/>
        <w:right w:val="none" w:sz="0" w:space="0" w:color="auto"/>
      </w:divBdr>
    </w:div>
    <w:div w:id="1532379108">
      <w:bodyDiv w:val="1"/>
      <w:marLeft w:val="0"/>
      <w:marRight w:val="0"/>
      <w:marTop w:val="0"/>
      <w:marBottom w:val="0"/>
      <w:divBdr>
        <w:top w:val="none" w:sz="0" w:space="0" w:color="auto"/>
        <w:left w:val="none" w:sz="0" w:space="0" w:color="auto"/>
        <w:bottom w:val="none" w:sz="0" w:space="0" w:color="auto"/>
        <w:right w:val="none" w:sz="0" w:space="0" w:color="auto"/>
      </w:divBdr>
    </w:div>
    <w:div w:id="1586722024">
      <w:bodyDiv w:val="1"/>
      <w:marLeft w:val="0"/>
      <w:marRight w:val="0"/>
      <w:marTop w:val="0"/>
      <w:marBottom w:val="0"/>
      <w:divBdr>
        <w:top w:val="none" w:sz="0" w:space="0" w:color="auto"/>
        <w:left w:val="none" w:sz="0" w:space="0" w:color="auto"/>
        <w:bottom w:val="none" w:sz="0" w:space="0" w:color="auto"/>
        <w:right w:val="none" w:sz="0" w:space="0" w:color="auto"/>
      </w:divBdr>
    </w:div>
    <w:div w:id="1603952665">
      <w:bodyDiv w:val="1"/>
      <w:marLeft w:val="0"/>
      <w:marRight w:val="0"/>
      <w:marTop w:val="0"/>
      <w:marBottom w:val="0"/>
      <w:divBdr>
        <w:top w:val="none" w:sz="0" w:space="0" w:color="auto"/>
        <w:left w:val="none" w:sz="0" w:space="0" w:color="auto"/>
        <w:bottom w:val="none" w:sz="0" w:space="0" w:color="auto"/>
        <w:right w:val="none" w:sz="0" w:space="0" w:color="auto"/>
      </w:divBdr>
    </w:div>
    <w:div w:id="1620915114">
      <w:bodyDiv w:val="1"/>
      <w:marLeft w:val="0"/>
      <w:marRight w:val="0"/>
      <w:marTop w:val="0"/>
      <w:marBottom w:val="0"/>
      <w:divBdr>
        <w:top w:val="none" w:sz="0" w:space="0" w:color="auto"/>
        <w:left w:val="none" w:sz="0" w:space="0" w:color="auto"/>
        <w:bottom w:val="none" w:sz="0" w:space="0" w:color="auto"/>
        <w:right w:val="none" w:sz="0" w:space="0" w:color="auto"/>
      </w:divBdr>
    </w:div>
    <w:div w:id="1632780050">
      <w:bodyDiv w:val="1"/>
      <w:marLeft w:val="0"/>
      <w:marRight w:val="0"/>
      <w:marTop w:val="0"/>
      <w:marBottom w:val="0"/>
      <w:divBdr>
        <w:top w:val="none" w:sz="0" w:space="0" w:color="auto"/>
        <w:left w:val="none" w:sz="0" w:space="0" w:color="auto"/>
        <w:bottom w:val="none" w:sz="0" w:space="0" w:color="auto"/>
        <w:right w:val="none" w:sz="0" w:space="0" w:color="auto"/>
      </w:divBdr>
    </w:div>
    <w:div w:id="1697345303">
      <w:bodyDiv w:val="1"/>
      <w:marLeft w:val="0"/>
      <w:marRight w:val="0"/>
      <w:marTop w:val="0"/>
      <w:marBottom w:val="0"/>
      <w:divBdr>
        <w:top w:val="none" w:sz="0" w:space="0" w:color="auto"/>
        <w:left w:val="none" w:sz="0" w:space="0" w:color="auto"/>
        <w:bottom w:val="none" w:sz="0" w:space="0" w:color="auto"/>
        <w:right w:val="none" w:sz="0" w:space="0" w:color="auto"/>
      </w:divBdr>
    </w:div>
    <w:div w:id="1768428085">
      <w:bodyDiv w:val="1"/>
      <w:marLeft w:val="0"/>
      <w:marRight w:val="0"/>
      <w:marTop w:val="0"/>
      <w:marBottom w:val="0"/>
      <w:divBdr>
        <w:top w:val="none" w:sz="0" w:space="0" w:color="auto"/>
        <w:left w:val="none" w:sz="0" w:space="0" w:color="auto"/>
        <w:bottom w:val="none" w:sz="0" w:space="0" w:color="auto"/>
        <w:right w:val="none" w:sz="0" w:space="0" w:color="auto"/>
      </w:divBdr>
    </w:div>
    <w:div w:id="1771655309">
      <w:bodyDiv w:val="1"/>
      <w:marLeft w:val="0"/>
      <w:marRight w:val="0"/>
      <w:marTop w:val="0"/>
      <w:marBottom w:val="0"/>
      <w:divBdr>
        <w:top w:val="none" w:sz="0" w:space="0" w:color="auto"/>
        <w:left w:val="none" w:sz="0" w:space="0" w:color="auto"/>
        <w:bottom w:val="none" w:sz="0" w:space="0" w:color="auto"/>
        <w:right w:val="none" w:sz="0" w:space="0" w:color="auto"/>
      </w:divBdr>
    </w:div>
    <w:div w:id="1792547808">
      <w:bodyDiv w:val="1"/>
      <w:marLeft w:val="0"/>
      <w:marRight w:val="0"/>
      <w:marTop w:val="0"/>
      <w:marBottom w:val="0"/>
      <w:divBdr>
        <w:top w:val="none" w:sz="0" w:space="0" w:color="auto"/>
        <w:left w:val="none" w:sz="0" w:space="0" w:color="auto"/>
        <w:bottom w:val="none" w:sz="0" w:space="0" w:color="auto"/>
        <w:right w:val="none" w:sz="0" w:space="0" w:color="auto"/>
      </w:divBdr>
    </w:div>
    <w:div w:id="1801416886">
      <w:bodyDiv w:val="1"/>
      <w:marLeft w:val="0"/>
      <w:marRight w:val="0"/>
      <w:marTop w:val="0"/>
      <w:marBottom w:val="0"/>
      <w:divBdr>
        <w:top w:val="none" w:sz="0" w:space="0" w:color="auto"/>
        <w:left w:val="none" w:sz="0" w:space="0" w:color="auto"/>
        <w:bottom w:val="none" w:sz="0" w:space="0" w:color="auto"/>
        <w:right w:val="none" w:sz="0" w:space="0" w:color="auto"/>
      </w:divBdr>
    </w:div>
    <w:div w:id="1831603515">
      <w:bodyDiv w:val="1"/>
      <w:marLeft w:val="0"/>
      <w:marRight w:val="0"/>
      <w:marTop w:val="0"/>
      <w:marBottom w:val="0"/>
      <w:divBdr>
        <w:top w:val="none" w:sz="0" w:space="0" w:color="auto"/>
        <w:left w:val="none" w:sz="0" w:space="0" w:color="auto"/>
        <w:bottom w:val="none" w:sz="0" w:space="0" w:color="auto"/>
        <w:right w:val="none" w:sz="0" w:space="0" w:color="auto"/>
      </w:divBdr>
    </w:div>
    <w:div w:id="2025863609">
      <w:bodyDiv w:val="1"/>
      <w:marLeft w:val="0"/>
      <w:marRight w:val="0"/>
      <w:marTop w:val="0"/>
      <w:marBottom w:val="0"/>
      <w:divBdr>
        <w:top w:val="none" w:sz="0" w:space="0" w:color="auto"/>
        <w:left w:val="none" w:sz="0" w:space="0" w:color="auto"/>
        <w:bottom w:val="none" w:sz="0" w:space="0" w:color="auto"/>
        <w:right w:val="none" w:sz="0" w:space="0" w:color="auto"/>
      </w:divBdr>
    </w:div>
    <w:div w:id="2088501619">
      <w:bodyDiv w:val="1"/>
      <w:marLeft w:val="0"/>
      <w:marRight w:val="0"/>
      <w:marTop w:val="0"/>
      <w:marBottom w:val="0"/>
      <w:divBdr>
        <w:top w:val="none" w:sz="0" w:space="0" w:color="auto"/>
        <w:left w:val="none" w:sz="0" w:space="0" w:color="auto"/>
        <w:bottom w:val="none" w:sz="0" w:space="0" w:color="auto"/>
        <w:right w:val="none" w:sz="0" w:space="0" w:color="auto"/>
      </w:divBdr>
    </w:div>
    <w:div w:id="214079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image" Target="media/image16.tiff"/><Relationship Id="rId3" Type="http://schemas.openxmlformats.org/officeDocument/2006/relationships/customXml" Target="../customXml/item3.xml"/><Relationship Id="rId21" Type="http://schemas.openxmlformats.org/officeDocument/2006/relationships/image" Target="media/image11.tiff"/><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image" Target="media/image7.png"/><Relationship Id="rId25" Type="http://schemas.openxmlformats.org/officeDocument/2006/relationships/image" Target="media/image15.tiff"/><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tiff"/><Relationship Id="rId29" Type="http://schemas.openxmlformats.org/officeDocument/2006/relationships/image" Target="media/image19.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tif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image" Target="media/image18.tiff"/><Relationship Id="rId10" Type="http://schemas.openxmlformats.org/officeDocument/2006/relationships/endnotes" Target="endnotes.xml"/><Relationship Id="rId19" Type="http://schemas.openxmlformats.org/officeDocument/2006/relationships/image" Target="media/image9.tif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2E1A6A-E00F-4DD8-9CC5-04E373B480E6}">
  <we:reference id="a504f697-cd57-482d-af3c-653ec8236b9b" version="6.0.0.0" store="EXCatalog" storeType="EXCatalog"/>
  <we:alternateReferences>
    <we:reference id="WA200002534" version="6.0.0.0" store="en-US" storeType="OMEX"/>
  </we:alternateReferences>
  <we:properties>
    <we:property name="sciwheel-csl-items" value="[{&quot;title&quot;:&quot;Hierarchical Grouping to Optimize an Objective Function&quot;,&quot;page&quot;:&quot;236-244&quot;,&quot;volume&quot;:&quot;58&quot;,&quot;issue&quot;:&quot;301&quot;,&quot;journalAbbreviation&quot;:&quot;J. Am. Stat. Assoc.&quot;,&quot;id&quot;:&quot;1173304&quot;,&quot;type&quot;:&quot;article-journal&quot;,&quot;container-title&quot;:&quot;Journal of the American Statistical Association&quot;,&quot;container-title-short&quot;:&quot;J. Am. Stat. Assoc.&quot;,&quot;abstract&quot;:&quot;A procedure for forming hierarchical groups of mutually exclusive subsets, each of which has members that are maximally similar with respect to specified characteristics, is suggested for use in large-scale (n &gt; 100) studies when a precise optimal solution for a specified number of groups is not practical. Given n sets, this procedure permits their reduction to n − 1 mutually exclusive sets by considering the union of all possible n(n − 1)/2 pairs and selecting a union having a maximal value for the functional relation, or objective function, that reflects the criterion chosen by the investigator. By repeating this process until only one group remains, the complete hierarchical structure and a quantitative estimate of the loss associated with each stage in the grouping can be obtained. A general flowchart helpful in computer programming and a numerical example are included.&quot;,&quot;author&quot;:[{&quot;family&quot;:&quot;Ward&quot;,&quot;given&quot;:&quot;Joe H.&quot;}],&quot;issued&quot;:{&quot;date-parts&quot;:[[&quot;1963&quot;,&quot;3&quot;]]},&quot;DOI&quot;:&quot;10.1080/01621459.1963.10500845&quot;,&quot;citation-label&quot;:&quot;1173304&quot;},{&quot;title&quot;:&quot;Universal sample preparation method for proteome analysis.&quot;,&quot;page&quot;:&quot;359-362&quot;,&quot;volume&quot;:&quot;6&quot;,&quot;issue&quot;:&quot;5&quot;,&quot;journalAbbreviation&quot;:&quot;Nat. Methods&quot;,&quot;id&quot;:&quot;487894&quot;,&quot;type&quot;:&quot;article-journal&quot;,&quot;container-title&quot;:&quot;Nature Methods&quot;,&quot;container-title-short&quot;:&quot;Nat. Methods&quot;,&quot;abstract&quot;:&quot;We describe a method, filter-aided sample preparation (FASP), which combines the advantages of in-gel and in-solution digestion for mass spectrometry-based proteomics. We completely solubilized the proteome in sodium dodecyl sulfate, which we then exchanged by urea on a standard filtration device. Peptides eluted after digestion on the filter were pure, allowing single-run analyses of organelles and an unprecedented depth of proteome coverage.&quot;,&quot;author&quot;:[{&quot;family&quot;:&quot;Wiśniewski&quot;,&quot;given&quot;:&quot;Jacek R&quot;},{&quot;family&quot;:&quot;Zougman&quot;,&quot;given&quot;:&quot;Alexandre&quot;},{&quot;family&quot;:&quot;Nagaraj&quot;,&quot;given&quot;:&quot;Nagarjuna&quot;},{&quot;family&quot;:&quot;Mann&quot;,&quot;given&quot;:&quot;Matthias&quot;}],&quot;issued&quot;:{&quot;date-parts&quot;:[[&quot;2009&quot;,&quot;5&quot;]]},&quot;DOI&quot;:&quot;10.1038/nmeth.1322&quot;,&quot;PMID&quot;:&quot;19377485&quot;,&quot;citation-label&quot;:&quot;487894&quot;},{&quot;title&quot;:&quot;Large-scale mapping of human protein-protein interactions by mass spectrometry.&quot;,&quot;page&quot;:&quot;89&quot;,&quot;volume&quot;:&quot;3&quot;,&quot;journalAbbreviation&quot;:&quot;Mol. Syst. Biol.&quot;,&quot;id&quot;:&quot;528012&quot;,&quot;type&quot;:&quot;article-journal&quot;,&quot;container-title&quot;:&quot;Molecular Systems Biology&quot;,&quot;container-title-short&quot;:&quot;Mol. Syst. Biol.&quot;,&quot;abstract&quot;:&quot;Mapping protein-protein interactions is an invaluable tool for understanding protein function. Here, we report the first large-scale study of protein-protein interactions in human cells using a mass spectrometry-based approach. The study maps protein interactions for 338 bait proteins that were selected based on known or suspected disease and functional associations. Large-scale immunoprecipitation of Flag-tagged versions of these proteins followed by LC-ESI-MS/MS analysis resulted in the identification of 24,540 potential protein interactions. False positives and redundant hits were filtered out using empirical criteria and a calculated interaction confidence score, producing a data set of 6463 interactions between 2235 distinct proteins. This data set was further cross-validated using previously published and predicted human protein interactions. In-depth mining of the data set shows that it represents a valuable source of novel protein-protein interactions with relevance to human diseases. In addition, via our preliminary analysis, we report many novel protein interactions and pathway associations.&quot;,&quot;author&quot;:[{&quot;family&quot;:&quot;Ewing&quot;,&quot;given&quot;:&quot;Rob M&quot;},{&quot;family&quot;:&quot;Chu&quot;,&quot;given&quot;:&quot;Peter&quot;},{&quot;family&quot;:&quot;Elisma&quot;,&quot;given&quot;:&quot;Fred&quot;},{&quot;family&quot;:&quot;Li&quot;,&quot;given&quot;:&quot;Hongyan&quot;},{&quot;family&quot;:&quot;Taylor&quot;,&quot;given&quot;:&quot;Paul&quot;},{&quot;family&quot;:&quot;Climie&quot;,&quot;given&quot;:&quot;Shane&quot;},{&quot;family&quot;:&quot;McBroom-Cerajewski&quot;,&quot;given&quot;:&quot;Linda&quot;},{&quot;family&quot;:&quot;Robinson&quot;,&quot;given&quot;:&quot;Mark D&quot;},{&quot;family&quot;:&quot;O'Connor&quot;,&quot;given&quot;:&quot;Liam&quot;},{&quot;family&quot;:&quot;Li&quot;,&quot;given&quot;:&quot;Michael&quot;},{&quot;family&quot;:&quot;Taylor&quot;,&quot;given&quot;:&quot;Rod&quot;},{&quot;family&quot;:&quot;Dharsee&quot;,&quot;given&quot;:&quot;Moyez&quot;},{&quot;family&quot;:&quot;Ho&quot;,&quot;given&quot;:&quot;Yuen&quot;},{&quot;family&quot;:&quot;Heilbut&quot;,&quot;given&quot;:&quot;Adrian&quot;},{&quot;family&quot;:&quot;Moore&quot;,&quot;given&quot;:&quot;Lynda&quot;},{&quot;family&quot;:&quot;Zhang&quot;,&quot;given&quot;:&quot;Shudong&quot;},{&quot;family&quot;:&quot;Ornatsky&quot;,&quot;given&quot;:&quot;Olga&quot;},{&quot;family&quot;:&quot;Bukhman&quot;,&quot;given&quot;:&quot;Yury V&quot;},{&quot;family&quot;:&quot;Ethier&quot;,&quot;given&quot;:&quot;Martin&quot;},{&quot;family&quot;:&quot;Sheng&quot;,&quot;given&quot;:&quot;Yinglun&quot;},{&quot;family&quot;:&quot;Vasilescu&quot;,&quot;given&quot;:&quot;Julian&quot;},{&quot;family&quot;:&quot;Abu-Farha&quot;,&quot;given&quot;:&quot;Mohamed&quot;},{&quot;family&quot;:&quot;Lambert&quot;,&quot;given&quot;:&quot;Jean-Philippe&quot;},{&quot;family&quot;:&quot;Duewel&quot;,&quot;given&quot;:&quot;Henry S&quot;},{&quot;family&quot;:&quot;Stewart&quot;,&quot;given&quot;:&quot;Ian I&quot;},{&quot;family&quot;:&quot;Kuehl&quot;,&quot;given&quot;:&quot;Bonnie&quot;},{&quot;family&quot;:&quot;Hogue&quot;,&quot;given&quot;:&quot;Kelly&quot;},{&quot;family&quot;:&quot;Colwill&quot;,&quot;given&quot;:&quot;Karen&quot;},{&quot;family&quot;:&quot;Gladwish&quot;,&quot;given&quot;:&quot;Katharine&quot;},{&quot;family&quot;:&quot;Muskat&quot;,&quot;given&quot;:&quot;Brenda&quot;},{&quot;family&quot;:&quot;Kinach&quot;,&quot;given&quot;:&quot;Robert&quot;},{&quot;family&quot;:&quot;Adams&quot;,&quot;given&quot;:&quot;Sally-Lin&quot;},{&quot;family&quot;:&quot;Moran&quot;,&quot;given&quot;:&quot;Michael F&quot;},{&quot;family&quot;:&quot;Morin&quot;,&quot;given&quot;:&quot;Gregg B&quot;},{&quot;family&quot;:&quot;Topaloglou&quot;,&quot;given&quot;:&quot;Thodoros&quot;},{&quot;family&quot;:&quot;Figeys&quot;,&quot;given&quot;:&quot;Daniel&quot;}],&quot;issued&quot;:{&quot;date-parts&quot;:[[&quot;2007&quot;,&quot;3&quot;,&quot;13&quot;]]},&quot;DOI&quot;:&quot;10.1038/msb4100134&quot;,&quot;PMID&quot;:&quot;17353931&quot;,&quot;PMCID&quot;:&quot;PMC1847948&quot;,&quot;citation-label&quot;:&quot;528012&quot;},{&quot;title&quot;:&quot;Quantitative proteomic analysis of distinct mammalian Mediator complexes using normalized spectral abundance factors.&quot;,&quot;page&quot;:&quot;18928-18933&quot;,&quot;volume&quot;:&quot;103&quot;,&quot;issue&quot;:&quot;50&quot;,&quot;journalAbbreviation&quot;:&quot;Proc Natl Acad Sci USA&quot;,&quot;id&quot;:&quot;1199536&quot;,&quot;type&quot;:&quot;article-journal&quot;,&quot;container-title&quot;:&quot;Proceedings of the National Academy of Sciences of the United States of America&quot;,&quot;container-title-short&quot;:&quot;Proc Natl Acad Sci USA&quot;,&quot;abstract&quot;:&quot;Components of multiprotein complexes are routinely determined by using proteomic approaches. However, this information lacks functional content except when new complex members are identified. To analyze quantitatively the abundance of proteins in human Mediator we used normalized spectral abundance factors generated from shotgun proteomics data sets. With this approach we define a common core of mammalian Mediator subunits shared by alternative forms that variably associate with the kinase module and RNA polymerase (pol) II. Although each version of affinity-purified Mediator contained some kinase module and RNA pol II, Mediator purified through F-Med26 contained the most RNA pol II and the least kinase module as demonstrated by the normalized spectral abundance factor approach. The distinct forms of Mediator were functionally characterized by using a transcriptional activity assay, where F-Med26 Mediator/RNA pol II was the most active. This method of protein complex visualization has important implications for the analysis of multiprotein complexes and assembly of protein interaction networks.&quot;,&quot;author&quot;:[{&quot;family&quot;:&quot;Paoletti&quot;,&quot;given&quot;:&quot;Andrew C&quot;},{&quot;family&quot;:&quot;Parmely&quot;,&quot;given&quot;:&quot;Tari J&quot;},{&quot;family&quot;:&quot;Tomomori-Sato&quot;,&quot;given&quot;:&quot;Chieri&quot;},{&quot;family&quot;:&quot;Sato&quot;,&quot;given&quot;:&quot;Shigeo&quot;},{&quot;family&quot;:&quot;Zhu&quot;,&quot;given&quot;:&quot;Dongxiao&quot;},{&quot;family&quot;:&quot;Conaway&quot;,&quot;given&quot;:&quot;Ronald C&quot;},{&quot;family&quot;:&quot;Conaway&quot;,&quot;given&quot;:&quot;Joan Weliky&quot;},{&quot;family&quot;:&quot;Florens&quot;,&quot;given&quot;:&quot;Laurence&quot;},{&quot;family&quot;:&quot;Washburn&quot;,&quot;given&quot;:&quot;Michael P&quot;}],&quot;issued&quot;:{&quot;date-parts&quot;:[[&quot;2006&quot;,&quot;12&quot;,&quot;12&quot;]]},&quot;DOI&quot;:&quot;10.1073/pnas.0606379103&quot;,&quot;PMID&quot;:&quot;17138671&quot;,&quot;PMCID&quot;:&quot;PMC1672612&quot;,&quot;citation-label&quot;:&quot;1199536&quot;},{&quot;title&quot;:&quot;N-linked glycosylation of human SLC1A5 (ASCT2) transporter is critical for trafficking to membrane.&quot;,&quot;page&quot;:&quot;1636-1645&quot;,&quot;volume&quot;:&quot;1853&quot;,&quot;issue&quot;:&quot;7&quot;,&quot;journalAbbreviation&quot;:&quot;Biochim. Biophys. Acta&quot;,&quot;id&quot;:&quot;3501535&quot;,&quot;type&quot;:&quot;article-journal&quot;,&quot;container-title&quot;:&quot;Biochimica et Biophysica Acta&quot;,&quot;container-title-short&quot;:&quot;Biochim. Biophys. Acta&quot;,&quot;abstract&quot;:&quot;The human amino acid transporter SLC1A5 (ASCT2) contains two N-glycosylation sites (N163 and N212) located in the large extracellular loop. In the homology structural model of ASCT2 these Asn residues are extracellularly exposed. Mutants of the two Asn exhibited altered electrophoretic mobility. N163Q and N212Q displayed multiple bands with apparent molecular masses from 80kDa to 50kDa. N163/212Q displayed a single band of 50kDa corresponding to the unglycosylated protein. The presence in membrane of WT and mutants was evaluated by protein biotinylation assay followed by immunoblotting. The double mutation significantly impaired the presence of the protein in membrane, without impairment in protein synthesis. [(3)H]glutamine transport was measured in cells transiently transfected with the WT or mutants. N163/212Q exhibited a strongly reduced transport activity correlating with reduced surface expression. The same proteins extracted from cells and reconstituted in liposomes showed comparable transport activities demonstrating that the intrinsic transport function of the mutants was not affected. The rate of endocytosis of ASCT2 was assayed by a reversible biotinylation strategy. N212Q and N163/212Q showed strongly increased rates of endocytosis respect to WT. ASCT2 stability was determined using cycloheximide. N163Q or N163/212Q showed a slightly or significantly lower stability with respect to WT. To assess trafficking to the membrane, a brefeldin-based assay, which caused retention of proteins in ER, was performed. One hour after brefeldin removal WT protein was localized to the plasma membrane while the double mutant was localized in the cytosol. The results demonstrate that N-glycosylation is critical for trafficking.Copyright © 2015 Elsevier B.V. All rights reserved.&quot;,&quot;author&quot;:[{&quot;family&quot;:&quot;Console&quot;,&quot;given&quot;:&quot;Lara&quot;},{&quot;family&quot;:&quot;Scalise&quot;,&quot;given&quot;:&quot;Mariafrancesca&quot;},{&quot;family&quot;:&quot;Tarmakova&quot;,&quot;given&quot;:&quot;Zlatina&quot;},{&quot;family&quot;:&quot;Coe&quot;,&quot;given&quot;:&quot;Imogen R&quot;},{&quot;family&quot;:&quot;Indiveri&quot;,&quot;given&quot;:&quot;Cesare&quot;}],&quot;issued&quot;:{&quot;date-parts&quot;:[[&quot;2015&quot;,&quot;7&quot;]]},&quot;DOI&quot;:&quot;10.1016/j.bbamcr.2015.03.017&quot;,&quot;PMID&quot;:&quot;25862406&quot;,&quot;citation-label&quot;:&quot;3501535&quot;},{&quot;title&quot;:&quot;Palmitoylation of solute carriers.&quot;,&quot;page&quot;:&quot;115695&quot;,&quot;volume&quot;:&quot;215&quot;,&quot;journalAbbreviation&quot;:&quot;Biochem. Pharmacol.&quot;,&quot;id&quot;:&quot;16572209&quot;,&quot;type&quot;:&quot;article-journal&quot;,&quot;container-title&quot;:&quot;Biochemical Pharmacology&quot;,&quot;container-title-short&quot;:&quot;Biochem. Pharmacol.&quot;,&quot;abstract&quot;:&quot;Post-translational modifications are an important mechanism in the regulation of protein expression, function, and degradation. Well-known post-translational modifications are phosphorylation, glycosylation, and ubiquitination. However, lipid modifications, including myristoylation, prenylation, and palmitoylation, are poorly studied. Since the early 2000s, researchers have become more interested in lipid modifications, especially palmitoylation. The number of articles in PubMed increased from about 350 between 2000 and 2005 to more than 600 annually during the past ten years. S-palmitoylation, where the 16-carbon saturated (C16:0) palmitic acid is added to free cysteine residues of proteins, is a reversible protein modification that can affect the expression, membrane localization, and function of the modified proteins. Various diseases like Huntington's and Alzheimer's disease have been linked to changes in protein palmitoylation. In humans, the addition of palmitic acid is mediated by 23 palmitoyl acyltransferases, also called DHHC proteins. The modification can be reversed by a few thioesterases or hydrolases. Numerous soluble and membrane-attached proteins are known to be palmitoylated, but among the approximately 400 solute carriers that are classified in 66 families, only 15 found in 8 families have so far been documented to be palmitoylated. Among the best-characterized transporters are the glucose transporters GLUT1 (SLC2A1) and GLUT4 (SLC2A4), the three monoamine transporters norepinephrine transporter (NET; SLC6A2), dopamine transporter (DAT; SLC6A3), and serotonin transporter (SERT; SLC6A4), and the sodium-calcium exchanger NCX1 (SLC8A1). While there is evidence from recent proteomics experiments that numerous solute carriers are palmitoylated, no details beyond the 15 transporters covered in this review are available.Copyright © 2023 The Authors. Published by Elsevier Inc. All rights reserved.&quot;,&quot;author&quot;:[{&quot;family&quot;:&quot;Villanueva&quot;,&quot;given&quot;:&quot;Cecilia E&quot;},{&quot;family&quot;:&quot;Hagenbuch&quot;,&quot;given&quot;:&quot;Bruno&quot;}],&quot;issued&quot;:{&quot;date-parts&quot;:[[&quot;2023&quot;,&quot;9&quot;]]},&quot;DOI&quot;:&quot;10.1016/j.bcp.2023.115695&quot;,&quot;PMID&quot;:&quot;37481134&quot;,&quot;PMCID&quot;:&quot;PMC10530500&quot;,&quot;citation-label&quot;:&quot;16572209&quot;},{&quot;title&quot;:&quot;Global landscape of protein complexes in the yeast Saccharomyces cerevisiae.&quot;,&quot;page&quot;:&quot;637-643&quot;,&quot;volume&quot;:&quot;440&quot;,&quot;issue&quot;:&quot;7084&quot;,&quot;journalAbbreviation&quot;:&quot;Nature&quot;,&quot;id&quot;:&quot;288233&quot;,&quot;type&quot;:&quot;article-journal&quot;,&quot;container-title&quot;:&quot;Nature&quot;,&quot;container-title-short&quot;:&quot;Nature&quot;,&quot;abstract&quot;:&quot;Identification of protein-protein interactions often provides insight into protein function, and many cellular processes are performed by stable protein complexes. We used tandem affinity purification to process 4,562 different tagged proteins of the yeast Saccharomyces cerevisiae. Each preparation was analysed by both matrix-assisted laser desorption/ionization-time of flight mass spectrometry and liquid chromatography tandem mass spectrometry to increase coverage and accuracy. Machine learning was used to integrate the mass spectrometry scores and assign probabilities to the protein-protein interactions. Among 4,087 different proteins identified with high confidence by mass spectrometry from 2,357 successful purifications, our core data set (median precision of 0.69) comprises 7,123 protein-protein interactions involving 2,708 proteins. A Markov clustering algorithm organized these interactions into 547 protein complexes averaging 4.9 subunits per complex, about half of them absent from the MIPS database, as well as 429 additional interactions between pairs of complexes. The data (all of which are available online) will help future studies on individual proteins as well as functional genomics and systems biology.&quot;,&quot;author&quot;:[{&quot;family&quot;:&quot;Krogan&quot;,&quot;given&quot;:&quot;Nevan J&quot;},{&quot;family&quot;:&quot;Cagney&quot;,&quot;given&quot;:&quot;Gerard&quot;},{&quot;family&quot;:&quot;Yu&quot;,&quot;given&quot;:&quot;Haiyuan&quot;},{&quot;family&quot;:&quot;Zhong&quot;,&quot;given&quot;:&quot;Gouqing&quot;},{&quot;family&quot;:&quot;Guo&quot;,&quot;given&quot;:&quot;Xinghua&quot;},{&quot;family&quot;:&quot;Ignatchenko&quot;,&quot;given&quot;:&quot;Alexandr&quot;},{&quot;family&quot;:&quot;Li&quot;,&quot;given&quot;:&quot;Joyce&quot;},{&quot;family&quot;:&quot;Pu&quot;,&quot;given&quot;:&quot;Shuye&quot;},{&quot;family&quot;:&quot;Datta&quot;,&quot;given&quot;:&quot;Nira&quot;},{&quot;family&quot;:&quot;Tikuisis&quot;,&quot;given&quot;:&quot;Aaron P&quot;},{&quot;family&quot;:&quot;Punna&quot;,&quot;given&quot;:&quot;Thanuja&quot;},{&quot;family&quot;:&quot;Peregrín-Alvarez&quot;,&quot;given&quot;:&quot;José M&quot;},{&quot;family&quot;:&quot;Shales&quot;,&quot;given&quot;:&quot;Michael&quot;},{&quot;family&quot;:&quot;Zhang&quot;,&quot;given&quot;:&quot;Xin&quot;},{&quot;family&quot;:&quot;Davey&quot;,&quot;given&quot;:&quot;Michael&quot;},{&quot;family&quot;:&quot;Robinson&quot;,&quot;given&quot;:&quot;Mark D&quot;},{&quot;family&quot;:&quot;Paccanaro&quot;,&quot;given&quot;:&quot;Alberto&quot;},{&quot;family&quot;:&quot;Bray&quot;,&quot;given&quot;:&quot;James E&quot;},{&quot;family&quot;:&quot;Sheung&quot;,&quot;given&quot;:&quot;Anthony&quot;},{&quot;family&quot;:&quot;Beattie&quot;,&quot;given&quot;:&quot;Bryan&quot;},{&quot;family&quot;:&quot;Richards&quot;,&quot;given&quot;:&quot;Dawn P&quot;},{&quot;family&quot;:&quot;Canadien&quot;,&quot;given&quot;:&quot;Veronica&quot;},{&quot;family&quot;:&quot;Lalev&quot;,&quot;given&quot;:&quot;Atanas&quot;},{&quot;family&quot;:&quot;Mena&quot;,&quot;given&quot;:&quot;Frank&quot;},{&quot;family&quot;:&quot;Wong&quot;,&quot;given&quot;:&quot;Peter&quot;},{&quot;family&quot;:&quot;Starostine&quot;,&quot;given&quot;:&quot;Andrei&quot;},{&quot;family&quot;:&quot;Canete&quot;,&quot;given&quot;:&quot;Myra M&quot;},{&quot;family&quot;:&quot;Vlasblom&quot;,&quot;given&quot;:&quot;James&quot;},{&quot;family&quot;:&quot;Wu&quot;,&quot;given&quot;:&quot;Samuel&quot;},{&quot;family&quot;:&quot;Orsi&quot;,&quot;given&quot;:&quot;Chris&quot;},{&quot;family&quot;:&quot;Collins&quot;,&quot;given&quot;:&quot;Sean R&quot;},{&quot;family&quot;:&quot;Chandran&quot;,&quot;given&quot;:&quot;Shamanta&quot;},{&quot;family&quot;:&quot;Haw&quot;,&quot;given&quot;:&quot;Robin&quot;},{&quot;family&quot;:&quot;Rilstone&quot;,&quot;given&quot;:&quot;Jennifer J&quot;},{&quot;family&quot;:&quot;Gandi&quot;,&quot;given&quot;:&quot;Kiran&quot;},{&quot;family&quot;:&quot;Thompson&quot;,&quot;given&quot;:&quot;Natalie J&quot;},{&quot;family&quot;:&quot;Musso&quot;,&quot;given&quot;:&quot;Gabe&quot;},{&quot;family&quot;:&quot;St Onge&quot;,&quot;given&quot;:&quot;Peter&quot;},{&quot;family&quot;:&quot;Ghanny&quot;,&quot;given&quot;:&quot;Shaun&quot;},{&quot;family&quot;:&quot;Lam&quot;,&quot;given&quot;:&quot;Mandy H Y&quot;},{&quot;family&quot;:&quot;Butland&quot;,&quot;given&quot;:&quot;Gareth&quot;},{&quot;family&quot;:&quot;Altaf-Ul&quot;,&quot;given&quot;:&quot;Amin M&quot;},{&quot;family&quot;:&quot;Kanaya&quot;,&quot;given&quot;:&quot;Shigehiko&quot;},{&quot;family&quot;:&quot;Shilatifard&quot;,&quot;given&quot;:&quot;Ali&quot;},{&quot;family&quot;:&quot;O'Shea&quot;,&quot;given&quot;:&quot;Erin&quot;},{&quot;family&quot;:&quot;Weissman&quot;,&quot;given&quot;:&quot;Jonathan S&quot;},{&quot;family&quot;:&quot;Ingles&quot;,&quot;given&quot;:&quot;C James&quot;},{&quot;family&quot;:&quot;Hughes&quot;,&quot;given&quot;:&quot;Timothy R&quot;},{&quot;family&quot;:&quot;Parkinson&quot;,&quot;given&quot;:&quot;John&quot;},{&quot;family&quot;:&quot;Gerstein&quot;,&quot;given&quot;:&quot;Mark&quot;},{&quot;family&quot;:&quot;Wodak&quot;,&quot;given&quot;:&quot;Shoshana J&quot;},{&quot;family&quot;:&quot;Emili&quot;,&quot;given&quot;:&quot;Andrew&quot;},{&quot;family&quot;:&quot;Greenblatt&quot;,&quot;given&quot;:&quot;Jack F&quot;}],&quot;issued&quot;:{&quot;date-parts&quot;:[[&quot;2006&quot;,&quot;3&quot;,&quot;30&quot;]]},&quot;DOI&quot;:&quot;10.1038/nature04670&quot;,&quot;PMID&quot;:&quot;16554755&quot;,&quot;citation-label&quot;:&quot;288233&quot;},{&quot;title&quot;:&quot;Gene Set Knowledge Discovery with Enrichr.&quot;,&quot;page&quot;:&quot;e90&quot;,&quot;volume&quot;:&quot;1&quot;,&quot;issue&quot;:&quot;3&quot;,&quot;journalAbbreviation&quot;:&quot;Curr. Protoc.&quot;,&quot;id&quot;:&quot;10794009&quot;,&quot;type&quot;:&quot;article-journal&quot;,&quot;container-title&quot;:&quot;Current protocols&quot;,&quot;container-title-short&quot;:&quot;Curr. Protoc.&quot;,&quot;abstract&quot;:&quot;Profiling samples from patients, tissues, and cells with genomics, transcriptomics, epigenomics, proteomics, and metabolomics ultimately produces lists of genes and proteins that need to be further analyzed and integrated in the context of known biology. Enrichr (Chen et al., 2013; Kuleshov et al., 2016) is a gene set search engine that enables the querying of hundreds of thousands of annotated gene sets. Enrichr uniquely integrates knowledge from many high-profile projects to provide synthesized information about mammalian genes and gene sets. The platform provides various methods to compute gene set enrichment, and the results are visualized in several interactive ways. This protocol provides a summary of the key features of Enrichr, which include using Enrichr programmatically and embedding an Enrichr button on any website. © 2021 Wiley Periodicals LLC. Basic Protocol 1: Analyzing lists of differentially expressed genes from transcriptomics, proteomics and phosphoproteomics, GWAS studies, or other experimental studies Basic Protocol 2: Searching Enrichr by a single gene or key search term Basic Protocol 3: Preparing raw or processed RNA-seq data through BioJupies in preparation for Enrichr analysis Basic Protocol 4: Analyzing gene sets for model organisms using modEnrichr Basic Protocol 5: Using Enrichr in Geneshot Basic Protocol 6: Using Enrichr in ARCHS4 Basic Protocol 7: Using the enrichment analysis visualization Appyter to visualize Enrichr results Basic Protocol 8: Using the Enrichr API Basic Protocol 9: Adding an Enrichr button to a website.© 2021 Wiley Periodicals LLC.&quot;,&quot;author&quot;:[{&quot;family&quot;:&quot;Xie&quot;,&quot;given&quot;:&quot;Zhuorui&quot;},{&quot;family&quot;:&quot;Bailey&quot;,&quot;given&quot;:&quot;Allison&quot;},{&quot;family&quot;:&quot;Kuleshov&quot;,&quot;given&quot;:&quot;Maxim V&quot;},{&quot;family&quot;:&quot;Clarke&quot;,&quot;given&quot;:&quot;Daniel J B&quot;},{&quot;family&quot;:&quot;Evangelista&quot;,&quot;given&quot;:&quot;John E&quot;},{&quot;family&quot;:&quot;Jenkins&quot;,&quot;given&quot;:&quot;Sherry L&quot;},{&quot;family&quot;:&quot;Lachmann&quot;,&quot;given&quot;:&quot;Alexander&quot;},{&quot;family&quot;:&quot;Wojciechowicz&quot;,&quot;given&quot;:&quot;Megan L&quot;},{&quot;family&quot;:&quot;Kropiwnicki&quot;,&quot;given&quot;:&quot;Eryk&quot;},{&quot;family&quot;:&quot;Jagodnik&quot;,&quot;given&quot;:&quot;Kathleen M&quot;},{&quot;family&quot;:&quot;Jeon&quot;,&quot;given&quot;:&quot;Minji&quot;},{&quot;family&quot;:&quot;Ma'ayan&quot;,&quot;given&quot;:&quot;Avi&quot;}],&quot;issued&quot;:{&quot;date-parts&quot;:[[&quot;2021&quot;,&quot;3&quot;]]},&quot;DOI&quot;:&quot;10.1002/cpz1.90&quot;,&quot;PMID&quot;:&quot;33780170&quot;,&quot;PMCID&quot;:&quot;PMC8152575&quot;,&quot;citation-label&quot;:&quot;10794009&quot;},{&quot;title&quot;:&quot;Phosphorylation-linked complex profiling identifies assemblies required for Hippo signal integration.&quot;,&quot;page&quot;:&quot;e11024&quot;,&quot;volume&quot;:&quot;19&quot;,&quot;issue&quot;:&quot;4&quot;,&quot;journalAbbreviation&quot;:&quot;Mol. Syst. Biol.&quot;,&quot;id&quot;:&quot;15511690&quot;,&quot;type&quot;:&quot;article-journal&quot;,&quot;container-title&quot;:&quot;Molecular Systems Biology&quot;,&quot;container-title-short&quot;:&quot;Mol. Syst. Biol.&quot;,&quot;abstract&quot;:&quot;While several computational methods have been developed to predict the functional relevance of phosphorylation sites, experimental analysis of the interdependency between protein phosphorylation and Protein-Protein Interactions (PPIs) remains challenging. Here, we describe an experimental strategy to establish interdependencies between protein phosphorylation and complex formation. This strategy is based on three main steps: (i) systematically charting the phosphorylation landscape of a target protein; (ii) assigning distinct proteoforms of the target protein to different protein complexes by native complex separation (AP-BNPAGE) and protein correlation profiling; and (iii) analyzing proteoforms and complexes in cells lacking regulators of the target protein. We applied this strategy to YAP1, a transcriptional co-activator for the control of organ size and tissue homeostasis that is highly phosphorylated and among the most connected proteins in human cells. We identified multiple YAP1 phosphosites associated with distinct complexes and inferred how both are controlled by Hippo pathway members. We detected a PTPN14/LATS1/YAP1 complex and suggest a model how PTPN14 inhibits YAP1 via augmenting WW domain-dependent complex formation and phosphorylation by LATS1/2.© 2023 The Authors. Published under the terms of the CC BY 4.0 license.&quot;,&quot;author&quot;:[{&quot;family&quot;:&quot;Uliana&quot;,&quot;given&quot;:&quot;Federico&quot;},{&quot;family&quot;:&quot;Ciuffa&quot;,&quot;given&quot;:&quot;Rodolfo&quot;},{&quot;family&quot;:&quot;Mishra&quot;,&quot;given&quot;:&quot;Ranjan&quot;},{&quot;family&quot;:&quot;Fossati&quot;,&quot;given&quot;:&quot;Andrea&quot;},{&quot;family&quot;:&quot;Frommelt&quot;,&quot;given&quot;:&quot;Fabian&quot;},{&quot;family&quot;:&quot;Keller&quot;,&quot;given&quot;:&quot;Sabrina&quot;},{&quot;family&quot;:&quot;Mehnert&quot;,&quot;given&quot;:&quot;Martin&quot;},{&quot;family&quot;:&quot;Birkeland&quot;,&quot;given&quot;:&quot;Eivind Salmorin&quot;},{&quot;family&quot;:&quot;van Drogen&quot;,&quot;given&quot;:&quot;Frank&quot;},{&quot;family&quot;:&quot;Srejic&quot;,&quot;given&quot;:&quot;Nevena&quot;},{&quot;family&quot;:&quot;Peter&quot;,&quot;given&quot;:&quot;Matthias&quot;},{&quot;family&quot;:&quot;Tapon&quot;,&quot;given&quot;:&quot;Nicolas&quot;},{&quot;family&quot;:&quot;Aebersold&quot;,&quot;given&quot;:&quot;Ruedi&quot;},{&quot;family&quot;:&quot;Gstaiger&quot;,&quot;given&quot;:&quot;Matthias&quot;}],&quot;issued&quot;:{&quot;date-parts&quot;:[[&quot;2023&quot;,&quot;4&quot;,&quot;12&quot;]]},&quot;DOI&quot;:&quot;10.15252/msb.202211024&quot;,&quot;PMID&quot;:&quot;36896621&quot;,&quot;PMCID&quot;:&quot;PMC10090947&quot;,&quot;citation-label&quot;:&quot;15511690&quot;},{&quot;title&quot;:&quot;Impedance-Based Phenotypic Readout of Transporter Function: A Case for Glutamate Transporters.&quot;,&quot;page&quot;:&quot;872335&quot;,&quot;volume&quot;:&quot;13&quot;,&quot;journalAbbreviation&quot;:&quot;Front. Pharmacol.&quot;,&quot;id&quot;:&quot;14774045&quot;,&quot;type&quot;:&quot;article-journal&quot;,&quot;container-title&quot;:&quot;Frontiers in pharmacology&quot;,&quot;container-title-short&quot;:&quot;Front. Pharmacol.&quot;,&quot;abstract&quot;:&quot;Excitatory amino acid transporters (EAAT/SLC1) mediate Na+-dependent uptake of extracellular glutamate and are potential drug targets for neurological disorders. Conventional methods to assess glutamate transport in vitro are based on radiolabels, fluorescent dyes or electrophysiology, which potentially compromise the cell's physiology and are generally less suited for primary drug screens. Here, we describe a novel label-free method to assess human EAAT function in living cells, i.e., without the use of chemical modifications to the substrate or cellular environment. In adherent HEK293 cells overexpressing EAAT1, stimulation with glutamate or aspartate induced cell spreading, which was detected in real-time using an impedance-based biosensor. This change in cell morphology was prevented in the presence of the Na+/K+-ATPase inhibitor ouabain and EAAT inhibitors, which suggests the substrate-induced response was ion-dependent and transporter-specific. A mechanistic explanation for the phenotypic response was substantiated by actin cytoskeleton remodeling and changes in the intracellular levels of the osmolyte taurine, which suggests that the response involves cell swelling. In addition, substrate-induced cellular responses were observed for cells expressing other EAAT subtypes, as well as in a breast cancer cell line (MDA-MB-468) with endogenous EAAT1 expression. These findings allowed the development of a label-free high-throughput screening assay, which could be beneficial in early drug discovery for EAATs and holds potential for the study of other transport proteins that modulate cell shape.Copyright © 2022 Sijben, Dall’ Acqua, Liu, Jarret, Christodoulaki, Onstein, Wolf, Verburgt, Le Dévédec, Wiedmer, Superti-Furga, IJzerman and Heitman.&quot;,&quot;author&quot;:[{&quot;family&quot;:&quot;Sijben&quot;,&quot;given&quot;:&quot;Hubert J&quot;},{&quot;family&quot;:&quot;Dall' Acqua&quot;,&quot;given&quot;:&quot;Laura&quot;},{&quot;family&quot;:&quot;Liu&quot;,&quot;given&quot;:&quot;Rongfang&quot;},{&quot;family&quot;:&quot;Jarret&quot;,&quot;given&quot;:&quot;Abigail&quot;},{&quot;family&quot;:&quot;Christodoulaki&quot;,&quot;given&quot;:&quot;Eirini&quot;},{&quot;family&quot;:&quot;Onstein&quot;,&quot;given&quot;:&quot;Svenja&quot;},{&quot;family&quot;:&quot;Wolf&quot;,&quot;given&quot;:&quot;Gernot&quot;},{&quot;family&quot;:&quot;Verburgt&quot;,&quot;given&quot;:&quot;Simone J&quot;},{&quot;family&quot;:&quot;Le Dévédec&quot;,&quot;given&quot;:&quot;Sylvia E&quot;},{&quot;family&quot;:&quot;Wiedmer&quot;,&quot;given&quot;:&quot;Tabea&quot;},{&quot;family&quot;:&quot;Superti-Furga&quot;,&quot;given&quot;:&quot;Giulio&quot;},{&quot;family&quot;:&quot;IJzerman&quot;,&quot;given&quot;:&quot;Adriaan P&quot;},{&quot;family&quot;:&quot;Heitman&quot;,&quot;given&quot;:&quot;Laura H&quot;}],&quot;issued&quot;:{&quot;date-parts&quot;:[[&quot;2022&quot;,&quot;5&quot;,&quot;23&quot;]]},&quot;DOI&quot;:&quot;10.3389/fphar.2022.872335&quot;,&quot;PMID&quot;:&quot;35677430&quot;,&quot;PMCID&quot;:&quot;PMC9169222&quot;,&quot;citation-label&quot;:&quot;14774045&quot;},{&quot;title&quot;:&quot;Dual proteome-scale networks reveal cell-specific remodeling of the human interactome.&quot;,&quot;page&quot;:&quot;3022-3040.e28&quot;,&quot;volume&quot;:&quot;184&quot;,&quot;issue&quot;:&quot;11&quot;,&quot;journalAbbreviation&quot;:&quot;Cell&quot;,&quot;id&quot;:&quot;11005184&quot;,&quot;type&quot;:&quot;article-journal&quot;,&quot;container-title&quot;:&quot;Cell&quot;,&quot;container-title-short&quot;:&quot;Cell&quot;,&quot;abstract&quot;:&quot;Thousands of interactions assemble proteins into modules that impart spatial and functional organization to the cellular proteome. Through affinity-purification mass spectrometry, we have created two proteome-scale, cell-line-specific interaction networks. The first, BioPlex 3.0, results from affinity purification of 10,128 human proteins-half the proteome-in 293T cells and includes 118,162 interactions among 14,586 proteins. The second results from 5,522 immunoprecipitations in HCT116 cells. These networks model the interactome whose structure encodes protein function, localization, and complex membership. Comparison across cell lines validates thousands of interactions and reveals extensive customization. Whereas shared interactions reside in core complexes and involve essential proteins, cell-specific interactions link these complexes, \&quot;rewiring\&quot; subnetworks within each cell's interactome. Interactions covary among proteins of shared function as the proteome remodels to produce each cell's phenotype. Viewable interactively online through BioPlexExplorer, these networks define principles of proteome organization and enable unknown protein characterization.Copyright © 2021 Elsevier Inc. All rights reserved.&quot;,&quot;author&quot;:[{&quot;family&quot;:&quot;Huttlin&quot;,&quot;given&quot;:&quot;Edward L.&quot;},{&quot;family&quot;:&quot;Bruckner&quot;,&quot;given&quot;:&quot;R J&quot;},{&quot;family&quot;:&quot;Navarrete-Perea&quot;,&quot;given&quot;:&quot;J&quot;},{&quot;family&quot;:&quot;Cannon&quot;,&quot;given&quot;:&quot;J R&quot;},{&quot;family&quot;:&quot;Baltier&quot;,&quot;given&quot;:&quot;K&quot;},{&quot;family&quot;:&quot;Gebreab&quot;,&quot;given&quot;:&quot;F&quot;},{&quot;family&quot;:&quot;Gygi&quot;,&quot;given&quot;:&quot;M P&quot;},{&quot;family&quot;:&quot;Thornock&quot;,&quot;given&quot;:&quot;A&quot;},{&quot;family&quot;:&quot;Zarraga&quot;,&quot;given&quot;:&quot;G&quot;},{&quot;family&quot;:&quot;Tam&quot;,&quot;given&quot;:&quot;S&quot;},{&quot;family&quot;:&quot;Szpyt&quot;,&quot;given&quot;:&quot;J&quot;},{&quot;family&quot;:&quot;Gassaway&quot;,&quot;given&quot;:&quot;B M&quot;},{&quot;family&quot;:&quot;Panov&quot;,&quot;given&quot;:&quot;A&quot;},{&quot;family&quot;:&quot;Parzen&quot;,&quot;given&quot;:&quot;H&quot;},{&quot;family&quot;:&quot;Fu&quot;,&quot;given&quot;:&quot;S&quot;},{&quot;family&quot;:&quot;Golbazi&quot;,&quot;given&quot;:&quot;A&quot;},{&quot;family&quot;:&quot;Maenpaa&quot;,&quot;given&quot;:&quot;E&quot;},{&quot;family&quot;:&quot;Stricker&quot;,&quot;given&quot;:&quot;K&quot;},{&quot;family&quot;:&quot;Guha Thakurta&quot;,&quot;given&quot;:&quot;S&quot;},{&quot;family&quot;:&quot;Zhang&quot;,&quot;given&quot;:&quot;T&quot;},{&quot;family&quot;:&quot;Rad&quot;,&quot;given&quot;:&quot;R&quot;},{&quot;family&quot;:&quot;Pan&quot;,&quot;given&quot;:&quot;J&quot;},{&quot;family&quot;:&quot;Nusinow&quot;,&quot;given&quot;:&quot;D P&quot;},{&quot;family&quot;:&quot;Paulo&quot;,&quot;given&quot;:&quot;J A&quot;},{&quot;family&quot;:&quot;Schweppe&quot;,&quot;given&quot;:&quot;D K&quot;},{&quot;family&quot;:&quot;Vaites&quot;,&quot;given&quot;:&quot;L P&quot;},{&quot;family&quot;:&quot;Harper&quot;,&quot;given&quot;:&quot;J W&quot;},{&quot;family&quot;:&quot;Gygi&quot;,&quot;given&quot;:&quot;S P&quot;}],&quot;issued&quot;:{&quot;date-parts&quot;:[[&quot;2021&quot;,&quot;5&quot;,&quot;27&quot;]]},&quot;DOI&quot;:&quot;10.1016/j.cell.2021.04.011&quot;,&quot;PMID&quot;:&quot;33961781&quot;,&quot;PMCID&quot;:&quot;PMC8165030&quot;,&quot;citation-label&quot;:&quot;11005184&quot;},{&quot;title&quot;:&quot;MPP+-Induced Changes in Cellular Impedance as a Measure for Organic Cation Transporter (SLC22A1-3) Activity and Inhibition.&quot;,&quot;volume&quot;:&quot;23&quot;,&quot;issue&quot;:&quot;3&quot;,&quot;journalAbbreviation&quot;:&quot;Int. J. Mol. Sci.&quot;,&quot;id&quot;:&quot;12783482&quot;,&quot;type&quot;:&quot;article-journal&quot;,&quot;container-title&quot;:&quot;International Journal of Molecular Sciences&quot;,&quot;container-title-short&quot;:&quot;Int. J. Mol. Sci.&quot;,&quot;abstract&quot;:&quot;The organic cation transporters OCT1-3 (SLC22A1-3) facilitate the transport of cationic endo- and xenobiotics and are important mediators of drug distribution and elimination. Their polyspecific nature makes OCTs highly susceptible to drug-drug interactions (DDIs). Currently, screening of OCT inhibitors depends on uptake assays that require labeled substrates to detect transport activity. However, these uptake assays have several limitations. Hence, there is a need to develop novel assays to study OCT activity in a physiological relevant environment without the need to label the substrate. Here, a label-free impedance-based transport assay is established that detects OCT-mediated transport activity and inhibition utilizing the neurotoxin MPP+. Uptake of MPP+ by OCTs induced concentration-dependent changes in cellular impedance that were inhibited by decynium-22, corticosterone, and Tyrosine Kinase inhibitors. OCT-mediated MPP+ transport activity and inhibition were quantified on both OCT1-3 overexpressing cells and HeLa cells endogenously expressing OCT3. Moreover, the method presented here is a valuable tool to identify novel inhibitors and potential DDI partners for MPP+ transporting solute carrier proteins (SLCs) in general.&quot;,&quot;author&quot;:[{&quot;family&quot;:&quot;Mocking&quot;,&quot;given&quot;:&quot;Tamara A M&quot;},{&quot;family&quot;:&quot;Sijben&quot;,&quot;given&quot;:&quot;Hubert J&quot;},{&quot;family&quot;:&quot;Vermeulen&quot;,&quot;given&quot;:&quot;Yimé W&quot;},{&quot;family&quot;:&quot;IJzerman&quot;,&quot;given&quot;:&quot;Adriaan P&quot;},{&quot;family&quot;:&quot;Heitman&quot;,&quot;given&quot;:&quot;Laura H&quot;}],&quot;issued&quot;:{&quot;date-parts&quot;:[[&quot;2022&quot;,&quot;1&quot;,&quot;21&quot;]]},&quot;DOI&quot;:&quot;10.3390/ijms23031203&quot;,&quot;PMID&quot;:&quot;35163125&quot;,&quot;PMCID&quot;:&quot;PMC8835585&quot;,&quot;citation-label&quot;:&quot;12783482&quot;},{&quot;title&quot;:&quot;Post-translational modifications of transporters.&quot;,&quot;page&quot;:&quot;88-99&quot;,&quot;volume&quot;:&quot;192&quot;,&quot;journalAbbreviation&quot;:&quot;Pharmacol. Ther.&quot;,&quot;id&quot;:&quot;5673174&quot;,&quot;type&quot;:&quot;article-journal&quot;,&quot;container-title&quot;:&quot;Pharmacology &amp; Therapeutics&quot;,&quot;container-title-short&quot;:&quot;Pharmacol. Ther.&quot;,&quot;abstract&quot;:&quot;Drug transporter proteins are critical to the distribution of a wide range of endogenous compounds and xenobiotics such as hormones, bile acids, peptides, lipids, sugars, and drugs. There are two classes of drug transporters- the solute carrier (SLC) transporters and ATP-binding cassette (ABC) transporters -which predominantly differ in the energy source utilized to transport substrates across a membrane barrier. Despite their hydrophobic nature and residence in the membrane bilayer, drug transporters have dynamic structures and adopt many conformations during the translocation process. Whereas there is significant literature evidence for the substrate specificity and structure-function relationship for clinically relevant drug transporters proteins, there is less of an understanding in the regulatory mechanisms that contribute to the functional expression of these proteins. Post-translational modifications have been shown to modulate drug transporter functional expression via a wide range of molecular mechanisms. These modifications commonly occur through the addition of a functional group (e.g. phosphorylation), a small protein (e.g. ubiquitination), sugar chains (e.g. glycosylation), or lipids (e.g. palmitoylation) on solvent accessible amino acid residues. These covalent additions often occur as a result of a signaling cascade and may be reversible depending on the type of modification and the intended fate of the signaling event. Here, we review the significant role in which post-translational modifications contribute to the dynamic regulation and functional consequences of SLC and ABC drug transporters and highlight recent progress in understanding their roles in transporter structure, function, and regulation.Copyright © 2018 Elsevier Inc. All rights reserved.&quot;,&quot;author&quot;:[{&quot;family&quot;:&quot;Czuba&quot;,&quot;given&quot;:&quot;Lindsay C&quot;},{&quot;family&quot;:&quot;Hillgren&quot;,&quot;given&quot;:&quot;Kathleen M&quot;},{&quot;family&quot;:&quot;Swaan&quot;,&quot;given&quot;:&quot;Peter W&quot;}],&quot;issued&quot;:{&quot;date-parts&quot;:[[&quot;2018&quot;,&quot;12&quot;]]},&quot;DOI&quot;:&quot;10.1016/j.pharmthera.2018.06.013&quot;,&quot;PMID&quot;:&quot;29966598&quot;,&quot;PMCID&quot;:&quot;PMC6263853&quot;,&quot;citation-label&quot;:&quot;5673174&quot;},{&quot;title&quot;:&quot;Tissue-based map of the human proteome.&quot;,&quot;page&quot;:&quot;1260419&quot;,&quot;volume&quot;:&quot;347&quot;,&quot;issue&quot;:&quot;6220&quot;,&quot;journalAbbreviation&quot;:&quot;Science&quot;,&quot;id&quot;:&quot;67390&quot;,&quot;type&quot;:&quot;article-journal&quot;,&quot;container-title&quot;:&quot;Science&quot;,&quot;container-title-short&quot;:&quot;Science&quot;,&quot;abstract&quot;:&quot;Resolving the molecular details of proteome variation in the different tissues and organs of the human body will greatly increase our knowledge of human biology and disease. Here, we present a map of the human tissue proteome based on an integrated omics approach that involves quantitative transcriptomics at the tissue and organ level, combined with tissue microarray-based immunohistochemistry, to achieve spatial localization of proteins down to the single-cell level. Our tissue-based analysis detected more than 90% of the putative protein-coding genes. We used this approach to explore the human secretome, the membrane proteome, the druggable proteome, the cancer proteome, and the metabolic functions in 32 different tissues and organs. All the data are integrated in an interactive Web-based database that allows exploration of individual proteins, as well as navigation of global expression patterns, in all major tissues and organs in the human body. Copyright © 2015, American Association for the Advancement of Science.&quot;,&quot;author&quot;:[{&quot;family&quot;:&quot;Uhlén&quot;,&quot;given&quot;:&quot;M&quot;},{&quot;family&quot;:&quot;Fagerberg&quot;,&quot;given&quot;:&quot;L&quot;},{&quot;family&quot;:&quot;Hallström&quot;,&quot;given&quot;:&quot;B M&quot;},{&quot;family&quot;:&quot;Lindskog&quot;,&quot;given&quot;:&quot;C&quot;},{&quot;family&quot;:&quot;Oksvold&quot;,&quot;given&quot;:&quot;P&quot;},{&quot;family&quot;:&quot;Mardinoglu&quot;,&quot;given&quot;:&quot;A&quot;},{&quot;family&quot;:&quot;Sivertsson&quot;,&quot;given&quot;:&quot;Å&quot;},{&quot;family&quot;:&quot;Kampf&quot;,&quot;given&quot;:&quot;C&quot;},{&quot;family&quot;:&quot;Sjöstedt&quot;,&quot;given&quot;:&quot;E&quot;},{&quot;family&quot;:&quot;Asplund&quot;,&quot;given&quot;:&quot;A&quot;},{&quot;family&quot;:&quot;Olsson&quot;,&quot;given&quot;:&quot;I&quot;},{&quot;family&quot;:&quot;Edlund&quot;,&quot;given&quot;:&quot;K&quot;},{&quot;family&quot;:&quot;Lundberg&quot;,&quot;given&quot;:&quot;E&quot;},{&quot;family&quot;:&quot;Navani&quot;,&quot;given&quot;:&quot;S&quot;},{&quot;family&quot;:&quot;Szigyarto&quot;,&quot;given&quot;:&quot;C A&quot;},{&quot;family&quot;:&quot;Odeberg&quot;,&quot;given&quot;:&quot;J&quot;},{&quot;family&quot;:&quot;Djureinovic&quot;,&quot;given&quot;:&quot;D&quot;},{&quot;family&quot;:&quot;Takanen&quot;,&quot;given&quot;:&quot;J O&quot;},{&quot;family&quot;:&quot;Hober&quot;,&quot;given&quot;:&quot;S&quot;},{&quot;family&quot;:&quot;Alm&quot;,&quot;given&quot;:&quot;T&quot;},{&quot;family&quot;:&quot;Edqvist&quot;,&quot;given&quot;:&quot;P H&quot;},{&quot;family&quot;:&quot;Berling&quot;,&quot;given&quot;:&quot;H&quot;},{&quot;family&quot;:&quot;Tegel&quot;,&quot;given&quot;:&quot;H&quot;},{&quot;family&quot;:&quot;Mulder&quot;,&quot;given&quot;:&quot;J&quot;},{&quot;family&quot;:&quot;Rockberg&quot;,&quot;given&quot;:&quot;J&quot;},{&quot;family&quot;:&quot;Nilsson&quot;,&quot;given&quot;:&quot;P&quot;},{&quot;family&quot;:&quot;Schwenk&quot;,&quot;given&quot;:&quot;J M&quot;},{&quot;family&quot;:&quot;Hamsten&quot;,&quot;given&quot;:&quot;M&quot;},{&quot;family&quot;:&quot;von Feilitzen&quot;,&quot;given&quot;:&quot;K&quot;},{&quot;family&quot;:&quot;Forsberg&quot;,&quot;given&quot;:&quot;M&quot;},{&quot;family&quot;:&quot;Persson&quot;,&quot;given&quot;:&quot;L&quot;},{&quot;family&quot;:&quot;Johansson&quot;,&quot;given&quot;:&quot;F&quot;},{&quot;family&quot;:&quot;Zwahlen&quot;,&quot;given&quot;:&quot;M&quot;},{&quot;family&quot;:&quot;von Heijne&quot;,&quot;given&quot;:&quot;G&quot;},{&quot;family&quot;:&quot;Nielsen&quot;,&quot;given&quot;:&quot;J&quot;},{&quot;family&quot;:&quot;Pontén&quot;,&quot;given&quot;:&quot;F&quot;}],&quot;issued&quot;:{&quot;date-parts&quot;:[[&quot;2015&quot;,&quot;1&quot;,&quot;23&quot;]]},&quot;DOI&quot;:&quot;10.1126/science.1260419&quot;,&quot;PMID&quot;:&quot;25613900&quot;,&quot;citation-label&quot;:&quot;67390&quot;},{&quot;title&quot;:&quot;A comprehensive transcriptional portrait of human cancer cell lines.&quot;,&quot;page&quot;:&quot;306-312&quot;,&quot;volume&quot;:&quot;33&quot;,&quot;issue&quot;:&quot;3&quot;,&quot;journalAbbreviation&quot;:&quot;Nat. Biotechnol.&quot;,&quot;id&quot;:&quot;1227976&quot;,&quot;type&quot;:&quot;article-journal&quot;,&quot;container-title&quot;:&quot;Nature Biotechnology&quot;,&quot;container-title-short&quot;:&quot;Nat. Biotechnol.&quot;,&quot;abstract&quot;:&quot;Tumor-derived cell lines have served as vital models to advance our understanding of oncogene function and therapeutic responses. Although substantial effort has been made to define the genomic constitution of cancer cell line panels, the transcriptome remains understudied. Here we describe RNA sequencing and single-nucleotide polymorphism (SNP) array analysis of 675 human cancer cell lines. We report comprehensive analyses of transcriptome features including gene expression, mutations, gene fusions and expression of non-human sequences. Of the 2,200 gene fusions catalogued, 1,435 consist of genes not previously found in fusions, providing many leads for further investigation. We combine multiple genome and transcriptome features in a pathway-based approach to enhance prediction of response to targeted therapeutics. Our results provide a valuable resource for studies that use cancer cell lines.&quot;,&quot;author&quot;:[{&quot;family&quot;:&quot;Klijn&quot;,&quot;given&quot;:&quot;Christiaan&quot;},{&quot;family&quot;:&quot;Durinck&quot;,&quot;given&quot;:&quot;Steffen&quot;},{&quot;family&quot;:&quot;Stawiski&quot;,&quot;given&quot;:&quot;Eric W&quot;},{&quot;family&quot;:&quot;Haverty&quot;,&quot;given&quot;:&quot;Peter M&quot;},{&quot;family&quot;:&quot;Jiang&quot;,&quot;given&quot;:&quot;Zhaoshi&quot;},{&quot;family&quot;:&quot;Liu&quot;,&quot;given&quot;:&quot;Hanbin&quot;},{&quot;family&quot;:&quot;Degenhardt&quot;,&quot;given&quot;:&quot;Jeremiah&quot;},{&quot;family&quot;:&quot;Mayba&quot;,&quot;given&quot;:&quot;Oleg&quot;},{&quot;family&quot;:&quot;Gnad&quot;,&quot;given&quot;:&quot;Florian&quot;},{&quot;family&quot;:&quot;Liu&quot;,&quot;given&quot;:&quot;Jinfeng&quot;},{&quot;family&quot;:&quot;Pau&quot;,&quot;given&quot;:&quot;Gregoire&quot;},{&quot;family&quot;:&quot;Reeder&quot;,&quot;given&quot;:&quot;Jens&quot;},{&quot;family&quot;:&quot;Cao&quot;,&quot;given&quot;:&quot;Yi&quot;},{&quot;family&quot;:&quot;Mukhyala&quot;,&quot;given&quot;:&quot;Kiran&quot;},{&quot;family&quot;:&quot;Selvaraj&quot;,&quot;given&quot;:&quot;Suresh K&quot;},{&quot;family&quot;:&quot;Yu&quot;,&quot;given&quot;:&quot;Mamie&quot;},{&quot;family&quot;:&quot;Zynda&quot;,&quot;given&quot;:&quot;Gregory J&quot;},{&quot;family&quot;:&quot;Brauer&quot;,&quot;given&quot;:&quot;Matthew J&quot;},{&quot;family&quot;:&quot;Wu&quot;,&quot;given&quot;:&quot;Thomas D&quot;},{&quot;family&quot;:&quot;Gentleman&quot;,&quot;given&quot;:&quot;Robert C&quot;},{&quot;family&quot;:&quot;Manning&quot;,&quot;given&quot;:&quot;Gerard&quot;},{&quot;family&quot;:&quot;Yauch&quot;,&quot;given&quot;:&quot;Robert L&quot;},{&quot;family&quot;:&quot;Bourgon&quot;,&quot;given&quot;:&quot;Richard&quot;},{&quot;family&quot;:&quot;Stokoe&quot;,&quot;given&quot;:&quot;David&quot;},{&quot;family&quot;:&quot;Modrusan&quot;,&quot;given&quot;:&quot;Zora&quot;},{&quot;family&quot;:&quot;Neve&quot;,&quot;given&quot;:&quot;Richard M&quot;},{&quot;family&quot;:&quot;de Sauvage&quot;,&quot;given&quot;:&quot;Frederic J&quot;},{&quot;family&quot;:&quot;Settleman&quot;,&quot;given&quot;:&quot;Jeffrey&quot;},{&quot;family&quot;:&quot;Seshagiri&quot;,&quot;given&quot;:&quot;Somasekar&quot;},{&quot;family&quot;:&quot;Zhang&quot;,&quot;given&quot;:&quot;Zemin&quot;}],&quot;issued&quot;:{&quot;date-parts&quot;:[[&quot;2015&quot;,&quot;3&quot;]]},&quot;DOI&quot;:&quot;10.1038/nbt.3080&quot;,&quot;PMID&quot;:&quot;25485619&quot;,&quot;citation-label&quot;:&quot;1227976&quot;},{&quot;title&quot;:&quot;Proteome survey reveals modularity of the yeast cell machinery.&quot;,&quot;page&quot;:&quot;631-636&quot;,&quot;volume&quot;:&quot;440&quot;,&quot;issue&quot;:&quot;7084&quot;,&quot;journalAbbreviation&quot;:&quot;Nature&quot;,&quot;id&quot;:&quot;589901&quot;,&quot;type&quot;:&quot;article-journal&quot;,&quot;container-title&quot;:&quot;Nature&quot;,&quot;container-title-short&quot;:&quot;Nature&quot;,&quot;abstract&quot;:&quot;Protein complexes are key molecular entities that integrate multiple gene products to perform cellular functions. Here we report the first genome-wide screen for complexes in an organism, budding yeast, using affinity purification and mass spectrometry. Through systematic tagging of open reading frames (ORFs), the majority of complexes were purified several times, suggesting screen saturation. The richness of the data set enabled a de novo characterization of the composition and organization of the cellular machinery. The ensemble of cellular proteins partitions into 491 complexes, of which 257 are novel, that differentially combine with additional attachment proteins or protein modules to enable a diversification of potential functions. Support for this modular organization of the proteome comes from integration with available data on expression, localization, function, evolutionary conservation, protein structure and binary interactions. This study provides the largest collection of physically determined eukaryotic cellular machines so far and a platform for biological data integration and modelling.&quot;,&quot;author&quot;:[{&quot;family&quot;:&quot;Gavin&quot;,&quot;given&quot;:&quot;Anne-Claude&quot;},{&quot;family&quot;:&quot;Aloy&quot;,&quot;given&quot;:&quot;Patrick&quot;},{&quot;family&quot;:&quot;Grandi&quot;,&quot;given&quot;:&quot;Paola&quot;},{&quot;family&quot;:&quot;Krause&quot;,&quot;given&quot;:&quot;Roland&quot;},{&quot;family&quot;:&quot;Boesche&quot;,&quot;given&quot;:&quot;Markus&quot;},{&quot;family&quot;:&quot;Marzioch&quot;,&quot;given&quot;:&quot;Martina&quot;},{&quot;family&quot;:&quot;Rau&quot;,&quot;given&quot;:&quot;Christina&quot;},{&quot;family&quot;:&quot;Jensen&quot;,&quot;given&quot;:&quot;Lars Juhl&quot;},{&quot;family&quot;:&quot;Bastuck&quot;,&quot;given&quot;:&quot;Sonja&quot;},{&quot;family&quot;:&quot;Dümpelfeld&quot;,&quot;given&quot;:&quot;Birgit&quot;},{&quot;family&quot;:&quot;Edelmann&quot;,&quot;given&quot;:&quot;Angela&quot;},{&quot;family&quot;:&quot;Heurtier&quot;,&quot;given&quot;:&quot;Marie-Anne&quot;},{&quot;family&quot;:&quot;Hoffman&quot;,&quot;given&quot;:&quot;Verena&quot;},{&quot;family&quot;:&quot;Hoefert&quot;,&quot;given&quot;:&quot;Christian&quot;},{&quot;family&quot;:&quot;Klein&quot;,&quot;given&quot;:&quot;Karin&quot;},{&quot;family&quot;:&quot;Hudak&quot;,&quot;given&quot;:&quot;Manuela&quot;},{&quot;family&quot;:&quot;Michon&quot;,&quot;given&quot;:&quot;Anne-Marie&quot;},{&quot;family&quot;:&quot;Schelder&quot;,&quot;given&quot;:&quot;Malgorzata&quot;},{&quot;family&quot;:&quot;Schirle&quot;,&quot;given&quot;:&quot;Markus&quot;},{&quot;family&quot;:&quot;Remor&quot;,&quot;given&quot;:&quot;Marita&quot;},{&quot;family&quot;:&quot;Rudi&quot;,&quot;given&quot;:&quot;Tatjana&quot;},{&quot;family&quot;:&quot;Hooper&quot;,&quot;given&quot;:&quot;Sean&quot;},{&quot;family&quot;:&quot;Bauer&quot;,&quot;given&quot;:&quot;Andreas&quot;},{&quot;family&quot;:&quot;Bouwmeester&quot;,&quot;given&quot;:&quot;Tewis&quot;},{&quot;family&quot;:&quot;Casari&quot;,&quot;given&quot;:&quot;Georg&quot;},{&quot;family&quot;:&quot;Drewes&quot;,&quot;given&quot;:&quot;Gerard&quot;},{&quot;family&quot;:&quot;Neubauer&quot;,&quot;given&quot;:&quot;Gitte&quot;},{&quot;family&quot;:&quot;Rick&quot;,&quot;given&quot;:&quot;Jens M&quot;},{&quot;family&quot;:&quot;Kuster&quot;,&quot;given&quot;:&quot;Bernhard&quot;},{&quot;family&quot;:&quot;Bork&quot;,&quot;given&quot;:&quot;Peer&quot;},{&quot;family&quot;:&quot;Russell&quot;,&quot;given&quot;:&quot;Robert B&quot;},{&quot;family&quot;:&quot;Superti-Furga&quot;,&quot;given&quot;:&quot;Giulio&quot;}],&quot;issued&quot;:{&quot;date-parts&quot;:[[&quot;2006&quot;,&quot;3&quot;,&quot;30&quot;]]},&quot;DOI&quot;:&quot;10.1038/nature04532&quot;,&quot;PMID&quot;:&quot;16429126&quot;,&quot;citation-label&quot;:&quot;589901&quot;},{&quot;title&quot;:&quot;A substrate-based ontology for human solute carriers.&quot;,&quot;page&quot;:&quot;e9652&quot;,&quot;volume&quot;:&quot;16&quot;,&quot;issue&quot;:&quot;7&quot;,&quot;journalAbbreviation&quot;:&quot;Mol. Syst. Biol.&quot;,&quot;id&quot;:&quot;9329354&quot;,&quot;type&quot;:&quot;article-journal&quot;,&quot;container-title&quot;:&quot;Molecular Systems Biology&quot;,&quot;container-title-short&quot;:&quot;Mol. Syst. Biol.&quot;,&quot;abstract&quot;:&quot;Solute carriers (SLCs) are the largest family of transmembrane transporters in the human genome with more than 400 members. Despite the fact that SLCs mediate critical biological functions and several are important pharmacological targets, a large proportion of them is poorly characterized and present no assigned substrate. A major limitation to systems-level de-orphanization campaigns is the absence of a structured, language-controlled chemical annotation. Here we describe a thorough manual annotation of SLCs based on literature. The annotation of substrates, transport mechanism, coupled ions, and subcellular localization for 446 human SLCs confirmed that ~30% of these were still functionally orphan and lacked known substrates. Application of a substrate-based ontology to transcriptomic datasets identified SLC-specific responses to external perturbations, while a machine-learning approach based on the annotation allowed us to identify potential substrates for several orphan SLCs. The annotation is available at https://opendata.cemm.at/gsflab/slcontology/. Given the increasing availability of large biological datasets and the growing interest in transporters, we expect that the effort presented here will be critical to provide novel insights into the functions of SLCs.© 2020 The Authors. Published under the terms of the CC BY 4.0 license.&quot;,&quot;author&quot;:[{&quot;family&quot;:&quot;Meixner&quot;,&quot;given&quot;:&quot;Eva&quot;},{&quot;family&quot;:&quot;Goldmann&quot;,&quot;given&quot;:&quot;Ulrich&quot;},{&quot;family&quot;:&quot;Sedlyarov&quot;,&quot;given&quot;:&quot;Vitaly&quot;},{&quot;family&quot;:&quot;Scorzoni&quot;,&quot;given&quot;:&quot;Stefania&quot;},{&quot;family&quot;:&quot;Rebsamen&quot;,&quot;given&quot;:&quot;Manuele&quot;},{&quot;family&quot;:&quot;Girardi&quot;,&quot;given&quot;:&quot;Enrico&quot;},{&quot;family&quot;:&quot;Superti-Furga&quot;,&quot;given&quot;:&quot;Giulio&quot;}],&quot;issued&quot;:{&quot;date-parts&quot;:[[&quot;2020&quot;,&quot;7&quot;]]},&quot;DOI&quot;:&quot;10.15252/msb.20209652&quot;,&quot;PMID&quot;:&quot;32697042&quot;,&quot;PMCID&quot;:&quot;PMC7374931&quot;,&quot;citation-label&quot;:&quot;9329354&quot;},{&quot;title&quot;:&quot;The amino acid transport system y+L/4F2hc is a heteromultimeric complex.&quot;,&quot;page&quot;:&quot;1319-1329&quot;,&quot;volume&quot;:&quot;12&quot;,&quot;issue&quot;:&quot;13&quot;,&quot;journalAbbreviation&quot;:&quot;FASEB J.&quot;,&quot;id&quot;:&quot;17402736&quot;,&quot;type&quot;:&quot;article-journal&quot;,&quot;container-title&quot;:&quot;The FASEB Journal&quot;,&quot;container-title-short&quot;:&quot;FASEB J.&quot;,&quot;abstract&quot;:&quot;4F2hc is an almost ubiquitous transmembrane protein in mammalian cells; upon expression in Xenopus laevis oocytes, it induces amino acid transport with characteristics of system y+L. Indirect evidence fostered speculation that function requires the association of 4F2hc with another protein endogenous to oocytes and native tissues. We show that expression of system y+L-like amino acid transport activity by 4F2hc in oocytes is limited by an endogenous factor and that direct covalent modification of external cysteine residue(s) of an oocyte membrane protein blocks system y+L/4F2hc transport activity, based on the following. 1) Induction of system y+L-like activity saturates at very low doses of human 4F2hc cRNA (0.1 ng/oocyte). This saturation occurs with very low expression of 4F2hc at the oocyte surface, and further increased expression of the protein at the cell surface does not result in higher induction of system y+L-like activity. 2) Human 4F2hc contains only two cysteine residues (C109 and C330). We mutated these residues, singly and in combination, to serine (C109S; CS1, C330S; CS2 and C109S-C330S, Cys-less). Mutation CS2 had no effect on the expressed system y+L-like transport activity, whereas C109S-containing mutants (CS1 and Cys-less) retained only partial y+L-like transport activity (30 to 50% of wild type). 3) Hg2+, the organic mercury compounds pCMB, and the membrane-impermeant pCMBS almost completely inactivated system y+L-like induced by human 4F2hc wild type and all the mutants studied. This was reversed by ss-mercaptoethanol, indicating that external cysteine residue(s) are the target of this inactivation. 4) Sensitivity to Hg2+ inactivation is increased by pretreatment of oocytes with ss-mercaptoethanol or in the C109S-containing mutants (CS1 and Cys-less). The increased Hg2+ reactivity of C109S-containing mutants supports the possibility that C109 may be linked by a disulfide bond to the Hg2+-targeted cysteine residue of the associated protein. These results indicate that 4F2hc is intimately associated with a membrane oocyte protein for the expression of system y+L amino acid transport activity. To our knowledge, this is the first direct evidence for a heteromultimeric protein structure of an organic solute carrier in mammals.&quot;,&quot;author&quot;:[{&quot;family&quot;:&quot;Estévez&quot;,&quot;given&quot;:&quot;R&quot;},{&quot;family&quot;:&quot;Camps&quot;,&quot;given&quot;:&quot;M&quot;},{&quot;family&quot;:&quot;Rojas&quot;,&quot;given&quot;:&quot;A M&quot;},{&quot;family&quot;:&quot;Testar&quot;,&quot;given&quot;:&quot;X&quot;},{&quot;family&quot;:&quot;Devés&quot;,&quot;given&quot;:&quot;R&quot;},{&quot;family&quot;:&quot;Hediger&quot;,&quot;given&quot;:&quot;M A&quot;},{&quot;family&quot;:&quot;Zorzano&quot;,&quot;given&quot;:&quot;A&quot;},{&quot;family&quot;:&quot;Palacín&quot;,&quot;given&quot;:&quot;M&quot;}],&quot;issued&quot;:{&quot;date-parts&quot;:[[&quot;1998&quot;,&quot;10&quot;]]},&quot;DOI&quot;:&quot;10.1096/fasebj.12.13.1319&quot;,&quot;PMID&quot;:&quot;9761775&quot;,&quot;citation-label&quot;:&quot;17402736&quot;},{&quot;title&quot;:&quot;Consensus mutagenesis approach improves the thermal stability of system xc- transporter, xCT, and enables cryo-EM analyses.&quot;,&quot;page&quot;:&quot;2398-2407&quot;,&quot;volume&quot;:&quot;29&quot;,&quot;issue&quot;:&quot;12&quot;,&quot;journalAbbreviation&quot;:&quot;Protein Sci.&quot;,&quot;id&quot;:&quot;10575086&quot;,&quot;type&quot;:&quot;article-journal&quot;,&quot;container-title&quot;:&quot;Protein Science&quot;,&quot;container-title-short&quot;:&quot;Protein Sci.&quot;,&quot;abstract&quot;:&quot;System xc- is an amino acid antiporter that imports L-cystine into cells and exports intracellular L-glutamate, at a 1:1 ratio. As L-cystine is an essential precursor for glutathione synthesis, system xc- supports tumor cell growth through glutathione-based oxidative stress resistance and is considered as a potential therapeutic target for cancer treatment. System xc- consists of two subunits, the light chain subunit SLC7A11 (xCT) and the heavy chain subunit SLC3A2 (also known as CD98hc or 4F2hc), which are linked by a conserved disulfide bridge. Although the recent structures of another SLC7 member, L-type amino acid transporter 1 (LAT1) in complex with CD98hc, have provided the structural basis toward understanding the amino acid transport mechanism, the detailed molecular mechanism of xCT remains unknown. To revealthe molecular mechanism, we performed single-particle analyses of the xCT-CD98hc complex. As wild-type xCT-CD98hc displayed poor stability and could not be purified to homogeneity, we applied a consensus mutagenesis approach to xCT. The consensus mutated construct exhibited increased stability as compared to the wild-type, and enabled the cryoelectron microscopy (cryo-EM) map to be obtained at 6.2 Å resolution by single-particle analysis. The cryo-EM map revealed sufficient electron density to assign secondary structures. In the xCT structure, the hash and arm domains are well resolved, whereas the bundle domain shows some flexibility. CD98hc is positioned next to the xCT transmembrane domain. This study provides the structural basis of xCT, and our consensus-based strategy could represent a good choice toward solving unstable protein structures.© 2020 The Authors. Protein Science published by Wiley Periodicals LLC on behalf of The Protein Society.&quot;,&quot;author&quot;:[{&quot;family&quot;:&quot;Oda&quot;,&quot;given&quot;:&quot;Kazumasa&quot;},{&quot;family&quot;:&quot;Lee&quot;,&quot;given&quot;:&quot;Yongchan&quot;},{&quot;family&quot;:&quot;Wiriyasermkul&quot;,&quot;given&quot;:&quot;Pattama&quot;},{&quot;family&quot;:&quot;Tanaka&quot;,&quot;given&quot;:&quot;Yoko&quot;},{&quot;family&quot;:&quot;Takemoto&quot;,&quot;given&quot;:&quot;Mizuki&quot;},{&quot;family&quot;:&quot;Yamashita&quot;,&quot;given&quot;:&quot;Keitaro&quot;},{&quot;family&quot;:&quot;Nagamori&quot;,&quot;given&quot;:&quot;Shushi&quot;},{&quot;family&quot;:&quot;Nishizawa&quot;,&quot;given&quot;:&quot;Tomohiro&quot;},{&quot;family&quot;:&quot;Nureki&quot;,&quot;given&quot;:&quot;Osamu&quot;}],&quot;issued&quot;:{&quot;date-parts&quot;:[[&quot;2020&quot;,&quot;12&quot;]]},&quot;DOI&quot;:&quot;10.1002/pro.3966&quot;,&quot;PMID&quot;:&quot;33016372&quot;,&quot;PMCID&quot;:&quot;PMC7679960&quot;,&quot;citation-label&quot;:&quot;10575086&quot;},{&quot;title&quot;:&quot;Structural basis for substrate specificity of heteromeric transporters of neutral amino acids.&quot;,&quot;volume&quot;:&quot;118&quot;,&quot;issue&quot;:&quot;49&quot;,&quot;journalAbbreviation&quot;:&quot;Proc Natl Acad Sci USA&quot;,&quot;id&quot;:&quot;16100935&quot;,&quot;type&quot;:&quot;article-journal&quot;,&quot;container-title&quot;:&quot;Proceedings of the National Academy of Sciences of the United States of America&quot;,&quot;container-title-short&quot;:&quot;Proc Natl Acad Sci USA&quot;,&quot;abstract&quot;:&quot;Despite having similar structures, each member of the heteromeric amino acid transporter (HAT) family shows exquisite preference for the exchange of certain amino acids. Substrate specificity determines the physiological function of each HAT and their role in human diseases. However, HAT transport preference for some amino acids over others is not yet fully understood. Using cryo-electron microscopy of apo human LAT2/CD98hc and a multidisciplinary approach, we elucidate key molecular determinants governing neutral amino acid specificity in HATs. A few residues in the substrate-binding pocket determine substrate preference. Here, we describe mutations that interconvert the substrate profiles of LAT2/CD98hc, LAT1/CD98hc, and Asc1/CD98hc. In addition, a region far from the substrate-binding pocket critically influences the conformation of the substrate-binding site and substrate preference. This region accumulates mutations that alter substrate specificity and cause hearing loss and cataracts. Here, we uncover molecular mechanisms governing substrate specificity within the HAT family of neutral amino acid transporters and provide the structural bases for mutations in LAT2/CD98hc that alter substrate specificity and that are associated with several pathologies.&quot;,&quot;author&quot;:[{&quot;family&quot;:&quot;Rodriguez&quot;,&quot;given&quot;:&quot;Carlos F&quot;},{&quot;family&quot;:&quot;Escudero-Bravo&quot;,&quot;given&quot;:&quot;Paloma&quot;},{&quot;family&quot;:&quot;Díaz&quot;,&quot;given&quot;:&quot;Lucía&quot;},{&quot;family&quot;:&quot;Bartoccioni&quot;,&quot;given&quot;:&quot;Paola&quot;},{&quot;family&quot;:&quot;García-Martín&quot;,&quot;given&quot;:&quot;Carmen&quot;},{&quot;family&quot;:&quot;Gilabert&quot;,&quot;given&quot;:&quot;Joan G&quot;},{&quot;family&quot;:&quot;Boskovic&quot;,&quot;given&quot;:&quot;Jasminka&quot;},{&quot;family&quot;:&quot;Guallar&quot;,&quot;given&quot;:&quot;Víctor&quot;},{&quot;family&quot;:&quot;Errasti-Murugarren&quot;,&quot;given&quot;:&quot;Ekaitz&quot;},{&quot;family&quot;:&quot;Llorca&quot;,&quot;given&quot;:&quot;Oscar&quot;},{&quot;family&quot;:&quot;Palacín&quot;,&quot;given&quot;:&quot;Manuel&quot;}],&quot;issued&quot;:{&quot;date-parts&quot;:[[&quot;2021&quot;,&quot;12&quot;,&quot;7&quot;]]},&quot;DOI&quot;:&quot;10.1073/pnas.2113573118&quot;,&quot;PMID&quot;:&quot;34848541&quot;,&quot;PMCID&quot;:&quot;PMC8670485&quot;,&quot;citation-label&quot;:&quot;16100935&quot;},{&quot;title&quot;:&quot;Ca2+-mediated higher-order assembly of heterodimers in amino acid transport system b0,+ biogenesis and cystinuria.&quot;,&quot;page&quot;:&quot;2708&quot;,&quot;volume&quot;:&quot;13&quot;,&quot;issue&quot;:&quot;1&quot;,&quot;journalAbbreviation&quot;:&quot;Nat. Commun.&quot;,&quot;id&quot;:&quot;13015418&quot;,&quot;type&quot;:&quot;article-journal&quot;,&quot;container-title&quot;:&quot;Nature Communications&quot;,&quot;container-title-short&quot;:&quot;Nat. Commun.&quot;,&quot;abstract&quot;:&quot;Cystinuria is a genetic disorder characterized by overexcretion of dibasic amino acids and cystine, causing recurrent kidney stones and kidney failure. Mutations of the regulatory glycoprotein rBAT and the amino acid transporter b0,+AT, which constitute system b0,+, are linked to type I and non-type I cystinuria respectively and they exhibit distinct phenotypes due to protein trafficking defects or catalytic inactivation. Here, using electron cryo-microscopy and biochemistry, we discover that Ca2+ mediates higher-order assembly of system b0,+. Ca2+ stabilizes the interface between two rBAT molecules, leading to super-dimerization of b0,+AT-rBAT, which in turn facilitates N-glycan maturation and protein trafficking. A cystinuria mutant T216M and mutations of the Ca2+ site of rBAT cause the loss of higher-order assemblies, resulting in protein trapping at the ER and the loss of function. These results provide the molecular basis of system b0,+ biogenesis and type I cystinuria and serve as a guide to develop new therapeutic strategies against it. More broadly, our findings reveal an unprecedented link between transporter oligomeric assembly and protein-trafficking diseases.© 2022. The Author(s).&quot;,&quot;author&quot;:[{&quot;family&quot;:&quot;Lee&quot;,&quot;given&quot;:&quot;Yongchan&quot;},{&quot;family&quot;:&quot;Wiriyasermkul&quot;,&quot;given&quot;:&quot;Pattama&quot;},{&quot;family&quot;:&quot;Kongpracha&quot;,&quot;given&quot;:&quot;Pornparn&quot;},{&quot;family&quot;:&quot;Moriyama&quot;,&quot;given&quot;:&quot;Satomi&quot;},{&quot;family&quot;:&quot;Mills&quot;,&quot;given&quot;:&quot;Deryck J&quot;},{&quot;family&quot;:&quot;Kühlbrandt&quot;,&quot;given&quot;:&quot;Werner&quot;},{&quot;family&quot;:&quot;Nagamori&quot;,&quot;given&quot;:&quot;Shushi&quot;}],&quot;issued&quot;:{&quot;date-parts&quot;:[[&quot;2022&quot;,&quot;5&quot;,&quot;16&quot;]]},&quot;DOI&quot;:&quot;10.1038/s41467-022-30293-9&quot;,&quot;PMID&quot;:&quot;35577790&quot;,&quot;PMCID&quot;:&quot;PMC9110406&quot;,&quot;citation-label&quot;:&quot;13015418&quot;},{&quot;title&quot;:&quot;Amino-acid transport by heterodimers of 4F2hc/CD98 and members of a permease family.&quot;,&quot;page&quot;:&quot;288-291&quot;,&quot;volume&quot;:&quot;395&quot;,&quot;issue&quot;:&quot;6699&quot;,&quot;journalAbbreviation&quot;:&quot;Nature&quot;,&quot;id&quot;:&quot;12639565&quot;,&quot;type&quot;:&quot;article-journal&quot;,&quot;container-title&quot;:&quot;Nature&quot;,&quot;container-title-short&quot;:&quot;Nature&quot;,&quot;abstract&quot;:&quot;Amino-acid transport across cellular plasma membranes depends on several parallel-functioning (co-)transporters and exchangers. The widespread transport system L accounts for a sodium-independent exchange of large, neutral amino acids, whereas the system y(+)L exchanges positively charged amino acids and/or neutral amino acids together with sodium. The molecular nature of these transporters remains unknown, although expression of the human cell-surface glycoprotein 4F2 heavy chain (h4F2hc; CD98 in the mouse) is known to induce low levels of L- and/or y(+)L-type transport. This glycoprotein is found in activated lymphocytes, together with an uncharacterized, disulphide-linked lipophilic light chain with an apparent relative molecular mass of 40,000 (M(r) 40K). Here we identify the permease-related protein E16 as the first light chain of h4F2hc and show that the resulting heterodimeric complex mediates L-type amino-acid transport. The homologous protein from Schistosoma mansoni, SPRM1, also associates covalently with coexpressed h4F2hc glycoprotein, although it induces amino-acid transport of different substrate specificity. The coexpression of h4F2hc is required for surface expression of these permease-related light chains, which belong to a new family of amino-acid transporters that form heterodimers with cell-surface glycoproteins.&quot;,&quot;author&quot;:[{&quot;family&quot;:&quot;Mastroberardino&quot;,&quot;given&quot;:&quot;L&quot;},{&quot;family&quot;:&quot;Spindler&quot;,&quot;given&quot;:&quot;B&quot;},{&quot;family&quot;:&quot;Pfeiffer&quot;,&quot;given&quot;:&quot;R&quot;},{&quot;family&quot;:&quot;Skelly&quot;,&quot;given&quot;:&quot;P J&quot;},{&quot;family&quot;:&quot;Loffing&quot;,&quot;given&quot;:&quot;J&quot;},{&quot;family&quot;:&quot;Shoemaker&quot;,&quot;given&quot;:&quot;C B&quot;},{&quot;family&quot;:&quot;Verrey&quot;,&quot;given&quot;:&quot;F&quot;}],&quot;issued&quot;:{&quot;date-parts&quot;:[[&quot;1998&quot;,&quot;9&quot;,&quot;17&quot;]]},&quot;DOI&quot;:&quot;10.1038/26246&quot;,&quot;PMID&quot;:&quot;9751058&quot;,&quot;citation-label&quot;:&quot;12639565&quot;},{&quot;title&quot;:&quot;Amino acid transporters revisited: New views in health and disease.&quot;,&quot;page&quot;:&quot;752-789&quot;,&quot;volume&quot;:&quot;43&quot;,&quot;issue&quot;:&quot;10&quot;,&quot;journalAbbreviation&quot;:&quot;Trends Biochem. Sci.&quot;,&quot;id&quot;:&quot;6982509&quot;,&quot;type&quot;:&quot;article-journal&quot;,&quot;container-title&quot;:&quot;Trends in Biochemical Sciences&quot;,&quot;container-title-short&quot;:&quot;Trends Biochem. Sci.&quot;,&quot;abstract&quot;:&quot;Amino acid transporters (AATs) are membrane-bound transport proteins that mediate transfer of amino acids into and out of cells or cellular organelles. AATs have diverse functional roles ranging from neurotransmission to acid-base balance, intracellular energy metabolism, and anabolic and catabolic reactions. In cancer cells and diabetes, dysregulation of AATs leads to metabolic reprogramming, which changes intracellular amino acid levels, contributing to the pathogenesis of cancer, obesity and diabetes. Indeed, the neutral amino acid transporters (NATs) SLC7A5/LAT1 and SLC1A5/ASCT2 are likely involved in several human malignancies. However, a clinical therapy that directly targets AATs has not yet been developed. The purpose of this review is to highlight the structural and functional diversity of AATs, their diverse physiological roles in different tissues and organs, their wide-ranging implications in human diseases and the emerging strategies and tools that will be necessary to target AATs therapeutically.Copyright © 2018 Elsevier Ltd. All rights reserved.&quot;,&quot;author&quot;:[{&quot;family&quot;:&quot;Kandasamy&quot;,&quot;given&quot;:&quot;Palanivel&quot;},{&quot;family&quot;:&quot;Gyimesi&quot;,&quot;given&quot;:&quot;Gergely&quot;},{&quot;family&quot;:&quot;Kanai&quot;,&quot;given&quot;:&quot;Yoshikatsu&quot;},{&quot;family&quot;:&quot;Hediger&quot;,&quot;given&quot;:&quot;Matthias A&quot;}],&quot;issued&quot;:{&quot;date-parts&quot;:[[&quot;2018&quot;,&quot;10&quot;]]},&quot;DOI&quot;:&quot;10.1016/j.tibs.2018.05.003&quot;,&quot;PMID&quot;:&quot;30177408&quot;,&quot;citation-label&quot;:&quot;6982509&quot;},{&quot;title&quot;:&quot;Structure and mechanism of the human NHE1-CHP1 complex.&quot;,&quot;page&quot;:&quot;3474&quot;,&quot;volume&quot;:&quot;12&quot;,&quot;issue&quot;:&quot;1&quot;,&quot;journalAbbreviation&quot;:&quot;Nat. Commun.&quot;,&quot;id&quot;:&quot;12276559&quot;,&quot;type&quot;:&quot;article-journal&quot;,&quot;container-title&quot;:&quot;Nature Communications&quot;,&quot;container-title-short&quot;:&quot;Nat. Commun.&quot;,&quot;abstract&quot;:&quot;Sodium/proton exchanger 1 (NHE1) is an electroneutral secondary active transporter present on the plasma membrane of most mammalian cells and plays critical roles in regulating intracellular pH and volume homeostasis. Calcineurin B-homologous protein 1 (CHP1) is an obligate binding partner that promotes NHE1 biosynthetic maturation, cell surface expression and pH-sensitivity. Dysfunctions of either protein are associated with neurological disorders. Here, we elucidate structures of the human NHE1-CHP1 complex in both inward- and inhibitor (cariporide)-bound outward-facing conformations. We find that NHE1 assembles as a symmetrical homodimer, with each subunit undergoing an elevator-like conformational change during cation exchange. The cryo-EM map reveals the binding site for the NHE1 inhibitor cariporide, illustrating how inhibitors block transport activity. The CHP1 molecule differentially associates with these two conformational states of each NHE1 monomer, and this association difference probably underlies the regulation of NHE1 pH-sensitivity by CHP1.&quot;,&quot;author&quot;:[{&quot;family&quot;:&quot;Dong&quot;,&quot;given&quot;:&quot;Yanli&quot;},{&quot;family&quot;:&quot;Gao&quot;,&quot;given&quot;:&quot;Yiwei&quot;},{&quot;family&quot;:&quot;Ilie&quot;,&quot;given&quot;:&quot;Alina&quot;},{&quot;family&quot;:&quot;Kim&quot;,&quot;given&quot;:&quot;DuSik&quot;},{&quot;family&quot;:&quot;Boucher&quot;,&quot;given&quot;:&quot;Annie&quot;},{&quot;family&quot;:&quot;Li&quot;,&quot;given&quot;:&quot;Bin&quot;},{&quot;family&quot;:&quot;Zhang&quot;,&quot;given&quot;:&quot;Xuejun C&quot;},{&quot;family&quot;:&quot;Orlowski&quot;,&quot;given&quot;:&quot;John&quot;},{&quot;family&quot;:&quot;Zhao&quot;,&quot;given&quot;:&quot;Yan&quot;}],&quot;issued&quot;:{&quot;date-parts&quot;:[[&quot;2021&quot;,&quot;6&quot;,&quot;9&quot;]]},&quot;DOI&quot;:&quot;10.1038/s41467-021-23496-z&quot;,&quot;PMID&quot;:&quot;34108458&quot;,&quot;PMCID&quot;:&quot;PMC8190280&quot;,&quot;citation-label&quot;:&quot;12276559&quot;}]"/>
    <we:property name="sciwheel-selectedStyle" value="{&quot;id&quot;:&quot;molecular-systems-biology&quot;,&quot;name&quot;:&quot;Molecular Systems Biology&quot;,&quot;bibText&quot;:[{&quot;maxoffset&quot;:0,&quot;entryspacing&quot;:1,&quot;linespacing&quot;:1,&quot;second-field-align&quot;:false,&quot;entry_ids&quot;:[[&quot;0&quot;]],&quot;bibliography_errors&quot;:[],&quot;done&quot;:false,&quot;hangingindent&quot;:true,&quot;bibstart&quot;:&quot;&lt;div class=\&quot;csl-bib-body\&quot;&gt;\n&quot;,&quot;bibend&quot;:&quot;&lt;/div&gt;&quot;},[&quot;  &lt;div class=\&quot;csl-entry\&quot;&gt;Accadia T, Acernese F, Alshourbagy M, Amico P, Antonucci F, Aoudia S, Arnaud N, Arnault C, Arun KG, Astone P, &lt;i&gt;et al&lt;/i&gt; (2012) Virgo: a laser interferometer to detect gravitational waves. &lt;i&gt;J Instrum&lt;/i&gt; 7: P03012–P03012&lt;/div&gt;\n&quot;]],&quot;citationText&quot;:&quot;(Accadia &lt;i&gt;et al&lt;/i&gt;, 2012)&quot;}"/>
    <we:property name="sciwheel-styles" value="[{&quot;id&quot;:&quot;american-medical-association&quot;,&quot;name&quot;:&quot;AMA (American Medical Association)&quot;},{&quot;id&quot;:&quot;apa 7th&quot;,&quot;name&quot;:&quot;APA (American Psychological Association) 7th Edition&quot;},{&quot;id&quot;:&quot;cell&quot;,&quot;name&quot;:&quot;Cell&quot;},{&quot;id&quot;:&quot;chicago-17th-edition&quot;,&quot;name&quot;:&quot;Chicago 17th Edition (author-date)&quot;},{&quot;id&quot;:&quot;cite-them-right-11th-edition-harvard&quot;,&quot;name&quot;:&quot;Cite Them Right 11th Edition - Harvard&quot;},{&quot;id&quot;:&quot;ieee&quot;,&quot;name&quot;:&quot;IEEE&quot;},{&quot;id&quot;:&quot;modern-language-association&quot;,&quot;name&quot;:&quot;MLA (Modern Language Association)&quot;},{&quot;id&quot;:&quot;molecular-systems-biology&quot;,&quot;name&quot;:&quot;Molecular Systems Biology&quot;,&quot;bibText&quot;:[{&quot;maxoffset&quot;:0,&quot;entryspacing&quot;:1,&quot;linespacing&quot;:1,&quot;second-field-align&quot;:false,&quot;entry_ids&quot;:[[&quot;0&quot;]],&quot;bibliography_errors&quot;:[],&quot;done&quot;:false,&quot;hangingindent&quot;:true,&quot;bibstart&quot;:&quot;&lt;div class=\&quot;csl-bib-body\&quot;&gt;\n&quot;,&quot;bibend&quot;:&quot;&lt;/div&gt;&quot;},[&quot;  &lt;div class=\&quot;csl-entry\&quot;&gt;Accadia T, Acernese F, Alshourbagy M, Amico P, Antonucci F, Aoudia S, Arnaud N, Arnault C, Arun KG, Astone P, &lt;i&gt;et al&lt;/i&gt; (2012) Virgo: a laser interferometer to detect gravitational waves. &lt;i&gt;J Instrum&lt;/i&gt; 7: P03012–P03012&lt;/div&gt;\n&quot;]],&quot;citationText&quot;:&quot;(Accadia &lt;i&gt;et al&lt;/i&gt;, 2012)&quot;},{&quot;id&quot;:&quot;national-library-of-medicine-grant-proposals&quot;,&quot;name&quot;:&quot;National Library of Medicine (Grant proposals with PMCID/PMID)&quot;},{&quot;id&quot;:&quot;nature&quot;,&quot;name&quot;:&quot;Nature&quot;},{&quot;id&quot;:&quot;science&quot;,&quot;name&quot;:&quot;Science&quot;},{&quot;id&quot;:&quot;vancouver&quot;,&quot;name&quot;:&quot;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3C9B419A13394EB1846517CFBA1FC4" ma:contentTypeVersion="18" ma:contentTypeDescription="Create a new document." ma:contentTypeScope="" ma:versionID="d620663cc57cc5930b528250926b618d">
  <xsd:schema xmlns:xsd="http://www.w3.org/2001/XMLSchema" xmlns:xs="http://www.w3.org/2001/XMLSchema" xmlns:p="http://schemas.microsoft.com/office/2006/metadata/properties" xmlns:ns2="ec5e6ea7-c1c0-4a6f-a878-c82ad53a9bde" xmlns:ns3="f5ecd7ce-aa75-464d-95eb-3119b9c2ed5a" targetNamespace="http://schemas.microsoft.com/office/2006/metadata/properties" ma:root="true" ma:fieldsID="26f66b62824f63510ddc0b98cf5c77a7" ns2:_="" ns3:_="">
    <xsd:import namespace="ec5e6ea7-c1c0-4a6f-a878-c82ad53a9bde"/>
    <xsd:import namespace="f5ecd7ce-aa75-464d-95eb-3119b9c2ed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6ea7-c1c0-4a6f-a878-c82ad53a9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e50bfe-27d5-460d-b714-f33b107589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ecd7ce-aa75-464d-95eb-3119b9c2ed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598fea-27de-4083-8a2d-a4bd1ed570f3}" ma:internalName="TaxCatchAll" ma:showField="CatchAllData" ma:web="f5ecd7ce-aa75-464d-95eb-3119b9c2ed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5e6ea7-c1c0-4a6f-a878-c82ad53a9bde">
      <Terms xmlns="http://schemas.microsoft.com/office/infopath/2007/PartnerControls"/>
    </lcf76f155ced4ddcb4097134ff3c332f>
    <TaxCatchAll xmlns="f5ecd7ce-aa75-464d-95eb-3119b9c2ed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0089F-7430-4767-B8DE-75FC46F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6ea7-c1c0-4a6f-a878-c82ad53a9bde"/>
    <ds:schemaRef ds:uri="f5ecd7ce-aa75-464d-95eb-3119b9c2e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A9DB85-9D45-4273-8A88-27FC293301E4}">
  <ds:schemaRefs>
    <ds:schemaRef ds:uri="http://schemas.microsoft.com/sharepoint/v3/contenttype/forms"/>
  </ds:schemaRefs>
</ds:datastoreItem>
</file>

<file path=customXml/itemProps3.xml><?xml version="1.0" encoding="utf-8"?>
<ds:datastoreItem xmlns:ds="http://schemas.openxmlformats.org/officeDocument/2006/customXml" ds:itemID="{93B9ADB7-BF09-4F7F-99EB-CDBE4D2C7E46}">
  <ds:schemaRefs>
    <ds:schemaRef ds:uri="http://schemas.microsoft.com/office/2006/metadata/properties"/>
    <ds:schemaRef ds:uri="http://schemas.microsoft.com/office/infopath/2007/PartnerControls"/>
    <ds:schemaRef ds:uri="ec5e6ea7-c1c0-4a6f-a878-c82ad53a9bde"/>
    <ds:schemaRef ds:uri="f5ecd7ce-aa75-464d-95eb-3119b9c2ed5a"/>
  </ds:schemaRefs>
</ds:datastoreItem>
</file>

<file path=customXml/itemProps4.xml><?xml version="1.0" encoding="utf-8"?>
<ds:datastoreItem xmlns:ds="http://schemas.openxmlformats.org/officeDocument/2006/customXml" ds:itemID="{3E3E9944-CEFF-4695-8E53-4B85D9F79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4697</Words>
  <Characters>26774</Characters>
  <Application>Microsoft Office Word</Application>
  <DocSecurity>0</DocSecurity>
  <Lines>223</Lines>
  <Paragraphs>62</Paragraphs>
  <ScaleCrop>false</ScaleCrop>
  <Company/>
  <LinksUpToDate>false</LinksUpToDate>
  <CharactersWithSpaces>31409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Frommelt</dc:creator>
  <cp:keywords/>
  <dc:description/>
  <cp:lastModifiedBy>Fabian Frommelt</cp:lastModifiedBy>
  <cp:revision>1158</cp:revision>
  <dcterms:created xsi:type="dcterms:W3CDTF">2024-09-06T10:57:00Z</dcterms:created>
  <dcterms:modified xsi:type="dcterms:W3CDTF">2025-04-25T15:30:00Z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efb97e-6a22-4658-b35c-bacc77de03e2_Enabled">
    <vt:lpwstr>true</vt:lpwstr>
  </property>
  <property fmtid="{D5CDD505-2E9C-101B-9397-08002B2CF9AE}" pid="3" name="MSIP_Label_17efb97e-6a22-4658-b35c-bacc77de03e2_SetDate">
    <vt:lpwstr>2024-02-14T10:33:22Z</vt:lpwstr>
  </property>
  <property fmtid="{D5CDD505-2E9C-101B-9397-08002B2CF9AE}" pid="4" name="MSIP_Label_17efb97e-6a22-4658-b35c-bacc77de03e2_Method">
    <vt:lpwstr>Standard</vt:lpwstr>
  </property>
  <property fmtid="{D5CDD505-2E9C-101B-9397-08002B2CF9AE}" pid="5" name="MSIP_Label_17efb97e-6a22-4658-b35c-bacc77de03e2_Name">
    <vt:lpwstr>defa4170-0d19-0005-0004-bc88714345d2</vt:lpwstr>
  </property>
  <property fmtid="{D5CDD505-2E9C-101B-9397-08002B2CF9AE}" pid="6" name="MSIP_Label_17efb97e-6a22-4658-b35c-bacc77de03e2_SiteId">
    <vt:lpwstr>ca39edd1-7349-449a-bbae-314640be0def</vt:lpwstr>
  </property>
  <property fmtid="{D5CDD505-2E9C-101B-9397-08002B2CF9AE}" pid="7" name="MSIP_Label_17efb97e-6a22-4658-b35c-bacc77de03e2_ActionId">
    <vt:lpwstr>8216e391-4e17-459f-8ee1-e112f3ad2937</vt:lpwstr>
  </property>
  <property fmtid="{D5CDD505-2E9C-101B-9397-08002B2CF9AE}" pid="8" name="MSIP_Label_17efb97e-6a22-4658-b35c-bacc77de03e2_ContentBits">
    <vt:lpwstr>0</vt:lpwstr>
  </property>
  <property fmtid="{D5CDD505-2E9C-101B-9397-08002B2CF9AE}" pid="9" name="ContentTypeId">
    <vt:lpwstr>0x010100EE3C9B419A13394EB1846517CFBA1FC4</vt:lpwstr>
  </property>
  <property fmtid="{D5CDD505-2E9C-101B-9397-08002B2CF9AE}" pid="10" name="MediaServiceImageTags">
    <vt:lpwstr/>
  </property>
</Properties>
</file>