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052F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kern w:val="2"/>
          <w:sz w:val="24"/>
          <w:szCs w:val="24"/>
          <w:highlight w:val="none"/>
          <w:lang w:eastAsia="zh-CN"/>
        </w:rPr>
        <w:t>[</w:t>
      </w:r>
      <w:r>
        <w:rPr>
          <w:rFonts w:hint="default" w:ascii="Times New Roman" w:hAnsi="Times New Roman" w:cs="Times New Roman"/>
          <w:bCs/>
          <w:sz w:val="24"/>
          <w:szCs w:val="24"/>
          <w:highlight w:val="none"/>
          <w:lang w:eastAsia="zh-CN"/>
        </w:rPr>
        <w:t>Research Article (EMM-2024-20081-V2)]</w:t>
      </w:r>
    </w:p>
    <w:p w14:paraId="5C0B81B7">
      <w:pPr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Targeting USP11 regulation by a novel lithium-organic coordination compound improves neuropathologies and cognitive function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 in Alzheimer transgenic mice</w:t>
      </w:r>
    </w:p>
    <w:p w14:paraId="5128D2E8">
      <w:pPr>
        <w:adjustRightInd w:val="0"/>
        <w:snapToGrid w:val="0"/>
        <w:jc w:val="center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p w14:paraId="4E22C3CC">
      <w:pPr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Yi Guo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, Chuanbin Cai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Bingjie Zhang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  <w:lang w:eastAsia="zh-CN"/>
        </w:rPr>
        <w:t>2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eastAsia="zh-CN"/>
        </w:rPr>
        <w:t>Bo Tan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  <w:lang w:eastAsia="zh-CN"/>
        </w:rPr>
        <w:t>3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Qinmin Tang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, Zhifeng Lei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eastAsia="zh-CN"/>
        </w:rPr>
        <w:t>X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iaolan Qi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, Jiang Chen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</w:rPr>
        <w:t>1,4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eastAsia="zh-CN"/>
        </w:rPr>
        <w:t>Xiaojiang Zheng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  <w:lang w:eastAsia="zh-CN"/>
        </w:rPr>
        <w:t>2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Dan Zi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  <w:lang w:eastAsia="zh-CN"/>
        </w:rPr>
        <w:t>5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, Song Li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  <w:lang w:eastAsia="zh-CN"/>
        </w:rPr>
        <w:t>6</w:t>
      </w:r>
      <w:r>
        <w:rPr>
          <w:rFonts w:hint="default" w:ascii="Times New Roman" w:hAnsi="Times New Roman" w:cs="Times New Roman"/>
          <w:highlight w:val="none"/>
        </w:rPr>
        <w:t>*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, Jun Tan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</w:rPr>
        <w:t>1,2,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vertAlign w:val="superscript"/>
          <w:lang w:eastAsia="zh-CN"/>
        </w:rPr>
        <w:t>7</w:t>
      </w:r>
      <w:r>
        <w:rPr>
          <w:rFonts w:hint="default" w:ascii="Times New Roman" w:hAnsi="Times New Roman" w:cs="Times New Roman"/>
          <w:highlight w:val="none"/>
          <w:vertAlign w:val="superscript"/>
        </w:rPr>
        <w:t>*</w:t>
      </w:r>
    </w:p>
    <w:p w14:paraId="54A00237">
      <w:pPr>
        <w:adjustRightInd w:val="0"/>
        <w:snapToGrid w:val="0"/>
        <w:jc w:val="center"/>
        <w:rPr>
          <w:rFonts w:hint="default" w:ascii="Times New Roman" w:hAnsi="Times New Roman" w:cs="Times New Roman"/>
          <w:highlight w:val="none"/>
        </w:rPr>
      </w:pPr>
    </w:p>
    <w:p w14:paraId="0A1832F6">
      <w:pPr>
        <w:adjustRightInd w:val="0"/>
        <w:snapToGrid w:val="0"/>
        <w:spacing w:line="480" w:lineRule="auto"/>
        <w:ind w:left="283" w:hanging="283" w:hangingChars="118"/>
        <w:jc w:val="both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Key Laboratory of Endemic and Ethnic Diseases, Ministry of Education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; Key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Laboratory of Molecular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Biology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Guizhou Medical University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Guiyang 550025,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Guizhou, China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78EE5E67">
      <w:pPr>
        <w:adjustRightInd w:val="0"/>
        <w:snapToGrid w:val="0"/>
        <w:spacing w:line="480" w:lineRule="auto"/>
        <w:ind w:left="283" w:hanging="283" w:hangingChars="118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Anyu Biotechnology (Hangzhou) Co., Ltd.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Hangzhou, 310000, Zhejiang, China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;</w:t>
      </w:r>
    </w:p>
    <w:p w14:paraId="6FF8B49C">
      <w:pPr>
        <w:adjustRightInd w:val="0"/>
        <w:snapToGrid w:val="0"/>
        <w:spacing w:line="480" w:lineRule="auto"/>
        <w:ind w:left="283" w:hanging="283" w:hangingChars="118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Department of Biomedical Sciences, City University of Hong Kong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Hong Kong SAR, China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123CB668">
      <w:pPr>
        <w:adjustRightInd w:val="0"/>
        <w:snapToGrid w:val="0"/>
        <w:spacing w:line="480" w:lineRule="auto"/>
        <w:ind w:left="283" w:hanging="283" w:hangingChars="118"/>
        <w:jc w:val="both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eastAsia="zh-CN"/>
        </w:rPr>
        <w:t>4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Department of Pharmacy, School of Medicine, Zhejiang University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Hangzhou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310058, Zhejiang, China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1981620B">
      <w:pPr>
        <w:adjustRightInd w:val="0"/>
        <w:snapToGrid w:val="0"/>
        <w:spacing w:line="480" w:lineRule="auto"/>
        <w:ind w:left="283" w:hanging="283" w:hangingChars="118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eastAsia="zh-CN"/>
        </w:rPr>
        <w:t>5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Department of Gynecology, Guizhou Provincial People's Hospital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Guiyang 550025, Guizhou, China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733E43D4">
      <w:pPr>
        <w:adjustRightInd w:val="0"/>
        <w:snapToGrid w:val="0"/>
        <w:spacing w:line="480" w:lineRule="auto"/>
        <w:ind w:left="283" w:hanging="283" w:hangingChars="118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eastAsia="zh-CN"/>
        </w:rPr>
        <w:t>6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First Affiliated Hospital of Dalian Medical University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Dalian 116021, Liaoning, China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;</w:t>
      </w:r>
    </w:p>
    <w:p w14:paraId="073582A8">
      <w:pPr>
        <w:adjustRightInd w:val="0"/>
        <w:snapToGrid w:val="0"/>
        <w:spacing w:line="480" w:lineRule="auto"/>
        <w:ind w:left="283" w:hanging="283" w:hangingChars="118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eastAsia="zh-CN"/>
        </w:rPr>
        <w:t>7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Institute of Translational Medicine; Key Laboratory of Novel Targets and Drug Study for Neural Repair of Zhejiang Province, School of Medicine, Hangzhou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City University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Hangzhou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310015, Zhejiang, China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</w:p>
    <w:p w14:paraId="00381182">
      <w:pPr>
        <w:adjustRightInd w:val="0"/>
        <w:snapToGrid w:val="0"/>
        <w:spacing w:line="480" w:lineRule="auto"/>
        <w:ind w:left="283" w:hanging="283" w:hangingChars="118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</w:pPr>
    </w:p>
    <w:p w14:paraId="3FAE4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eastAsia="zh-CN"/>
        </w:rPr>
        <w:t>*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Corresponding authors. </w:t>
      </w:r>
    </w:p>
    <w:p w14:paraId="4E225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Email address </w:t>
      </w:r>
      <w:r>
        <w:rPr>
          <w:rFonts w:hint="default" w:ascii="Times New Roman" w:hAnsi="Times New Roman" w:cs="Times New Roman"/>
          <w:highlight w:val="none"/>
        </w:rPr>
        <w:fldChar w:fldCharType="begin"/>
      </w:r>
      <w:r>
        <w:rPr>
          <w:rFonts w:hint="default" w:ascii="Times New Roman" w:hAnsi="Times New Roman" w:cs="Times New Roman"/>
          <w:highlight w:val="none"/>
        </w:rPr>
        <w:instrText xml:space="preserve"> HYPERLINK "mailto:tanjun@anyuhz.cn" </w:instrText>
      </w:r>
      <w:r>
        <w:rPr>
          <w:rFonts w:hint="default" w:ascii="Times New Roman" w:hAnsi="Times New Roman" w:cs="Times New Roman"/>
          <w:highlight w:val="none"/>
        </w:rPr>
        <w:fldChar w:fldCharType="separate"/>
      </w:r>
      <w:r>
        <w:rPr>
          <w:rStyle w:val="18"/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tanjun@anyuhz.cn</w:t>
      </w:r>
      <w:r>
        <w:rPr>
          <w:rStyle w:val="18"/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(TJ) and </w:t>
      </w:r>
      <w:r>
        <w:rPr>
          <w:rFonts w:hint="default" w:ascii="Times New Roman" w:hAnsi="Times New Roman" w:cs="Times New Roman"/>
          <w:highlight w:val="none"/>
        </w:rPr>
        <w:fldChar w:fldCharType="begin"/>
      </w:r>
      <w:r>
        <w:rPr>
          <w:rFonts w:hint="default" w:ascii="Times New Roman" w:hAnsi="Times New Roman" w:cs="Times New Roman"/>
          <w:highlight w:val="none"/>
        </w:rPr>
        <w:instrText xml:space="preserve"> HYPERLINK "mailto:lisong@dmu.edu.cn" </w:instrText>
      </w:r>
      <w:r>
        <w:rPr>
          <w:rFonts w:hint="default" w:ascii="Times New Roman" w:hAnsi="Times New Roman" w:cs="Times New Roman"/>
          <w:highlight w:val="none"/>
        </w:rPr>
        <w:fldChar w:fldCharType="separate"/>
      </w:r>
      <w:r>
        <w:rPr>
          <w:rStyle w:val="18"/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lisong@dmu.edu.cn</w:t>
      </w:r>
      <w:r>
        <w:rPr>
          <w:rStyle w:val="18"/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 (LS)</w:t>
      </w:r>
    </w:p>
    <w:p w14:paraId="59F4ADDC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 w:val="0"/>
          <w:color w:val="000000" w:themeColor="text1"/>
          <w:kern w:val="2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782BD85C">
      <w:pPr>
        <w:adjustRightInd w:val="0"/>
        <w:snapToGrid w:val="0"/>
        <w:spacing w:line="480" w:lineRule="auto"/>
        <w:jc w:val="both"/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Appendix</w:t>
      </w:r>
    </w:p>
    <w:p w14:paraId="5058AE39">
      <w:pPr>
        <w:adjustRightInd w:val="0"/>
        <w:snapToGrid w:val="0"/>
        <w:spacing w:line="480" w:lineRule="auto"/>
        <w:jc w:val="both"/>
        <w:rPr>
          <w:rFonts w:hint="default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 of contents</w:t>
      </w:r>
    </w:p>
    <w:p w14:paraId="4C7E0037">
      <w:pPr>
        <w:adjustRightInd w:val="0"/>
        <w:snapToGrid w:val="0"/>
        <w:spacing w:line="480" w:lineRule="auto"/>
        <w:jc w:val="both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Fig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1………………………………………………3</w:t>
      </w:r>
    </w:p>
    <w:p w14:paraId="1A3ED21A">
      <w:pPr>
        <w:adjustRightInd w:val="0"/>
        <w:snapToGrid w:val="0"/>
        <w:spacing w:line="480" w:lineRule="auto"/>
        <w:jc w:val="both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Fig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2………………………………………………4</w:t>
      </w:r>
    </w:p>
    <w:p w14:paraId="5FCD643B">
      <w:pPr>
        <w:adjustRightInd w:val="0"/>
        <w:snapToGrid w:val="0"/>
        <w:spacing w:line="480" w:lineRule="auto"/>
        <w:jc w:val="both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Fig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3………………………………………………5</w:t>
      </w:r>
    </w:p>
    <w:p w14:paraId="6D2CD165">
      <w:pPr>
        <w:adjustRightInd w:val="0"/>
        <w:snapToGrid w:val="0"/>
        <w:spacing w:line="480" w:lineRule="auto"/>
        <w:jc w:val="both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Fig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4………………………………………………6</w:t>
      </w:r>
    </w:p>
    <w:p w14:paraId="0A04052C">
      <w:pPr>
        <w:adjustRightInd w:val="0"/>
        <w:snapToGrid w:val="0"/>
        <w:spacing w:line="480" w:lineRule="auto"/>
        <w:jc w:val="both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Fig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5………………………………………………7</w:t>
      </w:r>
    </w:p>
    <w:p w14:paraId="4A928018">
      <w:pPr>
        <w:adjustRightInd w:val="0"/>
        <w:snapToGrid w:val="0"/>
        <w:spacing w:line="480" w:lineRule="auto"/>
        <w:jc w:val="both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Fig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6………………………………………………8</w:t>
      </w:r>
    </w:p>
    <w:p w14:paraId="169117B8">
      <w:pPr>
        <w:adjustRightInd w:val="0"/>
        <w:snapToGrid w:val="0"/>
        <w:spacing w:line="480" w:lineRule="auto"/>
        <w:jc w:val="both"/>
        <w:rPr>
          <w:rFonts w:hint="default" w:ascii="Times New Roman" w:hAnsi="Times New Roman" w:eastAsia="宋体" w:cs="Times New Roman"/>
          <w:b/>
          <w:bCs w:val="0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Tab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S1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………………………………………………9</w:t>
      </w:r>
    </w:p>
    <w:p w14:paraId="38C00FFF">
      <w:pPr>
        <w:adjustRightInd w:val="0"/>
        <w:snapToGrid w:val="0"/>
        <w:spacing w:line="480" w:lineRule="auto"/>
        <w:jc w:val="both"/>
        <w:rPr>
          <w:rFonts w:hint="default" w:ascii="Times New Roman" w:hAnsi="Times New Roman" w:eastAsia="宋体" w:cs="Times New Roman"/>
          <w:b/>
          <w:bCs w:val="0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Tab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2………………………………………………10</w:t>
      </w:r>
    </w:p>
    <w:p w14:paraId="2A9FA1E5">
      <w:pPr>
        <w:adjustRightInd w:val="0"/>
        <w:snapToGrid w:val="0"/>
        <w:spacing w:line="480" w:lineRule="auto"/>
        <w:jc w:val="both"/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Tab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3………………………………………………11</w:t>
      </w:r>
    </w:p>
    <w:p w14:paraId="53799A87">
      <w:pPr>
        <w:adjustRightInd w:val="0"/>
        <w:snapToGrid w:val="0"/>
        <w:spacing w:line="480" w:lineRule="auto"/>
        <w:jc w:val="both"/>
        <w:rPr>
          <w:rFonts w:hint="default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Tab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4………………………………………………12-13</w:t>
      </w:r>
    </w:p>
    <w:p w14:paraId="099FBCB1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34C41D84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3378F22C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4768DEC5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5ABF55AD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7D0C09EB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27993FA4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2410E985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5CF431BC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543CB3FD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43844126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4CBDFA91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5610CBA5">
      <w:pPr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70ECD09F">
      <w:pPr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4226DBF6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Appendix Fig</w:t>
      </w:r>
      <w:r>
        <w:rPr>
          <w:rFonts w:hint="eastAsia" w:cs="Times New Roman"/>
          <w:b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ures</w:t>
      </w:r>
    </w:p>
    <w:p w14:paraId="039140F4">
      <w:pPr>
        <w:widowControl/>
        <w:tabs>
          <w:tab w:val="left" w:pos="540"/>
        </w:tabs>
        <w:autoSpaceDE w:val="0"/>
        <w:autoSpaceDN w:val="0"/>
        <w:adjustRightInd w:val="0"/>
        <w:snapToGrid w:val="0"/>
        <w:jc w:val="center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  <w:drawing>
          <wp:inline distT="0" distB="0" distL="114300" distR="114300">
            <wp:extent cx="3470910" cy="2770505"/>
            <wp:effectExtent l="0" t="0" r="5715" b="1270"/>
            <wp:docPr id="8" name="图片 8" descr="图片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12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CC26F">
      <w:pPr>
        <w:widowControl/>
        <w:tabs>
          <w:tab w:val="left" w:pos="540"/>
        </w:tabs>
        <w:autoSpaceDE w:val="0"/>
        <w:autoSpaceDN w:val="0"/>
        <w:adjustRightInd w:val="0"/>
        <w:snapToGrid w:val="0"/>
        <w:jc w:val="center"/>
        <w:rPr>
          <w:rFonts w:hint="default" w:ascii="Times New Roman" w:hAnsi="Times New Roman" w:cs="Times New Roman"/>
          <w:b/>
          <w:color w:val="C00000"/>
          <w:kern w:val="2"/>
          <w:sz w:val="24"/>
          <w:szCs w:val="24"/>
          <w:highlight w:val="none"/>
          <w:lang w:eastAsia="zh-CN"/>
        </w:rPr>
      </w:pPr>
    </w:p>
    <w:p w14:paraId="5A2F0CFF">
      <w:pPr>
        <w:widowControl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Appendix Fig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S1  Characterization of IsoLiPro.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(A)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highlight w:val="none"/>
          <w:lang w:eastAsia="zh-CN"/>
        </w:rPr>
        <w:t>In vitro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scimax MRMS [M-H]- spectrometry of IsoLiPro. 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(B)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Two-dimensional contour map and linear standard curve of IsoLiPro's fluorescence in aqueous solution. 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(C)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Detection of IsoLiPro by metabolic MRM MS [M-H]+ spectrometry in brain &amp; serum samples of rats.  </w:t>
      </w:r>
    </w:p>
    <w:p w14:paraId="65E64B6A">
      <w:pPr>
        <w:widowControl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4BCF6401">
      <w:pPr>
        <w:widowControl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22F3B609">
      <w:pPr>
        <w:widowControl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5A007E3F">
      <w:pPr>
        <w:widowControl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highlight w:val="none"/>
          <w:lang w:eastAsia="zh-CN"/>
        </w:rPr>
        <w:br w:type="page"/>
      </w:r>
    </w:p>
    <w:p w14:paraId="322F4AF9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center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highlight w:val="none"/>
          <w:lang w:eastAsia="zh-CN"/>
        </w:rPr>
        <w:drawing>
          <wp:inline distT="0" distB="0" distL="114300" distR="114300">
            <wp:extent cx="5273040" cy="4129405"/>
            <wp:effectExtent l="0" t="0" r="3810" b="4445"/>
            <wp:docPr id="15" name="图片 1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9005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9019FE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03C99D6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Appendix Fig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 Binding affinity of IsoLiPro to USP11.  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Visual depictions of how various small molecules interact with the USP11 protein, offering both 3D and 2D perspectives for detailed analysis.  </w:t>
      </w:r>
    </w:p>
    <w:p w14:paraId="6CC099B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rPr>
          <w:rFonts w:hint="default" w:ascii="Times New Roman" w:hAnsi="Times New Roman" w:cs="Times New Roman"/>
          <w:highlight w:val="none"/>
          <w:lang w:eastAsia="zh-CN"/>
        </w:rPr>
      </w:pPr>
    </w:p>
    <w:p w14:paraId="5520EF77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center"/>
        <w:rPr>
          <w:rFonts w:hint="default" w:ascii="Times New Roman" w:hAnsi="Times New Roman" w:cs="Times New Roman"/>
          <w:highlight w:val="none"/>
          <w:lang w:eastAsia="zh-CN"/>
        </w:rPr>
      </w:pPr>
    </w:p>
    <w:p w14:paraId="52C3A149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center"/>
        <w:rPr>
          <w:rFonts w:hint="default" w:ascii="Times New Roman" w:hAnsi="Times New Roman" w:cs="Times New Roman"/>
          <w:highlight w:val="none"/>
          <w:lang w:eastAsia="zh-CN"/>
        </w:rPr>
      </w:pPr>
    </w:p>
    <w:p w14:paraId="5278D2F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BE307C3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A285EF6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55EB7EAB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6CCF605E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E73CE1A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0A930B90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78077CDF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EBB724C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31E74D9D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26392E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5DBD1852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7384E63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drawing>
          <wp:inline distT="0" distB="0" distL="114300" distR="114300">
            <wp:extent cx="4010660" cy="2108835"/>
            <wp:effectExtent l="0" t="0" r="2540" b="12065"/>
            <wp:docPr id="7" name="图片 70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0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7ED8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7269CF09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Appendix Fig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 IsoLiPro markedly increases tau ubiquitination levels in HEK293-hTau cells.  (A) 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IP analysis shows no effect on Ubiquitin-K63 conjugates and tau in HEK293-hTau cells treated with 25 mM IsoLiPro and 10 µM MG132. 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(B) 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Total ion chromatogram displaying the profile of diGly-ub peptide signatures, as detected by LC-MS/MS. 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(C)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IsoLiPro markedly intensifies the overall ubiquitination signal. 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(D) </w:t>
      </w:r>
      <w:r>
        <w:rPr>
          <w:rFonts w:hint="default" w:ascii="Times New Roman" w:hAnsi="Times New Roman" w:cs="Times New Roman"/>
          <w:highlight w:val="none"/>
          <w:lang w:eastAsia="zh-CN"/>
        </w:rPr>
        <w:t>The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IP experiment of CHIP-231AA-GST with Tau-his demonstrates their mutual interaction, indicating a functional interplay between these proteins.  Data are represented as means ± SEM (n = 2 samples per group).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highlight w:val="none"/>
          <w:lang w:eastAsia="zh-CN"/>
        </w:rPr>
        <w:t>P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values were calculated using two-tailed t-test, with comparisons made against the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highlight w:val="none"/>
          <w:lang w:eastAsia="zh-CN"/>
        </w:rPr>
        <w:t>ontrol group.</w:t>
      </w:r>
    </w:p>
    <w:p w14:paraId="732C7F7A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200CE57D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0A1DA637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674AAB06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344EE056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73844C43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25392F3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5D7834C5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6D220197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616DB4E5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56C2E738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6AA7D542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61D68A55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13D09AB8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6323FCB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232E6F90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6E1DB293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4E573A4C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0637C13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7B80EBF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68F64CE0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7A77AC1D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61EE6C36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6EE2A82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56BB9350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51780AA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6A3BB68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F7A91DB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drawing>
          <wp:inline distT="0" distB="0" distL="114300" distR="114300">
            <wp:extent cx="3633470" cy="3086735"/>
            <wp:effectExtent l="0" t="0" r="0" b="12065"/>
            <wp:docPr id="9" name="图片 22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2" descr="图片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43D7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b/>
          <w:bCs/>
          <w:szCs w:val="20"/>
          <w:highlight w:val="none"/>
        </w:rPr>
      </w:pPr>
    </w:p>
    <w:p w14:paraId="4FF871C3">
      <w:pPr>
        <w:pStyle w:val="42"/>
        <w:suppressLineNumbers/>
        <w:adjustRightInd w:val="0"/>
        <w:snapToGrid w:val="0"/>
        <w:spacing w:line="480" w:lineRule="auto"/>
        <w:rPr>
          <w:rFonts w:hint="default" w:ascii="Times New Roman" w:hAnsi="Times New Roman" w:cs="Times New Roman"/>
          <w:szCs w:val="20"/>
          <w:highlight w:val="none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Appendix Fig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ab/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 xml:space="preserve">IsoLiPro markedly reduces gliosis in the hippocampus of 3xTg-AD mice.  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Representative images of Iba1 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>(A-B)</w:t>
      </w:r>
      <w:r>
        <w:rPr>
          <w:rFonts w:hint="default" w:ascii="Times New Roman" w:hAnsi="Times New Roman" w:cs="Times New Roman"/>
          <w:szCs w:val="20"/>
          <w:highlight w:val="none"/>
        </w:rPr>
        <w:t>, GFAP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 xml:space="preserve"> (C-D)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 measured by IHC/IF in the hippocampus of 3xTg-AD mice following IsoLiPro treatment. </w:t>
      </w:r>
    </w:p>
    <w:p w14:paraId="7AFC6F70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3B7F5119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2A8FE274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273B36BD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6871803F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39E43FB7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08E04B9D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6CDC5E58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22860308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42AB6858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5BDBE412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2D14FE0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393CD0CA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32CF0F7F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0C0EAC6F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72926AA7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70D29FE5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7F497C0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64DA55C0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3DF25BC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728EC0C3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C727AD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067FE027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02A474D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8E8004C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3666315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6E39E64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B2A7B5F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6DFFE2E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F504892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1DCC328F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2DE86D16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2C2C0AC5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  <w:r>
        <w:rPr>
          <w:rFonts w:hint="default" w:ascii="Times New Roman" w:hAnsi="Times New Roman" w:cs="Times New Roman"/>
          <w:szCs w:val="20"/>
          <w:highlight w:val="none"/>
        </w:rPr>
        <w:drawing>
          <wp:inline distT="0" distB="0" distL="114300" distR="114300">
            <wp:extent cx="4471670" cy="3528695"/>
            <wp:effectExtent l="0" t="0" r="0" b="1905"/>
            <wp:docPr id="10" name="图片 2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8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167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FAA82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75A39254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1AE32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Appendix Fig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 Tissue distribution and pharmacokinetics of lithium following oral treatment with IsoLiPro and Li</w:t>
      </w:r>
      <w:r>
        <w:rPr>
          <w:rFonts w:hint="default" w:ascii="Times New Roman" w:hAnsi="Times New Roman" w:cs="Times New Roman"/>
          <w:b/>
          <w:bCs/>
          <w:highlight w:val="none"/>
          <w:vertAlign w:val="subscript"/>
          <w:lang w:eastAsia="zh-CN"/>
        </w:rPr>
        <w:t>2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CO</w:t>
      </w:r>
      <w:r>
        <w:rPr>
          <w:rFonts w:hint="default" w:ascii="Times New Roman" w:hAnsi="Times New Roman" w:cs="Times New Roman"/>
          <w:b/>
          <w:bCs/>
          <w:highlight w:val="none"/>
          <w:vertAlign w:val="subscript"/>
          <w:lang w:eastAsia="zh-CN"/>
        </w:rPr>
        <w:t>3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in SD Rat.  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Tissue distribution of Li of IsoLiPro in females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(A)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and males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(B)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. Lithium concentration-time profiles of </w:t>
      </w:r>
      <w:r>
        <w:rPr>
          <w:rFonts w:hint="default" w:ascii="Times New Roman" w:hAnsi="Times New Roman" w:cs="Times New Roman"/>
          <w:highlight w:val="none"/>
        </w:rPr>
        <w:t>IsoLiPro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and Li</w:t>
      </w:r>
      <w:r>
        <w:rPr>
          <w:rFonts w:hint="default" w:ascii="Times New Roman" w:hAnsi="Times New Roman" w:cs="Times New Roman"/>
          <w:highlight w:val="none"/>
          <w:vertAlign w:val="subscript"/>
          <w:lang w:eastAsia="zh-CN"/>
        </w:rPr>
        <w:t>2</w:t>
      </w:r>
      <w:r>
        <w:rPr>
          <w:rFonts w:hint="default" w:ascii="Times New Roman" w:hAnsi="Times New Roman" w:cs="Times New Roman"/>
          <w:highlight w:val="none"/>
          <w:lang w:eastAsia="zh-CN"/>
        </w:rPr>
        <w:t>CO</w:t>
      </w:r>
      <w:r>
        <w:rPr>
          <w:rFonts w:hint="default" w:ascii="Times New Roman" w:hAnsi="Times New Roman" w:cs="Times New Roman"/>
          <w:highlight w:val="none"/>
          <w:vertAlign w:val="subscript"/>
          <w:lang w:eastAsia="zh-CN"/>
        </w:rPr>
        <w:t xml:space="preserve">3 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in profiles brain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(C)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, plasma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(D) 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and kidney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(E)</w:t>
      </w:r>
      <w:r>
        <w:rPr>
          <w:rFonts w:hint="default" w:ascii="Times New Roman" w:hAnsi="Times New Roman" w:cs="Times New Roman"/>
          <w:highlight w:val="none"/>
          <w:lang w:eastAsia="zh-CN"/>
        </w:rPr>
        <w:t>.</w:t>
      </w:r>
      <w:r>
        <w:rPr>
          <w:rFonts w:hint="eastAsia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Data are represented as means ± SEM (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n=6, 3 female/3 male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 per group).</w:t>
      </w:r>
    </w:p>
    <w:p w14:paraId="5CC29E22">
      <w:pPr>
        <w:adjustRightInd w:val="0"/>
        <w:snapToGrid w:val="0"/>
        <w:spacing w:line="480" w:lineRule="auto"/>
        <w:jc w:val="both"/>
        <w:rPr>
          <w:rFonts w:hint="default" w:ascii="Times New Roman" w:hAnsi="Times New Roman" w:cs="Times New Roman"/>
          <w:highlight w:val="none"/>
          <w:lang w:eastAsia="zh-CN"/>
        </w:rPr>
      </w:pPr>
    </w:p>
    <w:p w14:paraId="63767BCC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68D5D156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0D25BB7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54BDE5C6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4D06F2D0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3A28174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5BB5EC5A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5CA30BD4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1683F50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58952221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053FFAEA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78AC37AD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7B57F705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2D0689DF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7718711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254ED74A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5E682A60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2D5332CA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583533C8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EEEF591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2741C82A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5067DDEC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48C1D429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5DDCFC1A">
      <w:pPr>
        <w:widowControl/>
        <w:suppressLineNumbers/>
        <w:tabs>
          <w:tab w:val="left" w:pos="540"/>
        </w:tabs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highlight w:val="none"/>
          <w:lang w:eastAsia="zh-CN"/>
        </w:rPr>
      </w:pPr>
    </w:p>
    <w:p w14:paraId="3778F4CD">
      <w:pPr>
        <w:pStyle w:val="42"/>
        <w:suppressLineNumbers/>
        <w:adjustRightInd w:val="0"/>
        <w:snapToGrid w:val="0"/>
        <w:jc w:val="center"/>
        <w:rPr>
          <w:rFonts w:hint="eastAsia" w:ascii="Times New Roman" w:hAnsi="Times New Roman" w:eastAsia="宋体" w:cs="Times New Roman"/>
          <w:b/>
          <w:bCs/>
          <w:szCs w:val="20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Cs w:val="20"/>
          <w:highlight w:val="none"/>
          <w:lang w:eastAsia="zh-CN"/>
        </w:rPr>
        <w:drawing>
          <wp:inline distT="0" distB="0" distL="114300" distR="114300">
            <wp:extent cx="4224655" cy="2775585"/>
            <wp:effectExtent l="0" t="0" r="0" b="0"/>
            <wp:docPr id="1" name="图片 1" descr="Appendix Fig.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ppendix Fig. S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4655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AD2BA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Cs w:val="20"/>
          <w:highlight w:val="none"/>
        </w:rPr>
      </w:pPr>
    </w:p>
    <w:p w14:paraId="162ABB1A">
      <w:pPr>
        <w:pStyle w:val="42"/>
        <w:suppressLineNumbers/>
        <w:adjustRightInd w:val="0"/>
        <w:snapToGrid w:val="0"/>
        <w:spacing w:line="480" w:lineRule="auto"/>
        <w:rPr>
          <w:rFonts w:hint="default" w:ascii="Times New Roman" w:hAnsi="Times New Roman" w:cs="Times New Roman"/>
          <w:szCs w:val="20"/>
          <w:highlight w:val="none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>Appendix Fig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 xml:space="preserve">  Toxicity evaluation of IsoLiPro.  (A)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 Heart, liver, spleen, lung and kidney of mice administered 560 mg/kg IsoLiPro for 16 weeks were stained by HE.  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>(B)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 Monitoring body weights of mice during the course of treatments.</w:t>
      </w:r>
      <w:r>
        <w:rPr>
          <w:rFonts w:hint="eastAsia" w:ascii="Times New Roman" w:hAnsi="Times New Roman" w:cs="Times New Roman"/>
          <w:szCs w:val="20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Data are represented as means </w:t>
      </w:r>
      <w:r>
        <w:rPr>
          <w:rFonts w:hint="default" w:ascii="Times New Roman" w:hAnsi="Times New Roman" w:cs="Times New Roman"/>
          <w:highlight w:val="none"/>
          <w:lang w:eastAsia="zh-CN"/>
        </w:rPr>
        <w:t>±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 SEM (n = </w:t>
      </w:r>
      <w:r>
        <w:rPr>
          <w:rFonts w:hint="eastAsia" w:ascii="Times New Roman" w:hAnsi="Times New Roman" w:cs="Times New Roman"/>
          <w:szCs w:val="20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 </w:t>
      </w:r>
      <w:r>
        <w:rPr>
          <w:rFonts w:hint="eastAsia" w:ascii="Times New Roman" w:hAnsi="Times New Roman" w:cs="Times New Roman"/>
          <w:szCs w:val="20"/>
          <w:highlight w:val="none"/>
        </w:rPr>
        <w:t>mice per group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).  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>(C)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 SH-SY5Y and HEK293 cells viability was detected by CCK-8 assay after IsoLiPro exposure (up to 50 mM) for 24 hours.  Data are represented as means </w:t>
      </w:r>
      <w:r>
        <w:rPr>
          <w:rFonts w:hint="default" w:ascii="Times New Roman" w:hAnsi="Times New Roman" w:cs="Times New Roman"/>
          <w:highlight w:val="none"/>
          <w:lang w:eastAsia="zh-CN"/>
        </w:rPr>
        <w:t>±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 SEM (n = 3 to 4 samples per group). </w:t>
      </w:r>
      <w:r>
        <w:rPr>
          <w:rFonts w:hint="default" w:ascii="Times New Roman" w:hAnsi="Times New Roman" w:cs="Times New Roman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Cs w:val="20"/>
          <w:highlight w:val="none"/>
        </w:rPr>
        <w:t>P</w:t>
      </w:r>
      <w:r>
        <w:rPr>
          <w:rFonts w:hint="default" w:ascii="Times New Roman" w:hAnsi="Times New Roman" w:cs="Times New Roman"/>
          <w:szCs w:val="20"/>
          <w:highlight w:val="none"/>
        </w:rPr>
        <w:t xml:space="preserve"> values were calculated using multiple t-tests, with comparisons made against the 0 mM group. </w:t>
      </w:r>
    </w:p>
    <w:p w14:paraId="2707ABE5">
      <w:pPr>
        <w:pStyle w:val="42"/>
        <w:suppressLineNumbers/>
        <w:adjustRightInd w:val="0"/>
        <w:snapToGrid w:val="0"/>
        <w:spacing w:line="360" w:lineRule="auto"/>
        <w:ind w:firstLine="2209" w:firstLineChars="1100"/>
        <w:rPr>
          <w:rFonts w:hint="default" w:ascii="Times New Roman" w:hAnsi="Times New Roman" w:cs="Times New Roman"/>
          <w:b/>
          <w:bCs/>
          <w:szCs w:val="20"/>
          <w:highlight w:val="none"/>
        </w:rPr>
      </w:pPr>
      <w:r>
        <w:rPr>
          <w:rFonts w:hint="default" w:ascii="Times New Roman" w:hAnsi="Times New Roman" w:cs="Times New Roman"/>
          <w:b/>
          <w:bCs/>
          <w:szCs w:val="20"/>
          <w:highlight w:val="none"/>
        </w:rPr>
        <w:br w:type="page"/>
      </w:r>
      <w:bookmarkStart w:id="0" w:name="_GoBack"/>
      <w:bookmarkEnd w:id="0"/>
    </w:p>
    <w:p w14:paraId="202B4A7C">
      <w:pPr>
        <w:pStyle w:val="42"/>
        <w:suppressLineNumbers/>
        <w:adjustRightInd w:val="0"/>
        <w:snapToGrid w:val="0"/>
        <w:spacing w:line="360" w:lineRule="auto"/>
        <w:ind w:firstLine="1606" w:firstLineChars="800"/>
        <w:jc w:val="both"/>
        <w:rPr>
          <w:rFonts w:hint="default" w:ascii="Times New Roman" w:hAnsi="Times New Roman" w:eastAsia="宋体" w:cs="Times New Roman"/>
          <w:b/>
          <w:bCs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Appendix 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>Tab</w:t>
      </w:r>
      <w:r>
        <w:rPr>
          <w:rFonts w:hint="default" w:ascii="Times New Roman" w:hAnsi="Times New Roman" w:cs="Times New Roman"/>
          <w:b/>
          <w:bCs/>
          <w:szCs w:val="20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 xml:space="preserve"> S1  Crystallographic data and structure</w:t>
      </w:r>
    </w:p>
    <w:p w14:paraId="286ADC1F">
      <w:pPr>
        <w:pStyle w:val="42"/>
        <w:suppressLineNumbers/>
        <w:adjustRightInd w:val="0"/>
        <w:snapToGrid w:val="0"/>
        <w:spacing w:line="360" w:lineRule="auto"/>
        <w:ind w:firstLine="3012" w:firstLineChars="1500"/>
        <w:rPr>
          <w:rFonts w:hint="default" w:ascii="Times New Roman" w:hAnsi="Times New Roman" w:eastAsia="宋体" w:cs="Times New Roman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Cs w:val="20"/>
          <w:highlight w:val="none"/>
        </w:rPr>
        <w:t>refinement parameters</w:t>
      </w:r>
      <w:r>
        <w:rPr>
          <w:rFonts w:hint="eastAsia" w:ascii="Times New Roman" w:hAnsi="Times New Roman" w:cs="Times New Roman"/>
          <w:szCs w:val="20"/>
          <w:highlight w:val="none"/>
          <w:lang w:val="en-US" w:eastAsia="zh-CN"/>
        </w:rPr>
        <w:t xml:space="preserve">  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3129"/>
      </w:tblGrid>
      <w:tr w14:paraId="43FE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25A5F6CD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0"/>
                <w:highlight w:val="none"/>
                <w:vertAlign w:val="baseline"/>
              </w:rPr>
              <w:t>Compound</w:t>
            </w:r>
          </w:p>
        </w:tc>
        <w:tc>
          <w:tcPr>
            <w:tcW w:w="31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5E3A72A8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0"/>
                <w:highlight w:val="none"/>
                <w:vertAlign w:val="baseline"/>
              </w:rPr>
              <w:t>IsoLiPro</w:t>
            </w:r>
          </w:p>
        </w:tc>
      </w:tr>
      <w:tr w14:paraId="36251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6AA62315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  <w:t>Formula</w:t>
            </w:r>
          </w:p>
        </w:tc>
        <w:tc>
          <w:tcPr>
            <w:tcW w:w="31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C2C330E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  <w:t>C</w:t>
            </w: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subscript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  <w:t>H</w:t>
            </w: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subscript"/>
              </w:rPr>
              <w:t>15</w:t>
            </w: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  <w:t>LiNO</w:t>
            </w: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subscript"/>
              </w:rPr>
              <w:t>4</w:t>
            </w:r>
          </w:p>
        </w:tc>
      </w:tr>
      <w:tr w14:paraId="2857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C7EF39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</w:p>
          <w:p w14:paraId="5837CE36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</w:p>
          <w:p w14:paraId="6C6A8612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unit cell</w:t>
            </w:r>
          </w:p>
          <w:p w14:paraId="47777261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1988F9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sz w:val="21"/>
                <w:highlight w:val="non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58420</wp:posOffset>
                  </wp:positionV>
                  <wp:extent cx="1297940" cy="655320"/>
                  <wp:effectExtent l="0" t="0" r="6985" b="1905"/>
                  <wp:wrapSquare wrapText="bothSides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4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A5E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6E78F2DC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shd w:val="clear" w:color="auto" w:fill="auto"/>
                <w:vertAlign w:val="baseline"/>
              </w:rPr>
              <w:t>MW (g.mol-1)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0F03804E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  <w:t>209.17</w:t>
            </w:r>
          </w:p>
        </w:tc>
      </w:tr>
      <w:tr w14:paraId="691CF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F06B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Crystal System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8EB3A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monoclinic crystals</w:t>
            </w:r>
          </w:p>
        </w:tc>
      </w:tr>
      <w:tr w14:paraId="6DF3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CC908F2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shd w:val="clear" w:color="auto" w:fill="auto"/>
                <w:vertAlign w:val="baseline"/>
              </w:rPr>
              <w:t>space group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258E67C0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shd w:val="clear" w:color="auto" w:fill="auto"/>
                <w:vertAlign w:val="baseline"/>
              </w:rPr>
              <w:t>P21</w:t>
            </w:r>
          </w:p>
        </w:tc>
      </w:tr>
      <w:tr w14:paraId="26BB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B78E3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a (Å)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1C82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10.3529 (7)</w:t>
            </w:r>
          </w:p>
        </w:tc>
      </w:tr>
      <w:tr w14:paraId="0A9B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2368436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b (Å)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3F8DFB7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10.4917 (6)</w:t>
            </w:r>
          </w:p>
        </w:tc>
      </w:tr>
      <w:tr w14:paraId="69A40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83E6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c (Å)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B586E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10.4024 (8)</w:t>
            </w:r>
          </w:p>
        </w:tc>
      </w:tr>
      <w:tr w14:paraId="5EF63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BD78300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alpha (° 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25F5F47A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90</w:t>
            </w:r>
          </w:p>
        </w:tc>
      </w:tr>
      <w:tr w14:paraId="1DF7C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48632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beta (° 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D683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90.894 (5)</w:t>
            </w:r>
          </w:p>
        </w:tc>
      </w:tr>
      <w:tr w14:paraId="7C96A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40013DB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gamma (° 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DEA5F0D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90</w:t>
            </w:r>
          </w:p>
        </w:tc>
      </w:tr>
      <w:tr w14:paraId="462D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126FD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V (Å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4631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 xml:space="preserve">1129.77 (13) </w:t>
            </w:r>
          </w:p>
        </w:tc>
      </w:tr>
      <w:tr w14:paraId="1833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2903DF1D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Dx (Mg m-3)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278F15D5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1.256</w:t>
            </w:r>
          </w:p>
        </w:tc>
      </w:tr>
      <w:tr w14:paraId="6264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4CC34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Z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197F6">
            <w:pPr>
              <w:pStyle w:val="42"/>
              <w:suppressLineNumbers/>
              <w:adjustRightInd w:val="0"/>
              <w:snapToGrid w:val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6E3D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9AB0C34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2θ range (° 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7A9ADC2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 xml:space="preserve">7.909 - 33.451 (n-butanol); </w:t>
            </w:r>
          </w:p>
          <w:p w14:paraId="2BB56656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 xml:space="preserve">8.255 - 35.886 </w:t>
            </w:r>
          </w:p>
          <w:p w14:paraId="34D0FD42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(ethanol and tetrahydrofuran)</w:t>
            </w:r>
          </w:p>
        </w:tc>
      </w:tr>
      <w:tr w14:paraId="5CCD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ED5ED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Nref/Npara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0955D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4813/337</w:t>
            </w:r>
          </w:p>
        </w:tc>
      </w:tr>
      <w:tr w14:paraId="052B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37554A6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Tmin, Tmax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E0F949A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0.593, 0.746</w:t>
            </w:r>
          </w:p>
        </w:tc>
      </w:tr>
      <w:tr w14:paraId="1DA49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AE59B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 xml:space="preserve">R1 [I &gt; 2δ (I)] 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EF801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0.0691 ( 4017)</w:t>
            </w:r>
          </w:p>
        </w:tc>
      </w:tr>
      <w:tr w14:paraId="199E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1F29FFEF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0"/>
                <w:highlight w:val="none"/>
                <w:vertAlign w:val="baseline"/>
              </w:rPr>
              <w:t>wR2</w:t>
            </w: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 xml:space="preserve"> (reflections)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6CFE6950">
            <w:pPr>
              <w:pStyle w:val="42"/>
              <w:suppressLineNumbers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0"/>
                <w:highlight w:val="none"/>
                <w:vertAlign w:val="baseline"/>
              </w:rPr>
              <w:t>0.1936 (4813)</w:t>
            </w:r>
          </w:p>
        </w:tc>
      </w:tr>
    </w:tbl>
    <w:p w14:paraId="1F603B4C">
      <w:pPr>
        <w:pStyle w:val="42"/>
        <w:suppressLineNumbers/>
        <w:adjustRightInd w:val="0"/>
        <w:snapToGrid w:val="0"/>
        <w:jc w:val="both"/>
        <w:rPr>
          <w:rFonts w:hint="default" w:ascii="Times New Roman" w:hAnsi="Times New Roman" w:cs="Times New Roman"/>
          <w:szCs w:val="20"/>
          <w:highlight w:val="none"/>
        </w:rPr>
      </w:pPr>
    </w:p>
    <w:p w14:paraId="4229A66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51A55CCB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28534B1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179E71B3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79A5E9D3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049B5D3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7038AE1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4735CB7A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0FDF63A5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2FA5E2A4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25F8405F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5FE66E54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075D2B4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0B46486F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0C21EECD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32D45CE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707D421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27359202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1E23077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2232CDD4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Cs w:val="20"/>
          <w:highlight w:val="none"/>
        </w:rPr>
      </w:pPr>
    </w:p>
    <w:p w14:paraId="3ED0CAF9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Cs w:val="20"/>
          <w:highlight w:val="none"/>
        </w:rPr>
      </w:pPr>
    </w:p>
    <w:p w14:paraId="454888A4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Cs w:val="20"/>
          <w:highlight w:val="none"/>
        </w:rPr>
      </w:pPr>
    </w:p>
    <w:p w14:paraId="02CF92E2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Cs w:val="20"/>
          <w:highlight w:val="none"/>
        </w:rPr>
      </w:pPr>
      <w:r>
        <w:rPr>
          <w:rFonts w:hint="default" w:ascii="Times New Roman" w:hAnsi="Times New Roman" w:cs="Times New Roman"/>
          <w:b/>
          <w:bCs/>
          <w:highlight w:val="none"/>
          <w:lang w:eastAsia="zh-CN"/>
        </w:rPr>
        <w:t xml:space="preserve">Appendix 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>Tab</w:t>
      </w:r>
      <w:r>
        <w:rPr>
          <w:rFonts w:hint="default" w:ascii="Times New Roman" w:hAnsi="Times New Roman" w:cs="Times New Roman"/>
          <w:b/>
          <w:bCs/>
          <w:szCs w:val="20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Cs w:val="20"/>
          <w:highlight w:val="none"/>
        </w:rPr>
        <w:t xml:space="preserve"> S2  Binding free energies of the complex (kcal/mol)</w:t>
      </w:r>
    </w:p>
    <w:p w14:paraId="0638608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Cs w:val="20"/>
          <w:highlight w:val="none"/>
        </w:rPr>
      </w:pPr>
    </w:p>
    <w:tbl>
      <w:tblPr>
        <w:tblStyle w:val="12"/>
        <w:tblpPr w:leftFromText="180" w:rightFromText="180" w:vertAnchor="text" w:horzAnchor="page" w:tblpXSpec="center" w:tblpY="151"/>
        <w:tblOverlap w:val="never"/>
        <w:tblW w:w="68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9"/>
        <w:gridCol w:w="1213"/>
        <w:gridCol w:w="1213"/>
        <w:gridCol w:w="1213"/>
        <w:gridCol w:w="1215"/>
      </w:tblGrid>
      <w:tr w14:paraId="2CB60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4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54F3626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1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2A530F7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sz w:val="21"/>
                <w:szCs w:val="21"/>
                <w:highlight w:val="none"/>
              </w:rPr>
              <w:t>IsoLiPro</w:t>
            </w:r>
          </w:p>
        </w:tc>
        <w:tc>
          <w:tcPr>
            <w:tcW w:w="121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0F19D61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sz w:val="21"/>
                <w:szCs w:val="21"/>
                <w:highlight w:val="none"/>
              </w:rPr>
              <w:t>Li</w:t>
            </w: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sz w:val="21"/>
                <w:szCs w:val="21"/>
                <w:highlight w:val="none"/>
              </w:rPr>
              <w:t>CO</w:t>
            </w: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sz w:val="21"/>
                <w:szCs w:val="21"/>
                <w:highlight w:val="none"/>
                <w:vertAlign w:val="subscript"/>
              </w:rPr>
              <w:t>3</w:t>
            </w:r>
          </w:p>
        </w:tc>
        <w:tc>
          <w:tcPr>
            <w:tcW w:w="121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56C6144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sz w:val="21"/>
                <w:szCs w:val="21"/>
                <w:highlight w:val="none"/>
              </w:rPr>
              <w:t>LiIB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138BA4B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sz w:val="21"/>
                <w:szCs w:val="21"/>
                <w:highlight w:val="none"/>
              </w:rPr>
              <w:t>Pro</w:t>
            </w:r>
          </w:p>
        </w:tc>
      </w:tr>
      <w:tr w14:paraId="31F9A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949" w:type="dxa"/>
            <w:shd w:val="clear" w:color="auto" w:fill="auto"/>
            <w:vAlign w:val="center"/>
          </w:tcPr>
          <w:p w14:paraId="4CEEABAA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olor w:val="000000"/>
                <w:sz w:val="21"/>
                <w:szCs w:val="21"/>
                <w:highlight w:val="none"/>
              </w:rPr>
              <w:t>Docking Score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1A4ABF1B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-4.57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7B84182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-6.8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E803307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-3.66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9336036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-3.5</w:t>
            </w:r>
          </w:p>
        </w:tc>
      </w:tr>
      <w:tr w14:paraId="39804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949" w:type="dxa"/>
            <w:shd w:val="clear" w:color="auto" w:fill="F2F2F2"/>
            <w:vAlign w:val="center"/>
          </w:tcPr>
          <w:p w14:paraId="6A545BA2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olor w:val="000000"/>
                <w:sz w:val="21"/>
                <w:szCs w:val="21"/>
                <w:highlight w:val="none"/>
              </w:rPr>
              <w:t>∆Eelec</w:t>
            </w:r>
          </w:p>
        </w:tc>
        <w:tc>
          <w:tcPr>
            <w:tcW w:w="1213" w:type="dxa"/>
            <w:shd w:val="clear" w:color="auto" w:fill="F2F2F2"/>
            <w:vAlign w:val="center"/>
          </w:tcPr>
          <w:p w14:paraId="491250D0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-104.03</w:t>
            </w:r>
          </w:p>
        </w:tc>
        <w:tc>
          <w:tcPr>
            <w:tcW w:w="1213" w:type="dxa"/>
            <w:shd w:val="clear" w:color="auto" w:fill="F2F2F2"/>
            <w:vAlign w:val="center"/>
          </w:tcPr>
          <w:p w14:paraId="4F7980EF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-26.49</w:t>
            </w:r>
          </w:p>
        </w:tc>
        <w:tc>
          <w:tcPr>
            <w:tcW w:w="1213" w:type="dxa"/>
            <w:shd w:val="clear" w:color="auto" w:fill="F2F2F2"/>
            <w:vAlign w:val="center"/>
          </w:tcPr>
          <w:p w14:paraId="7E8D85BE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-41.45</w:t>
            </w:r>
          </w:p>
        </w:tc>
        <w:tc>
          <w:tcPr>
            <w:tcW w:w="1215" w:type="dxa"/>
            <w:shd w:val="clear" w:color="auto" w:fill="F2F2F2"/>
            <w:vAlign w:val="center"/>
          </w:tcPr>
          <w:p w14:paraId="49592337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-7.51</w:t>
            </w:r>
          </w:p>
        </w:tc>
      </w:tr>
      <w:tr w14:paraId="1771B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949" w:type="dxa"/>
            <w:shd w:val="clear" w:color="auto" w:fill="auto"/>
            <w:vAlign w:val="center"/>
          </w:tcPr>
          <w:p w14:paraId="2F7D5610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olor w:val="000000"/>
                <w:sz w:val="21"/>
                <w:szCs w:val="21"/>
                <w:highlight w:val="none"/>
              </w:rPr>
              <w:t>∆Evdw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46B3FE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-13.3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5A79FEC9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64054BD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-0.64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D4BBB54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-0.05</w:t>
            </w:r>
          </w:p>
        </w:tc>
      </w:tr>
      <w:tr w14:paraId="25B36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949" w:type="dxa"/>
            <w:shd w:val="clear" w:color="auto" w:fill="F2F2F2"/>
            <w:vAlign w:val="center"/>
          </w:tcPr>
          <w:p w14:paraId="46649770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olor w:val="000000"/>
                <w:sz w:val="21"/>
                <w:szCs w:val="21"/>
                <w:highlight w:val="none"/>
              </w:rPr>
              <w:t>∆EGAS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/>
                <w:iCs/>
                <w:color w:val="000000"/>
                <w:sz w:val="21"/>
                <w:szCs w:val="21"/>
                <w:highlight w:val="none"/>
              </w:rPr>
              <w:t>(elec + vdw)</w:t>
            </w:r>
          </w:p>
        </w:tc>
        <w:tc>
          <w:tcPr>
            <w:tcW w:w="1213" w:type="dxa"/>
            <w:shd w:val="clear" w:color="auto" w:fill="F2F2F2"/>
            <w:vAlign w:val="center"/>
          </w:tcPr>
          <w:p w14:paraId="39420718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-117.39</w:t>
            </w:r>
          </w:p>
        </w:tc>
        <w:tc>
          <w:tcPr>
            <w:tcW w:w="1213" w:type="dxa"/>
            <w:shd w:val="clear" w:color="auto" w:fill="F2F2F2"/>
            <w:vAlign w:val="center"/>
          </w:tcPr>
          <w:p w14:paraId="424BE1FF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-26.49</w:t>
            </w:r>
          </w:p>
        </w:tc>
        <w:tc>
          <w:tcPr>
            <w:tcW w:w="1213" w:type="dxa"/>
            <w:shd w:val="clear" w:color="auto" w:fill="F2F2F2"/>
            <w:vAlign w:val="center"/>
          </w:tcPr>
          <w:p w14:paraId="43A1E7A9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-42.10</w:t>
            </w:r>
          </w:p>
        </w:tc>
        <w:tc>
          <w:tcPr>
            <w:tcW w:w="1215" w:type="dxa"/>
            <w:shd w:val="clear" w:color="auto" w:fill="F2F2F2"/>
            <w:vAlign w:val="center"/>
          </w:tcPr>
          <w:p w14:paraId="5B28E1B1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-7.56</w:t>
            </w:r>
          </w:p>
        </w:tc>
      </w:tr>
      <w:tr w14:paraId="1BC4B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949" w:type="dxa"/>
            <w:shd w:val="clear" w:color="auto" w:fill="auto"/>
            <w:vAlign w:val="center"/>
          </w:tcPr>
          <w:p w14:paraId="5988C585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olor w:val="000000"/>
                <w:sz w:val="21"/>
                <w:szCs w:val="21"/>
                <w:highlight w:val="none"/>
              </w:rPr>
              <w:t>PB-SOL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/>
                <w:iCs/>
                <w:color w:val="000000"/>
                <w:sz w:val="21"/>
                <w:szCs w:val="21"/>
                <w:highlight w:val="none"/>
              </w:rPr>
              <w:t>(Polar + np)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FABC94E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96.85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7378FC0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-0.07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F96DDEA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11.59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7D400FB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1.16</w:t>
            </w:r>
          </w:p>
        </w:tc>
      </w:tr>
      <w:tr w14:paraId="3D1B1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949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14:paraId="342A7344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olor w:val="000000"/>
                <w:sz w:val="21"/>
                <w:szCs w:val="21"/>
                <w:highlight w:val="none"/>
              </w:rPr>
              <w:t>∆G(Total)</w:t>
            </w:r>
          </w:p>
        </w:tc>
        <w:tc>
          <w:tcPr>
            <w:tcW w:w="1213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14:paraId="73FE89F2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-20.54</w:t>
            </w:r>
          </w:p>
        </w:tc>
        <w:tc>
          <w:tcPr>
            <w:tcW w:w="1213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14:paraId="47BE14A2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-26.56</w:t>
            </w:r>
          </w:p>
        </w:tc>
        <w:tc>
          <w:tcPr>
            <w:tcW w:w="1213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14:paraId="748F09D1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-30.49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14:paraId="293565C1">
            <w:pPr>
              <w:pStyle w:val="10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color w:val="000000"/>
                <w:sz w:val="21"/>
                <w:szCs w:val="21"/>
                <w:highlight w:val="none"/>
              </w:rPr>
              <w:t>-6.39</w:t>
            </w:r>
          </w:p>
        </w:tc>
      </w:tr>
    </w:tbl>
    <w:p w14:paraId="457711F1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sz w:val="24"/>
          <w:highlight w:val="none"/>
        </w:rPr>
      </w:pPr>
    </w:p>
    <w:p w14:paraId="44AD0AB5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808A1F8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5F24344C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745CB145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077FE708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271CD3ED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30060C89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10BD353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0036488C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71261EA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5AC4139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16FA430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2936D04B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9AA5796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208B1563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3582A201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069C2666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99E9020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6BDDE73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703A28F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EEC5CB7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28730972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0F64061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3C42D107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7B53B0DB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455E00A7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371A93A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3BA4A761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2EF20F61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76A7EBBB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35372E1D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4CA0A24A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6AE889B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E23F8D7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0D0C2DC9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00311847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44676482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7140D281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2204EB7C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259BA8FC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56816069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03B45B3B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E7B7605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383917AB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30F36B90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49BC78EE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39859BD">
      <w:pPr>
        <w:pStyle w:val="42"/>
        <w:suppressLineNumbers/>
        <w:adjustRightInd w:val="0"/>
        <w:snapToGrid w:val="0"/>
        <w:rPr>
          <w:rFonts w:hint="default" w:ascii="Times New Roman" w:hAnsi="Times New Roman" w:cs="Times New Roman"/>
          <w:sz w:val="24"/>
          <w:highlight w:val="none"/>
        </w:rPr>
      </w:pPr>
    </w:p>
    <w:p w14:paraId="1FC27AAD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Appendix Tab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3  The sequences of the primers used in the study</w:t>
      </w:r>
    </w:p>
    <w:p w14:paraId="70F4D94F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5915"/>
      </w:tblGrid>
      <w:tr w14:paraId="58A37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6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4C3BC3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</w:rPr>
              <w:t>Primer Name</w:t>
            </w:r>
          </w:p>
        </w:tc>
        <w:tc>
          <w:tcPr>
            <w:tcW w:w="59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554EC93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</w:rPr>
              <w:t>Primer Sequence 5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’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</w:rPr>
              <w:t>-3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’</w:t>
            </w:r>
          </w:p>
        </w:tc>
      </w:tr>
      <w:tr w14:paraId="6D20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63737B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USP11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  <w:t>-F</w:t>
            </w:r>
          </w:p>
        </w:tc>
        <w:tc>
          <w:tcPr>
            <w:tcW w:w="591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579CF2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  <w:t>GTTCCACTGCCTATCAGCCACAAG</w:t>
            </w:r>
          </w:p>
        </w:tc>
      </w:tr>
      <w:tr w14:paraId="34962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5769B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USP11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R</w:t>
            </w: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D5A6E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  <w:t>GAAGACATCAGCCACCATCATCCTC</w:t>
            </w:r>
          </w:p>
        </w:tc>
      </w:tr>
      <w:tr w14:paraId="0B7C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03B4D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tau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  <w:t>-F</w:t>
            </w: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1C33"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highlight w:val="none"/>
                <w:lang w:eastAsia="zh-CN"/>
              </w:rPr>
              <w:t>AGAACGCCAAAGCCAAGACAGA</w:t>
            </w:r>
          </w:p>
        </w:tc>
      </w:tr>
      <w:tr w14:paraId="2F9C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6D8BD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tau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R</w:t>
            </w: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A4AC7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  <w:t>CATTGCTGAGATGCCGTGGAGAG</w:t>
            </w:r>
          </w:p>
        </w:tc>
      </w:tr>
      <w:tr w14:paraId="40F5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D877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GAPDH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  <w:t>-F</w:t>
            </w: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11C06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  <w:t>TCAAGGCTGAGAACGGGAAG</w:t>
            </w:r>
          </w:p>
        </w:tc>
      </w:tr>
      <w:tr w14:paraId="53BB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E231D0">
            <w:pPr>
              <w:pStyle w:val="42"/>
              <w:suppressLineNumbers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GAPDH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R</w:t>
            </w:r>
          </w:p>
        </w:tc>
        <w:tc>
          <w:tcPr>
            <w:tcW w:w="591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A9FFC6"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highlight w:val="none"/>
                <w:lang w:eastAsia="zh-CN"/>
              </w:rPr>
              <w:t>CGCCCCACTTGATTTTGGAG</w:t>
            </w:r>
          </w:p>
        </w:tc>
      </w:tr>
    </w:tbl>
    <w:p w14:paraId="68A781E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69B8E46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171B92C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5A5B9F0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C92228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A60F1C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80AC566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DC9AC77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41F5B608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F021477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0651BEB5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F6B167A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CD4CF3F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712142A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21C3C43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3A46229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72F6440B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51AF56C3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6C7BDF9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EF6F4AC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0B1BA759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5B129336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1BC63A6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AB56A3C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53347E34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4ACA3AB0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4ECEDC24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078EC63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64EF360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FA65E06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4D17B11C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450D877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9B32C74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C5B10B1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3BC24D2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A276B1D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53988DAC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354969C7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F15A144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7C46AC04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5E392F3">
      <w:pPr>
        <w:pStyle w:val="42"/>
        <w:suppressLineNumbers/>
        <w:adjustRightInd w:val="0"/>
        <w:snapToGrid w:val="0"/>
        <w:jc w:val="center"/>
        <w:rPr>
          <w:rFonts w:ascii="宋体" w:hAnsi="宋体" w:eastAsia="宋体" w:cs="宋体"/>
          <w:sz w:val="24"/>
          <w:szCs w:val="24"/>
        </w:rPr>
      </w:pPr>
    </w:p>
    <w:p w14:paraId="542978A9">
      <w:pPr>
        <w:pStyle w:val="42"/>
        <w:suppressLineNumbers/>
        <w:adjustRightInd w:val="0"/>
        <w:snapToGrid w:val="0"/>
        <w:jc w:val="center"/>
        <w:rPr>
          <w:rFonts w:ascii="宋体" w:hAnsi="宋体" w:eastAsia="宋体" w:cs="宋体"/>
          <w:sz w:val="24"/>
          <w:szCs w:val="24"/>
        </w:rPr>
      </w:pPr>
    </w:p>
    <w:p w14:paraId="123439B9">
      <w:pPr>
        <w:pStyle w:val="42"/>
        <w:suppressLineNumbers/>
        <w:adjustRightInd w:val="0"/>
        <w:snapToGrid w:val="0"/>
        <w:jc w:val="center"/>
        <w:rPr>
          <w:rFonts w:ascii="宋体" w:hAnsi="宋体" w:eastAsia="宋体" w:cs="宋体"/>
          <w:sz w:val="24"/>
          <w:szCs w:val="24"/>
        </w:rPr>
      </w:pPr>
    </w:p>
    <w:p w14:paraId="1DD55FB0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Appendix Tab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4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Antibodies and probes used in the study</w:t>
      </w:r>
    </w:p>
    <w:tbl>
      <w:tblPr>
        <w:tblStyle w:val="13"/>
        <w:tblpPr w:leftFromText="180" w:rightFromText="180" w:vertAnchor="text" w:horzAnchor="page" w:tblpXSpec="center" w:tblpY="497"/>
        <w:tblOverlap w:val="never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908"/>
        <w:gridCol w:w="1592"/>
        <w:gridCol w:w="2634"/>
      </w:tblGrid>
      <w:tr w14:paraId="65A77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6E6E6"/>
            <w:vAlign w:val="center"/>
          </w:tcPr>
          <w:p w14:paraId="6CD1E472">
            <w:pPr>
              <w:spacing w:before="40" w:after="40"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Antibodies 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6E6E6"/>
            <w:vAlign w:val="center"/>
          </w:tcPr>
          <w:p w14:paraId="4A6211DB">
            <w:pPr>
              <w:spacing w:before="40" w:after="40" w:line="360" w:lineRule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Application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6E6E6"/>
            <w:vAlign w:val="center"/>
          </w:tcPr>
          <w:p w14:paraId="3A9CE171">
            <w:pPr>
              <w:spacing w:before="40" w:after="40" w:line="360" w:lineRule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</w:rPr>
              <w:t>Dilution</w:t>
            </w:r>
          </w:p>
        </w:tc>
        <w:tc>
          <w:tcPr>
            <w:tcW w:w="26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6E6E6"/>
            <w:vAlign w:val="center"/>
          </w:tcPr>
          <w:p w14:paraId="04310902">
            <w:pPr>
              <w:spacing w:before="40" w:after="40" w:line="360" w:lineRule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4"/>
                <w:szCs w:val="24"/>
              </w:rPr>
              <w:t>Manufacturer</w:t>
            </w:r>
          </w:p>
        </w:tc>
      </w:tr>
      <w:tr w14:paraId="1BC73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B19250F">
            <w:pPr>
              <w:spacing w:before="40" w:after="40" w:line="36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anti-tau46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43F9EA5">
            <w:pPr>
              <w:spacing w:before="40" w:after="40" w:line="360" w:lineRule="auto"/>
              <w:jc w:val="both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IP</w:t>
            </w:r>
          </w:p>
          <w:p w14:paraId="548C15FA">
            <w:pPr>
              <w:spacing w:before="40" w:after="40" w:line="360" w:lineRule="auto"/>
              <w:jc w:val="both"/>
              <w:rPr>
                <w:rFonts w:hint="default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WB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0ECC8C0">
            <w:pPr>
              <w:spacing w:before="40" w:after="40" w:line="360" w:lineRule="auto"/>
              <w:jc w:val="left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</w:t>
            </w:r>
          </w:p>
          <w:p w14:paraId="5A223622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1:2000</w:t>
            </w:r>
          </w:p>
        </w:tc>
        <w:tc>
          <w:tcPr>
            <w:tcW w:w="26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21860">
            <w:pPr>
              <w:spacing w:before="40" w:after="40" w:line="36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</w:rPr>
              <w:t>Cell Signaling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</w:rPr>
              <w:t>Technology</w:t>
            </w:r>
          </w:p>
          <w:p w14:paraId="1A5BBA0F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</w:rPr>
              <w:t>4019</w:t>
            </w: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)</w:t>
            </w:r>
          </w:p>
        </w:tc>
      </w:tr>
      <w:tr w14:paraId="07DF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D11A">
            <w:pPr>
              <w:spacing w:before="40" w:after="40" w:line="36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Mouse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anti-tau12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EC4A4">
            <w:pPr>
              <w:spacing w:before="40" w:after="40" w:line="360" w:lineRule="auto"/>
              <w:jc w:val="both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WB</w:t>
            </w:r>
          </w:p>
          <w:p w14:paraId="23E8DA72">
            <w:pPr>
              <w:spacing w:before="40" w:after="40" w:line="360" w:lineRule="auto"/>
              <w:jc w:val="both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IF</w:t>
            </w:r>
          </w:p>
          <w:p w14:paraId="657F477F">
            <w:pPr>
              <w:spacing w:before="40" w:after="40"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IHC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60AF4">
            <w:pPr>
              <w:spacing w:before="40" w:after="40" w:line="360" w:lineRule="auto"/>
              <w:jc w:val="left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  <w:p w14:paraId="2DC9D286">
            <w:pPr>
              <w:spacing w:before="40" w:after="40" w:line="360" w:lineRule="auto"/>
              <w:jc w:val="left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  <w:p w14:paraId="5D8CBD6F">
            <w:pPr>
              <w:spacing w:before="40" w:after="40" w:line="360" w:lineRule="auto"/>
              <w:jc w:val="left"/>
              <w:rPr>
                <w:rFonts w:hint="default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732CB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Biolegend</w:t>
            </w:r>
          </w:p>
          <w:p w14:paraId="00D83E9F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806501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1B2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7E67A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Mouse-anti-ptau181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A552">
            <w:pPr>
              <w:spacing w:before="40" w:after="40" w:line="360" w:lineRule="auto"/>
              <w:jc w:val="both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WB</w:t>
            </w:r>
          </w:p>
          <w:p w14:paraId="14AD3B90">
            <w:pPr>
              <w:spacing w:before="40" w:after="40" w:line="360" w:lineRule="auto"/>
              <w:jc w:val="both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IF</w:t>
            </w:r>
          </w:p>
          <w:p w14:paraId="14D373F7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IHC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A643A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</w:t>
            </w:r>
          </w:p>
          <w:p w14:paraId="55E3CDF8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1:200</w:t>
            </w:r>
          </w:p>
          <w:p w14:paraId="7A054665">
            <w:pPr>
              <w:pStyle w:val="46"/>
              <w:spacing w:line="360" w:lineRule="auto"/>
              <w:jc w:val="left"/>
              <w:outlineLvl w:val="2"/>
              <w:rPr>
                <w:rFonts w:hint="default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1:200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45BC7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Thermo Fisher Scientific</w:t>
            </w:r>
          </w:p>
          <w:p w14:paraId="410EF325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MN1050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6709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8C766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Rabbit-anti-ptau202/205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B106C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9338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31404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0CF2AA8C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ab109930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3DFB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3B7A8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Mouse-anti-ptau202/205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45BA0">
            <w:pPr>
              <w:pStyle w:val="46"/>
              <w:spacing w:line="360" w:lineRule="auto"/>
              <w:jc w:val="both"/>
              <w:outlineLvl w:val="2"/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  <w:p w14:paraId="62FA5EA0">
            <w:pPr>
              <w:pStyle w:val="46"/>
              <w:spacing w:line="360" w:lineRule="auto"/>
              <w:jc w:val="both"/>
              <w:outlineLvl w:val="2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IHC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ADC40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</w:t>
            </w:r>
          </w:p>
          <w:p w14:paraId="24738A90">
            <w:pPr>
              <w:pStyle w:val="46"/>
              <w:spacing w:line="360" w:lineRule="auto"/>
              <w:jc w:val="left"/>
              <w:outlineLvl w:val="2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1:200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ADF51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Thermo Fisher Scientific</w:t>
            </w:r>
          </w:p>
          <w:p w14:paraId="0C1C9AC2">
            <w:pPr>
              <w:pStyle w:val="46"/>
              <w:spacing w:line="360" w:lineRule="auto"/>
              <w:jc w:val="left"/>
              <w:outlineLvl w:val="2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MN1020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6229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4DCCC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Rabbit-anti-ptau231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F46C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4D3D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31161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4546D553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ab151559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834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72C3">
            <w:pPr>
              <w:spacing w:before="40" w:after="40"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Rabbit-anti-ptau396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8EB0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B3E6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617FA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0727D8DE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210703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066BC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45961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Mouse-anti-β-Amyloid,17-24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54389">
            <w:pPr>
              <w:pStyle w:val="46"/>
              <w:spacing w:line="360" w:lineRule="auto"/>
              <w:jc w:val="both"/>
              <w:outlineLvl w:val="2"/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IHC</w:t>
            </w:r>
          </w:p>
          <w:p w14:paraId="54545116">
            <w:pPr>
              <w:pStyle w:val="46"/>
              <w:spacing w:line="360" w:lineRule="auto"/>
              <w:jc w:val="both"/>
              <w:outlineLvl w:val="2"/>
              <w:rPr>
                <w:rFonts w:hint="default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IF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3767E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  <w:p w14:paraId="6E41028D">
            <w:pPr>
              <w:pStyle w:val="46"/>
              <w:spacing w:line="360" w:lineRule="auto"/>
              <w:jc w:val="left"/>
              <w:outlineLvl w:val="2"/>
              <w:rPr>
                <w:rFonts w:hint="default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0A37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Biolegend</w:t>
            </w:r>
          </w:p>
          <w:p w14:paraId="58201616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800703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4ADDD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C4F50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Rabbit-anti-Iba1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0C7A2">
            <w:pPr>
              <w:pStyle w:val="46"/>
              <w:spacing w:line="360" w:lineRule="auto"/>
              <w:jc w:val="both"/>
              <w:outlineLvl w:val="2"/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IHC</w:t>
            </w:r>
          </w:p>
          <w:p w14:paraId="49DE63E4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IF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5FC0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</w:t>
            </w:r>
          </w:p>
          <w:p w14:paraId="29839079">
            <w:pPr>
              <w:pStyle w:val="46"/>
              <w:spacing w:line="360" w:lineRule="auto"/>
              <w:jc w:val="left"/>
              <w:outlineLvl w:val="2"/>
              <w:rPr>
                <w:rFonts w:hint="default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F2AB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145643E9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ab178846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27DE9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16E5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Mouse-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anti-GFAP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F4EEA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 xml:space="preserve">IF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8B27D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1:400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2BA7E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Cell Signaling</w:t>
            </w:r>
          </w:p>
          <w:p w14:paraId="382B6B8A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Technology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3670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3E2B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EE435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Rabbit-anti-SYN1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C3E1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IHC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2BBD9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C19CF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01C41D01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20258-1-AP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</w:tr>
      <w:tr w14:paraId="3F7E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7B06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Rabbit-anti-PSD95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7C07C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IHC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CC0F0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08C12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4A652F4C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ab18258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43917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8E6DC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Rabbit-anti-Ubiquitin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8C9B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A6B7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1:1000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67C6E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Proteintech</w:t>
            </w:r>
          </w:p>
          <w:p w14:paraId="396FC66A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10201-2-AP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4E837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325D">
            <w:pPr>
              <w:pStyle w:val="4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instrText xml:space="preserve"> HYPERLINK "https://www.abcam.cn/products/primary-antibodies/ubiquitin-linkage-specific-k48-antibody-ep8589-ab140601.html"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anti-Ubiquitin</w:t>
            </w:r>
          </w:p>
          <w:p w14:paraId="00F6B334">
            <w:pPr>
              <w:pStyle w:val="4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(linkage-specific K48)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7877E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5E672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393BD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6038EE61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ab140601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59C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2DC5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Rabbit-anti-Ubiquitin</w:t>
            </w:r>
          </w:p>
          <w:p w14:paraId="561470A6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(linkage-specific K63)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2C279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7E86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8A574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786F7101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ab179434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F301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453C3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Rabbit-anti-GAPDH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1C11A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97235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C49CE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HUABIO</w:t>
            </w:r>
          </w:p>
          <w:p w14:paraId="3E26DC98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EM1101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21B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AD8E6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Rabbit-anti-USP11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EE38E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93E0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EB820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10514C9A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ab109232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47AD8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BF722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Rabbit-anti-USP11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F262A">
            <w:pPr>
              <w:pStyle w:val="46"/>
              <w:spacing w:line="360" w:lineRule="auto"/>
              <w:jc w:val="both"/>
              <w:outlineLvl w:val="2"/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IF</w:t>
            </w:r>
          </w:p>
          <w:p w14:paraId="06D0DF61">
            <w:pPr>
              <w:pStyle w:val="46"/>
              <w:spacing w:line="360" w:lineRule="auto"/>
              <w:jc w:val="both"/>
              <w:outlineLvl w:val="2"/>
              <w:rPr>
                <w:rFonts w:hint="default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IHC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E3160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</w:t>
            </w:r>
          </w:p>
          <w:p w14:paraId="3C1E21B3">
            <w:pPr>
              <w:pStyle w:val="46"/>
              <w:spacing w:line="360" w:lineRule="auto"/>
              <w:jc w:val="left"/>
              <w:outlineLvl w:val="2"/>
              <w:rPr>
                <w:rFonts w:hint="default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E640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2D6D1FC8">
            <w:pPr>
              <w:pStyle w:val="46"/>
              <w:spacing w:line="360" w:lineRule="auto"/>
              <w:jc w:val="left"/>
              <w:outlineLvl w:val="2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ab109232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0ED56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2C74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Rabbit-anti-USP25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58FEA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002F1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6F569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Abcam</w:t>
            </w:r>
          </w:p>
          <w:p w14:paraId="74E4AB1F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lang w:eastAsia="zh-CN"/>
              </w:rPr>
              <w:t>ab187156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0A6C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5D78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Anti-rabbit IgG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C553">
            <w:pPr>
              <w:pStyle w:val="46"/>
              <w:spacing w:line="360" w:lineRule="auto"/>
              <w:jc w:val="both"/>
              <w:outlineLvl w:val="2"/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  <w:p w14:paraId="69EB99BF">
            <w:pPr>
              <w:pStyle w:val="46"/>
              <w:spacing w:line="360" w:lineRule="auto"/>
              <w:jc w:val="both"/>
              <w:outlineLvl w:val="2"/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IF</w:t>
            </w:r>
          </w:p>
          <w:p w14:paraId="0E6CEF3C">
            <w:pPr>
              <w:pStyle w:val="46"/>
              <w:spacing w:line="360" w:lineRule="auto"/>
              <w:jc w:val="both"/>
              <w:outlineLvl w:val="2"/>
              <w:rPr>
                <w:rFonts w:hint="default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IHC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6FE4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  <w:p w14:paraId="55A17441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  <w:p w14:paraId="19613D80">
            <w:pPr>
              <w:pStyle w:val="46"/>
              <w:spacing w:line="360" w:lineRule="auto"/>
              <w:jc w:val="left"/>
              <w:outlineLvl w:val="2"/>
              <w:rPr>
                <w:rFonts w:hint="default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C72E2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HUABIO</w:t>
            </w:r>
          </w:p>
          <w:p w14:paraId="1310B8B9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HA1001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3D3C1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3F513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Anti-mouse IgG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86D9E">
            <w:pPr>
              <w:pStyle w:val="46"/>
              <w:spacing w:line="360" w:lineRule="auto"/>
              <w:jc w:val="both"/>
              <w:outlineLvl w:val="2"/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WB</w:t>
            </w:r>
          </w:p>
          <w:p w14:paraId="32EE1CF3">
            <w:pPr>
              <w:pStyle w:val="46"/>
              <w:spacing w:line="360" w:lineRule="auto"/>
              <w:jc w:val="both"/>
              <w:outlineLvl w:val="2"/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IF</w:t>
            </w:r>
          </w:p>
          <w:p w14:paraId="7735F364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IHC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211FA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1:10000</w:t>
            </w:r>
          </w:p>
          <w:p w14:paraId="16600387">
            <w:pPr>
              <w:pStyle w:val="46"/>
              <w:spacing w:line="360" w:lineRule="auto"/>
              <w:jc w:val="left"/>
              <w:outlineLvl w:val="2"/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  <w:p w14:paraId="7C28B776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397D3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HUABIO</w:t>
            </w:r>
          </w:p>
          <w:p w14:paraId="60F24349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HA1006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7DC9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5F8E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Anti-mouse IgG, Alexa Fluor™ 488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BEB4A">
            <w:pPr>
              <w:pStyle w:val="46"/>
              <w:spacing w:line="360" w:lineRule="auto"/>
              <w:jc w:val="both"/>
              <w:outlineLvl w:val="2"/>
              <w:rPr>
                <w:rFonts w:hint="default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 xml:space="preserve">IF 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49DB9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814E5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Thermo Fisher Scientific</w:t>
            </w:r>
          </w:p>
          <w:p w14:paraId="53C7ECBD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A-11001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69C5B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95F240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Anti-rabbit IgG, Alexa Fluor™ 555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6DAD69">
            <w:pPr>
              <w:pStyle w:val="46"/>
              <w:spacing w:line="360" w:lineRule="auto"/>
              <w:jc w:val="both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IF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8B3D69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1:500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1B018D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Thermo Fisher Scientific</w:t>
            </w:r>
          </w:p>
          <w:p w14:paraId="418F71E3">
            <w:pPr>
              <w:pStyle w:val="46"/>
              <w:spacing w:line="360" w:lineRule="auto"/>
              <w:jc w:val="left"/>
              <w:outlineLvl w:val="2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A-21428</w:t>
            </w:r>
            <w:r>
              <w:rPr>
                <w:rFonts w:hint="eastAsia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</w:tbl>
    <w:p w14:paraId="71B11D1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7EE9A9C9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2AE45B95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7E82C56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E13DA8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6E499A9B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7DDA918E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0E8CF680">
      <w:pPr>
        <w:pStyle w:val="42"/>
        <w:suppressLineNumbers/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 w14:paraId="1D0D11BD">
      <w:pPr>
        <w:pStyle w:val="42"/>
        <w:suppressLineNumbers/>
        <w:adjustRightInd w:val="0"/>
        <w:snapToGrid w:val="0"/>
        <w:jc w:val="both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Helvetica">
    <w:panose1 w:val="020B0604020202030204"/>
    <w:charset w:val="00"/>
    <w:family w:val="auto"/>
    <w:pitch w:val="default"/>
    <w:sig w:usb0="00000000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CDB43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0226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Q+V+SdAAAAADAQAADwAAAAAAAAABACAAAAAiAAAAZHJzL2Rvd25yZXYueG1s&#10;UEsBAhQAFAAAAAgAh07iQDH8YW7HAQAAjAMAAA4AAAAAAAAAAQAgAAAAH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D0226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Translational Med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52w0dxorpp0fexxekxrtw2zpf5af5at9vv&quot;&gt;My EndNote Library&lt;record-ids&gt;&lt;item&gt;8&lt;/item&gt;&lt;item&gt;10&lt;/item&gt;&lt;item&gt;11&lt;/item&gt;&lt;item&gt;14&lt;/item&gt;&lt;item&gt;16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1&lt;/item&gt;&lt;item&gt;34&lt;/item&gt;&lt;item&gt;35&lt;/item&gt;&lt;item&gt;36&lt;/item&gt;&lt;item&gt;37&lt;/item&gt;&lt;item&gt;38&lt;/item&gt;&lt;item&gt;39&lt;/item&gt;&lt;item&gt;56&lt;/item&gt;&lt;item&gt;58&lt;/item&gt;&lt;item&gt;59&lt;/item&gt;&lt;item&gt;61&lt;/item&gt;&lt;item&gt;83&lt;/item&gt;&lt;item&gt;84&lt;/item&gt;&lt;item&gt;89&lt;/item&gt;&lt;item&gt;97&lt;/item&gt;&lt;item&gt;102&lt;/item&gt;&lt;item&gt;123&lt;/item&gt;&lt;item&gt;124&lt;/item&gt;&lt;item&gt;129&lt;/item&gt;&lt;item&gt;132&lt;/item&gt;&lt;item&gt;133&lt;/item&gt;&lt;item&gt;134&lt;/item&gt;&lt;item&gt;135&lt;/item&gt;&lt;item&gt;136&lt;/item&gt;&lt;item&gt;138&lt;/item&gt;&lt;item&gt;139&lt;/item&gt;&lt;item&gt;141&lt;/item&gt;&lt;item&gt;145&lt;/item&gt;&lt;item&gt;147&lt;/item&gt;&lt;item&gt;148&lt;/item&gt;&lt;item&gt;149&lt;/item&gt;&lt;item&gt;151&lt;/item&gt;&lt;item&gt;154&lt;/item&gt;&lt;item&gt;155&lt;/item&gt;&lt;item&gt;159&lt;/item&gt;&lt;item&gt;160&lt;/item&gt;&lt;item&gt;161&lt;/item&gt;&lt;/record-ids&gt;&lt;/item&gt;&lt;/Libraries&gt;"/>
  </w:docVars>
  <w:rsids>
    <w:rsidRoot w:val="58AA313E"/>
    <w:rsid w:val="000125BB"/>
    <w:rsid w:val="00022741"/>
    <w:rsid w:val="0002414B"/>
    <w:rsid w:val="000277BE"/>
    <w:rsid w:val="00040A3E"/>
    <w:rsid w:val="000450BF"/>
    <w:rsid w:val="00046500"/>
    <w:rsid w:val="00053218"/>
    <w:rsid w:val="00072363"/>
    <w:rsid w:val="00073E7D"/>
    <w:rsid w:val="00083823"/>
    <w:rsid w:val="00093DAC"/>
    <w:rsid w:val="000A5DD9"/>
    <w:rsid w:val="000A77AC"/>
    <w:rsid w:val="000B3572"/>
    <w:rsid w:val="000C7C2D"/>
    <w:rsid w:val="000E2A2A"/>
    <w:rsid w:val="000F1959"/>
    <w:rsid w:val="000F79C9"/>
    <w:rsid w:val="00112108"/>
    <w:rsid w:val="00117D12"/>
    <w:rsid w:val="001235F7"/>
    <w:rsid w:val="0013532D"/>
    <w:rsid w:val="00161870"/>
    <w:rsid w:val="00183E06"/>
    <w:rsid w:val="001866DF"/>
    <w:rsid w:val="00195DBF"/>
    <w:rsid w:val="00195E1E"/>
    <w:rsid w:val="001A6EEF"/>
    <w:rsid w:val="001B3F3E"/>
    <w:rsid w:val="001C228D"/>
    <w:rsid w:val="001F5082"/>
    <w:rsid w:val="00206A1C"/>
    <w:rsid w:val="00225CF2"/>
    <w:rsid w:val="00226F32"/>
    <w:rsid w:val="002430F7"/>
    <w:rsid w:val="002446F6"/>
    <w:rsid w:val="00291B3A"/>
    <w:rsid w:val="00295FD3"/>
    <w:rsid w:val="002A0AFC"/>
    <w:rsid w:val="002D1F34"/>
    <w:rsid w:val="003078C3"/>
    <w:rsid w:val="00310766"/>
    <w:rsid w:val="003144CD"/>
    <w:rsid w:val="003208EF"/>
    <w:rsid w:val="003357BB"/>
    <w:rsid w:val="00342802"/>
    <w:rsid w:val="003429B0"/>
    <w:rsid w:val="00356EE6"/>
    <w:rsid w:val="00361D96"/>
    <w:rsid w:val="00372610"/>
    <w:rsid w:val="003A4D78"/>
    <w:rsid w:val="003B1AD3"/>
    <w:rsid w:val="003E07C2"/>
    <w:rsid w:val="004113EF"/>
    <w:rsid w:val="00427E9A"/>
    <w:rsid w:val="004301F0"/>
    <w:rsid w:val="004369AF"/>
    <w:rsid w:val="00437F2D"/>
    <w:rsid w:val="004612C5"/>
    <w:rsid w:val="00485025"/>
    <w:rsid w:val="00486935"/>
    <w:rsid w:val="00494900"/>
    <w:rsid w:val="00495C87"/>
    <w:rsid w:val="004A3BAA"/>
    <w:rsid w:val="004C5583"/>
    <w:rsid w:val="004C6A9F"/>
    <w:rsid w:val="004E246A"/>
    <w:rsid w:val="004E6177"/>
    <w:rsid w:val="00500CDA"/>
    <w:rsid w:val="005151D5"/>
    <w:rsid w:val="00561616"/>
    <w:rsid w:val="005749F4"/>
    <w:rsid w:val="005B0C2C"/>
    <w:rsid w:val="005B6704"/>
    <w:rsid w:val="005B6D14"/>
    <w:rsid w:val="005F3FD2"/>
    <w:rsid w:val="005F7B8C"/>
    <w:rsid w:val="00603A3C"/>
    <w:rsid w:val="006054E5"/>
    <w:rsid w:val="00670EC0"/>
    <w:rsid w:val="0067125A"/>
    <w:rsid w:val="006A3DAE"/>
    <w:rsid w:val="006B21D6"/>
    <w:rsid w:val="006F199E"/>
    <w:rsid w:val="007045F6"/>
    <w:rsid w:val="007049DB"/>
    <w:rsid w:val="00704BAB"/>
    <w:rsid w:val="007069ED"/>
    <w:rsid w:val="00715922"/>
    <w:rsid w:val="00717407"/>
    <w:rsid w:val="00734683"/>
    <w:rsid w:val="00736698"/>
    <w:rsid w:val="00740F03"/>
    <w:rsid w:val="00792B4C"/>
    <w:rsid w:val="00794190"/>
    <w:rsid w:val="007963A8"/>
    <w:rsid w:val="007A790B"/>
    <w:rsid w:val="007C5647"/>
    <w:rsid w:val="007D0E78"/>
    <w:rsid w:val="007D6DF5"/>
    <w:rsid w:val="00813D39"/>
    <w:rsid w:val="00832A4C"/>
    <w:rsid w:val="00853C5D"/>
    <w:rsid w:val="00865845"/>
    <w:rsid w:val="008670FD"/>
    <w:rsid w:val="00871D3A"/>
    <w:rsid w:val="00871E32"/>
    <w:rsid w:val="00883A3A"/>
    <w:rsid w:val="008953B1"/>
    <w:rsid w:val="008A47FE"/>
    <w:rsid w:val="008B1573"/>
    <w:rsid w:val="008D60D9"/>
    <w:rsid w:val="008E74A8"/>
    <w:rsid w:val="008F35BB"/>
    <w:rsid w:val="008F63B6"/>
    <w:rsid w:val="009136C9"/>
    <w:rsid w:val="009163A5"/>
    <w:rsid w:val="009301A7"/>
    <w:rsid w:val="00935E4C"/>
    <w:rsid w:val="00944346"/>
    <w:rsid w:val="00950224"/>
    <w:rsid w:val="00954758"/>
    <w:rsid w:val="00957E29"/>
    <w:rsid w:val="00967E0E"/>
    <w:rsid w:val="00984C44"/>
    <w:rsid w:val="009B706C"/>
    <w:rsid w:val="009E1D08"/>
    <w:rsid w:val="009E792D"/>
    <w:rsid w:val="00A0499A"/>
    <w:rsid w:val="00A16C03"/>
    <w:rsid w:val="00A16C74"/>
    <w:rsid w:val="00A227AD"/>
    <w:rsid w:val="00A35644"/>
    <w:rsid w:val="00A37650"/>
    <w:rsid w:val="00A4749D"/>
    <w:rsid w:val="00A56575"/>
    <w:rsid w:val="00A7405B"/>
    <w:rsid w:val="00A906C1"/>
    <w:rsid w:val="00A95647"/>
    <w:rsid w:val="00AF1D63"/>
    <w:rsid w:val="00B00421"/>
    <w:rsid w:val="00B801FF"/>
    <w:rsid w:val="00B824EF"/>
    <w:rsid w:val="00B979DD"/>
    <w:rsid w:val="00BA52AB"/>
    <w:rsid w:val="00BC5614"/>
    <w:rsid w:val="00BF6991"/>
    <w:rsid w:val="00C06C56"/>
    <w:rsid w:val="00C16D29"/>
    <w:rsid w:val="00C343DD"/>
    <w:rsid w:val="00C375D8"/>
    <w:rsid w:val="00C43CED"/>
    <w:rsid w:val="00C51EDE"/>
    <w:rsid w:val="00C57C27"/>
    <w:rsid w:val="00C67F5E"/>
    <w:rsid w:val="00C76889"/>
    <w:rsid w:val="00C933EC"/>
    <w:rsid w:val="00CA51E7"/>
    <w:rsid w:val="00CC5AC2"/>
    <w:rsid w:val="00CD14A6"/>
    <w:rsid w:val="00CF1512"/>
    <w:rsid w:val="00D20D1E"/>
    <w:rsid w:val="00D34DCA"/>
    <w:rsid w:val="00D4563A"/>
    <w:rsid w:val="00D50A2E"/>
    <w:rsid w:val="00D64622"/>
    <w:rsid w:val="00D806BC"/>
    <w:rsid w:val="00D860F9"/>
    <w:rsid w:val="00DB65D5"/>
    <w:rsid w:val="00DC6E4E"/>
    <w:rsid w:val="00DC709F"/>
    <w:rsid w:val="00DD32C8"/>
    <w:rsid w:val="00DF5D5F"/>
    <w:rsid w:val="00E14010"/>
    <w:rsid w:val="00E232A1"/>
    <w:rsid w:val="00E31B23"/>
    <w:rsid w:val="00E44DD0"/>
    <w:rsid w:val="00E54FC7"/>
    <w:rsid w:val="00E56E6C"/>
    <w:rsid w:val="00E61C60"/>
    <w:rsid w:val="00E6591F"/>
    <w:rsid w:val="00E66CBC"/>
    <w:rsid w:val="00E965AB"/>
    <w:rsid w:val="00EA0C07"/>
    <w:rsid w:val="00EA4E9F"/>
    <w:rsid w:val="00EB179A"/>
    <w:rsid w:val="00EC3FF6"/>
    <w:rsid w:val="00EE0F11"/>
    <w:rsid w:val="00EE1F10"/>
    <w:rsid w:val="00EE35A3"/>
    <w:rsid w:val="00EE5DB7"/>
    <w:rsid w:val="00EF21BF"/>
    <w:rsid w:val="00F35B22"/>
    <w:rsid w:val="00F36D13"/>
    <w:rsid w:val="00F80F09"/>
    <w:rsid w:val="00F8118C"/>
    <w:rsid w:val="00F83BC6"/>
    <w:rsid w:val="00F85ADE"/>
    <w:rsid w:val="00F90216"/>
    <w:rsid w:val="00F96FFC"/>
    <w:rsid w:val="00FB4C5E"/>
    <w:rsid w:val="00FB52D0"/>
    <w:rsid w:val="00FE0C8D"/>
    <w:rsid w:val="019A0698"/>
    <w:rsid w:val="026E2AF7"/>
    <w:rsid w:val="02B967F0"/>
    <w:rsid w:val="03065AE8"/>
    <w:rsid w:val="03C47F1F"/>
    <w:rsid w:val="03C525D6"/>
    <w:rsid w:val="04387860"/>
    <w:rsid w:val="047863C7"/>
    <w:rsid w:val="053333AB"/>
    <w:rsid w:val="053D2E72"/>
    <w:rsid w:val="05F61C47"/>
    <w:rsid w:val="06396ED3"/>
    <w:rsid w:val="074030C9"/>
    <w:rsid w:val="091C66EA"/>
    <w:rsid w:val="09551FE9"/>
    <w:rsid w:val="09655B23"/>
    <w:rsid w:val="0A047968"/>
    <w:rsid w:val="0A334D0C"/>
    <w:rsid w:val="0B846851"/>
    <w:rsid w:val="0B9C675D"/>
    <w:rsid w:val="0BB023D2"/>
    <w:rsid w:val="0DF937A6"/>
    <w:rsid w:val="0E8B7283"/>
    <w:rsid w:val="0F3B3E72"/>
    <w:rsid w:val="0F6A3372"/>
    <w:rsid w:val="0FDE400C"/>
    <w:rsid w:val="0FF536E2"/>
    <w:rsid w:val="0FF81821"/>
    <w:rsid w:val="100845F2"/>
    <w:rsid w:val="101A58D6"/>
    <w:rsid w:val="109339A0"/>
    <w:rsid w:val="1154057D"/>
    <w:rsid w:val="11814E21"/>
    <w:rsid w:val="118C20AF"/>
    <w:rsid w:val="119E0CAB"/>
    <w:rsid w:val="11C73E8B"/>
    <w:rsid w:val="12223B1C"/>
    <w:rsid w:val="12267D44"/>
    <w:rsid w:val="135672D5"/>
    <w:rsid w:val="13936BED"/>
    <w:rsid w:val="140E5EE8"/>
    <w:rsid w:val="146E6B13"/>
    <w:rsid w:val="14A10FF2"/>
    <w:rsid w:val="15673D3B"/>
    <w:rsid w:val="15722607"/>
    <w:rsid w:val="158A5A42"/>
    <w:rsid w:val="16361C6A"/>
    <w:rsid w:val="165A4B51"/>
    <w:rsid w:val="16825F80"/>
    <w:rsid w:val="16E41735"/>
    <w:rsid w:val="177A2940"/>
    <w:rsid w:val="179C6F02"/>
    <w:rsid w:val="17BE4633"/>
    <w:rsid w:val="1820443C"/>
    <w:rsid w:val="182C6963"/>
    <w:rsid w:val="197E66EC"/>
    <w:rsid w:val="198100F9"/>
    <w:rsid w:val="19B85676"/>
    <w:rsid w:val="1A125E9F"/>
    <w:rsid w:val="1AB30BDD"/>
    <w:rsid w:val="1ACC4138"/>
    <w:rsid w:val="1ADC18EC"/>
    <w:rsid w:val="1B4C2B7A"/>
    <w:rsid w:val="1B7C5431"/>
    <w:rsid w:val="1BC939BE"/>
    <w:rsid w:val="1CD13317"/>
    <w:rsid w:val="1E712618"/>
    <w:rsid w:val="1E7E7FA6"/>
    <w:rsid w:val="1EB13D43"/>
    <w:rsid w:val="1F0760DA"/>
    <w:rsid w:val="1F337406"/>
    <w:rsid w:val="207B2B57"/>
    <w:rsid w:val="21B77160"/>
    <w:rsid w:val="242777C2"/>
    <w:rsid w:val="248364FF"/>
    <w:rsid w:val="24F35B1B"/>
    <w:rsid w:val="25115838"/>
    <w:rsid w:val="269A4809"/>
    <w:rsid w:val="26C25B9D"/>
    <w:rsid w:val="26FB67A0"/>
    <w:rsid w:val="281335CC"/>
    <w:rsid w:val="28431B9D"/>
    <w:rsid w:val="28D812FF"/>
    <w:rsid w:val="28EB14C9"/>
    <w:rsid w:val="29106B55"/>
    <w:rsid w:val="291E3F16"/>
    <w:rsid w:val="295959FF"/>
    <w:rsid w:val="2A9C3363"/>
    <w:rsid w:val="2AA050FC"/>
    <w:rsid w:val="2AF37612"/>
    <w:rsid w:val="2B037873"/>
    <w:rsid w:val="2BFF63EA"/>
    <w:rsid w:val="2C4D2C1A"/>
    <w:rsid w:val="2C792BB6"/>
    <w:rsid w:val="2C8259A5"/>
    <w:rsid w:val="2CFD3979"/>
    <w:rsid w:val="2D147937"/>
    <w:rsid w:val="2E1A5E07"/>
    <w:rsid w:val="2E627EA9"/>
    <w:rsid w:val="2E7B6315"/>
    <w:rsid w:val="2F4149B1"/>
    <w:rsid w:val="2F82166F"/>
    <w:rsid w:val="2F9257C7"/>
    <w:rsid w:val="2FBE65BC"/>
    <w:rsid w:val="2FD957C1"/>
    <w:rsid w:val="301404CD"/>
    <w:rsid w:val="319F1325"/>
    <w:rsid w:val="31E247E4"/>
    <w:rsid w:val="32BB6DE3"/>
    <w:rsid w:val="33396D97"/>
    <w:rsid w:val="340D1F93"/>
    <w:rsid w:val="34597131"/>
    <w:rsid w:val="34733E19"/>
    <w:rsid w:val="34C736FC"/>
    <w:rsid w:val="35004F81"/>
    <w:rsid w:val="35F471CA"/>
    <w:rsid w:val="3642259E"/>
    <w:rsid w:val="36447F16"/>
    <w:rsid w:val="36D770B8"/>
    <w:rsid w:val="378C330A"/>
    <w:rsid w:val="37C80EAB"/>
    <w:rsid w:val="38C7584D"/>
    <w:rsid w:val="394A5D03"/>
    <w:rsid w:val="39721610"/>
    <w:rsid w:val="39B8201E"/>
    <w:rsid w:val="3A00614F"/>
    <w:rsid w:val="3A621920"/>
    <w:rsid w:val="3A881848"/>
    <w:rsid w:val="3AB051D9"/>
    <w:rsid w:val="3B36794F"/>
    <w:rsid w:val="3B817925"/>
    <w:rsid w:val="3BDF3C38"/>
    <w:rsid w:val="3C2725F2"/>
    <w:rsid w:val="3D125949"/>
    <w:rsid w:val="3D127A44"/>
    <w:rsid w:val="3D440B11"/>
    <w:rsid w:val="3D954E00"/>
    <w:rsid w:val="3DBF4BD6"/>
    <w:rsid w:val="3E7A3F38"/>
    <w:rsid w:val="3F7153F9"/>
    <w:rsid w:val="3FB37991"/>
    <w:rsid w:val="3FEC4A80"/>
    <w:rsid w:val="40E8264D"/>
    <w:rsid w:val="413E57AF"/>
    <w:rsid w:val="41BC1F64"/>
    <w:rsid w:val="41FD2F74"/>
    <w:rsid w:val="42071740"/>
    <w:rsid w:val="42957B3B"/>
    <w:rsid w:val="42F71CBC"/>
    <w:rsid w:val="43601D39"/>
    <w:rsid w:val="43A63C25"/>
    <w:rsid w:val="446152B6"/>
    <w:rsid w:val="44617F98"/>
    <w:rsid w:val="44B013E7"/>
    <w:rsid w:val="44CB690C"/>
    <w:rsid w:val="45423A8C"/>
    <w:rsid w:val="45BA13AC"/>
    <w:rsid w:val="46316A43"/>
    <w:rsid w:val="46696E2A"/>
    <w:rsid w:val="469E193E"/>
    <w:rsid w:val="46B93E81"/>
    <w:rsid w:val="46C422B2"/>
    <w:rsid w:val="47193C19"/>
    <w:rsid w:val="473E7200"/>
    <w:rsid w:val="4750414A"/>
    <w:rsid w:val="476C2AE5"/>
    <w:rsid w:val="4795354B"/>
    <w:rsid w:val="483C781C"/>
    <w:rsid w:val="4905518A"/>
    <w:rsid w:val="49124F5C"/>
    <w:rsid w:val="49C220BA"/>
    <w:rsid w:val="4A7F7951"/>
    <w:rsid w:val="4B137364"/>
    <w:rsid w:val="4B4E3CFD"/>
    <w:rsid w:val="4B6D62A7"/>
    <w:rsid w:val="4B6E359B"/>
    <w:rsid w:val="4B8E1A85"/>
    <w:rsid w:val="4BD36852"/>
    <w:rsid w:val="4C0C4E72"/>
    <w:rsid w:val="4CCE7AE5"/>
    <w:rsid w:val="4CE03BBE"/>
    <w:rsid w:val="4D3A7D8B"/>
    <w:rsid w:val="4E1E36D5"/>
    <w:rsid w:val="4EA330F5"/>
    <w:rsid w:val="4ECA0927"/>
    <w:rsid w:val="4ECA2430"/>
    <w:rsid w:val="50D465D1"/>
    <w:rsid w:val="51A90E7A"/>
    <w:rsid w:val="51E52B07"/>
    <w:rsid w:val="51F357A2"/>
    <w:rsid w:val="52B34497"/>
    <w:rsid w:val="52B55208"/>
    <w:rsid w:val="52C27FEE"/>
    <w:rsid w:val="52D77D1E"/>
    <w:rsid w:val="5376464C"/>
    <w:rsid w:val="54E35509"/>
    <w:rsid w:val="555E7CEB"/>
    <w:rsid w:val="557E3F74"/>
    <w:rsid w:val="56E87BE2"/>
    <w:rsid w:val="56F91D8C"/>
    <w:rsid w:val="570D68E8"/>
    <w:rsid w:val="574E404B"/>
    <w:rsid w:val="574E57D3"/>
    <w:rsid w:val="57961A49"/>
    <w:rsid w:val="58005A6F"/>
    <w:rsid w:val="58694A68"/>
    <w:rsid w:val="58AA313E"/>
    <w:rsid w:val="58B06B3A"/>
    <w:rsid w:val="5918143E"/>
    <w:rsid w:val="599D0D14"/>
    <w:rsid w:val="59BA08C1"/>
    <w:rsid w:val="5A8211AD"/>
    <w:rsid w:val="5A8F3F61"/>
    <w:rsid w:val="5AF14ED5"/>
    <w:rsid w:val="5C3C3D18"/>
    <w:rsid w:val="5C675762"/>
    <w:rsid w:val="5E383A74"/>
    <w:rsid w:val="5E551BE1"/>
    <w:rsid w:val="5EA902B4"/>
    <w:rsid w:val="5ED00919"/>
    <w:rsid w:val="5F0955FB"/>
    <w:rsid w:val="5F3C2FA2"/>
    <w:rsid w:val="5F7C0D81"/>
    <w:rsid w:val="5FD10FA2"/>
    <w:rsid w:val="5FDF52AC"/>
    <w:rsid w:val="60356AA6"/>
    <w:rsid w:val="60765F74"/>
    <w:rsid w:val="61A16115"/>
    <w:rsid w:val="61E274B2"/>
    <w:rsid w:val="62807A0D"/>
    <w:rsid w:val="639B6C0E"/>
    <w:rsid w:val="63DF29B8"/>
    <w:rsid w:val="64210C74"/>
    <w:rsid w:val="64621349"/>
    <w:rsid w:val="647629E6"/>
    <w:rsid w:val="64902E28"/>
    <w:rsid w:val="649A1819"/>
    <w:rsid w:val="64C847E7"/>
    <w:rsid w:val="64F3478F"/>
    <w:rsid w:val="65063F6A"/>
    <w:rsid w:val="656E149A"/>
    <w:rsid w:val="660806AA"/>
    <w:rsid w:val="663306E7"/>
    <w:rsid w:val="66AB0941"/>
    <w:rsid w:val="66BA317A"/>
    <w:rsid w:val="6730262C"/>
    <w:rsid w:val="6817628E"/>
    <w:rsid w:val="683811FC"/>
    <w:rsid w:val="68C33D20"/>
    <w:rsid w:val="69116E51"/>
    <w:rsid w:val="697161D6"/>
    <w:rsid w:val="69A64DA9"/>
    <w:rsid w:val="6A94006A"/>
    <w:rsid w:val="6B354114"/>
    <w:rsid w:val="6B7C044B"/>
    <w:rsid w:val="6BA02A3F"/>
    <w:rsid w:val="6C0134DD"/>
    <w:rsid w:val="6C27509D"/>
    <w:rsid w:val="6C434308"/>
    <w:rsid w:val="6CEA38C2"/>
    <w:rsid w:val="6D581273"/>
    <w:rsid w:val="6D5E0919"/>
    <w:rsid w:val="6DBF2095"/>
    <w:rsid w:val="6DF01379"/>
    <w:rsid w:val="6E18584C"/>
    <w:rsid w:val="6F6F1933"/>
    <w:rsid w:val="6FDB3EF9"/>
    <w:rsid w:val="701F20DF"/>
    <w:rsid w:val="70806E8E"/>
    <w:rsid w:val="70DF72CF"/>
    <w:rsid w:val="71025602"/>
    <w:rsid w:val="71026D52"/>
    <w:rsid w:val="71581782"/>
    <w:rsid w:val="71D34959"/>
    <w:rsid w:val="722717C4"/>
    <w:rsid w:val="72281098"/>
    <w:rsid w:val="72A03324"/>
    <w:rsid w:val="72F97BAE"/>
    <w:rsid w:val="73124EA2"/>
    <w:rsid w:val="732A65BE"/>
    <w:rsid w:val="732A714E"/>
    <w:rsid w:val="734054B7"/>
    <w:rsid w:val="735426FB"/>
    <w:rsid w:val="74161AF0"/>
    <w:rsid w:val="742465C4"/>
    <w:rsid w:val="74270859"/>
    <w:rsid w:val="74373D4B"/>
    <w:rsid w:val="744C214F"/>
    <w:rsid w:val="747429EF"/>
    <w:rsid w:val="752A5AD5"/>
    <w:rsid w:val="75A7266E"/>
    <w:rsid w:val="767454DF"/>
    <w:rsid w:val="769136B0"/>
    <w:rsid w:val="76BF0987"/>
    <w:rsid w:val="76D84921"/>
    <w:rsid w:val="77440722"/>
    <w:rsid w:val="77B72367"/>
    <w:rsid w:val="78040C42"/>
    <w:rsid w:val="79444A09"/>
    <w:rsid w:val="7A205476"/>
    <w:rsid w:val="7ABB6F4D"/>
    <w:rsid w:val="7AD60415"/>
    <w:rsid w:val="7B030D15"/>
    <w:rsid w:val="7D304D71"/>
    <w:rsid w:val="7D7C783E"/>
    <w:rsid w:val="7DDA2983"/>
    <w:rsid w:val="7E484F9C"/>
    <w:rsid w:val="7EDE4DDC"/>
    <w:rsid w:val="7F7C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outlineLvl w:val="1"/>
    </w:pPr>
    <w:rPr>
      <w:rFonts w:hint="eastAsia" w:ascii="宋体" w:hAnsi="宋体"/>
      <w:b/>
      <w:bCs/>
      <w:sz w:val="36"/>
      <w:szCs w:val="36"/>
      <w:lang w:eastAsia="zh-CN"/>
    </w:rPr>
  </w:style>
  <w:style w:type="paragraph" w:styleId="4">
    <w:name w:val="heading 3"/>
    <w:basedOn w:val="1"/>
    <w:next w:val="1"/>
    <w:qFormat/>
    <w:uiPriority w:val="9"/>
    <w:pPr>
      <w:widowControl/>
      <w:spacing w:before="100" w:beforeAutospacing="1" w:after="100" w:afterAutospacing="1"/>
      <w:outlineLvl w:val="2"/>
    </w:pPr>
    <w:rPr>
      <w:rFonts w:ascii="宋体" w:hAnsi="宋体" w:cs="宋体"/>
      <w:b/>
      <w:bCs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0"/>
    <w:qFormat/>
    <w:uiPriority w:val="0"/>
  </w:style>
  <w:style w:type="paragraph" w:styleId="6">
    <w:name w:val="Balloon Text"/>
    <w:basedOn w:val="1"/>
    <w:link w:val="21"/>
    <w:qFormat/>
    <w:uiPriority w:val="0"/>
    <w:rPr>
      <w:rFonts w:ascii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9">
    <w:name w:val="Body Text 2"/>
    <w:basedOn w:val="1"/>
    <w:qFormat/>
    <w:uiPriority w:val="0"/>
    <w:pPr>
      <w:pBdr>
        <w:top w:val="single" w:color="auto" w:sz="4" w:space="1"/>
      </w:pBdr>
    </w:pPr>
    <w:rPr>
      <w:sz w:val="24"/>
    </w:rPr>
  </w:style>
  <w:style w:type="paragraph" w:styleId="10">
    <w:name w:val="Normal (Web)"/>
    <w:basedOn w:val="1"/>
    <w:qFormat/>
    <w:uiPriority w:val="0"/>
    <w:pPr>
      <w:spacing w:beforeAutospacing="1" w:afterAutospacing="1"/>
    </w:pPr>
    <w:rPr>
      <w:sz w:val="24"/>
    </w:rPr>
  </w:style>
  <w:style w:type="paragraph" w:styleId="11">
    <w:name w:val="annotation subject"/>
    <w:basedOn w:val="5"/>
    <w:next w:val="5"/>
    <w:link w:val="22"/>
    <w:qFormat/>
    <w:uiPriority w:val="0"/>
    <w:rPr>
      <w:b/>
      <w:bCs/>
    </w:rPr>
  </w:style>
  <w:style w:type="table" w:styleId="13">
    <w:name w:val="Table Grid"/>
    <w:basedOn w:val="12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Emphasis"/>
    <w:qFormat/>
    <w:uiPriority w:val="0"/>
    <w:rPr>
      <w:i/>
      <w:iCs/>
    </w:rPr>
  </w:style>
  <w:style w:type="character" w:styleId="17">
    <w:name w:val="line number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qFormat/>
    <w:uiPriority w:val="0"/>
    <w:rPr>
      <w:sz w:val="21"/>
      <w:szCs w:val="21"/>
    </w:rPr>
  </w:style>
  <w:style w:type="character" w:customStyle="1" w:styleId="20">
    <w:name w:val="批注文字 字符"/>
    <w:link w:val="5"/>
    <w:qFormat/>
    <w:uiPriority w:val="0"/>
    <w:rPr>
      <w:lang w:eastAsia="en-US"/>
    </w:rPr>
  </w:style>
  <w:style w:type="character" w:customStyle="1" w:styleId="21">
    <w:name w:val="批注框文本 字符"/>
    <w:link w:val="6"/>
    <w:qFormat/>
    <w:uiPriority w:val="0"/>
    <w:rPr>
      <w:rFonts w:ascii="宋体"/>
      <w:sz w:val="18"/>
      <w:szCs w:val="18"/>
      <w:lang w:eastAsia="en-US"/>
    </w:rPr>
  </w:style>
  <w:style w:type="character" w:customStyle="1" w:styleId="22">
    <w:name w:val="批注主题 字符"/>
    <w:link w:val="11"/>
    <w:qFormat/>
    <w:uiPriority w:val="0"/>
    <w:rPr>
      <w:b/>
      <w:bCs/>
      <w:lang w:eastAsia="en-US"/>
    </w:rPr>
  </w:style>
  <w:style w:type="character" w:customStyle="1" w:styleId="23">
    <w:name w:val="jrnl"/>
    <w:qFormat/>
    <w:uiPriority w:val="0"/>
  </w:style>
  <w:style w:type="character" w:customStyle="1" w:styleId="24">
    <w:name w:val="src1"/>
    <w:qFormat/>
    <w:uiPriority w:val="0"/>
  </w:style>
  <w:style w:type="character" w:customStyle="1" w:styleId="25">
    <w:name w:val="apple-converted-space"/>
    <w:qFormat/>
    <w:uiPriority w:val="0"/>
  </w:style>
  <w:style w:type="character" w:customStyle="1" w:styleId="26">
    <w:name w:val="highlight"/>
    <w:qFormat/>
    <w:uiPriority w:val="0"/>
  </w:style>
  <w:style w:type="character" w:customStyle="1" w:styleId="27">
    <w:name w:val="highlight2"/>
    <w:qFormat/>
    <w:uiPriority w:val="0"/>
  </w:style>
  <w:style w:type="character" w:customStyle="1" w:styleId="28">
    <w:name w:val="rprtid1"/>
    <w:qFormat/>
    <w:uiPriority w:val="0"/>
    <w:rPr>
      <w:color w:val="696969"/>
    </w:rPr>
  </w:style>
  <w:style w:type="character" w:customStyle="1" w:styleId="29">
    <w:name w:val="pseudotab3"/>
    <w:qFormat/>
    <w:uiPriority w:val="0"/>
  </w:style>
  <w:style w:type="character" w:customStyle="1" w:styleId="30">
    <w:name w:val="journalname"/>
    <w:qFormat/>
    <w:uiPriority w:val="0"/>
  </w:style>
  <w:style w:type="character" w:customStyle="1" w:styleId="31">
    <w:name w:val="volume"/>
    <w:qFormat/>
    <w:uiPriority w:val="0"/>
  </w:style>
  <w:style w:type="character" w:customStyle="1" w:styleId="32">
    <w:name w:val="issue"/>
    <w:qFormat/>
    <w:uiPriority w:val="0"/>
  </w:style>
  <w:style w:type="character" w:customStyle="1" w:styleId="33">
    <w:name w:val="pages"/>
    <w:qFormat/>
    <w:uiPriority w:val="0"/>
  </w:style>
  <w:style w:type="character" w:customStyle="1" w:styleId="34">
    <w:name w:val="ti2"/>
    <w:qFormat/>
    <w:uiPriority w:val="0"/>
    <w:rPr>
      <w:sz w:val="22"/>
      <w:szCs w:val="22"/>
    </w:rPr>
  </w:style>
  <w:style w:type="character" w:customStyle="1" w:styleId="35">
    <w:name w:val="ti"/>
    <w:qFormat/>
    <w:uiPriority w:val="0"/>
  </w:style>
  <w:style w:type="character" w:customStyle="1" w:styleId="36">
    <w:name w:val="journalhead"/>
    <w:qFormat/>
    <w:uiPriority w:val="0"/>
  </w:style>
  <w:style w:type="character" w:customStyle="1" w:styleId="37">
    <w:name w:val="txtred"/>
    <w:qFormat/>
    <w:uiPriority w:val="0"/>
  </w:style>
  <w:style w:type="character" w:customStyle="1" w:styleId="38">
    <w:name w:val="smalltext1"/>
    <w:qFormat/>
    <w:uiPriority w:val="0"/>
    <w:rPr>
      <w:rFonts w:hint="default" w:ascii="Verdana" w:hAnsi="Verdana"/>
      <w:sz w:val="17"/>
      <w:szCs w:val="17"/>
    </w:rPr>
  </w:style>
  <w:style w:type="paragraph" w:customStyle="1" w:styleId="39">
    <w:name w:val="Heading3"/>
    <w:basedOn w:val="1"/>
    <w:qFormat/>
    <w:uiPriority w:val="0"/>
    <w:pPr>
      <w:widowControl/>
      <w:spacing w:after="160" w:line="259" w:lineRule="auto"/>
    </w:pPr>
    <w:rPr>
      <w:sz w:val="28"/>
      <w:szCs w:val="28"/>
    </w:rPr>
  </w:style>
  <w:style w:type="paragraph" w:customStyle="1" w:styleId="40">
    <w:name w:val="彩色列表1"/>
    <w:basedOn w:val="1"/>
    <w:unhideWhenUsed/>
    <w:qFormat/>
    <w:uiPriority w:val="99"/>
    <w:pPr>
      <w:ind w:firstLine="420" w:firstLineChars="200"/>
    </w:pPr>
  </w:style>
  <w:style w:type="paragraph" w:customStyle="1" w:styleId="41">
    <w:name w:val="列表段落1"/>
    <w:basedOn w:val="1"/>
    <w:qFormat/>
    <w:uiPriority w:val="99"/>
    <w:pPr>
      <w:ind w:firstLine="420" w:firstLineChars="200"/>
    </w:pPr>
  </w:style>
  <w:style w:type="paragraph" w:customStyle="1" w:styleId="42">
    <w:name w:val="EndNote Bibliography"/>
    <w:qFormat/>
    <w:uiPriority w:val="0"/>
    <w:pPr>
      <w:jc w:val="both"/>
    </w:pPr>
    <w:rPr>
      <w:rFonts w:ascii="Calibri" w:hAnsi="Calibri" w:eastAsia="宋体" w:cs="Calibri"/>
      <w:kern w:val="2"/>
      <w:szCs w:val="24"/>
      <w:lang w:val="en-US" w:eastAsia="zh-CN" w:bidi="ar-SA"/>
    </w:rPr>
  </w:style>
  <w:style w:type="paragraph" w:customStyle="1" w:styleId="43">
    <w:name w:val="EndNote Bibliography Title"/>
    <w:qFormat/>
    <w:uiPriority w:val="0"/>
    <w:pPr>
      <w:jc w:val="center"/>
    </w:pPr>
    <w:rPr>
      <w:rFonts w:ascii="Calibri" w:hAnsi="Calibri" w:eastAsia="宋体" w:cs="Calibri"/>
      <w:lang w:val="en-US" w:eastAsia="en-US" w:bidi="ar-SA"/>
    </w:rPr>
  </w:style>
  <w:style w:type="paragraph" w:customStyle="1" w:styleId="44">
    <w:name w:val="_Style 4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45">
    <w:name w:val="_Style 4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46">
    <w:name w:val="三级标题"/>
    <w:basedOn w:val="47"/>
    <w:autoRedefine/>
    <w:qFormat/>
    <w:uiPriority w:val="0"/>
    <w:rPr>
      <w:b w:val="0"/>
    </w:rPr>
  </w:style>
  <w:style w:type="paragraph" w:customStyle="1" w:styleId="47">
    <w:name w:val="二级标题"/>
    <w:basedOn w:val="1"/>
    <w:autoRedefine/>
    <w:qFormat/>
    <w:uiPriority w:val="0"/>
    <w:pPr>
      <w:spacing w:line="360" w:lineRule="auto"/>
      <w:jc w:val="left"/>
    </w:pPr>
    <w:rPr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1115</Words>
  <Characters>5762</Characters>
  <Lines>122</Lines>
  <Paragraphs>34</Paragraphs>
  <TotalTime>0</TotalTime>
  <ScaleCrop>false</ScaleCrop>
  <LinksUpToDate>false</LinksUpToDate>
  <CharactersWithSpaces>6458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2023-11-30T04:18:00Z</dcterms:created>
  <dc:creator>郑肖江</dc:creator>
  <cp:lastModifiedBy>郭义</cp:lastModifiedBy>
  <dcterms:modified xsi:type="dcterms:W3CDTF">2024-09-26T16:07:39Z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C91855FF795A405CA41E3C841DE396F5_13</vt:lpwstr>
  </property>
</Properties>
</file>