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B1A" w:rsidRPr="00B34C12" w:rsidRDefault="00214B1A" w:rsidP="00214B1A">
      <w:pPr>
        <w:spacing w:line="480" w:lineRule="auto"/>
        <w:rPr>
          <w:rStyle w:val="Hyperlink"/>
          <w:b/>
          <w:color w:val="auto"/>
          <w:sz w:val="28"/>
          <w:szCs w:val="28"/>
          <w:u w:val="none"/>
        </w:rPr>
      </w:pPr>
      <w:r w:rsidRPr="00B34C12">
        <w:rPr>
          <w:rStyle w:val="Hyperlink"/>
          <w:b/>
          <w:color w:val="auto"/>
          <w:sz w:val="28"/>
          <w:szCs w:val="28"/>
          <w:u w:val="none"/>
        </w:rPr>
        <w:t>Supplementary Materials</w:t>
      </w:r>
    </w:p>
    <w:p w:rsidR="00B34C12" w:rsidRPr="008757A5" w:rsidRDefault="00B34C12" w:rsidP="00B34C12">
      <w:pPr>
        <w:autoSpaceDE w:val="0"/>
        <w:autoSpaceDN w:val="0"/>
        <w:adjustRightInd w:val="0"/>
        <w:spacing w:line="480" w:lineRule="auto"/>
        <w:rPr>
          <w:b/>
          <w:i/>
          <w:sz w:val="24"/>
          <w:szCs w:val="24"/>
        </w:rPr>
      </w:pPr>
      <w:r w:rsidRPr="008757A5">
        <w:rPr>
          <w:b/>
          <w:i/>
          <w:sz w:val="24"/>
          <w:szCs w:val="24"/>
        </w:rPr>
        <w:t xml:space="preserve">Part A: Air-Pollution </w:t>
      </w:r>
      <w:proofErr w:type="spellStart"/>
      <w:r w:rsidRPr="008757A5">
        <w:rPr>
          <w:b/>
          <w:i/>
          <w:sz w:val="24"/>
          <w:szCs w:val="24"/>
        </w:rPr>
        <w:t>Neuroepidemiologic</w:t>
      </w:r>
      <w:proofErr w:type="spellEnd"/>
      <w:r w:rsidRPr="008757A5">
        <w:rPr>
          <w:b/>
          <w:i/>
          <w:sz w:val="24"/>
          <w:szCs w:val="24"/>
        </w:rPr>
        <w:t xml:space="preserve"> Study</w:t>
      </w:r>
    </w:p>
    <w:p w:rsidR="00B34C12" w:rsidRPr="008757A5" w:rsidRDefault="00B34C12" w:rsidP="00B34C12">
      <w:pPr>
        <w:autoSpaceDE w:val="0"/>
        <w:autoSpaceDN w:val="0"/>
        <w:adjustRightInd w:val="0"/>
        <w:spacing w:line="480" w:lineRule="auto"/>
        <w:rPr>
          <w:b/>
          <w:sz w:val="24"/>
          <w:szCs w:val="24"/>
        </w:rPr>
      </w:pPr>
      <w:r w:rsidRPr="008757A5">
        <w:rPr>
          <w:b/>
          <w:sz w:val="24"/>
          <w:szCs w:val="24"/>
        </w:rPr>
        <w:t xml:space="preserve">Study participants </w:t>
      </w:r>
    </w:p>
    <w:p w:rsidR="00B34C12" w:rsidRPr="008757A5" w:rsidRDefault="00B34C12" w:rsidP="00B34C12">
      <w:pPr>
        <w:autoSpaceDE w:val="0"/>
        <w:autoSpaceDN w:val="0"/>
        <w:adjustRightInd w:val="0"/>
        <w:spacing w:line="480" w:lineRule="auto"/>
        <w:rPr>
          <w:color w:val="000000"/>
          <w:sz w:val="24"/>
          <w:szCs w:val="24"/>
        </w:rPr>
      </w:pPr>
      <w:r w:rsidRPr="008757A5">
        <w:rPr>
          <w:sz w:val="24"/>
          <w:szCs w:val="24"/>
        </w:rPr>
        <w:t>We conducted an air pollution-</w:t>
      </w:r>
      <w:proofErr w:type="spellStart"/>
      <w:r w:rsidRPr="008757A5">
        <w:rPr>
          <w:sz w:val="24"/>
          <w:szCs w:val="24"/>
        </w:rPr>
        <w:t>neuroepidemiologic</w:t>
      </w:r>
      <w:proofErr w:type="spellEnd"/>
      <w:r w:rsidRPr="008757A5">
        <w:rPr>
          <w:sz w:val="24"/>
          <w:szCs w:val="24"/>
        </w:rPr>
        <w:t xml:space="preserve"> study, an observational study built on the prospective cohort of older women from the WHIMS. The WHIMS was a clinical trial designed to test the hypothesis that </w:t>
      </w:r>
      <w:r w:rsidRPr="008757A5">
        <w:rPr>
          <w:rStyle w:val="nbapihighlight"/>
          <w:sz w:val="24"/>
          <w:szCs w:val="24"/>
        </w:rPr>
        <w:t>hormonal therapy</w:t>
      </w:r>
      <w:r w:rsidRPr="008757A5">
        <w:rPr>
          <w:sz w:val="24"/>
          <w:szCs w:val="24"/>
        </w:rPr>
        <w:t xml:space="preserve"> (HT) reduces the incidence of all-cause </w:t>
      </w:r>
      <w:r w:rsidRPr="008757A5">
        <w:rPr>
          <w:rStyle w:val="nbapihighlight"/>
          <w:sz w:val="24"/>
          <w:szCs w:val="24"/>
        </w:rPr>
        <w:t>dementia</w:t>
      </w:r>
      <w:r w:rsidRPr="008757A5">
        <w:rPr>
          <w:sz w:val="24"/>
          <w:szCs w:val="24"/>
        </w:rPr>
        <w:t xml:space="preserve"> in women aged 65 and older.  Community-dwelling WHIMS participants were recruited between</w:t>
      </w:r>
      <w:r w:rsidRPr="008757A5">
        <w:rPr>
          <w:color w:val="000000"/>
          <w:sz w:val="24"/>
          <w:szCs w:val="24"/>
        </w:rPr>
        <w:t xml:space="preserve"> </w:t>
      </w:r>
      <w:r w:rsidRPr="008757A5">
        <w:rPr>
          <w:sz w:val="24"/>
          <w:szCs w:val="24"/>
        </w:rPr>
        <w:t>May 28, 1995 and December 13, 1999. Eligibility criteria included</w:t>
      </w:r>
      <w:r w:rsidRPr="008757A5">
        <w:rPr>
          <w:color w:val="000000"/>
          <w:sz w:val="24"/>
          <w:szCs w:val="24"/>
        </w:rPr>
        <w:t xml:space="preserve"> participants who were aged 65 to 79 years and free of dementia defined by WHIMS protocols</w:t>
      </w:r>
      <w:r w:rsidRPr="008757A5">
        <w:rPr>
          <w:color w:val="000000" w:themeColor="text1"/>
          <w:sz w:val="24"/>
          <w:szCs w:val="24"/>
        </w:rPr>
        <w:t xml:space="preserve"> described elsewhere</w:t>
      </w:r>
      <w:r w:rsidRPr="008757A5">
        <w:rPr>
          <w:color w:val="000000" w:themeColor="text1"/>
          <w:sz w:val="24"/>
          <w:szCs w:val="24"/>
        </w:rPr>
        <w:fldChar w:fldCharType="begin">
          <w:fldData xml:space="preserve">PEVuZE5vdGU+PENpdGU+PEF1dGhvcj5TaHVtYWtlcjwvQXV0aG9yPjxZZWFyPjIwMDQ8L1llYXI+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</w:fldData>
        </w:fldChar>
      </w:r>
      <w:r>
        <w:rPr>
          <w:color w:val="000000" w:themeColor="text1"/>
          <w:sz w:val="24"/>
          <w:szCs w:val="24"/>
        </w:rPr>
        <w:instrText xml:space="preserve"> ADDIN EN.CITE </w:instrText>
      </w:r>
      <w:r>
        <w:rPr>
          <w:color w:val="000000" w:themeColor="text1"/>
          <w:sz w:val="24"/>
          <w:szCs w:val="24"/>
        </w:rPr>
        <w:fldChar w:fldCharType="begin">
          <w:fldData xml:space="preserve">PEVuZE5vdGU+PENpdGU+PEF1dGhvcj5TaHVtYWtlcjwvQXV0aG9yPjxZZWFyPjIwMDQ8L1llYXI+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</w:fldData>
        </w:fldChar>
      </w:r>
      <w:r>
        <w:rPr>
          <w:color w:val="000000" w:themeColor="text1"/>
          <w:sz w:val="24"/>
          <w:szCs w:val="24"/>
        </w:rPr>
        <w:instrText xml:space="preserve"> ADDIN EN.CITE.DATA </w:instrText>
      </w:r>
      <w:r>
        <w:rPr>
          <w:color w:val="000000" w:themeColor="text1"/>
          <w:sz w:val="24"/>
          <w:szCs w:val="24"/>
        </w:rPr>
      </w:r>
      <w:r>
        <w:rPr>
          <w:color w:val="000000" w:themeColor="text1"/>
          <w:sz w:val="24"/>
          <w:szCs w:val="24"/>
        </w:rPr>
        <w:fldChar w:fldCharType="end"/>
      </w:r>
      <w:r w:rsidRPr="008757A5">
        <w:rPr>
          <w:color w:val="000000" w:themeColor="text1"/>
          <w:sz w:val="24"/>
          <w:szCs w:val="24"/>
        </w:rPr>
      </w:r>
      <w:r w:rsidRPr="008757A5">
        <w:rPr>
          <w:color w:val="000000" w:themeColor="text1"/>
          <w:sz w:val="24"/>
          <w:szCs w:val="24"/>
        </w:rPr>
        <w:fldChar w:fldCharType="separate"/>
      </w:r>
      <w:r w:rsidRPr="00E32F7E">
        <w:rPr>
          <w:noProof/>
          <w:color w:val="000000" w:themeColor="text1"/>
          <w:sz w:val="24"/>
          <w:szCs w:val="24"/>
          <w:vertAlign w:val="superscript"/>
        </w:rPr>
        <w:t>1</w:t>
      </w:r>
      <w:r w:rsidRPr="008757A5">
        <w:rPr>
          <w:color w:val="000000" w:themeColor="text1"/>
          <w:sz w:val="24"/>
          <w:szCs w:val="24"/>
        </w:rPr>
        <w:fldChar w:fldCharType="end"/>
      </w:r>
      <w:r w:rsidRPr="008757A5">
        <w:rPr>
          <w:color w:val="000000"/>
          <w:sz w:val="24"/>
          <w:szCs w:val="24"/>
        </w:rPr>
        <w:t xml:space="preserve">. </w:t>
      </w:r>
    </w:p>
    <w:p w:rsidR="00B34C12" w:rsidRPr="008757A5" w:rsidRDefault="00B34C12" w:rsidP="00B34C12">
      <w:pPr>
        <w:spacing w:line="480" w:lineRule="auto"/>
        <w:rPr>
          <w:color w:val="000000" w:themeColor="text1"/>
          <w:sz w:val="24"/>
          <w:szCs w:val="24"/>
        </w:rPr>
      </w:pPr>
      <w:r w:rsidRPr="008757A5">
        <w:rPr>
          <w:sz w:val="24"/>
          <w:szCs w:val="24"/>
        </w:rPr>
        <w:t>The WHI-HT included two randomized, double-blind,</w:t>
      </w:r>
      <w:r w:rsidRPr="008757A5">
        <w:rPr>
          <w:sz w:val="24"/>
          <w:szCs w:val="24"/>
          <w:vertAlign w:val="superscript"/>
        </w:rPr>
        <w:t xml:space="preserve"> </w:t>
      </w:r>
      <w:r w:rsidRPr="008757A5">
        <w:rPr>
          <w:sz w:val="24"/>
          <w:szCs w:val="24"/>
        </w:rPr>
        <w:t xml:space="preserve">placebo-controlled clinical trials of conjugated equine estrogen treatment (E-alone) for women with a prior hysterectomy or conjugated equine estrogen in combination with medroxyprogesterone acetate (E+P) for women without a hysterectomy. </w:t>
      </w:r>
      <w:r w:rsidRPr="008757A5">
        <w:rPr>
          <w:color w:val="000000"/>
          <w:sz w:val="24"/>
          <w:szCs w:val="24"/>
        </w:rPr>
        <w:t xml:space="preserve">In July, 2002, after discovering an unfavorable risk-to-benefit ratio of its non-cognitive endpoints, the E+P trial was discontinued. The E-alone trial also ended earlier than planned in </w:t>
      </w:r>
      <w:r w:rsidRPr="008757A5">
        <w:rPr>
          <w:color w:val="000000" w:themeColor="text1"/>
          <w:sz w:val="24"/>
          <w:szCs w:val="24"/>
        </w:rPr>
        <w:t>February, 2004, due to a greater risk of stroke and a lack of benefit for coronary heart disease.  Although t</w:t>
      </w:r>
      <w:r w:rsidRPr="008757A5">
        <w:rPr>
          <w:sz w:val="24"/>
          <w:szCs w:val="24"/>
        </w:rPr>
        <w:t>he WHIMS was an ancillary study to the WHI-HT, a</w:t>
      </w:r>
      <w:r w:rsidRPr="008757A5">
        <w:rPr>
          <w:color w:val="000000" w:themeColor="text1"/>
          <w:sz w:val="24"/>
          <w:szCs w:val="24"/>
        </w:rPr>
        <w:t xml:space="preserve">fter the cessation of the HT trials, the WHIMS participants continued to be followed for annual cognitive assessments. In 2008, WHIMS transitioned to the WHIMS Epidemiology of Cognitive Health Outcomes (ECHO) study with </w:t>
      </w:r>
      <w:r w:rsidRPr="008757A5">
        <w:rPr>
          <w:rStyle w:val="highlight"/>
          <w:rFonts w:eastAsia="Times New Roman"/>
          <w:sz w:val="24"/>
          <w:szCs w:val="24"/>
        </w:rPr>
        <w:t>annual follow-up</w:t>
      </w:r>
      <w:r w:rsidRPr="008757A5">
        <w:rPr>
          <w:color w:val="000000" w:themeColor="text1"/>
          <w:sz w:val="24"/>
          <w:szCs w:val="24"/>
        </w:rPr>
        <w:t xml:space="preserve">.  </w:t>
      </w:r>
    </w:p>
    <w:p w:rsidR="00B34C12" w:rsidRPr="008757A5" w:rsidRDefault="00B34C12" w:rsidP="00B34C12">
      <w:pPr>
        <w:autoSpaceDE w:val="0"/>
        <w:autoSpaceDN w:val="0"/>
        <w:adjustRightInd w:val="0"/>
        <w:spacing w:line="480" w:lineRule="auto"/>
        <w:rPr>
          <w:b/>
          <w:sz w:val="24"/>
          <w:szCs w:val="24"/>
        </w:rPr>
      </w:pPr>
      <w:r w:rsidRPr="008757A5">
        <w:rPr>
          <w:b/>
          <w:sz w:val="24"/>
          <w:szCs w:val="24"/>
        </w:rPr>
        <w:t xml:space="preserve">Ascertainment and selection of clinical outcomes </w:t>
      </w:r>
    </w:p>
    <w:p w:rsidR="00B34C12" w:rsidRPr="008757A5" w:rsidRDefault="00B34C12" w:rsidP="00B34C12">
      <w:pPr>
        <w:autoSpaceDE w:val="0"/>
        <w:autoSpaceDN w:val="0"/>
        <w:adjustRightInd w:val="0"/>
        <w:spacing w:line="480" w:lineRule="auto"/>
        <w:rPr>
          <w:color w:val="000000" w:themeColor="text1"/>
          <w:sz w:val="24"/>
          <w:szCs w:val="24"/>
        </w:rPr>
      </w:pPr>
      <w:r w:rsidRPr="008757A5">
        <w:rPr>
          <w:color w:val="000000" w:themeColor="text1"/>
          <w:sz w:val="24"/>
          <w:szCs w:val="24"/>
        </w:rPr>
        <w:t xml:space="preserve">The present study included two prospectively-defined outcomes: the primary endpoint was becoming an incident case of all-cause dementia and the secondary endpoint was having an accelerated decline in global cognitive function before reaching dementia. We were not able to conduct analyses restricted to AD, because of limited statistical power with a small number of events within the APOE-defined subgroups.  .  </w:t>
      </w:r>
      <w:r w:rsidR="006222B4">
        <w:rPr>
          <w:color w:val="000000" w:themeColor="text1"/>
          <w:sz w:val="24"/>
          <w:szCs w:val="24"/>
        </w:rPr>
        <w:t>Our secondary outcome was the a</w:t>
      </w:r>
      <w:r w:rsidRPr="008757A5">
        <w:rPr>
          <w:color w:val="000000" w:themeColor="text1"/>
          <w:sz w:val="24"/>
          <w:szCs w:val="24"/>
        </w:rPr>
        <w:t>ccelerated decline in global cognitive function</w:t>
      </w:r>
      <w:r w:rsidR="006222B4">
        <w:rPr>
          <w:color w:val="000000" w:themeColor="text1"/>
          <w:sz w:val="24"/>
          <w:szCs w:val="24"/>
        </w:rPr>
        <w:t>, operationally</w:t>
      </w:r>
      <w:r w:rsidRPr="008757A5">
        <w:rPr>
          <w:color w:val="000000" w:themeColor="text1"/>
          <w:sz w:val="24"/>
          <w:szCs w:val="24"/>
        </w:rPr>
        <w:t xml:space="preserve"> defined as having an 8-point (~ 2 standard errors) loss </w:t>
      </w:r>
      <w:r w:rsidR="006222B4">
        <w:rPr>
          <w:color w:val="000000" w:themeColor="text1"/>
          <w:sz w:val="24"/>
          <w:szCs w:val="24"/>
        </w:rPr>
        <w:t xml:space="preserve">in </w:t>
      </w:r>
      <w:r w:rsidR="006222B4" w:rsidRPr="008757A5">
        <w:rPr>
          <w:color w:val="000000" w:themeColor="text1"/>
          <w:sz w:val="24"/>
          <w:szCs w:val="24"/>
        </w:rPr>
        <w:t>the Modif</w:t>
      </w:r>
      <w:r w:rsidR="006222B4">
        <w:rPr>
          <w:color w:val="000000" w:themeColor="text1"/>
          <w:sz w:val="24"/>
          <w:szCs w:val="24"/>
        </w:rPr>
        <w:t xml:space="preserve">ied Mini-Mental State </w:t>
      </w:r>
      <w:r w:rsidR="006222B4">
        <w:rPr>
          <w:color w:val="000000" w:themeColor="text1"/>
          <w:sz w:val="24"/>
          <w:szCs w:val="24"/>
        </w:rPr>
        <w:lastRenderedPageBreak/>
        <w:t>(</w:t>
      </w:r>
      <w:r w:rsidRPr="008757A5">
        <w:rPr>
          <w:color w:val="000000" w:themeColor="text1"/>
          <w:sz w:val="24"/>
          <w:szCs w:val="24"/>
        </w:rPr>
        <w:t>3MS</w:t>
      </w:r>
      <w:r w:rsidR="006222B4">
        <w:rPr>
          <w:color w:val="000000" w:themeColor="text1"/>
          <w:sz w:val="24"/>
          <w:szCs w:val="24"/>
        </w:rPr>
        <w:t>)</w:t>
      </w:r>
      <w:r w:rsidRPr="008757A5">
        <w:rPr>
          <w:color w:val="000000" w:themeColor="text1"/>
          <w:sz w:val="24"/>
          <w:szCs w:val="24"/>
        </w:rPr>
        <w:t xml:space="preserve"> </w:t>
      </w:r>
      <w:r w:rsidRPr="008757A5">
        <w:rPr>
          <w:color w:val="000000" w:themeColor="text1"/>
          <w:sz w:val="24"/>
          <w:szCs w:val="24"/>
        </w:rPr>
        <w:fldChar w:fldCharType="begin"/>
      </w:r>
      <w:r>
        <w:rPr>
          <w:color w:val="000000" w:themeColor="text1"/>
          <w:sz w:val="24"/>
          <w:szCs w:val="24"/>
        </w:rPr>
        <w:instrText xml:space="preserve"> ADDIN EN.CITE &lt;EndNote&gt;&lt;Cite&gt;&lt;Author&gt;Teng&lt;/Author&gt;&lt;Year&gt;1987&lt;/Year&gt;&lt;RecNum&gt;205&lt;/RecNum&gt;&lt;DisplayText&gt;&lt;style face="superscript"&gt;2&lt;/style&gt;&lt;/DisplayText&gt;&lt;record&gt;&lt;rec-number&gt;205&lt;/rec-number&gt;&lt;foreign-keys&gt;&lt;key app="EN" db-id="vwf9a92v6adz2pe2d5cxwre6xfvr9v2z0fwa" timestamp="1403219129"&gt;205&lt;/key&gt;&lt;/foreign-keys&gt;&lt;ref-type name="Journal Article"&gt;17&lt;/ref-type&gt;&lt;contributors&gt;&lt;authors&gt;&lt;author&gt;Teng, E. L.&lt;/author&gt;&lt;author&gt;Chui, H. C.&lt;/author&gt;&lt;/authors&gt;&lt;/contributors&gt;&lt;titles&gt;&lt;title&gt;The Modified Mini-Mental State (3MS) examination&lt;/title&gt;&lt;secondary-title&gt;J Clin Psychiatry&lt;/secondary-title&gt;&lt;/titles&gt;&lt;periodical&gt;&lt;full-title&gt;J Clin Psychiatry&lt;/full-title&gt;&lt;/periodical&gt;&lt;pages&gt;314-8&lt;/pages&gt;&lt;volume&gt;48&lt;/volume&gt;&lt;number&gt;8&lt;/number&gt;&lt;edition&gt;1987/08/01&lt;/edition&gt;&lt;keywords&gt;&lt;keyword&gt;Alzheimer Disease/diagnosis/psychology&lt;/keyword&gt;&lt;keyword&gt;Dementia/*diagnosis/psychology&lt;/keyword&gt;&lt;keyword&gt;Humans&lt;/keyword&gt;&lt;keyword&gt;*Psychiatric Status Rating Scales&lt;/keyword&gt;&lt;keyword&gt;Psychometrics&lt;/keyword&gt;&lt;/keywords&gt;&lt;dates&gt;&lt;year&gt;1987&lt;/year&gt;&lt;pub-dates&gt;&lt;date&gt;Aug&lt;/date&gt;&lt;/pub-dates&gt;&lt;/dates&gt;&lt;isbn&gt;0160-6689 (Print)&amp;#xD;0160-6689 (Linking)&lt;/isbn&gt;&lt;accession-num&gt;3611032&lt;/accession-num&gt;&lt;urls&gt;&lt;related-urls&gt;&lt;url&gt;http://www.ncbi.nlm.nih.gov/entrez/query.fcgi?cmd=Retrieve&amp;amp;db=PubMed&amp;amp;dopt=Citation&amp;amp;list_uids=3611032&lt;/url&gt;&lt;/related-urls&gt;&lt;/urls&gt;&lt;language&gt;eng&lt;/language&gt;&lt;/record&gt;&lt;/Cite&gt;&lt;/EndNote&gt;</w:instrText>
      </w:r>
      <w:r w:rsidRPr="008757A5">
        <w:rPr>
          <w:color w:val="000000" w:themeColor="text1"/>
          <w:sz w:val="24"/>
          <w:szCs w:val="24"/>
        </w:rPr>
        <w:fldChar w:fldCharType="separate"/>
      </w:r>
      <w:r w:rsidRPr="00E32F7E">
        <w:rPr>
          <w:noProof/>
          <w:color w:val="000000" w:themeColor="text1"/>
          <w:sz w:val="24"/>
          <w:szCs w:val="24"/>
          <w:vertAlign w:val="superscript"/>
        </w:rPr>
        <w:t>2</w:t>
      </w:r>
      <w:r w:rsidRPr="008757A5">
        <w:rPr>
          <w:color w:val="000000" w:themeColor="text1"/>
          <w:sz w:val="24"/>
          <w:szCs w:val="24"/>
        </w:rPr>
        <w:fldChar w:fldCharType="end"/>
      </w:r>
      <w:r w:rsidRPr="008757A5">
        <w:rPr>
          <w:color w:val="000000" w:themeColor="text1"/>
          <w:sz w:val="24"/>
          <w:szCs w:val="24"/>
        </w:rPr>
        <w:t xml:space="preserve"> </w:t>
      </w:r>
      <w:r w:rsidR="006222B4">
        <w:rPr>
          <w:color w:val="000000" w:themeColor="text1"/>
          <w:sz w:val="24"/>
          <w:szCs w:val="24"/>
        </w:rPr>
        <w:t xml:space="preserve">Examinations </w:t>
      </w:r>
      <w:r w:rsidRPr="008757A5">
        <w:rPr>
          <w:color w:val="000000" w:themeColor="text1"/>
          <w:sz w:val="24"/>
          <w:szCs w:val="24"/>
        </w:rPr>
        <w:t xml:space="preserve">in two consecutive assessments.  This cut-off was selected, </w:t>
      </w:r>
      <w:r w:rsidRPr="008757A5">
        <w:rPr>
          <w:sz w:val="24"/>
          <w:szCs w:val="24"/>
        </w:rPr>
        <w:t>because a decrease of 3MS by &gt;5 points was considered a clinically significant decline in global cognitive functions</w:t>
      </w:r>
      <w:r w:rsidRPr="008757A5">
        <w:rPr>
          <w:sz w:val="24"/>
          <w:szCs w:val="24"/>
        </w:rPr>
        <w:fldChar w:fldCharType="begin"/>
      </w:r>
      <w:r>
        <w:rPr>
          <w:sz w:val="24"/>
          <w:szCs w:val="24"/>
        </w:rPr>
        <w:instrText xml:space="preserve"> ADDIN EN.CITE &lt;EndNote&gt;&lt;Cite&gt;&lt;Author&gt;Yaffe&lt;/Author&gt;&lt;Year&gt;2011&lt;/Year&gt;&lt;RecNum&gt;1350&lt;/RecNum&gt;&lt;DisplayText&gt;&lt;style face="superscript"&gt;3&lt;/style&gt;&lt;/DisplayText&gt;&lt;record&gt;&lt;rec-number&gt;1350&lt;/rec-number&gt;&lt;foreign-keys&gt;&lt;key app="EN" db-id="efvvtw99qrt5auexzrj509v9awx0vsvf95wt" timestamp="1457546287"&gt;1350&lt;/key&gt;&lt;/foreign-keys&gt;&lt;ref-type name="Journal Article"&gt;17&lt;/ref-type&gt;&lt;contributors&gt;&lt;authors&gt;&lt;author&gt;Yaffe, K.&lt;/author&gt;&lt;author&gt;Laffan, A. M.&lt;/author&gt;&lt;author&gt;Harrison, S. L.&lt;/author&gt;&lt;author&gt;Redline, S.&lt;/author&gt;&lt;author&gt;Spira, A. P.&lt;/author&gt;&lt;author&gt;Ensrud, K. E.&lt;/author&gt;&lt;author&gt;Ancoli-Israel, S.&lt;/author&gt;&lt;author&gt;Stone, K. L.&lt;/author&gt;&lt;/authors&gt;&lt;/contributors&gt;&lt;auth-address&gt;Department of Psychiatry, University of California, San Francisco, San Francisco, CA 94121, USA. kristine.yaffe@ucsf.edu&lt;/auth-address&gt;&lt;titles&gt;&lt;title&gt;Sleep-disordered breathing, hypoxia, and risk of mild cognitive impairment and dementia in older women&lt;/title&gt;&lt;secondary-title&gt;JAMA&lt;/secondary-title&gt;&lt;/titles&gt;&lt;periodical&gt;&lt;full-title&gt;JAMA&lt;/full-title&gt;&lt;/periodical&gt;&lt;pages&gt;613-9&lt;/pages&gt;&lt;volume&gt;306&lt;/volume&gt;&lt;number&gt;6&lt;/number&gt;&lt;keywords&gt;&lt;keyword&gt;Aged&lt;/keyword&gt;&lt;keyword&gt;Aged, 80 and over&lt;/keyword&gt;&lt;keyword&gt;Anoxia/complications/etiology&lt;/keyword&gt;&lt;keyword&gt;Case-Control Studies&lt;/keyword&gt;&lt;keyword&gt;Cognition Disorders/*complications&lt;/keyword&gt;&lt;keyword&gt;Continuous Positive Airway Pressure&lt;/keyword&gt;&lt;keyword&gt;Dementia/*complications&lt;/keyword&gt;&lt;keyword&gt;Female&lt;/keyword&gt;&lt;keyword&gt;Humans&lt;/keyword&gt;&lt;keyword&gt;Polysomnography&lt;/keyword&gt;&lt;keyword&gt;Prospective Studies&lt;/keyword&gt;&lt;keyword&gt;Risk&lt;/keyword&gt;&lt;keyword&gt;Sleep Apnea Syndromes/*complications/therapy&lt;/keyword&gt;&lt;/keywords&gt;&lt;dates&gt;&lt;year&gt;2011&lt;/year&gt;&lt;pub-dates&gt;&lt;date&gt;Aug 10&lt;/date&gt;&lt;/pub-dates&gt;&lt;/dates&gt;&lt;isbn&gt;1538-3598 (Electronic)&amp;#xD;0098-7484 (Linking)&lt;/isbn&gt;&lt;accession-num&gt;21828324&lt;/accession-num&gt;&lt;urls&gt;&lt;related-urls&gt;&lt;url&gt;http://www.ncbi.nlm.nih.gov/pubmed/21828324&lt;/url&gt;&lt;/related-urls&gt;&lt;/urls&gt;&lt;custom2&gt;PMC3600944&lt;/custom2&gt;&lt;electronic-resource-num&gt;10.1001/jama.2011.1115&lt;/electronic-resource-num&gt;&lt;/record&gt;&lt;/Cite&gt;&lt;/EndNote&gt;</w:instrText>
      </w:r>
      <w:r w:rsidRPr="008757A5">
        <w:rPr>
          <w:sz w:val="24"/>
          <w:szCs w:val="24"/>
        </w:rPr>
        <w:fldChar w:fldCharType="separate"/>
      </w:r>
      <w:r w:rsidRPr="00E32F7E">
        <w:rPr>
          <w:noProof/>
          <w:sz w:val="24"/>
          <w:szCs w:val="24"/>
          <w:vertAlign w:val="superscript"/>
        </w:rPr>
        <w:t>3</w:t>
      </w:r>
      <w:r w:rsidRPr="008757A5">
        <w:rPr>
          <w:sz w:val="24"/>
          <w:szCs w:val="24"/>
        </w:rPr>
        <w:fldChar w:fldCharType="end"/>
      </w:r>
      <w:r w:rsidRPr="008757A5">
        <w:rPr>
          <w:sz w:val="24"/>
          <w:szCs w:val="24"/>
        </w:rPr>
        <w:t xml:space="preserve">. </w:t>
      </w:r>
      <w:r w:rsidRPr="008757A5">
        <w:rPr>
          <w:color w:val="000000" w:themeColor="text1"/>
          <w:sz w:val="24"/>
          <w:szCs w:val="24"/>
        </w:rPr>
        <w:t xml:space="preserve">These outcomes were based on standardized ascertainment, including annual screening of global cognitive function, neuropsychological and functional assessment, and collection of clinical data to rule out </w:t>
      </w:r>
      <w:r w:rsidRPr="008757A5">
        <w:rPr>
          <w:rStyle w:val="paragraph0"/>
          <w:color w:val="000000" w:themeColor="text1"/>
          <w:sz w:val="24"/>
          <w:szCs w:val="24"/>
        </w:rPr>
        <w:t>possible reversible causes of cognitive impairment, all concluded with central adjudication for final classification of dementia (vs. non-demented)</w:t>
      </w:r>
      <w:r w:rsidRPr="008757A5">
        <w:rPr>
          <w:iCs/>
          <w:color w:val="000000" w:themeColor="text1"/>
          <w:sz w:val="24"/>
          <w:szCs w:val="24"/>
        </w:rPr>
        <w:t xml:space="preserve">.  </w:t>
      </w:r>
      <w:r w:rsidRPr="008757A5">
        <w:rPr>
          <w:color w:val="000000" w:themeColor="text1"/>
          <w:sz w:val="24"/>
          <w:szCs w:val="24"/>
        </w:rPr>
        <w:t xml:space="preserve">For annual screening conducted in </w:t>
      </w:r>
      <w:r w:rsidRPr="008757A5">
        <w:rPr>
          <w:sz w:val="24"/>
          <w:szCs w:val="24"/>
        </w:rPr>
        <w:t>49 WHIMS sites (including satellite clinics)</w:t>
      </w:r>
      <w:r w:rsidRPr="008757A5">
        <w:rPr>
          <w:color w:val="000000" w:themeColor="text1"/>
          <w:sz w:val="24"/>
          <w:szCs w:val="24"/>
        </w:rPr>
        <w:t xml:space="preserve">, centrally-trained/-certified and masked interviewers administered the 3MS during each clinic visit.  Beginning with WHIMS ECHO in 2008, annual screening was conducted by telephone using the </w:t>
      </w:r>
      <w:r w:rsidRPr="008757A5">
        <w:rPr>
          <w:iCs/>
          <w:color w:val="000000" w:themeColor="text1"/>
          <w:sz w:val="24"/>
          <w:szCs w:val="24"/>
        </w:rPr>
        <w:t>Telephone Interview for Cognitive Status-modified</w:t>
      </w:r>
      <w:r w:rsidRPr="008757A5">
        <w:rPr>
          <w:color w:val="000000" w:themeColor="text1"/>
          <w:sz w:val="24"/>
          <w:szCs w:val="24"/>
        </w:rPr>
        <w:t xml:space="preserve"> (</w:t>
      </w:r>
      <w:proofErr w:type="spellStart"/>
      <w:r w:rsidRPr="008757A5">
        <w:rPr>
          <w:color w:val="000000" w:themeColor="text1"/>
          <w:sz w:val="24"/>
          <w:szCs w:val="24"/>
        </w:rPr>
        <w:t>TICSm</w:t>
      </w:r>
      <w:proofErr w:type="spellEnd"/>
      <w:r w:rsidRPr="008757A5">
        <w:rPr>
          <w:color w:val="000000" w:themeColor="text1"/>
          <w:sz w:val="24"/>
          <w:szCs w:val="24"/>
        </w:rPr>
        <w:t xml:space="preserve">) </w:t>
      </w:r>
      <w:r w:rsidRPr="008757A5">
        <w:rPr>
          <w:color w:val="000000" w:themeColor="text1"/>
          <w:sz w:val="24"/>
          <w:szCs w:val="24"/>
        </w:rPr>
        <w:fldChar w:fldCharType="begin"/>
      </w:r>
      <w:r>
        <w:rPr>
          <w:color w:val="000000" w:themeColor="text1"/>
          <w:sz w:val="24"/>
          <w:szCs w:val="24"/>
        </w:rPr>
        <w:instrText xml:space="preserve"> ADDIN EN.CITE &lt;EndNote&gt;&lt;Cite&gt;&lt;Author&gt;Brandt&lt;/Author&gt;&lt;Year&gt;1988&lt;/Year&gt;&lt;RecNum&gt;957&lt;/RecNum&gt;&lt;DisplayText&gt;&lt;style face="superscript"&gt;4&lt;/style&gt;&lt;/DisplayText&gt;&lt;record&gt;&lt;rec-number&gt;957&lt;/rec-number&gt;&lt;foreign-keys&gt;&lt;key app="EN" db-id="efvvtw99qrt5auexzrj509v9awx0vsvf95wt" timestamp="1382293031"&gt;957&lt;/key&gt;&lt;/foreign-keys&gt;&lt;ref-type name="Journal Article"&gt;17&lt;/ref-type&gt;&lt;contributors&gt;&lt;authors&gt;&lt;author&gt;Brandt, J.&lt;/author&gt;&lt;author&gt;Spencer, M.&lt;/author&gt;&lt;author&gt;Folstein, M.&lt;/author&gt;&lt;/authors&gt;&lt;/contributors&gt;&lt;titles&gt;&lt;title&gt;The Telephone Interview for Cognitive Status.&lt;/title&gt;&lt;secondary-title&gt;Neuropsychiatr Neuropsychol Behav Neurol&lt;/secondary-title&gt;&lt;/titles&gt;&lt;periodical&gt;&lt;full-title&gt;Neuropsychiatr Neuropsychol Behav Neurol&lt;/full-title&gt;&lt;/periodical&gt;&lt;pages&gt;111-117&lt;/pages&gt;&lt;volume&gt;1&lt;/volume&gt;&lt;number&gt;2&lt;/number&gt;&lt;dates&gt;&lt;year&gt;1988&lt;/year&gt;&lt;/dates&gt;&lt;urls&gt;&lt;/urls&gt;&lt;/record&gt;&lt;/Cite&gt;&lt;/EndNote&gt;</w:instrText>
      </w:r>
      <w:r w:rsidRPr="008757A5">
        <w:rPr>
          <w:color w:val="000000" w:themeColor="text1"/>
          <w:sz w:val="24"/>
          <w:szCs w:val="24"/>
        </w:rPr>
        <w:fldChar w:fldCharType="separate"/>
      </w:r>
      <w:r w:rsidRPr="00E32F7E">
        <w:rPr>
          <w:noProof/>
          <w:color w:val="000000" w:themeColor="text1"/>
          <w:sz w:val="24"/>
          <w:szCs w:val="24"/>
          <w:vertAlign w:val="superscript"/>
        </w:rPr>
        <w:t>4</w:t>
      </w:r>
      <w:r w:rsidRPr="008757A5">
        <w:rPr>
          <w:color w:val="000000" w:themeColor="text1"/>
          <w:sz w:val="24"/>
          <w:szCs w:val="24"/>
        </w:rPr>
        <w:fldChar w:fldCharType="end"/>
      </w:r>
      <w:r w:rsidRPr="008757A5">
        <w:rPr>
          <w:color w:val="000000" w:themeColor="text1"/>
          <w:sz w:val="24"/>
          <w:szCs w:val="24"/>
        </w:rPr>
        <w:t xml:space="preserve">, which was highly correlated (0.89) with 3MS in previous studies. Women who screened positive according to age-/education-adjusted 3MS cut-points proceeded to extensive neuropsychological testing (including the Consortium to Establish a Registry for AD battery) and behavioral symptoms/function assessment. These participants subsequently received a detailed neurological examination and neuropsychiatric evaluation by board-certified physicians with experience in diagnosing dementia. Each suspected case of dementia underwent cranial CAT scan and a series of laboratory tests to </w:t>
      </w:r>
      <w:r w:rsidRPr="008757A5">
        <w:rPr>
          <w:rStyle w:val="paragraph0"/>
          <w:color w:val="000000" w:themeColor="text1"/>
          <w:sz w:val="24"/>
          <w:szCs w:val="24"/>
        </w:rPr>
        <w:t>rule out reversible causes of cognitive decline and dementia</w:t>
      </w:r>
      <w:r w:rsidRPr="008757A5">
        <w:rPr>
          <w:color w:val="000000" w:themeColor="text1"/>
          <w:sz w:val="24"/>
          <w:szCs w:val="24"/>
        </w:rPr>
        <w:t xml:space="preserve">. For women screened positive (i.e., </w:t>
      </w:r>
      <w:proofErr w:type="spellStart"/>
      <w:r w:rsidRPr="008757A5">
        <w:rPr>
          <w:color w:val="000000" w:themeColor="text1"/>
          <w:sz w:val="24"/>
          <w:szCs w:val="24"/>
        </w:rPr>
        <w:t>TICSm</w:t>
      </w:r>
      <w:proofErr w:type="spellEnd"/>
      <w:r w:rsidRPr="008757A5">
        <w:rPr>
          <w:color w:val="000000" w:themeColor="text1"/>
          <w:sz w:val="24"/>
          <w:szCs w:val="24"/>
        </w:rPr>
        <w:t xml:space="preserve">&lt;31) during WHIMS ECHO follow-up, a reliable and pre-identified informant was interviewed by telephone using the standardized Dementia Questionnaire </w:t>
      </w:r>
      <w:r w:rsidRPr="008757A5">
        <w:rPr>
          <w:color w:val="000000" w:themeColor="text1"/>
          <w:sz w:val="24"/>
          <w:szCs w:val="24"/>
        </w:rPr>
        <w:fldChar w:fldCharType="begin"/>
      </w:r>
      <w:r>
        <w:rPr>
          <w:color w:val="000000" w:themeColor="text1"/>
          <w:sz w:val="24"/>
          <w:szCs w:val="24"/>
        </w:rPr>
        <w:instrText xml:space="preserve"> ADDIN EN.CITE &lt;EndNote&gt;&lt;Cite&gt;&lt;Author&gt;Ellis&lt;/Author&gt;&lt;Year&gt;1998&lt;/Year&gt;&lt;RecNum&gt;934&lt;/RecNum&gt;&lt;DisplayText&gt;&lt;style face="superscript"&gt;5&lt;/style&gt;&lt;/DisplayText&gt;&lt;record&gt;&lt;rec-number&gt;934&lt;/rec-number&gt;&lt;foreign-keys&gt;&lt;key app="EN" db-id="efvvtw99qrt5auexzrj509v9awx0vsvf95wt" timestamp="1382232483"&gt;934&lt;/key&gt;&lt;/foreign-keys&gt;&lt;ref-type name="Journal Article"&gt;17&lt;/ref-type&gt;&lt;contributors&gt;&lt;authors&gt;&lt;author&gt;Ellis, R. J.&lt;/author&gt;&lt;author&gt;Jan, K.&lt;/author&gt;&lt;author&gt;Kawas, C.&lt;/author&gt;&lt;author&gt;Koller, W. C.&lt;/author&gt;&lt;author&gt;Lyons, K. E.&lt;/author&gt;&lt;author&gt;Jeste, D. V.&lt;/author&gt;&lt;author&gt;Hansen, L. A.&lt;/author&gt;&lt;author&gt;Thal, L. J.&lt;/author&gt;&lt;/authors&gt;&lt;/contributors&gt;&lt;auth-address&gt;Department of Neurosciences, University of California, San Diego, La Jolla 92093-0948, USA. roellis@ucsd.edu&lt;/auth-address&gt;&lt;titles&gt;&lt;title&gt;Diagnostic validity of the dementia questionnaire for Alzheimer disease&lt;/title&gt;&lt;secondary-title&gt;Arch Neurol&lt;/secondary-title&gt;&lt;/titles&gt;&lt;periodical&gt;&lt;full-title&gt;Arch Neurol&lt;/full-title&gt;&lt;/periodical&gt;&lt;pages&gt;360-5&lt;/pages&gt;&lt;volume&gt;55&lt;/volume&gt;&lt;number&gt;3&lt;/number&gt;&lt;edition&gt;1998/03/31&lt;/edition&gt;&lt;keywords&gt;&lt;keyword&gt;Aged&lt;/keyword&gt;&lt;keyword&gt;Aged, 80 and over&lt;/keyword&gt;&lt;keyword&gt;Alzheimer Disease/*diagnosis&lt;/keyword&gt;&lt;keyword&gt;Female&lt;/keyword&gt;&lt;keyword&gt;Humans&lt;/keyword&gt;&lt;keyword&gt;Male&lt;/keyword&gt;&lt;keyword&gt;Middle Aged&lt;/keyword&gt;&lt;keyword&gt;Questionnaires/*standards&lt;/keyword&gt;&lt;keyword&gt;Reproducibility of Results&lt;/keyword&gt;&lt;keyword&gt;Retrospective Studies&lt;/keyword&gt;&lt;keyword&gt;Sensitivity and Specificity&lt;/keyword&gt;&lt;/keywords&gt;&lt;dates&gt;&lt;year&gt;1998&lt;/year&gt;&lt;pub-dates&gt;&lt;date&gt;Mar&lt;/date&gt;&lt;/pub-dates&gt;&lt;/dates&gt;&lt;isbn&gt;0003-9942 (Print)&amp;#xD;0003-9942 (Linking)&lt;/isbn&gt;&lt;accession-num&gt;9520010&lt;/accession-num&gt;&lt;urls&gt;&lt;related-urls&gt;&lt;url&gt;http://www.ncbi.nlm.nih.gov/entrez/query.fcgi?cmd=Retrieve&amp;amp;db=PubMed&amp;amp;dopt=Citation&amp;amp;list_uids=9520010&lt;/url&gt;&lt;/related-urls&gt;&lt;/urls&gt;&lt;language&gt;eng&lt;/language&gt;&lt;/record&gt;&lt;/Cite&gt;&lt;/EndNote&gt;</w:instrText>
      </w:r>
      <w:r w:rsidRPr="008757A5">
        <w:rPr>
          <w:color w:val="000000" w:themeColor="text1"/>
          <w:sz w:val="24"/>
          <w:szCs w:val="24"/>
        </w:rPr>
        <w:fldChar w:fldCharType="separate"/>
      </w:r>
      <w:r w:rsidRPr="00E32F7E">
        <w:rPr>
          <w:noProof/>
          <w:color w:val="000000" w:themeColor="text1"/>
          <w:sz w:val="24"/>
          <w:szCs w:val="24"/>
          <w:vertAlign w:val="superscript"/>
        </w:rPr>
        <w:t>5</w:t>
      </w:r>
      <w:r w:rsidRPr="008757A5">
        <w:rPr>
          <w:color w:val="000000" w:themeColor="text1"/>
          <w:sz w:val="24"/>
          <w:szCs w:val="24"/>
        </w:rPr>
        <w:fldChar w:fldCharType="end"/>
      </w:r>
      <w:r w:rsidRPr="008757A5">
        <w:rPr>
          <w:color w:val="000000" w:themeColor="text1"/>
          <w:sz w:val="24"/>
          <w:szCs w:val="24"/>
        </w:rPr>
        <w:t xml:space="preserve"> to assess the histories of cognitive/behavioral changes, functional impairments, and health events that could have affected cognitive functioning (e.g., stroke). Data from all longitudinal assessments in the WHIMS/WHIMS ECHO and relevant supplemental information from the WHI (e.g., cardiovascular events) were then submitted to the cen</w:t>
      </w:r>
      <w:r w:rsidRPr="008757A5">
        <w:rPr>
          <w:rStyle w:val="paragraph0"/>
          <w:color w:val="000000" w:themeColor="text1"/>
          <w:sz w:val="24"/>
          <w:szCs w:val="24"/>
        </w:rPr>
        <w:t>tral adjudication committee (3 board-certified neurologists/ geriatric psychiatrists with extensive experience in diagnosing dementias) for final outcome classification, based on the</w:t>
      </w:r>
      <w:r w:rsidRPr="008757A5">
        <w:rPr>
          <w:color w:val="000000" w:themeColor="text1"/>
          <w:sz w:val="24"/>
          <w:szCs w:val="24"/>
        </w:rPr>
        <w:t xml:space="preserve"> </w:t>
      </w:r>
      <w:r w:rsidRPr="008757A5">
        <w:rPr>
          <w:i/>
          <w:iCs/>
          <w:color w:val="000000" w:themeColor="text1"/>
          <w:sz w:val="24"/>
          <w:szCs w:val="24"/>
        </w:rPr>
        <w:t>Diagnostic and Statistical Manual of Mental</w:t>
      </w:r>
      <w:r w:rsidRPr="008757A5">
        <w:rPr>
          <w:i/>
          <w:iCs/>
          <w:color w:val="000000" w:themeColor="text1"/>
          <w:sz w:val="24"/>
          <w:szCs w:val="24"/>
          <w:vertAlign w:val="superscript"/>
        </w:rPr>
        <w:t xml:space="preserve"> </w:t>
      </w:r>
      <w:r w:rsidRPr="008757A5">
        <w:rPr>
          <w:i/>
          <w:iCs/>
          <w:color w:val="000000" w:themeColor="text1"/>
          <w:sz w:val="24"/>
          <w:szCs w:val="24"/>
        </w:rPr>
        <w:t xml:space="preserve">Disorders, Fourth Edition, </w:t>
      </w:r>
      <w:r w:rsidRPr="008757A5">
        <w:rPr>
          <w:iCs/>
          <w:color w:val="000000" w:themeColor="text1"/>
          <w:sz w:val="24"/>
          <w:szCs w:val="24"/>
        </w:rPr>
        <w:t xml:space="preserve">which had been </w:t>
      </w:r>
      <w:r w:rsidRPr="008757A5">
        <w:rPr>
          <w:color w:val="000000" w:themeColor="text1"/>
          <w:sz w:val="24"/>
          <w:szCs w:val="24"/>
        </w:rPr>
        <w:t xml:space="preserve">found to have substantial inter-rater reliability and good validity for AD (compared with post-mortem confirmation) </w:t>
      </w:r>
      <w:r w:rsidRPr="008757A5">
        <w:rPr>
          <w:color w:val="000000" w:themeColor="text1"/>
          <w:sz w:val="24"/>
          <w:szCs w:val="24"/>
        </w:rPr>
        <w:fldChar w:fldCharType="begin">
          <w:fldData xml:space="preserve">PEVuZE5vdGU+PENpdGU+PEF1dGhvcj5Ib2dlcnZvcnN0PC9BdXRob3I+PFllYXI+MjAwMzwvWWVh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</w:fldData>
        </w:fldChar>
      </w:r>
      <w:r>
        <w:rPr>
          <w:color w:val="000000" w:themeColor="text1"/>
          <w:sz w:val="24"/>
          <w:szCs w:val="24"/>
        </w:rPr>
        <w:instrText xml:space="preserve"> ADDIN EN.CITE </w:instrText>
      </w:r>
      <w:r>
        <w:rPr>
          <w:color w:val="000000" w:themeColor="text1"/>
          <w:sz w:val="24"/>
          <w:szCs w:val="24"/>
        </w:rPr>
        <w:fldChar w:fldCharType="begin">
          <w:fldData xml:space="preserve">PEVuZE5vdGU+PENpdGU+PEF1dGhvcj5Ib2dlcnZvcnN0PC9BdXRob3I+PFllYXI+MjAwMzwvWWVh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</w:fldData>
        </w:fldChar>
      </w:r>
      <w:r>
        <w:rPr>
          <w:color w:val="000000" w:themeColor="text1"/>
          <w:sz w:val="24"/>
          <w:szCs w:val="24"/>
        </w:rPr>
        <w:instrText xml:space="preserve"> ADDIN EN.CITE.DATA </w:instrText>
      </w:r>
      <w:r>
        <w:rPr>
          <w:color w:val="000000" w:themeColor="text1"/>
          <w:sz w:val="24"/>
          <w:szCs w:val="24"/>
        </w:rPr>
      </w:r>
      <w:r>
        <w:rPr>
          <w:color w:val="000000" w:themeColor="text1"/>
          <w:sz w:val="24"/>
          <w:szCs w:val="24"/>
        </w:rPr>
        <w:fldChar w:fldCharType="end"/>
      </w:r>
      <w:r w:rsidRPr="008757A5">
        <w:rPr>
          <w:color w:val="000000" w:themeColor="text1"/>
          <w:sz w:val="24"/>
          <w:szCs w:val="24"/>
        </w:rPr>
      </w:r>
      <w:r w:rsidRPr="008757A5">
        <w:rPr>
          <w:color w:val="000000" w:themeColor="text1"/>
          <w:sz w:val="24"/>
          <w:szCs w:val="24"/>
        </w:rPr>
        <w:fldChar w:fldCharType="separate"/>
      </w:r>
      <w:r w:rsidRPr="00E32F7E">
        <w:rPr>
          <w:noProof/>
          <w:color w:val="000000" w:themeColor="text1"/>
          <w:sz w:val="24"/>
          <w:szCs w:val="24"/>
          <w:vertAlign w:val="superscript"/>
        </w:rPr>
        <w:t>6</w:t>
      </w:r>
      <w:r w:rsidRPr="008757A5">
        <w:rPr>
          <w:color w:val="000000" w:themeColor="text1"/>
          <w:sz w:val="24"/>
          <w:szCs w:val="24"/>
        </w:rPr>
        <w:fldChar w:fldCharType="end"/>
      </w:r>
      <w:r w:rsidRPr="008757A5">
        <w:rPr>
          <w:color w:val="000000" w:themeColor="text1"/>
          <w:sz w:val="24"/>
          <w:szCs w:val="24"/>
        </w:rPr>
        <w:t xml:space="preserve">. </w:t>
      </w:r>
    </w:p>
    <w:p w:rsidR="00B34C12" w:rsidRPr="008757A5" w:rsidRDefault="00B34C12" w:rsidP="00B34C12">
      <w:pPr>
        <w:spacing w:line="480" w:lineRule="auto"/>
        <w:rPr>
          <w:rFonts w:eastAsia="Times New Roman"/>
          <w:b/>
          <w:sz w:val="24"/>
          <w:szCs w:val="24"/>
        </w:rPr>
      </w:pPr>
      <w:r w:rsidRPr="008757A5">
        <w:rPr>
          <w:rFonts w:eastAsia="Times New Roman"/>
          <w:b/>
          <w:sz w:val="24"/>
          <w:szCs w:val="24"/>
        </w:rPr>
        <w:lastRenderedPageBreak/>
        <w:t>APOE genotype data</w:t>
      </w:r>
    </w:p>
    <w:p w:rsidR="00B34C12" w:rsidRPr="008757A5" w:rsidRDefault="00B34C12" w:rsidP="00B34C12">
      <w:pPr>
        <w:spacing w:line="480" w:lineRule="auto"/>
        <w:rPr>
          <w:rFonts w:ascii="Arial" w:hAnsi="Arial" w:cs="Arial"/>
          <w:sz w:val="24"/>
          <w:szCs w:val="24"/>
        </w:rPr>
      </w:pPr>
      <w:r w:rsidRPr="008757A5">
        <w:rPr>
          <w:rFonts w:eastAsia="Times New Roman"/>
          <w:sz w:val="24"/>
          <w:szCs w:val="24"/>
        </w:rPr>
        <w:t>Genetic data included in our analyses came from a WHI core study (W63) resource derived from the genome-wide association study sample, which included WHI participants with European ancestry (primarily non-Hispanic whites).  </w:t>
      </w:r>
      <w:r w:rsidRPr="008757A5">
        <w:rPr>
          <w:sz w:val="24"/>
          <w:szCs w:val="24"/>
        </w:rPr>
        <w:t xml:space="preserve">APOE genotypes were assigned, based on rs429358 and rs7412 genotype results from imputation and harmonization.  The imputation was conducted using the 1000 Genomes Project reference panel and the </w:t>
      </w:r>
      <w:proofErr w:type="spellStart"/>
      <w:r w:rsidRPr="008757A5">
        <w:rPr>
          <w:sz w:val="24"/>
          <w:szCs w:val="24"/>
        </w:rPr>
        <w:t>MaCH</w:t>
      </w:r>
      <w:proofErr w:type="spellEnd"/>
      <w:r w:rsidRPr="008757A5">
        <w:rPr>
          <w:sz w:val="24"/>
          <w:szCs w:val="24"/>
        </w:rPr>
        <w:t xml:space="preserve"> algorithm as implemented in </w:t>
      </w:r>
      <w:proofErr w:type="spellStart"/>
      <w:r w:rsidRPr="008757A5">
        <w:rPr>
          <w:sz w:val="24"/>
          <w:szCs w:val="24"/>
        </w:rPr>
        <w:t>Minimac</w:t>
      </w:r>
      <w:proofErr w:type="spellEnd"/>
      <w:r w:rsidRPr="008757A5">
        <w:rPr>
          <w:sz w:val="24"/>
          <w:szCs w:val="24"/>
        </w:rPr>
        <w:t xml:space="preserve"> (R</w:t>
      </w:r>
      <w:r w:rsidRPr="008757A5">
        <w:rPr>
          <w:sz w:val="24"/>
          <w:szCs w:val="24"/>
          <w:vertAlign w:val="superscript"/>
        </w:rPr>
        <w:t>2</w:t>
      </w:r>
      <w:r w:rsidRPr="008757A5">
        <w:rPr>
          <w:sz w:val="24"/>
          <w:szCs w:val="24"/>
        </w:rPr>
        <w:t xml:space="preserve"> = 0.98 for each SNP in the study population) </w:t>
      </w:r>
      <w:r w:rsidRPr="008757A5">
        <w:rPr>
          <w:sz w:val="24"/>
          <w:szCs w:val="24"/>
        </w:rPr>
        <w:fldChar w:fldCharType="begin"/>
      </w:r>
      <w:r>
        <w:rPr>
          <w:sz w:val="24"/>
          <w:szCs w:val="24"/>
        </w:rPr>
        <w:instrText xml:space="preserve"> ADDIN EN.CITE &lt;EndNote&gt;&lt;Cite&gt;&lt;Author&gt;Howie&lt;/Author&gt;&lt;Year&gt;2012&lt;/Year&gt;&lt;RecNum&gt;1229&lt;/RecNum&gt;&lt;DisplayText&gt;&lt;style face="superscript"&gt;7&lt;/style&gt;&lt;/DisplayText&gt;&lt;record&gt;&lt;rec-number&gt;1229&lt;/rec-number&gt;&lt;foreign-keys&gt;&lt;key app="EN" db-id="efvvtw99qrt5auexzrj509v9awx0vsvf95wt" timestamp="1442467851"&gt;1229&lt;/key&gt;&lt;/foreign-keys&gt;&lt;ref-type name="Journal Article"&gt;17&lt;/ref-type&gt;&lt;contributors&gt;&lt;authors&gt;&lt;author&gt;Howie, B.&lt;/author&gt;&lt;author&gt;Fuchsberger, C.&lt;/author&gt;&lt;author&gt;Stephens, M.&lt;/author&gt;&lt;author&gt;Marchini, J.&lt;/author&gt;&lt;author&gt;Abecasis, G. R.&lt;/author&gt;&lt;/authors&gt;&lt;/contributors&gt;&lt;auth-address&gt;Department of Human Genetics, University of Chicago, Chicago, Illinois, USA.&lt;/auth-address&gt;&lt;titles&gt;&lt;title&gt;Fast and accurate genotype imputation in genome-wide association studies through pre-phasing&lt;/title&gt;&lt;secondary-title&gt;Nat Genet&lt;/secondary-title&gt;&lt;/titles&gt;&lt;periodical&gt;&lt;full-title&gt;Nat Genet&lt;/full-title&gt;&lt;/periodical&gt;&lt;pages&gt;955-9&lt;/pages&gt;&lt;volume&gt;44&lt;/volume&gt;&lt;number&gt;8&lt;/number&gt;&lt;keywords&gt;&lt;keyword&gt;Computational Biology&lt;/keyword&gt;&lt;keyword&gt;Databases, Genetic&lt;/keyword&gt;&lt;keyword&gt;Genome-Wide Association Study/*methods/statistics &amp;amp; numerical data&lt;/keyword&gt;&lt;keyword&gt;*Genotype&lt;/keyword&gt;&lt;keyword&gt;Haplotypes&lt;/keyword&gt;&lt;keyword&gt;Human Genome Project&lt;/keyword&gt;&lt;keyword&gt;Humans&lt;/keyword&gt;&lt;/keywords&gt;&lt;dates&gt;&lt;year&gt;2012&lt;/year&gt;&lt;pub-dates&gt;&lt;date&gt;Aug&lt;/date&gt;&lt;/pub-dates&gt;&lt;/dates&gt;&lt;isbn&gt;1546-1718 (Electronic)&amp;#xD;1061-4036 (Linking)&lt;/isbn&gt;&lt;accession-num&gt;22820512&lt;/accession-num&gt;&lt;urls&gt;&lt;related-urls&gt;&lt;url&gt;http://www.ncbi.nlm.nih.gov/pubmed/22820512&lt;/url&gt;&lt;/related-urls&gt;&lt;/urls&gt;&lt;custom2&gt;PMC3696580&lt;/custom2&gt;&lt;electronic-resource-num&gt;10.1038/ng.2354&lt;/electronic-resource-num&gt;&lt;/record&gt;&lt;/Cite&gt;&lt;/EndNote&gt;</w:instrText>
      </w:r>
      <w:r w:rsidRPr="008757A5">
        <w:rPr>
          <w:sz w:val="24"/>
          <w:szCs w:val="24"/>
        </w:rPr>
        <w:fldChar w:fldCharType="separate"/>
      </w:r>
      <w:r w:rsidRPr="00E32F7E">
        <w:rPr>
          <w:noProof/>
          <w:sz w:val="24"/>
          <w:szCs w:val="24"/>
          <w:vertAlign w:val="superscript"/>
        </w:rPr>
        <w:t>7</w:t>
      </w:r>
      <w:r w:rsidRPr="008757A5">
        <w:rPr>
          <w:sz w:val="24"/>
          <w:szCs w:val="24"/>
        </w:rPr>
        <w:fldChar w:fldCharType="end"/>
      </w:r>
      <w:r w:rsidRPr="008757A5">
        <w:rPr>
          <w:sz w:val="24"/>
          <w:szCs w:val="24"/>
        </w:rPr>
        <w:t xml:space="preserve">.  </w:t>
      </w:r>
    </w:p>
    <w:p w:rsidR="00B34C12" w:rsidRPr="008757A5" w:rsidRDefault="00B34C12" w:rsidP="00B34C12">
      <w:pPr>
        <w:spacing w:line="480" w:lineRule="auto"/>
        <w:rPr>
          <w:b/>
          <w:sz w:val="24"/>
          <w:szCs w:val="24"/>
        </w:rPr>
      </w:pPr>
      <w:r w:rsidRPr="008757A5">
        <w:rPr>
          <w:b/>
          <w:sz w:val="24"/>
          <w:szCs w:val="24"/>
        </w:rPr>
        <w:t>Estimation of residential exposure to fine particles</w:t>
      </w:r>
    </w:p>
    <w:p w:rsidR="00B34C12" w:rsidRPr="008757A5" w:rsidRDefault="00B34C12" w:rsidP="00B34C12">
      <w:pPr>
        <w:spacing w:line="480" w:lineRule="auto"/>
        <w:rPr>
          <w:sz w:val="24"/>
          <w:szCs w:val="24"/>
        </w:rPr>
      </w:pPr>
      <w:r w:rsidRPr="008757A5">
        <w:rPr>
          <w:sz w:val="24"/>
          <w:szCs w:val="24"/>
        </w:rPr>
        <w:t xml:space="preserve">WHIMS participants’ residential addresses, prospectively collected at each clinic visit and updated at least biannually, were geocoded following a standardized protocol </w:t>
      </w:r>
      <w:r w:rsidRPr="008757A5">
        <w:rPr>
          <w:sz w:val="24"/>
          <w:szCs w:val="24"/>
        </w:rPr>
        <w:fldChar w:fldCharType="begin"/>
      </w:r>
      <w:r>
        <w:rPr>
          <w:sz w:val="24"/>
          <w:szCs w:val="24"/>
        </w:rPr>
        <w:instrText xml:space="preserve"> ADDIN EN.CITE &lt;EndNote&gt;&lt;Cite&gt;&lt;Author&gt;Whitsel&lt;/Author&gt;&lt;Year&gt;2004&lt;/Year&gt;&lt;RecNum&gt;151&lt;/RecNum&gt;&lt;DisplayText&gt;&lt;style face="superscript"&gt;8&lt;/style&gt;&lt;/DisplayText&gt;&lt;record&gt;&lt;rec-number&gt;151&lt;/rec-number&gt;&lt;foreign-keys&gt;&lt;key app="EN" db-id="efvvtw99qrt5auexzrj509v9awx0vsvf95wt" timestamp="1265214047"&gt;151&lt;/key&gt;&lt;/foreign-keys&gt;&lt;ref-type name="Journal Article"&gt;17&lt;/ref-type&gt;&lt;contributors&gt;&lt;authors&gt;&lt;author&gt;Whitsel, E. A.&lt;/author&gt;&lt;author&gt;Rose, K. M.&lt;/author&gt;&lt;author&gt;Wood, J. L.&lt;/author&gt;&lt;author&gt;Henley, A. C.&lt;/author&gt;&lt;author&gt;Liao, D.&lt;/author&gt;&lt;author&gt;Heiss, G.&lt;/author&gt;&lt;/authors&gt;&lt;/contributors&gt;&lt;auth-address&gt;Department of Medicine, School of Medicine, University of North Carolina, Chapel Hill, NC 27514, USA. ewhitsel@email.unc.edu&lt;/auth-address&gt;&lt;titles&gt;&lt;title&gt;Accuracy and repeatability of commercial geocoding&lt;/title&gt;&lt;secondary-title&gt;Am J Epidemiol&lt;/secondary-title&gt;&lt;/titles&gt;&lt;periodical&gt;&lt;full-title&gt;Am J Epidemiol&lt;/full-title&gt;&lt;/periodical&gt;&lt;pages&gt;1023-9&lt;/pages&gt;&lt;volume&gt;160&lt;/volume&gt;&lt;number&gt;10&lt;/number&gt;&lt;keywords&gt;&lt;keyword&gt;Aged&lt;/keyword&gt;&lt;keyword&gt;Air Pollutants/*supply &amp;amp; distribution&lt;/keyword&gt;&lt;keyword&gt;Cardiovascular Diseases/epidemiology&lt;/keyword&gt;&lt;keyword&gt;Environmental Monitoring/*methods/statistics &amp;amp; numerical data&lt;/keyword&gt;&lt;keyword&gt;Geographic Information Systems&lt;/keyword&gt;&lt;keyword&gt;Humans&lt;/keyword&gt;&lt;keyword&gt;Middle Aged&lt;/keyword&gt;&lt;keyword&gt;Reproducibility of Results&lt;/keyword&gt;&lt;keyword&gt;Social Class&lt;/keyword&gt;&lt;keyword&gt;United States/epidemiology&lt;/keyword&gt;&lt;keyword&gt;United States Environmental Protection Agency&lt;/keyword&gt;&lt;/keywords&gt;&lt;dates&gt;&lt;year&gt;2004&lt;/year&gt;&lt;pub-dates&gt;&lt;date&gt;Nov 15&lt;/date&gt;&lt;/pub-dates&gt;&lt;/dates&gt;&lt;accession-num&gt;15522859&lt;/accession-num&gt;&lt;urls&gt;&lt;related-urls&gt;&lt;url&gt;http://www.ncbi.nlm.nih.gov/entrez/query.fcgi?cmd=Retrieve&amp;amp;db=PubMed&amp;amp;dopt=Citation&amp;amp;list_uids=15522859&lt;/url&gt;&lt;/related-urls&gt;&lt;/urls&gt;&lt;/record&gt;&lt;/Cite&gt;&lt;/EndNote&gt;</w:instrText>
      </w:r>
      <w:r w:rsidRPr="008757A5">
        <w:rPr>
          <w:sz w:val="24"/>
          <w:szCs w:val="24"/>
        </w:rPr>
        <w:fldChar w:fldCharType="separate"/>
      </w:r>
      <w:r w:rsidRPr="00E32F7E">
        <w:rPr>
          <w:noProof/>
          <w:sz w:val="24"/>
          <w:szCs w:val="24"/>
          <w:vertAlign w:val="superscript"/>
        </w:rPr>
        <w:t>8</w:t>
      </w:r>
      <w:r w:rsidRPr="008757A5">
        <w:rPr>
          <w:sz w:val="24"/>
          <w:szCs w:val="24"/>
        </w:rPr>
        <w:fldChar w:fldCharType="end"/>
      </w:r>
      <w:r w:rsidRPr="008757A5">
        <w:rPr>
          <w:sz w:val="24"/>
          <w:szCs w:val="24"/>
        </w:rPr>
        <w:t xml:space="preserve">.  The Bayesian Maximum Entropy (BME)-based spatiotemporal modeling approach </w:t>
      </w:r>
      <w:r w:rsidRPr="008757A5">
        <w:rPr>
          <w:sz w:val="24"/>
          <w:szCs w:val="24"/>
        </w:rPr>
        <w:fldChar w:fldCharType="begin"/>
      </w:r>
      <w:r>
        <w:rPr>
          <w:sz w:val="24"/>
          <w:szCs w:val="24"/>
        </w:rPr>
        <w:instrText xml:space="preserve"> ADDIN EN.CITE &lt;EndNote&gt;&lt;Cite&gt;&lt;Author&gt;Christakos&lt;/Author&gt;&lt;Year&gt;2001&lt;/Year&gt;&lt;RecNum&gt;44&lt;/RecNum&gt;&lt;DisplayText&gt;&lt;style face="superscript"&gt;9&lt;/style&gt;&lt;/DisplayText&gt;&lt;record&gt;&lt;rec-number&gt;44&lt;/rec-number&gt;&lt;foreign-keys&gt;&lt;key app="EN" db-id="vwf9a92v6adz2pe2d5cxwre6xfvr9v2z0fwa" timestamp="1265382873"&gt;44&lt;/key&gt;&lt;/foreign-keys&gt;&lt;ref-type name="Book"&gt;6&lt;/ref-type&gt;&lt;contributors&gt;&lt;authors&gt;&lt;author&gt;Christakos, George&lt;/author&gt;&lt;author&gt;Bogaert, Patrick&lt;/author&gt;&lt;author&gt;Serre, Marc L.&lt;/author&gt;&lt;/authors&gt;&lt;/contributors&gt;&lt;titles&gt;&lt;title&gt;Temporal GIS: advanced functions for field-based applications&lt;/title&gt;&lt;/titles&gt;&lt;pages&gt;xii, 217 p. : ill. ; 24 cm. + 1 CD-ROM (4 3/4 in.)&lt;/pages&gt;&lt;keywords&gt;&lt;keyword&gt;Earth sciences -- Statistical methods.&lt;/keyword&gt;&lt;keyword&gt;Maximum entropy method.&lt;/keyword&gt;&lt;keyword&gt;Bayesian statistical decision theory.&lt;/keyword&gt;&lt;keyword&gt;Geofísica -- Metodología.&lt;/keyword&gt;&lt;/keywords&gt;&lt;dates&gt;&lt;year&gt;2001&lt;/year&gt;&lt;/dates&gt;&lt;pub-location&gt;Berlin; New York&lt;/pub-location&gt;&lt;publisher&gt;Springer&lt;/publisher&gt;&lt;accession-num&gt;OCLC: 47996335 Provider: OCLC&lt;/accession-num&gt;&lt;urls&gt;&lt;/urls&gt;&lt;/record&gt;&lt;/Cite&gt;&lt;/EndNote&gt;</w:instrText>
      </w:r>
      <w:r w:rsidRPr="008757A5">
        <w:rPr>
          <w:sz w:val="24"/>
          <w:szCs w:val="24"/>
        </w:rPr>
        <w:fldChar w:fldCharType="separate"/>
      </w:r>
      <w:r w:rsidRPr="00E32F7E">
        <w:rPr>
          <w:noProof/>
          <w:sz w:val="24"/>
          <w:szCs w:val="24"/>
          <w:vertAlign w:val="superscript"/>
        </w:rPr>
        <w:t>9</w:t>
      </w:r>
      <w:r w:rsidRPr="008757A5">
        <w:rPr>
          <w:sz w:val="24"/>
          <w:szCs w:val="24"/>
        </w:rPr>
        <w:fldChar w:fldCharType="end"/>
      </w:r>
      <w:r w:rsidRPr="008757A5">
        <w:rPr>
          <w:sz w:val="24"/>
          <w:szCs w:val="24"/>
        </w:rPr>
        <w:t xml:space="preserve"> was employed to estimate the ambient concentration of PM</w:t>
      </w:r>
      <w:r w:rsidRPr="008757A5">
        <w:rPr>
          <w:sz w:val="24"/>
          <w:szCs w:val="24"/>
          <w:vertAlign w:val="subscript"/>
        </w:rPr>
        <w:t>2.5</w:t>
      </w:r>
      <w:r w:rsidRPr="008757A5">
        <w:rPr>
          <w:sz w:val="24"/>
          <w:szCs w:val="24"/>
        </w:rPr>
        <w:t xml:space="preserve"> at residential locations in 1999-2010.  To characterize spatiotemporal interdependence of the environmental data to estimate </w:t>
      </w:r>
      <w:r w:rsidRPr="008757A5">
        <w:rPr>
          <w:bCs/>
          <w:sz w:val="24"/>
          <w:szCs w:val="24"/>
        </w:rPr>
        <w:t xml:space="preserve">mean trends and </w:t>
      </w:r>
      <w:r w:rsidRPr="008757A5">
        <w:rPr>
          <w:sz w:val="24"/>
          <w:szCs w:val="24"/>
        </w:rPr>
        <w:t xml:space="preserve">covariance </w:t>
      </w:r>
      <w:r w:rsidRPr="008757A5">
        <w:rPr>
          <w:bCs/>
          <w:sz w:val="24"/>
          <w:szCs w:val="24"/>
        </w:rPr>
        <w:t>of the air pollution fields over space and time</w:t>
      </w:r>
      <w:r w:rsidRPr="008757A5">
        <w:rPr>
          <w:sz w:val="24"/>
          <w:szCs w:val="24"/>
        </w:rPr>
        <w:t>, the BME method integrates the nationwide monitoring data from the U.S. EPA Air Quality System (AQS) and the output of chemical transport models</w:t>
      </w:r>
      <w:r>
        <w:rPr>
          <w:sz w:val="24"/>
          <w:szCs w:val="24"/>
        </w:rPr>
        <w:t xml:space="preserve"> (CTM)</w:t>
      </w:r>
      <w:r w:rsidRPr="008757A5">
        <w:rPr>
          <w:sz w:val="24"/>
          <w:szCs w:val="24"/>
        </w:rPr>
        <w:t>, entitled Community Multiscale Air Quality (</w:t>
      </w:r>
      <w:hyperlink r:id="rId6" w:history="1">
        <w:r w:rsidRPr="008757A5">
          <w:rPr>
            <w:rStyle w:val="Hyperlink"/>
            <w:sz w:val="24"/>
            <w:szCs w:val="24"/>
          </w:rPr>
          <w:t>www.cmaq-model.org</w:t>
        </w:r>
      </w:hyperlink>
      <w:r w:rsidRPr="008757A5">
        <w:rPr>
          <w:sz w:val="24"/>
          <w:szCs w:val="24"/>
        </w:rPr>
        <w:t xml:space="preserve">). </w:t>
      </w:r>
    </w:p>
    <w:p w:rsidR="00B34C12" w:rsidRPr="008757A5" w:rsidRDefault="00B34C12" w:rsidP="00B34C12">
      <w:pPr>
        <w:spacing w:line="480" w:lineRule="auto"/>
        <w:rPr>
          <w:sz w:val="24"/>
          <w:szCs w:val="24"/>
        </w:rPr>
      </w:pPr>
      <w:r w:rsidRPr="008757A5">
        <w:rPr>
          <w:sz w:val="24"/>
          <w:szCs w:val="24"/>
        </w:rPr>
        <w:t>BME is a mathematically rigorous geostatistical space/time framework developed by Christakos.</w:t>
      </w:r>
      <w:r>
        <w:rPr>
          <w:sz w:val="24"/>
          <w:szCs w:val="24"/>
        </w:rPr>
        <w:fldChar w:fldCharType="begin"/>
      </w:r>
      <w:r>
        <w:rPr>
          <w:sz w:val="24"/>
          <w:szCs w:val="24"/>
        </w:rPr>
        <w:instrText xml:space="preserve"> ADDIN EN.CITE &lt;EndNote&gt;&lt;Cite&gt;&lt;Author&gt;Christakos&lt;/Author&gt;&lt;Year&gt;2000&lt;/Year&gt;&lt;RecNum&gt;218&lt;/RecNum&gt;&lt;DisplayText&gt;&lt;style face="superscript"&gt;9, 10&lt;/style&gt;&lt;/DisplayText&gt;&lt;record&gt;&lt;rec-number&gt;218&lt;/rec-number&gt;&lt;foreign-keys&gt;&lt;key app="EN" db-id="vwf9a92v6adz2pe2d5cxwre6xfvr9v2z0fwa" timestamp="1456175298"&gt;218&lt;/key&gt;&lt;/foreign-keys&gt;&lt;ref-type name="Book"&gt;6&lt;/ref-type&gt;&lt;contributors&gt;&lt;authors&gt;&lt;author&gt;Christakos, George&lt;/author&gt;&lt;/authors&gt;&lt;/contributors&gt;&lt;titles&gt;&lt;title&gt;Modern spatiotemporal geostatistics&lt;/title&gt;&lt;/titles&gt;&lt;dates&gt;&lt;year&gt;2000&lt;/year&gt;&lt;/dates&gt;&lt;pub-location&gt;Oxford; New York&lt;/pub-location&gt;&lt;publisher&gt;Oxford University Press&lt;/publisher&gt;&lt;isbn&gt;0195138953 9780195138955&lt;/isbn&gt;&lt;urls&gt;&lt;/urls&gt;&lt;remote-database-name&gt;/z-wcorg/&lt;/remote-database-name&gt;&lt;remote-database-provider&gt;http://worldcat.org&lt;/remote-database-provider&gt;&lt;language&gt;English&lt;/language&gt;&lt;/record&gt;&lt;/Cite&gt;&lt;Cite&gt;&lt;Author&gt;Christakos&lt;/Author&gt;&lt;Year&gt;2001&lt;/Year&gt;&lt;RecNum&gt;44&lt;/RecNum&gt;&lt;record&gt;&lt;rec-number&gt;44&lt;/rec-number&gt;&lt;foreign-keys&gt;&lt;key app="EN" db-id="vwf9a92v6adz2pe2d5cxwre6xfvr9v2z0fwa" timestamp="1265382873"&gt;44&lt;/key&gt;&lt;/foreign-keys&gt;&lt;ref-type name="Book"&gt;6&lt;/ref-type&gt;&lt;contributors&gt;&lt;authors&gt;&lt;author&gt;Christakos, George&lt;/author&gt;&lt;author&gt;Bogaert, Patrick&lt;/author&gt;&lt;author&gt;Serre, Marc L.&lt;/author&gt;&lt;/authors&gt;&lt;/contributors&gt;&lt;titles&gt;&lt;title&gt;Temporal GIS: advanced functions for field-based applications&lt;/title&gt;&lt;/titles&gt;&lt;pages&gt;xii, 217 p. : ill. ; 24 cm. + 1 CD-ROM (4 3/4 in.)&lt;/pages&gt;&lt;keywords&gt;&lt;keyword&gt;Earth sciences -- Statistical methods.&lt;/keyword&gt;&lt;keyword&gt;Maximum entropy method.&lt;/keyword&gt;&lt;keyword&gt;Bayesian statistical decision theory.&lt;/keyword&gt;&lt;keyword&gt;Geofísica -- Metodología.&lt;/keyword&gt;&lt;/keywords&gt;&lt;dates&gt;&lt;year&gt;2001&lt;/year&gt;&lt;/dates&gt;&lt;pub-location&gt;Berlin; New York&lt;/pub-location&gt;&lt;publisher&gt;Springer&lt;/publisher&gt;&lt;accession-num&gt;OCLC: 47996335 Provider: OCLC&lt;/accession-num&gt;&lt;urls&gt;&lt;/urls&gt;&lt;/record&gt;&lt;/Cite&gt;&lt;/EndNote&gt;</w:instrText>
      </w:r>
      <w:r>
        <w:rPr>
          <w:sz w:val="24"/>
          <w:szCs w:val="24"/>
        </w:rPr>
        <w:fldChar w:fldCharType="separate"/>
      </w:r>
      <w:r w:rsidRPr="009B7424">
        <w:rPr>
          <w:noProof/>
          <w:sz w:val="24"/>
          <w:szCs w:val="24"/>
          <w:vertAlign w:val="superscript"/>
        </w:rPr>
        <w:t>9, 10</w:t>
      </w:r>
      <w:r>
        <w:rPr>
          <w:sz w:val="24"/>
          <w:szCs w:val="24"/>
        </w:rPr>
        <w:fldChar w:fldCharType="end"/>
      </w:r>
      <w:r w:rsidRPr="008757A5">
        <w:rPr>
          <w:sz w:val="24"/>
          <w:szCs w:val="24"/>
        </w:rPr>
        <w:t xml:space="preserve"> The posterior probability density </w:t>
      </w:r>
      <w:proofErr w:type="gramStart"/>
      <w:r w:rsidRPr="008757A5">
        <w:rPr>
          <w:sz w:val="24"/>
          <w:szCs w:val="24"/>
        </w:rPr>
        <w:t xml:space="preserve">function </w:t>
      </w:r>
      <w:proofErr w:type="gramEnd"/>
      <m:oMath>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K</m:t>
            </m:r>
          </m:sub>
        </m:sSub>
      </m:oMath>
      <w:r w:rsidRPr="008757A5">
        <w:rPr>
          <w:sz w:val="24"/>
          <w:szCs w:val="24"/>
        </w:rPr>
        <w:t xml:space="preserve">, which describes the process </w:t>
      </w:r>
      <m:oMath>
        <m:sSub>
          <m:sSubPr>
            <m:ctrlPr>
              <w:rPr>
                <w:rFonts w:ascii="Cambria Math" w:hAnsi="Cambria Math"/>
                <w:sz w:val="24"/>
                <w:szCs w:val="24"/>
              </w:rPr>
            </m:ctrlPr>
          </m:sSubPr>
          <m:e>
            <m:r>
              <w:rPr>
                <w:rFonts w:ascii="Cambria Math" w:hAnsi="Cambria Math"/>
                <w:sz w:val="24"/>
                <w:szCs w:val="24"/>
              </w:rPr>
              <m:t>x</m:t>
            </m:r>
          </m:e>
          <m:sub>
            <m:r>
              <w:rPr>
                <w:rFonts w:ascii="Cambria Math" w:hAnsi="Cambria Math"/>
                <w:sz w:val="24"/>
                <w:szCs w:val="24"/>
              </w:rPr>
              <m:t>k</m:t>
            </m:r>
          </m:sub>
        </m:sSub>
      </m:oMath>
      <w:r w:rsidRPr="008757A5">
        <w:rPr>
          <w:sz w:val="24"/>
          <w:szCs w:val="24"/>
        </w:rPr>
        <w:t xml:space="preserve"> at an estimation point of interest </w:t>
      </w:r>
      <m:oMath>
        <m:sSub>
          <m:sSubPr>
            <m:ctrlPr>
              <w:rPr>
                <w:rFonts w:ascii="Cambria Math" w:hAnsi="Cambria Math"/>
                <w:b/>
                <w:i/>
                <w:sz w:val="24"/>
                <w:szCs w:val="24"/>
              </w:rPr>
            </m:ctrlPr>
          </m:sSubPr>
          <m:e>
            <m:r>
              <m:rPr>
                <m:sty m:val="bi"/>
              </m:rPr>
              <w:rPr>
                <w:rFonts w:ascii="Cambria Math" w:hAnsi="Cambria Math"/>
                <w:sz w:val="24"/>
                <w:szCs w:val="24"/>
              </w:rPr>
              <m:t>p</m:t>
            </m:r>
          </m:e>
          <m:sub>
            <m:r>
              <w:rPr>
                <w:rFonts w:ascii="Cambria Math" w:hAnsi="Cambria Math"/>
                <w:sz w:val="24"/>
                <w:szCs w:val="24"/>
              </w:rPr>
              <m:t>k</m:t>
            </m:r>
          </m:sub>
        </m:sSub>
        <m:r>
          <m:rPr>
            <m:sty m:val="bi"/>
          </m:rPr>
          <w:rPr>
            <w:rFonts w:ascii="Cambria Math" w:hAnsi="Cambria Math"/>
            <w:sz w:val="24"/>
            <w:szCs w:val="24"/>
          </w:rPr>
          <m:t xml:space="preserve"> </m:t>
        </m:r>
      </m:oMath>
      <w:r w:rsidRPr="008757A5">
        <w:rPr>
          <w:b/>
          <w:sz w:val="24"/>
          <w:szCs w:val="24"/>
        </w:rPr>
        <w:t xml:space="preserve">, </w:t>
      </w:r>
      <w:r w:rsidRPr="008757A5">
        <w:rPr>
          <w:sz w:val="24"/>
          <w:szCs w:val="24"/>
        </w:rPr>
        <w:t xml:space="preserve">is given by the BME equation:  </w:t>
      </w:r>
    </w:p>
    <w:p w:rsidR="00B34C12" w:rsidRPr="008757A5" w:rsidRDefault="00881B6F" w:rsidP="00B34C12">
      <w:pPr>
        <w:pStyle w:val="TAMainText"/>
        <w:tabs>
          <w:tab w:val="left" w:pos="0"/>
          <w:tab w:val="center" w:pos="4320"/>
          <w:tab w:val="right" w:pos="8640"/>
        </w:tabs>
        <w:jc w:val="center"/>
        <w:rPr>
          <w:rFonts w:ascii="Times New Roman" w:hAnsi="Times New Roman"/>
          <w:szCs w:val="24"/>
        </w:rPr>
      </w:pPr>
      <m:oMath>
        <m:sSub>
          <m:sSubPr>
            <m:ctrlPr>
              <w:rPr>
                <w:rFonts w:ascii="Cambria Math" w:hAnsi="Cambria Math"/>
                <w:szCs w:val="24"/>
              </w:rPr>
            </m:ctrlPr>
          </m:sSubPr>
          <m:e>
            <m:r>
              <w:rPr>
                <w:rFonts w:ascii="Cambria Math" w:hAnsi="Cambria Math"/>
                <w:szCs w:val="24"/>
              </w:rPr>
              <m:t>f</m:t>
            </m:r>
          </m:e>
          <m:sub>
            <m:r>
              <w:rPr>
                <w:rFonts w:ascii="Cambria Math" w:hAnsi="Cambria Math"/>
                <w:szCs w:val="24"/>
              </w:rPr>
              <m:t>K</m:t>
            </m:r>
          </m:sub>
        </m:sSub>
        <m:d>
          <m:dPr>
            <m:ctrlPr>
              <w:rPr>
                <w:rFonts w:ascii="Cambria Math" w:hAnsi="Cambria Math"/>
                <w:szCs w:val="24"/>
              </w:rPr>
            </m:ctrlPr>
          </m:dPr>
          <m:e>
            <m:sSub>
              <m:sSubPr>
                <m:ctrlPr>
                  <w:rPr>
                    <w:rFonts w:ascii="Cambria Math" w:hAnsi="Cambria Math"/>
                    <w:szCs w:val="24"/>
                  </w:rPr>
                </m:ctrlPr>
              </m:sSubPr>
              <m:e>
                <m:r>
                  <w:rPr>
                    <w:rFonts w:ascii="Cambria Math" w:hAnsi="Cambria Math"/>
                    <w:szCs w:val="24"/>
                  </w:rPr>
                  <m:t>x</m:t>
                </m:r>
              </m:e>
              <m:sub>
                <m:r>
                  <w:rPr>
                    <w:rFonts w:ascii="Cambria Math" w:hAnsi="Cambria Math"/>
                    <w:szCs w:val="24"/>
                  </w:rPr>
                  <m:t>k</m:t>
                </m:r>
              </m:sub>
            </m:sSub>
          </m:e>
        </m:d>
        <m:r>
          <m:rPr>
            <m:sty m:val="p"/>
          </m:rPr>
          <w:rPr>
            <w:rFonts w:ascii="Cambria Math" w:hAnsi="Cambria Math"/>
            <w:szCs w:val="24"/>
          </w:rPr>
          <m:t xml:space="preserve">= </m:t>
        </m:r>
        <m:sSup>
          <m:sSupPr>
            <m:ctrlPr>
              <w:rPr>
                <w:rFonts w:ascii="Cambria Math" w:hAnsi="Cambria Math"/>
                <w:szCs w:val="24"/>
              </w:rPr>
            </m:ctrlPr>
          </m:sSupPr>
          <m:e>
            <m:r>
              <w:rPr>
                <w:rFonts w:ascii="Cambria Math" w:hAnsi="Cambria Math"/>
                <w:szCs w:val="24"/>
              </w:rPr>
              <m:t>A</m:t>
            </m:r>
          </m:e>
          <m:sup>
            <m:r>
              <m:rPr>
                <m:sty m:val="p"/>
              </m:rPr>
              <w:rPr>
                <w:rFonts w:ascii="Cambria Math" w:hAnsi="Cambria Math"/>
                <w:szCs w:val="24"/>
              </w:rPr>
              <m:t>-1</m:t>
            </m:r>
          </m:sup>
        </m:sSup>
        <m:nary>
          <m:naryPr>
            <m:limLoc m:val="undOvr"/>
            <m:subHide m:val="1"/>
            <m:supHide m:val="1"/>
            <m:ctrlPr>
              <w:rPr>
                <w:rFonts w:ascii="Cambria Math" w:hAnsi="Cambria Math"/>
                <w:szCs w:val="24"/>
              </w:rPr>
            </m:ctrlPr>
          </m:naryPr>
          <m:sub/>
          <m:sup/>
          <m:e>
            <m:r>
              <w:rPr>
                <w:rFonts w:ascii="Cambria Math" w:hAnsi="Cambria Math"/>
                <w:szCs w:val="24"/>
              </w:rPr>
              <m:t>d</m:t>
            </m:r>
            <m:r>
              <m:rPr>
                <m:sty m:val="b"/>
              </m:rPr>
              <w:rPr>
                <w:rFonts w:ascii="Cambria Math" w:hAnsi="Cambria Math"/>
                <w:szCs w:val="24"/>
              </w:rPr>
              <m:t>x</m:t>
            </m:r>
            <m:r>
              <m:rPr>
                <m:sty m:val="p"/>
              </m:rPr>
              <w:rPr>
                <w:rFonts w:ascii="Cambria Math" w:hAnsi="Cambria Math"/>
                <w:szCs w:val="24"/>
              </w:rPr>
              <m:t xml:space="preserve"> </m:t>
            </m:r>
          </m:e>
        </m:nary>
        <m:sSub>
          <m:sSubPr>
            <m:ctrlPr>
              <w:rPr>
                <w:rFonts w:ascii="Cambria Math" w:hAnsi="Cambria Math"/>
                <w:szCs w:val="24"/>
              </w:rPr>
            </m:ctrlPr>
          </m:sSubPr>
          <m:e>
            <m:r>
              <w:rPr>
                <w:rFonts w:ascii="Cambria Math" w:hAnsi="Cambria Math"/>
                <w:szCs w:val="24"/>
              </w:rPr>
              <m:t>f</m:t>
            </m:r>
          </m:e>
          <m:sub>
            <m:r>
              <w:rPr>
                <w:rFonts w:ascii="Cambria Math" w:hAnsi="Cambria Math"/>
                <w:szCs w:val="24"/>
              </w:rPr>
              <m:t>S</m:t>
            </m:r>
          </m:sub>
        </m:sSub>
        <m:d>
          <m:dPr>
            <m:ctrlPr>
              <w:rPr>
                <w:rFonts w:ascii="Cambria Math" w:hAnsi="Cambria Math"/>
                <w:szCs w:val="24"/>
              </w:rPr>
            </m:ctrlPr>
          </m:dPr>
          <m:e>
            <m:sSub>
              <m:sSubPr>
                <m:ctrlPr>
                  <w:rPr>
                    <w:rFonts w:ascii="Cambria Math" w:hAnsi="Cambria Math"/>
                    <w:b/>
                    <w:szCs w:val="24"/>
                  </w:rPr>
                </m:ctrlPr>
              </m:sSubPr>
              <m:e>
                <m:r>
                  <m:rPr>
                    <m:sty m:val="b"/>
                  </m:rPr>
                  <w:rPr>
                    <w:rFonts w:ascii="Cambria Math" w:hAnsi="Cambria Math"/>
                    <w:szCs w:val="24"/>
                  </w:rPr>
                  <m:t>x</m:t>
                </m:r>
              </m:e>
              <m:sub>
                <m:r>
                  <m:rPr>
                    <m:sty m:val="b"/>
                  </m:rPr>
                  <w:rPr>
                    <w:rFonts w:ascii="Cambria Math" w:hAnsi="Cambria Math"/>
                    <w:szCs w:val="24"/>
                  </w:rPr>
                  <m:t>s</m:t>
                </m:r>
              </m:sub>
            </m:sSub>
          </m:e>
        </m:d>
        <m:sSub>
          <m:sSubPr>
            <m:ctrlPr>
              <w:rPr>
                <w:rFonts w:ascii="Cambria Math" w:hAnsi="Cambria Math"/>
                <w:szCs w:val="24"/>
              </w:rPr>
            </m:ctrlPr>
          </m:sSubPr>
          <m:e>
            <m:r>
              <w:rPr>
                <w:rFonts w:ascii="Cambria Math" w:hAnsi="Cambria Math"/>
                <w:szCs w:val="24"/>
              </w:rPr>
              <m:t>f</m:t>
            </m:r>
          </m:e>
          <m:sub>
            <m:r>
              <w:rPr>
                <w:rFonts w:ascii="Cambria Math" w:hAnsi="Cambria Math"/>
                <w:szCs w:val="24"/>
              </w:rPr>
              <m:t>G</m:t>
            </m:r>
          </m:sub>
        </m:sSub>
        <m:d>
          <m:dPr>
            <m:ctrlPr>
              <w:rPr>
                <w:rFonts w:ascii="Cambria Math" w:hAnsi="Cambria Math"/>
                <w:szCs w:val="24"/>
              </w:rPr>
            </m:ctrlPr>
          </m:dPr>
          <m:e>
            <m:r>
              <m:rPr>
                <m:sty m:val="b"/>
              </m:rPr>
              <w:rPr>
                <w:rFonts w:ascii="Cambria Math" w:hAnsi="Cambria Math"/>
                <w:szCs w:val="24"/>
              </w:rPr>
              <m:t>x</m:t>
            </m:r>
          </m:e>
        </m:d>
      </m:oMath>
      <w:r w:rsidR="00B34C12" w:rsidRPr="008757A5">
        <w:rPr>
          <w:rFonts w:ascii="Times New Roman" w:hAnsi="Times New Roman"/>
          <w:szCs w:val="24"/>
        </w:rPr>
        <w:t>,</w:t>
      </w:r>
      <w:r w:rsidR="00B34C12" w:rsidRPr="008757A5">
        <w:rPr>
          <w:rFonts w:ascii="Times New Roman" w:hAnsi="Times New Roman"/>
          <w:szCs w:val="24"/>
        </w:rPr>
        <w:tab/>
      </w:r>
    </w:p>
    <w:p w:rsidR="00B34C12" w:rsidRPr="008757A5" w:rsidRDefault="00B34C12" w:rsidP="00B34C12">
      <w:pPr>
        <w:spacing w:line="480" w:lineRule="auto"/>
        <w:rPr>
          <w:sz w:val="24"/>
          <w:szCs w:val="24"/>
        </w:rPr>
      </w:pPr>
      <w:proofErr w:type="gramStart"/>
      <w:r w:rsidRPr="008757A5">
        <w:rPr>
          <w:sz w:val="24"/>
          <w:szCs w:val="24"/>
        </w:rPr>
        <w:t>where</w:t>
      </w:r>
      <w:proofErr w:type="gramEnd"/>
      <w:r w:rsidRPr="008757A5">
        <w:rPr>
          <w:sz w:val="24"/>
          <w:szCs w:val="24"/>
        </w:rPr>
        <w:t xml:space="preserve"> </w:t>
      </w:r>
      <m:oMath>
        <m:r>
          <m:rPr>
            <m:sty m:val="bi"/>
          </m:rPr>
          <w:rPr>
            <w:rFonts w:ascii="Cambria Math" w:hAnsi="Cambria Math"/>
            <w:sz w:val="24"/>
            <w:szCs w:val="24"/>
          </w:rPr>
          <m:t>x</m:t>
        </m:r>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k</m:t>
            </m:r>
          </m:sub>
        </m:sSub>
        <m:r>
          <w:rPr>
            <w:rFonts w:ascii="Cambria Math" w:hAnsi="Cambria Math"/>
            <w:sz w:val="24"/>
            <w:szCs w:val="24"/>
          </w:rPr>
          <m:t>,</m:t>
        </m:r>
        <m:sSub>
          <m:sSubPr>
            <m:ctrlPr>
              <w:rPr>
                <w:rFonts w:ascii="Cambria Math" w:hAnsi="Cambria Math"/>
                <w:b/>
                <w:i/>
                <w:sz w:val="24"/>
                <w:szCs w:val="24"/>
              </w:rPr>
            </m:ctrlPr>
          </m:sSubPr>
          <m:e>
            <m:r>
              <m:rPr>
                <m:sty m:val="bi"/>
              </m:rPr>
              <w:rPr>
                <w:rFonts w:ascii="Cambria Math" w:hAnsi="Cambria Math"/>
                <w:sz w:val="24"/>
                <w:szCs w:val="24"/>
              </w:rPr>
              <m:t>x</m:t>
            </m:r>
          </m:e>
          <m:sub>
            <m:r>
              <w:rPr>
                <w:rFonts w:ascii="Cambria Math" w:hAnsi="Cambria Math"/>
                <w:sz w:val="24"/>
                <w:szCs w:val="24"/>
              </w:rPr>
              <m:t>s</m:t>
            </m:r>
          </m:sub>
        </m:sSub>
        <m:r>
          <w:rPr>
            <w:rFonts w:ascii="Cambria Math" w:hAnsi="Cambria Math"/>
            <w:sz w:val="24"/>
            <w:szCs w:val="24"/>
          </w:rPr>
          <m:t>)</m:t>
        </m:r>
      </m:oMath>
      <w:r w:rsidRPr="008757A5">
        <w:rPr>
          <w:sz w:val="24"/>
          <w:szCs w:val="24"/>
        </w:rPr>
        <w:t xml:space="preserve"> is a realization of </w:t>
      </w:r>
      <m:oMath>
        <m:r>
          <m:rPr>
            <m:sty m:val="bi"/>
          </m:rPr>
          <w:rPr>
            <w:rFonts w:ascii="Cambria Math" w:hAnsi="Cambria Math"/>
            <w:sz w:val="24"/>
            <w:szCs w:val="24"/>
          </w:rPr>
          <m:t>X</m:t>
        </m:r>
      </m:oMath>
      <w:r w:rsidRPr="008757A5">
        <w:rPr>
          <w:sz w:val="24"/>
          <w:szCs w:val="24"/>
        </w:rPr>
        <w:t xml:space="preserve"> at points </w:t>
      </w:r>
      <m:oMath>
        <m:r>
          <m:rPr>
            <m:sty m:val="bi"/>
          </m:rPr>
          <w:rPr>
            <w:rFonts w:ascii="Cambria Math" w:hAnsi="Cambria Math"/>
            <w:sz w:val="24"/>
            <w:szCs w:val="24"/>
          </w:rPr>
          <m:t>p</m:t>
        </m:r>
        <m:r>
          <w:rPr>
            <w:rFonts w:ascii="Cambria Math" w:hAnsi="Cambria Math"/>
            <w:sz w:val="24"/>
            <w:szCs w:val="24"/>
          </w:rPr>
          <m:t>=(</m:t>
        </m:r>
        <m:sSub>
          <m:sSubPr>
            <m:ctrlPr>
              <w:rPr>
                <w:rFonts w:ascii="Cambria Math" w:hAnsi="Cambria Math"/>
                <w:b/>
                <w:i/>
                <w:sz w:val="24"/>
                <w:szCs w:val="24"/>
              </w:rPr>
            </m:ctrlPr>
          </m:sSubPr>
          <m:e>
            <m:r>
              <m:rPr>
                <m:sty m:val="bi"/>
              </m:rPr>
              <w:rPr>
                <w:rFonts w:ascii="Cambria Math" w:hAnsi="Cambria Math"/>
                <w:sz w:val="24"/>
                <w:szCs w:val="24"/>
              </w:rPr>
              <m:t>p</m:t>
            </m:r>
          </m:e>
          <m:sub>
            <m:r>
              <w:rPr>
                <w:rFonts w:ascii="Cambria Math" w:hAnsi="Cambria Math"/>
                <w:sz w:val="24"/>
                <w:szCs w:val="24"/>
              </w:rPr>
              <m:t>k</m:t>
            </m:r>
          </m:sub>
        </m:sSub>
        <m:r>
          <w:rPr>
            <w:rFonts w:ascii="Cambria Math" w:hAnsi="Cambria Math"/>
            <w:sz w:val="24"/>
            <w:szCs w:val="24"/>
          </w:rPr>
          <m:t>,</m:t>
        </m:r>
        <m:sSub>
          <m:sSubPr>
            <m:ctrlPr>
              <w:rPr>
                <w:rFonts w:ascii="Cambria Math" w:hAnsi="Cambria Math"/>
                <w:b/>
                <w:i/>
                <w:sz w:val="24"/>
                <w:szCs w:val="24"/>
              </w:rPr>
            </m:ctrlPr>
          </m:sSubPr>
          <m:e>
            <m:r>
              <m:rPr>
                <m:sty m:val="bi"/>
              </m:rPr>
              <w:rPr>
                <w:rFonts w:ascii="Cambria Math" w:hAnsi="Cambria Math"/>
                <w:sz w:val="24"/>
                <w:szCs w:val="24"/>
              </w:rPr>
              <m:t>p</m:t>
            </m:r>
          </m:e>
          <m:sub>
            <m:r>
              <w:rPr>
                <w:rFonts w:ascii="Cambria Math" w:hAnsi="Cambria Math"/>
                <w:sz w:val="24"/>
                <w:szCs w:val="24"/>
              </w:rPr>
              <m:t>s</m:t>
            </m:r>
          </m:sub>
        </m:sSub>
        <m:r>
          <w:rPr>
            <w:rFonts w:ascii="Cambria Math" w:hAnsi="Cambria Math"/>
            <w:sz w:val="24"/>
            <w:szCs w:val="24"/>
          </w:rPr>
          <m:t>)</m:t>
        </m:r>
      </m:oMath>
      <w:r w:rsidRPr="008757A5">
        <w:rPr>
          <w:sz w:val="24"/>
          <w:szCs w:val="24"/>
        </w:rPr>
        <w:t xml:space="preserve">, </w:t>
      </w:r>
      <m:oMath>
        <m:r>
          <w:rPr>
            <w:rFonts w:ascii="Cambria Math" w:hAnsi="Cambria Math"/>
            <w:sz w:val="24"/>
            <w:szCs w:val="24"/>
          </w:rPr>
          <m:t>A</m:t>
        </m:r>
      </m:oMath>
      <w:r w:rsidRPr="008757A5">
        <w:rPr>
          <w:sz w:val="24"/>
          <w:szCs w:val="24"/>
        </w:rPr>
        <w:t xml:space="preserve"> is a normalization constant, </w:t>
      </w:r>
      <m:oMath>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G</m:t>
            </m:r>
          </m:sub>
        </m:sSub>
      </m:oMath>
      <w:r w:rsidRPr="008757A5">
        <w:rPr>
          <w:rFonts w:eastAsiaTheme="minorEastAsia"/>
          <w:sz w:val="24"/>
          <w:szCs w:val="24"/>
        </w:rPr>
        <w:t xml:space="preserve"> is the general knowledge base, and </w:t>
      </w:r>
      <m:oMath>
        <m:sSub>
          <m:sSubPr>
            <m:ctrlPr>
              <w:rPr>
                <w:rFonts w:ascii="Cambria Math" w:hAnsi="Cambria Math"/>
                <w:i/>
                <w:sz w:val="24"/>
                <w:szCs w:val="24"/>
                <w:vertAlign w:val="subscript"/>
              </w:rPr>
            </m:ctrlPr>
          </m:sSubPr>
          <m:e>
            <m:r>
              <w:rPr>
                <w:rFonts w:ascii="Cambria Math" w:hAnsi="Cambria Math"/>
                <w:sz w:val="24"/>
                <w:szCs w:val="24"/>
                <w:vertAlign w:val="subscript"/>
              </w:rPr>
              <m:t>f</m:t>
            </m:r>
          </m:e>
          <m:sub>
            <m:r>
              <w:rPr>
                <w:rFonts w:ascii="Cambria Math" w:hAnsi="Cambria Math"/>
                <w:sz w:val="24"/>
                <w:szCs w:val="24"/>
                <w:vertAlign w:val="subscript"/>
              </w:rPr>
              <m:t>s</m:t>
            </m:r>
          </m:sub>
        </m:sSub>
      </m:oMath>
      <w:r w:rsidRPr="008757A5">
        <w:rPr>
          <w:rFonts w:eastAsiaTheme="minorEastAsia"/>
          <w:sz w:val="24"/>
          <w:szCs w:val="24"/>
        </w:rPr>
        <w:t xml:space="preserve"> is the site-specific knowledge base. </w:t>
      </w:r>
    </w:p>
    <w:p w:rsidR="00B34C12" w:rsidRPr="008757A5" w:rsidRDefault="00B34C12" w:rsidP="00B34C12">
      <w:pPr>
        <w:spacing w:line="480" w:lineRule="auto"/>
        <w:rPr>
          <w:sz w:val="24"/>
          <w:szCs w:val="24"/>
        </w:rPr>
      </w:pPr>
      <w:r w:rsidRPr="008757A5">
        <w:rPr>
          <w:sz w:val="24"/>
          <w:szCs w:val="24"/>
        </w:rPr>
        <w:t>We define the transformation of the PM</w:t>
      </w:r>
      <w:r w:rsidRPr="008757A5">
        <w:rPr>
          <w:sz w:val="24"/>
          <w:szCs w:val="24"/>
          <w:vertAlign w:val="subscript"/>
        </w:rPr>
        <w:t xml:space="preserve">2.5 </w:t>
      </w:r>
      <w:r w:rsidRPr="008757A5">
        <w:rPr>
          <w:sz w:val="24"/>
          <w:szCs w:val="24"/>
        </w:rPr>
        <w:t xml:space="preserve">observed data </w:t>
      </w:r>
      <m:oMath>
        <m:sSub>
          <m:sSubPr>
            <m:ctrlPr>
              <w:rPr>
                <w:rFonts w:ascii="Cambria Math" w:hAnsi="Cambria Math"/>
                <w:b/>
                <w:i/>
                <w:sz w:val="24"/>
                <w:szCs w:val="24"/>
              </w:rPr>
            </m:ctrlPr>
          </m:sSubPr>
          <m:e>
            <m:r>
              <m:rPr>
                <m:sty m:val="bi"/>
              </m:rPr>
              <w:rPr>
                <w:rFonts w:ascii="Cambria Math" w:hAnsi="Cambria Math"/>
                <w:sz w:val="24"/>
                <w:szCs w:val="24"/>
              </w:rPr>
              <m:t>z</m:t>
            </m:r>
          </m:e>
          <m:sub>
            <m:r>
              <w:rPr>
                <w:rFonts w:ascii="Cambria Math" w:hAnsi="Cambria Math"/>
                <w:sz w:val="24"/>
                <w:szCs w:val="24"/>
              </w:rPr>
              <m:t>h</m:t>
            </m:r>
          </m:sub>
        </m:sSub>
      </m:oMath>
      <w:r w:rsidRPr="008757A5">
        <w:rPr>
          <w:sz w:val="24"/>
          <w:szCs w:val="24"/>
        </w:rPr>
        <w:t xml:space="preserve"> at locations </w:t>
      </w:r>
      <m:oMath>
        <m:sSub>
          <m:sSubPr>
            <m:ctrlPr>
              <w:rPr>
                <w:rFonts w:ascii="Cambria Math" w:hAnsi="Cambria Math"/>
                <w:i/>
                <w:sz w:val="24"/>
                <w:szCs w:val="24"/>
              </w:rPr>
            </m:ctrlPr>
          </m:sSubPr>
          <m:e>
            <m:r>
              <m:rPr>
                <m:sty m:val="bi"/>
              </m:rPr>
              <w:rPr>
                <w:rFonts w:ascii="Cambria Math" w:hAnsi="Cambria Math"/>
                <w:sz w:val="24"/>
                <w:szCs w:val="24"/>
              </w:rPr>
              <m:t>p</m:t>
            </m:r>
          </m:e>
          <m:sub>
            <m:r>
              <w:rPr>
                <w:rFonts w:ascii="Cambria Math" w:hAnsi="Cambria Math"/>
                <w:sz w:val="24"/>
                <w:szCs w:val="24"/>
              </w:rPr>
              <m:t>h</m:t>
            </m:r>
          </m:sub>
        </m:sSub>
      </m:oMath>
      <w:r w:rsidRPr="008757A5">
        <w:rPr>
          <w:sz w:val="24"/>
          <w:szCs w:val="24"/>
        </w:rPr>
        <w:t xml:space="preserve"> as </w:t>
      </w:r>
      <m:oMath>
        <m:sSub>
          <m:sSubPr>
            <m:ctrlPr>
              <w:rPr>
                <w:rFonts w:ascii="Cambria Math" w:hAnsi="Cambria Math"/>
                <w:b/>
                <w:i/>
                <w:sz w:val="24"/>
                <w:szCs w:val="24"/>
              </w:rPr>
            </m:ctrlPr>
          </m:sSubPr>
          <m:e>
            <m:r>
              <m:rPr>
                <m:sty m:val="bi"/>
              </m:rPr>
              <w:rPr>
                <w:rFonts w:ascii="Cambria Math" w:hAnsi="Cambria Math"/>
                <w:sz w:val="24"/>
                <w:szCs w:val="24"/>
              </w:rPr>
              <m:t>x</m:t>
            </m:r>
          </m:e>
          <m:sub>
            <m:r>
              <w:rPr>
                <w:rFonts w:ascii="Cambria Math" w:hAnsi="Cambria Math"/>
                <w:sz w:val="24"/>
                <w:szCs w:val="24"/>
              </w:rPr>
              <m:t>h</m:t>
            </m:r>
          </m:sub>
        </m:sSub>
        <m:r>
          <w:rPr>
            <w:rFonts w:ascii="Cambria Math" w:hAnsi="Cambria Math"/>
            <w:sz w:val="24"/>
            <w:szCs w:val="24"/>
          </w:rPr>
          <m:t>=</m:t>
        </m:r>
        <m:sSub>
          <m:sSubPr>
            <m:ctrlPr>
              <w:rPr>
                <w:rFonts w:ascii="Cambria Math" w:hAnsi="Cambria Math"/>
                <w:b/>
                <w:i/>
                <w:sz w:val="24"/>
                <w:szCs w:val="24"/>
              </w:rPr>
            </m:ctrlPr>
          </m:sSubPr>
          <m:e>
            <m:r>
              <m:rPr>
                <m:sty m:val="bi"/>
              </m:rPr>
              <w:rPr>
                <w:rFonts w:ascii="Cambria Math" w:hAnsi="Cambria Math"/>
                <w:sz w:val="24"/>
                <w:szCs w:val="24"/>
              </w:rPr>
              <m:t>z</m:t>
            </m:r>
          </m:e>
          <m:sub>
            <m:r>
              <w:rPr>
                <w:rFonts w:ascii="Cambria Math" w:hAnsi="Cambria Math"/>
                <w:sz w:val="24"/>
                <w:szCs w:val="24"/>
              </w:rPr>
              <m:t>h</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Z</m:t>
            </m:r>
          </m:sub>
        </m:sSub>
        <m:r>
          <w:rPr>
            <w:rFonts w:ascii="Cambria Math" w:hAnsi="Cambria Math"/>
            <w:sz w:val="24"/>
            <w:szCs w:val="24"/>
          </w:rPr>
          <m:t>(</m:t>
        </m:r>
        <m:sSub>
          <m:sSubPr>
            <m:ctrlPr>
              <w:rPr>
                <w:rFonts w:ascii="Cambria Math" w:hAnsi="Cambria Math"/>
                <w:b/>
                <w:i/>
                <w:sz w:val="24"/>
                <w:szCs w:val="24"/>
              </w:rPr>
            </m:ctrlPr>
          </m:sSubPr>
          <m:e>
            <m:r>
              <m:rPr>
                <m:sty m:val="bi"/>
              </m:rPr>
              <w:rPr>
                <w:rFonts w:ascii="Cambria Math" w:hAnsi="Cambria Math"/>
                <w:sz w:val="24"/>
                <w:szCs w:val="24"/>
              </w:rPr>
              <m:t>p</m:t>
            </m:r>
          </m:e>
          <m:sub>
            <m:r>
              <w:rPr>
                <w:rFonts w:ascii="Cambria Math" w:hAnsi="Cambria Math"/>
                <w:sz w:val="24"/>
                <w:szCs w:val="24"/>
              </w:rPr>
              <m:t>h</m:t>
            </m:r>
          </m:sub>
        </m:sSub>
        <m:r>
          <w:rPr>
            <w:rFonts w:ascii="Cambria Math" w:hAnsi="Cambria Math"/>
            <w:sz w:val="24"/>
            <w:szCs w:val="24"/>
          </w:rPr>
          <m:t>)</m:t>
        </m:r>
      </m:oMath>
      <w:r w:rsidRPr="008757A5">
        <w:rPr>
          <w:sz w:val="24"/>
          <w:szCs w:val="24"/>
        </w:rPr>
        <w:t xml:space="preserve"> where </w:t>
      </w:r>
      <m:oMath>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Z</m:t>
            </m:r>
          </m:sub>
        </m:sSub>
        <m:r>
          <w:rPr>
            <w:rFonts w:ascii="Cambria Math" w:hAnsi="Cambria Math"/>
            <w:sz w:val="24"/>
            <w:szCs w:val="24"/>
          </w:rPr>
          <m:t>(</m:t>
        </m:r>
        <m:r>
          <m:rPr>
            <m:sty m:val="bi"/>
          </m:rPr>
          <w:rPr>
            <w:rFonts w:ascii="Cambria Math" w:hAnsi="Cambria Math"/>
            <w:sz w:val="24"/>
            <w:szCs w:val="24"/>
          </w:rPr>
          <m:t>p</m:t>
        </m:r>
        <m:r>
          <w:rPr>
            <w:rFonts w:ascii="Cambria Math" w:hAnsi="Cambria Math"/>
            <w:sz w:val="24"/>
            <w:szCs w:val="24"/>
          </w:rPr>
          <m:t>)</m:t>
        </m:r>
      </m:oMath>
      <w:r w:rsidRPr="008757A5">
        <w:rPr>
          <w:sz w:val="24"/>
          <w:szCs w:val="24"/>
        </w:rPr>
        <w:t xml:space="preserve"> may be any deterministic offset that can be mathematically calculated without error as a function of the space/time </w:t>
      </w:r>
      <w:proofErr w:type="gramStart"/>
      <w:r w:rsidRPr="008757A5">
        <w:rPr>
          <w:sz w:val="24"/>
          <w:szCs w:val="24"/>
        </w:rPr>
        <w:t xml:space="preserve">coordinate </w:t>
      </w:r>
      <w:proofErr w:type="gramEnd"/>
      <m:oMath>
        <m:r>
          <m:rPr>
            <m:sty m:val="bi"/>
          </m:rPr>
          <w:rPr>
            <w:rFonts w:ascii="Cambria Math" w:hAnsi="Cambria Math"/>
            <w:sz w:val="24"/>
            <w:szCs w:val="24"/>
          </w:rPr>
          <m:t>p</m:t>
        </m:r>
      </m:oMath>
      <w:r w:rsidRPr="008757A5">
        <w:rPr>
          <w:sz w:val="24"/>
          <w:szCs w:val="24"/>
        </w:rPr>
        <w:t xml:space="preserve">.  We then define </w:t>
      </w:r>
      <m:oMath>
        <m:r>
          <w:rPr>
            <w:rFonts w:ascii="Cambria Math" w:hAnsi="Cambria Math"/>
            <w:sz w:val="24"/>
            <w:szCs w:val="24"/>
          </w:rPr>
          <m:t>X</m:t>
        </m:r>
        <m:d>
          <m:dPr>
            <m:ctrlPr>
              <w:rPr>
                <w:rFonts w:ascii="Cambria Math" w:hAnsi="Cambria Math"/>
                <w:i/>
                <w:sz w:val="24"/>
                <w:szCs w:val="24"/>
              </w:rPr>
            </m:ctrlPr>
          </m:dPr>
          <m:e>
            <m:r>
              <m:rPr>
                <m:sty m:val="bi"/>
              </m:rPr>
              <w:rPr>
                <w:rFonts w:ascii="Cambria Math" w:hAnsi="Cambria Math"/>
                <w:sz w:val="24"/>
                <w:szCs w:val="24"/>
              </w:rPr>
              <m:t>p</m:t>
            </m:r>
          </m:e>
        </m:d>
      </m:oMath>
      <w:r w:rsidRPr="008757A5">
        <w:rPr>
          <w:sz w:val="24"/>
          <w:szCs w:val="24"/>
        </w:rPr>
        <w:t xml:space="preserve"> as a homogeneous/stationary S/TRF representing the </w:t>
      </w:r>
      <w:r w:rsidRPr="008757A5">
        <w:rPr>
          <w:sz w:val="24"/>
          <w:szCs w:val="24"/>
        </w:rPr>
        <w:lastRenderedPageBreak/>
        <w:t xml:space="preserve">variability and uncertainty associated with the transformed </w:t>
      </w:r>
      <w:proofErr w:type="gramStart"/>
      <w:r w:rsidRPr="008757A5">
        <w:rPr>
          <w:sz w:val="24"/>
          <w:szCs w:val="24"/>
        </w:rPr>
        <w:t xml:space="preserve">data </w:t>
      </w:r>
      <w:proofErr w:type="gramEnd"/>
      <m:oMath>
        <m:sSub>
          <m:sSubPr>
            <m:ctrlPr>
              <w:rPr>
                <w:rFonts w:ascii="Cambria Math" w:hAnsi="Cambria Math"/>
                <w:b/>
                <w:i/>
                <w:sz w:val="24"/>
                <w:szCs w:val="24"/>
              </w:rPr>
            </m:ctrlPr>
          </m:sSubPr>
          <m:e>
            <m:r>
              <m:rPr>
                <m:sty m:val="bi"/>
              </m:rPr>
              <w:rPr>
                <w:rFonts w:ascii="Cambria Math" w:hAnsi="Cambria Math"/>
                <w:sz w:val="24"/>
                <w:szCs w:val="24"/>
              </w:rPr>
              <m:t>x</m:t>
            </m:r>
          </m:e>
          <m:sub>
            <m:r>
              <w:rPr>
                <w:rFonts w:ascii="Cambria Math" w:hAnsi="Cambria Math"/>
                <w:sz w:val="24"/>
                <w:szCs w:val="24"/>
              </w:rPr>
              <m:t>h</m:t>
            </m:r>
          </m:sub>
        </m:sSub>
      </m:oMath>
      <w:r w:rsidRPr="008757A5">
        <w:rPr>
          <w:sz w:val="24"/>
          <w:szCs w:val="24"/>
        </w:rPr>
        <w:t xml:space="preserve">, and we let </w:t>
      </w:r>
      <m:oMath>
        <m:r>
          <w:rPr>
            <w:rFonts w:ascii="Cambria Math" w:hAnsi="Cambria Math"/>
            <w:sz w:val="24"/>
            <w:szCs w:val="24"/>
          </w:rPr>
          <m:t xml:space="preserve"> Z</m:t>
        </m:r>
        <m:d>
          <m:dPr>
            <m:ctrlPr>
              <w:rPr>
                <w:rFonts w:ascii="Cambria Math" w:hAnsi="Cambria Math"/>
                <w:i/>
                <w:sz w:val="24"/>
                <w:szCs w:val="24"/>
              </w:rPr>
            </m:ctrlPr>
          </m:dPr>
          <m:e>
            <m:r>
              <m:rPr>
                <m:sty m:val="bi"/>
              </m:rPr>
              <w:rPr>
                <w:rFonts w:ascii="Cambria Math" w:hAnsi="Cambria Math"/>
                <w:sz w:val="24"/>
                <w:szCs w:val="24"/>
              </w:rPr>
              <m:t>p</m:t>
            </m:r>
          </m:e>
        </m:d>
        <m:r>
          <w:rPr>
            <w:rFonts w:ascii="Cambria Math" w:hAnsi="Cambria Math"/>
            <w:sz w:val="24"/>
            <w:szCs w:val="24"/>
          </w:rPr>
          <m:t>=X</m:t>
        </m:r>
        <m:d>
          <m:dPr>
            <m:ctrlPr>
              <w:rPr>
                <w:rFonts w:ascii="Cambria Math" w:hAnsi="Cambria Math"/>
                <w:i/>
                <w:sz w:val="24"/>
                <w:szCs w:val="24"/>
              </w:rPr>
            </m:ctrlPr>
          </m:dPr>
          <m:e>
            <m:r>
              <m:rPr>
                <m:sty m:val="bi"/>
              </m:rPr>
              <w:rPr>
                <w:rFonts w:ascii="Cambria Math" w:hAnsi="Cambria Math"/>
                <w:sz w:val="24"/>
                <w:szCs w:val="24"/>
              </w:rPr>
              <m:t>p</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Z</m:t>
            </m:r>
          </m:sub>
        </m:sSub>
        <m:d>
          <m:dPr>
            <m:ctrlPr>
              <w:rPr>
                <w:rFonts w:ascii="Cambria Math" w:hAnsi="Cambria Math"/>
                <w:i/>
                <w:sz w:val="24"/>
                <w:szCs w:val="24"/>
              </w:rPr>
            </m:ctrlPr>
          </m:dPr>
          <m:e>
            <m:r>
              <m:rPr>
                <m:sty m:val="bi"/>
              </m:rPr>
              <w:rPr>
                <w:rFonts w:ascii="Cambria Math" w:hAnsi="Cambria Math"/>
                <w:sz w:val="24"/>
                <w:szCs w:val="24"/>
              </w:rPr>
              <m:t>p</m:t>
            </m:r>
          </m:e>
        </m:d>
      </m:oMath>
      <w:r w:rsidRPr="008757A5">
        <w:rPr>
          <w:sz w:val="24"/>
          <w:szCs w:val="24"/>
        </w:rPr>
        <w:t xml:space="preserve"> be the S/TRF representing PM</w:t>
      </w:r>
      <w:r w:rsidRPr="008757A5">
        <w:rPr>
          <w:sz w:val="24"/>
          <w:szCs w:val="24"/>
          <w:vertAlign w:val="subscript"/>
        </w:rPr>
        <w:t>2.5</w:t>
      </w:r>
      <w:r w:rsidRPr="008757A5">
        <w:rPr>
          <w:sz w:val="24"/>
          <w:szCs w:val="24"/>
        </w:rPr>
        <w:t xml:space="preserve">. We </w:t>
      </w:r>
      <w:proofErr w:type="gramStart"/>
      <w:r w:rsidRPr="008757A5">
        <w:rPr>
          <w:sz w:val="24"/>
          <w:szCs w:val="24"/>
        </w:rPr>
        <w:t xml:space="preserve">calculated </w:t>
      </w:r>
      <w:proofErr w:type="gramEnd"/>
      <m:oMath>
        <m:sSub>
          <m:sSubPr>
            <m:ctrlPr>
              <w:rPr>
                <w:rFonts w:ascii="Cambria Math" w:hAnsi="Cambria Math"/>
                <w:i/>
                <w:sz w:val="24"/>
                <w:szCs w:val="24"/>
              </w:rPr>
            </m:ctrlPr>
          </m:sSubPr>
          <m:e>
            <m:acc>
              <m:accPr>
                <m:ctrlPr>
                  <w:rPr>
                    <w:rFonts w:ascii="Cambria Math" w:hAnsi="Cambria Math"/>
                    <w:i/>
                    <w:sz w:val="24"/>
                    <w:szCs w:val="24"/>
                  </w:rPr>
                </m:ctrlPr>
              </m:accPr>
              <m:e>
                <m:r>
                  <w:rPr>
                    <w:rFonts w:ascii="Cambria Math" w:hAnsi="Cambria Math"/>
                    <w:sz w:val="24"/>
                    <w:szCs w:val="24"/>
                  </w:rPr>
                  <m:t>z</m:t>
                </m:r>
              </m:e>
            </m:acc>
          </m:e>
          <m:sub>
            <m:r>
              <w:rPr>
                <w:rFonts w:ascii="Cambria Math" w:hAnsi="Cambria Math"/>
                <w:sz w:val="24"/>
                <w:szCs w:val="24"/>
              </w:rPr>
              <m:t>k</m:t>
            </m:r>
          </m:sub>
        </m:sSub>
      </m:oMath>
      <w:r w:rsidRPr="008757A5">
        <w:rPr>
          <w:sz w:val="24"/>
          <w:szCs w:val="24"/>
        </w:rPr>
        <w:t>, the estimated daily PM</w:t>
      </w:r>
      <w:r w:rsidRPr="008757A5">
        <w:rPr>
          <w:sz w:val="24"/>
          <w:szCs w:val="24"/>
          <w:vertAlign w:val="subscript"/>
        </w:rPr>
        <w:t>2.5</w:t>
      </w:r>
      <w:r w:rsidRPr="008757A5">
        <w:rPr>
          <w:sz w:val="24"/>
          <w:szCs w:val="24"/>
        </w:rPr>
        <w:t xml:space="preserve"> at unmonitored location </w:t>
      </w:r>
      <m:oMath>
        <m:sSub>
          <m:sSubPr>
            <m:ctrlPr>
              <w:rPr>
                <w:rFonts w:ascii="Cambria Math" w:hAnsi="Cambria Math"/>
                <w:b/>
                <w:i/>
                <w:sz w:val="24"/>
                <w:szCs w:val="24"/>
              </w:rPr>
            </m:ctrlPr>
          </m:sSubPr>
          <m:e>
            <m:r>
              <m:rPr>
                <m:sty m:val="bi"/>
              </m:rPr>
              <w:rPr>
                <w:rFonts w:ascii="Cambria Math" w:hAnsi="Cambria Math"/>
                <w:sz w:val="24"/>
                <w:szCs w:val="24"/>
              </w:rPr>
              <m:t>p</m:t>
            </m:r>
          </m:e>
          <m:sub>
            <m:r>
              <w:rPr>
                <w:rFonts w:ascii="Cambria Math" w:hAnsi="Cambria Math"/>
                <w:sz w:val="24"/>
                <w:szCs w:val="24"/>
              </w:rPr>
              <m:t>k</m:t>
            </m:r>
          </m:sub>
        </m:sSub>
        <m:r>
          <m:rPr>
            <m:sty m:val="bi"/>
          </m:rPr>
          <w:rPr>
            <w:rFonts w:ascii="Cambria Math" w:hAnsi="Cambria Math"/>
            <w:sz w:val="24"/>
            <w:szCs w:val="24"/>
          </w:rPr>
          <m:t xml:space="preserve"> </m:t>
        </m:r>
      </m:oMath>
      <w:r w:rsidRPr="008757A5">
        <w:rPr>
          <w:sz w:val="24"/>
          <w:szCs w:val="24"/>
        </w:rPr>
        <w:t xml:space="preserve"> by obtaining the BME estimate </w:t>
      </w:r>
      <m:oMath>
        <m:sSub>
          <m:sSubPr>
            <m:ctrlPr>
              <w:rPr>
                <w:rFonts w:ascii="Cambria Math" w:hAnsi="Cambria Math"/>
                <w:i/>
                <w:sz w:val="24"/>
                <w:szCs w:val="24"/>
              </w:rPr>
            </m:ctrlPr>
          </m:sSubPr>
          <m:e>
            <m:acc>
              <m:accPr>
                <m:ctrlPr>
                  <w:rPr>
                    <w:rFonts w:ascii="Cambria Math" w:hAnsi="Cambria Math"/>
                    <w:i/>
                    <w:sz w:val="24"/>
                    <w:szCs w:val="24"/>
                  </w:rPr>
                </m:ctrlPr>
              </m:accPr>
              <m:e>
                <m:r>
                  <w:rPr>
                    <w:rFonts w:ascii="Cambria Math" w:hAnsi="Cambria Math"/>
                    <w:sz w:val="24"/>
                    <w:szCs w:val="24"/>
                  </w:rPr>
                  <m:t>x</m:t>
                </m:r>
              </m:e>
            </m:acc>
          </m:e>
          <m:sub>
            <m:r>
              <w:rPr>
                <w:rFonts w:ascii="Cambria Math" w:hAnsi="Cambria Math"/>
                <w:sz w:val="24"/>
                <w:szCs w:val="24"/>
              </w:rPr>
              <m:t>k</m:t>
            </m:r>
          </m:sub>
        </m:sSub>
      </m:oMath>
      <w:r w:rsidRPr="008757A5">
        <w:rPr>
          <w:i/>
          <w:sz w:val="24"/>
          <w:szCs w:val="24"/>
        </w:rPr>
        <w:t xml:space="preserve"> </w:t>
      </w:r>
      <w:r w:rsidRPr="008757A5">
        <w:rPr>
          <w:sz w:val="24"/>
          <w:szCs w:val="24"/>
        </w:rPr>
        <w:t xml:space="preserve">for the transformed S/TRF </w:t>
      </w:r>
      <m:oMath>
        <m:r>
          <w:rPr>
            <w:rFonts w:ascii="Cambria Math" w:hAnsi="Cambria Math"/>
            <w:sz w:val="24"/>
            <w:szCs w:val="24"/>
          </w:rPr>
          <m:t>X</m:t>
        </m:r>
        <m:d>
          <m:dPr>
            <m:ctrlPr>
              <w:rPr>
                <w:rFonts w:ascii="Cambria Math" w:hAnsi="Cambria Math"/>
                <w:i/>
                <w:sz w:val="24"/>
                <w:szCs w:val="24"/>
              </w:rPr>
            </m:ctrlPr>
          </m:dPr>
          <m:e>
            <m:r>
              <m:rPr>
                <m:sty m:val="bi"/>
              </m:rPr>
              <w:rPr>
                <w:rFonts w:ascii="Cambria Math" w:hAnsi="Cambria Math"/>
                <w:sz w:val="24"/>
                <w:szCs w:val="24"/>
              </w:rPr>
              <m:t>p</m:t>
            </m:r>
          </m:e>
        </m:d>
      </m:oMath>
      <w:r w:rsidRPr="008757A5">
        <w:rPr>
          <w:sz w:val="24"/>
          <w:szCs w:val="24"/>
        </w:rPr>
        <w:t xml:space="preserve"> at the estimation point </w:t>
      </w:r>
      <m:oMath>
        <m:sSub>
          <m:sSubPr>
            <m:ctrlPr>
              <w:rPr>
                <w:rFonts w:ascii="Cambria Math" w:hAnsi="Cambria Math"/>
                <w:b/>
                <w:i/>
                <w:sz w:val="24"/>
                <w:szCs w:val="24"/>
              </w:rPr>
            </m:ctrlPr>
          </m:sSubPr>
          <m:e>
            <m:r>
              <m:rPr>
                <m:sty m:val="bi"/>
              </m:rPr>
              <w:rPr>
                <w:rFonts w:ascii="Cambria Math" w:hAnsi="Cambria Math"/>
                <w:sz w:val="24"/>
                <w:szCs w:val="24"/>
              </w:rPr>
              <m:t>p</m:t>
            </m:r>
          </m:e>
          <m:sub>
            <m:r>
              <w:rPr>
                <w:rFonts w:ascii="Cambria Math" w:hAnsi="Cambria Math"/>
                <w:sz w:val="24"/>
                <w:szCs w:val="24"/>
              </w:rPr>
              <m:t>k</m:t>
            </m:r>
          </m:sub>
        </m:sSub>
      </m:oMath>
      <w:r w:rsidRPr="008757A5">
        <w:rPr>
          <w:sz w:val="24"/>
          <w:szCs w:val="24"/>
        </w:rPr>
        <w:t xml:space="preserve">, and adding back </w:t>
      </w:r>
      <m:oMath>
        <m:sSub>
          <m:sSubPr>
            <m:ctrlPr>
              <w:rPr>
                <w:rFonts w:ascii="Cambria Math" w:hAnsi="Cambria Math"/>
                <w:i/>
                <w:sz w:val="24"/>
                <w:szCs w:val="24"/>
                <w:vertAlign w:val="subscript"/>
              </w:rPr>
            </m:ctrlPr>
          </m:sSubPr>
          <m:e>
            <m:r>
              <w:rPr>
                <w:rFonts w:ascii="Cambria Math" w:hAnsi="Cambria Math"/>
                <w:sz w:val="24"/>
                <w:szCs w:val="24"/>
                <w:vertAlign w:val="subscript"/>
              </w:rPr>
              <m:t>o</m:t>
            </m:r>
          </m:e>
          <m:sub>
            <m:r>
              <w:rPr>
                <w:rFonts w:ascii="Cambria Math" w:hAnsi="Cambria Math"/>
                <w:sz w:val="24"/>
                <w:szCs w:val="24"/>
                <w:vertAlign w:val="subscript"/>
              </w:rPr>
              <m:t>z</m:t>
            </m:r>
          </m:sub>
        </m:sSub>
        <m:r>
          <w:rPr>
            <w:rFonts w:ascii="Cambria Math" w:hAnsi="Cambria Math"/>
            <w:sz w:val="24"/>
            <w:szCs w:val="24"/>
          </w:rPr>
          <m:t>(</m:t>
        </m:r>
        <m:sSub>
          <m:sSubPr>
            <m:ctrlPr>
              <w:rPr>
                <w:rFonts w:ascii="Cambria Math" w:hAnsi="Cambria Math"/>
                <w:b/>
                <w:i/>
                <w:sz w:val="24"/>
                <w:szCs w:val="24"/>
              </w:rPr>
            </m:ctrlPr>
          </m:sSubPr>
          <m:e>
            <m:r>
              <m:rPr>
                <m:sty m:val="bi"/>
              </m:rPr>
              <w:rPr>
                <w:rFonts w:ascii="Cambria Math" w:hAnsi="Cambria Math"/>
                <w:sz w:val="24"/>
                <w:szCs w:val="24"/>
              </w:rPr>
              <m:t>p</m:t>
            </m:r>
          </m:e>
          <m:sub>
            <m:r>
              <w:rPr>
                <w:rFonts w:ascii="Cambria Math" w:hAnsi="Cambria Math"/>
                <w:sz w:val="24"/>
                <w:szCs w:val="24"/>
              </w:rPr>
              <m:t>k</m:t>
            </m:r>
          </m:sub>
        </m:sSub>
        <m:r>
          <w:rPr>
            <w:rFonts w:ascii="Cambria Math" w:hAnsi="Cambria Math"/>
            <w:sz w:val="24"/>
            <w:szCs w:val="24"/>
          </w:rPr>
          <m:t>)</m:t>
        </m:r>
      </m:oMath>
      <w:r w:rsidRPr="008757A5">
        <w:rPr>
          <w:sz w:val="24"/>
          <w:szCs w:val="24"/>
        </w:rPr>
        <w:t xml:space="preserve">, the offset calculated at </w:t>
      </w:r>
      <m:oMath>
        <m:sSub>
          <m:sSubPr>
            <m:ctrlPr>
              <w:rPr>
                <w:rFonts w:ascii="Cambria Math" w:hAnsi="Cambria Math"/>
                <w:b/>
                <w:i/>
                <w:sz w:val="24"/>
                <w:szCs w:val="24"/>
              </w:rPr>
            </m:ctrlPr>
          </m:sSubPr>
          <m:e>
            <m:r>
              <m:rPr>
                <m:sty m:val="bi"/>
              </m:rPr>
              <w:rPr>
                <w:rFonts w:ascii="Cambria Math" w:hAnsi="Cambria Math"/>
                <w:sz w:val="24"/>
                <w:szCs w:val="24"/>
              </w:rPr>
              <m:t>p</m:t>
            </m:r>
          </m:e>
          <m:sub>
            <m:r>
              <w:rPr>
                <w:rFonts w:ascii="Cambria Math" w:hAnsi="Cambria Math"/>
                <w:sz w:val="24"/>
                <w:szCs w:val="24"/>
              </w:rPr>
              <m:t>k</m:t>
            </m:r>
          </m:sub>
        </m:sSub>
      </m:oMath>
      <w:r w:rsidRPr="008757A5">
        <w:rPr>
          <w:sz w:val="24"/>
          <w:szCs w:val="24"/>
        </w:rPr>
        <w:t xml:space="preserve">. </w:t>
      </w:r>
    </w:p>
    <w:p w:rsidR="00B34C12" w:rsidRPr="00FB13BB" w:rsidRDefault="00B34C12" w:rsidP="00B34C12">
      <w:pPr>
        <w:spacing w:line="480" w:lineRule="auto"/>
        <w:rPr>
          <w:sz w:val="24"/>
          <w:szCs w:val="24"/>
        </w:rPr>
      </w:pPr>
      <w:r w:rsidRPr="008757A5">
        <w:rPr>
          <w:sz w:val="24"/>
          <w:szCs w:val="24"/>
        </w:rPr>
        <w:t>The BME general knowledge base comes in the form of an offset and covariance model. We calculated the offset using a space/time composite kernel smoothing of the data and calculated the covariance using a</w:t>
      </w:r>
      <w:r w:rsidRPr="008757A5">
        <w:rPr>
          <w:iCs/>
          <w:sz w:val="24"/>
          <w:szCs w:val="24"/>
        </w:rPr>
        <w:t xml:space="preserve"> two-structured exponential model in space and time.</w:t>
      </w:r>
      <w:r w:rsidRPr="008757A5">
        <w:rPr>
          <w:sz w:val="24"/>
          <w:szCs w:val="24"/>
        </w:rPr>
        <w:t xml:space="preserve"> The BME site-specific knowledge comes from observed data and CTM-modeled PM</w:t>
      </w:r>
      <w:r w:rsidRPr="008757A5">
        <w:rPr>
          <w:sz w:val="24"/>
          <w:szCs w:val="24"/>
          <w:vertAlign w:val="subscript"/>
        </w:rPr>
        <w:t xml:space="preserve">2.5 </w:t>
      </w:r>
      <w:r w:rsidRPr="008757A5">
        <w:rPr>
          <w:sz w:val="24"/>
          <w:szCs w:val="24"/>
        </w:rPr>
        <w:t xml:space="preserve">data. The CTM data have quantifiable uncertainty with through the probability density function </w:t>
      </w:r>
      <m:oMath>
        <m:r>
          <w:rPr>
            <w:rFonts w:ascii="Cambria Math" w:hAnsi="Cambria Math"/>
            <w:sz w:val="24"/>
            <w:szCs w:val="24"/>
          </w:rPr>
          <m:t>f(</m:t>
        </m:r>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z</m:t>
                </m:r>
              </m:e>
            </m:acc>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m:rPr>
                <m:sty m:val="bi"/>
              </m:rPr>
              <w:rPr>
                <w:rFonts w:ascii="Cambria Math" w:hAnsi="Cambria Math"/>
                <w:sz w:val="24"/>
                <w:szCs w:val="24"/>
              </w:rPr>
              <m:t>p</m:t>
            </m:r>
          </m:e>
          <m:sub>
            <m:r>
              <w:rPr>
                <w:rFonts w:ascii="Cambria Math" w:hAnsi="Cambria Math"/>
                <w:sz w:val="24"/>
                <w:szCs w:val="24"/>
              </w:rPr>
              <m:t>i</m:t>
            </m:r>
          </m:sub>
        </m:sSub>
        <m:r>
          <w:rPr>
            <w:rFonts w:ascii="Cambria Math" w:hAnsi="Cambria Math"/>
            <w:sz w:val="24"/>
            <w:szCs w:val="24"/>
          </w:rPr>
          <m:t>)</m:t>
        </m:r>
      </m:oMath>
      <w:r w:rsidRPr="008757A5">
        <w:rPr>
          <w:rFonts w:eastAsiaTheme="minorEastAsia"/>
          <w:sz w:val="24"/>
          <w:szCs w:val="24"/>
        </w:rPr>
        <w:t xml:space="preserve"> where </w:t>
      </w:r>
      <m:oMath>
        <m:r>
          <w:rPr>
            <w:rFonts w:ascii="Cambria Math" w:hAnsi="Cambria Math"/>
            <w:sz w:val="24"/>
            <w:szCs w:val="24"/>
          </w:rPr>
          <m:t>f(</m:t>
        </m:r>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z</m:t>
                </m:r>
              </m:e>
            </m:acc>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m:rPr>
                <m:sty m:val="bi"/>
              </m:rPr>
              <w:rPr>
                <w:rFonts w:ascii="Cambria Math" w:hAnsi="Cambria Math"/>
                <w:sz w:val="24"/>
                <w:szCs w:val="24"/>
              </w:rPr>
              <m:t>p</m:t>
            </m:r>
          </m:e>
          <m:sub>
            <m:r>
              <w:rPr>
                <w:rFonts w:ascii="Cambria Math" w:hAnsi="Cambria Math"/>
                <w:sz w:val="24"/>
                <w:szCs w:val="24"/>
              </w:rPr>
              <m:t>i</m:t>
            </m:r>
          </m:sub>
        </m:sSub>
        <m:r>
          <w:rPr>
            <w:rFonts w:ascii="Cambria Math" w:hAnsi="Cambria Math"/>
            <w:sz w:val="24"/>
            <w:szCs w:val="24"/>
          </w:rPr>
          <m:t>)</m:t>
        </m:r>
      </m:oMath>
      <w:r w:rsidRPr="008757A5">
        <w:rPr>
          <w:rFonts w:eastAsiaTheme="minorEastAsia"/>
          <w:sz w:val="24"/>
          <w:szCs w:val="24"/>
        </w:rPr>
        <w:t xml:space="preserve"> is</w:t>
      </w:r>
      <w:r w:rsidRPr="008757A5">
        <w:rPr>
          <w:sz w:val="24"/>
          <w:szCs w:val="24"/>
        </w:rPr>
        <w:t xml:space="preserve"> Gaussian distributed with mean </w:t>
      </w:r>
      <m:oMath>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1</m:t>
            </m:r>
          </m:sub>
        </m:sSub>
        <m:d>
          <m:dPr>
            <m:ctrlPr>
              <w:rPr>
                <w:rFonts w:ascii="Cambria Math" w:hAnsi="Cambria Math"/>
                <w:i/>
                <w:sz w:val="24"/>
                <w:szCs w:val="24"/>
              </w:rPr>
            </m:ctrlPr>
          </m:dPr>
          <m:e>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z</m:t>
                    </m:r>
                  </m:e>
                </m:acc>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m:rPr>
                    <m:sty m:val="bi"/>
                  </m:rPr>
                  <w:rPr>
                    <w:rFonts w:ascii="Cambria Math" w:hAnsi="Cambria Math"/>
                    <w:sz w:val="24"/>
                    <w:szCs w:val="24"/>
                  </w:rPr>
                  <m:t>p</m:t>
                </m:r>
              </m:e>
              <m:sub>
                <m:r>
                  <w:rPr>
                    <w:rFonts w:ascii="Cambria Math" w:hAnsi="Cambria Math"/>
                    <w:sz w:val="24"/>
                    <w:szCs w:val="24"/>
                  </w:rPr>
                  <m:t>i</m:t>
                </m:r>
              </m:sub>
            </m:sSub>
          </m:e>
        </m:d>
      </m:oMath>
      <w:r w:rsidRPr="008757A5">
        <w:rPr>
          <w:sz w:val="24"/>
          <w:szCs w:val="24"/>
        </w:rPr>
        <w:t xml:space="preserve"> and </w:t>
      </w:r>
      <w:proofErr w:type="gramStart"/>
      <w:r w:rsidRPr="008757A5">
        <w:rPr>
          <w:sz w:val="24"/>
          <w:szCs w:val="24"/>
        </w:rPr>
        <w:t xml:space="preserve">variance </w:t>
      </w:r>
      <w:proofErr w:type="gramEnd"/>
      <m:oMath>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2</m:t>
            </m:r>
          </m:sub>
        </m:sSub>
        <m:d>
          <m:dPr>
            <m:ctrlPr>
              <w:rPr>
                <w:rFonts w:ascii="Cambria Math" w:hAnsi="Cambria Math"/>
                <w:i/>
                <w:sz w:val="24"/>
                <w:szCs w:val="24"/>
              </w:rPr>
            </m:ctrlPr>
          </m:dPr>
          <m:e>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z</m:t>
                    </m:r>
                  </m:e>
                </m:acc>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m:rPr>
                    <m:sty m:val="bi"/>
                  </m:rPr>
                  <w:rPr>
                    <w:rFonts w:ascii="Cambria Math" w:hAnsi="Cambria Math"/>
                    <w:sz w:val="24"/>
                    <w:szCs w:val="24"/>
                  </w:rPr>
                  <m:t>p</m:t>
                </m:r>
              </m:e>
              <m:sub>
                <m:r>
                  <w:rPr>
                    <w:rFonts w:ascii="Cambria Math" w:hAnsi="Cambria Math"/>
                    <w:sz w:val="24"/>
                    <w:szCs w:val="24"/>
                  </w:rPr>
                  <m:t>i</m:t>
                </m:r>
              </m:sub>
            </m:sSub>
          </m:e>
        </m:d>
      </m:oMath>
      <w:r w:rsidRPr="008757A5">
        <w:rPr>
          <w:rFonts w:eastAsiaTheme="minorEastAsia"/>
          <w:sz w:val="24"/>
          <w:szCs w:val="24"/>
        </w:rPr>
        <w:t xml:space="preserve">, with </w:t>
      </w:r>
      <m:oMath>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z</m:t>
                </m:r>
              </m:e>
            </m:acc>
          </m:e>
          <m:sub>
            <m:r>
              <w:rPr>
                <w:rFonts w:ascii="Cambria Math" w:hAnsi="Cambria Math"/>
                <w:sz w:val="24"/>
                <w:szCs w:val="24"/>
              </w:rPr>
              <m:t>i</m:t>
            </m:r>
          </m:sub>
        </m:sSub>
      </m:oMath>
      <w:r w:rsidRPr="008757A5">
        <w:rPr>
          <w:rFonts w:eastAsiaTheme="minorEastAsia"/>
          <w:sz w:val="24"/>
          <w:szCs w:val="24"/>
        </w:rPr>
        <w:t xml:space="preserve"> being the CTM data at </w:t>
      </w:r>
      <m:oMath>
        <m:sSub>
          <m:sSubPr>
            <m:ctrlPr>
              <w:rPr>
                <w:rFonts w:ascii="Cambria Math" w:hAnsi="Cambria Math"/>
                <w:i/>
                <w:sz w:val="24"/>
                <w:szCs w:val="24"/>
              </w:rPr>
            </m:ctrlPr>
          </m:sSubPr>
          <m:e>
            <m:r>
              <m:rPr>
                <m:sty m:val="bi"/>
              </m:rPr>
              <w:rPr>
                <w:rFonts w:ascii="Cambria Math" w:hAnsi="Cambria Math"/>
                <w:sz w:val="24"/>
                <w:szCs w:val="24"/>
              </w:rPr>
              <m:t>p</m:t>
            </m:r>
          </m:e>
          <m:sub>
            <m:r>
              <w:rPr>
                <w:rFonts w:ascii="Cambria Math" w:hAnsi="Cambria Math"/>
                <w:sz w:val="24"/>
                <w:szCs w:val="24"/>
              </w:rPr>
              <m:t>i</m:t>
            </m:r>
          </m:sub>
        </m:sSub>
      </m:oMath>
      <w:r w:rsidRPr="008757A5">
        <w:rPr>
          <w:sz w:val="24"/>
          <w:szCs w:val="24"/>
        </w:rPr>
        <w:t xml:space="preserve">. The parameters </w:t>
      </w:r>
      <m:oMath>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1</m:t>
            </m:r>
          </m:sub>
        </m:sSub>
        <m:d>
          <m:dPr>
            <m:ctrlPr>
              <w:rPr>
                <w:rFonts w:ascii="Cambria Math" w:hAnsi="Cambria Math"/>
                <w:i/>
                <w:sz w:val="24"/>
                <w:szCs w:val="24"/>
              </w:rPr>
            </m:ctrlPr>
          </m:dPr>
          <m:e>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z</m:t>
                    </m:r>
                  </m:e>
                </m:acc>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m:rPr>
                    <m:sty m:val="bi"/>
                  </m:rPr>
                  <w:rPr>
                    <w:rFonts w:ascii="Cambria Math" w:hAnsi="Cambria Math"/>
                    <w:sz w:val="24"/>
                    <w:szCs w:val="24"/>
                  </w:rPr>
                  <m:t>p</m:t>
                </m:r>
              </m:e>
              <m:sub>
                <m:r>
                  <w:rPr>
                    <w:rFonts w:ascii="Cambria Math" w:hAnsi="Cambria Math"/>
                    <w:sz w:val="24"/>
                    <w:szCs w:val="24"/>
                  </w:rPr>
                  <m:t>i</m:t>
                </m:r>
              </m:sub>
            </m:sSub>
          </m:e>
        </m:d>
      </m:oMath>
      <w:r w:rsidRPr="008757A5">
        <w:rPr>
          <w:sz w:val="24"/>
          <w:szCs w:val="24"/>
        </w:rPr>
        <w:t xml:space="preserve"> and </w:t>
      </w:r>
      <m:oMath>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2</m:t>
            </m:r>
          </m:sub>
        </m:sSub>
        <m:d>
          <m:dPr>
            <m:ctrlPr>
              <w:rPr>
                <w:rFonts w:ascii="Cambria Math" w:hAnsi="Cambria Math"/>
                <w:i/>
                <w:sz w:val="24"/>
                <w:szCs w:val="24"/>
              </w:rPr>
            </m:ctrlPr>
          </m:dPr>
          <m:e>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z</m:t>
                    </m:r>
                  </m:e>
                </m:acc>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m:rPr>
                    <m:sty m:val="bi"/>
                  </m:rPr>
                  <w:rPr>
                    <w:rFonts w:ascii="Cambria Math" w:hAnsi="Cambria Math"/>
                    <w:sz w:val="24"/>
                    <w:szCs w:val="24"/>
                  </w:rPr>
                  <m:t>p</m:t>
                </m:r>
              </m:e>
              <m:sub>
                <m:r>
                  <w:rPr>
                    <w:rFonts w:ascii="Cambria Math" w:hAnsi="Cambria Math"/>
                    <w:sz w:val="24"/>
                    <w:szCs w:val="24"/>
                  </w:rPr>
                  <m:t>i</m:t>
                </m:r>
              </m:sub>
            </m:sSub>
          </m:e>
        </m:d>
      </m:oMath>
      <w:r w:rsidRPr="008757A5">
        <w:rPr>
          <w:sz w:val="24"/>
          <w:szCs w:val="24"/>
        </w:rPr>
        <w:t xml:space="preserve"> are dependent on the modeled value within a given grid and are estimated by extending a space/time component from previous work. The resulting CTM data are then error-corrected. In previous work error-correction was only a function of </w:t>
      </w:r>
      <m:oMath>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z</m:t>
                </m:r>
              </m:e>
            </m:acc>
          </m:e>
          <m:sub>
            <m:r>
              <w:rPr>
                <w:rFonts w:ascii="Cambria Math" w:hAnsi="Cambria Math"/>
                <w:sz w:val="24"/>
                <w:szCs w:val="24"/>
              </w:rPr>
              <m:t>i</m:t>
            </m:r>
          </m:sub>
        </m:sSub>
      </m:oMath>
      <w:r w:rsidRPr="008757A5">
        <w:rPr>
          <w:rFonts w:eastAsiaTheme="minorEastAsia"/>
          <w:sz w:val="24"/>
          <w:szCs w:val="24"/>
        </w:rPr>
        <w:t xml:space="preserve"> and was fixed across its domain both spatially and temporally. This work allows error-correction to not only change </w:t>
      </w:r>
      <w:proofErr w:type="gramStart"/>
      <w:r w:rsidRPr="008757A5">
        <w:rPr>
          <w:rFonts w:eastAsiaTheme="minorEastAsia"/>
          <w:sz w:val="24"/>
          <w:szCs w:val="24"/>
        </w:rPr>
        <w:t xml:space="preserve">with </w:t>
      </w:r>
      <w:proofErr w:type="gramEnd"/>
      <m:oMath>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z</m:t>
                </m:r>
              </m:e>
            </m:acc>
          </m:e>
          <m:sub>
            <m:r>
              <w:rPr>
                <w:rFonts w:ascii="Cambria Math" w:hAnsi="Cambria Math"/>
                <w:sz w:val="24"/>
                <w:szCs w:val="24"/>
              </w:rPr>
              <m:t>i</m:t>
            </m:r>
          </m:sub>
        </m:sSub>
      </m:oMath>
      <w:r w:rsidRPr="008757A5">
        <w:rPr>
          <w:rFonts w:eastAsiaTheme="minorEastAsia"/>
          <w:sz w:val="24"/>
          <w:szCs w:val="24"/>
        </w:rPr>
        <w:t xml:space="preserve">, but also as a function on space </w:t>
      </w:r>
      <w:r w:rsidRPr="00FB13BB">
        <w:rPr>
          <w:rFonts w:eastAsiaTheme="minorEastAsia"/>
          <w:sz w:val="24"/>
          <w:szCs w:val="24"/>
        </w:rPr>
        <w:t>and time.</w:t>
      </w:r>
      <w:r w:rsidRPr="00FB13BB">
        <w:rPr>
          <w:sz w:val="24"/>
          <w:szCs w:val="24"/>
        </w:rPr>
        <w:t xml:space="preserve">   </w:t>
      </w:r>
    </w:p>
    <w:p w:rsidR="00B34C12" w:rsidRPr="00FB13BB" w:rsidRDefault="00B34C12" w:rsidP="00B34C12">
      <w:pPr>
        <w:spacing w:line="480" w:lineRule="auto"/>
        <w:rPr>
          <w:sz w:val="24"/>
          <w:szCs w:val="24"/>
        </w:rPr>
      </w:pPr>
      <w:r w:rsidRPr="00FB13BB">
        <w:rPr>
          <w:sz w:val="24"/>
          <w:szCs w:val="24"/>
        </w:rPr>
        <w:t>To assess the estimation accuracy of our BME model, a 10-fold estimation analysis was performed, with the AQS monitoring stations evenly divided in 10 distinct sets. For each fold, the BME estimation was implemented to obtain the daily estimates using only the data from the remaining 90% of the monitoring stations. Our empirical data showed that BME estimates of daily PM</w:t>
      </w:r>
      <w:r w:rsidRPr="00FB13BB">
        <w:rPr>
          <w:sz w:val="24"/>
          <w:szCs w:val="24"/>
          <w:vertAlign w:val="subscript"/>
        </w:rPr>
        <w:t>2.5</w:t>
      </w:r>
      <w:r w:rsidRPr="00FB13BB">
        <w:rPr>
          <w:sz w:val="24"/>
          <w:szCs w:val="24"/>
        </w:rPr>
        <w:t xml:space="preserve"> exposures correlated (with average </w:t>
      </w:r>
      <w:proofErr w:type="gramStart"/>
      <w:r w:rsidRPr="00FB13BB">
        <w:rPr>
          <w:sz w:val="24"/>
          <w:szCs w:val="24"/>
        </w:rPr>
        <w:t xml:space="preserve">Pearson’s </w:t>
      </w:r>
      <w:proofErr w:type="gramEnd"/>
      <m:oMath>
        <m:sSup>
          <m:sSupPr>
            <m:ctrlPr>
              <w:rPr>
                <w:rFonts w:ascii="Cambria Math" w:hAnsi="Cambria Math"/>
                <w:i/>
                <w:sz w:val="24"/>
                <w:szCs w:val="24"/>
              </w:rPr>
            </m:ctrlPr>
          </m:sSupPr>
          <m:e>
            <m:r>
              <w:rPr>
                <w:rFonts w:ascii="Cambria Math" w:hAnsi="Cambria Math"/>
                <w:sz w:val="24"/>
                <w:szCs w:val="24"/>
              </w:rPr>
              <m:t>r</m:t>
            </m:r>
          </m:e>
          <m:sup>
            <m:r>
              <w:rPr>
                <w:rFonts w:ascii="Cambria Math" w:hAnsi="Cambria Math"/>
                <w:sz w:val="24"/>
                <w:szCs w:val="24"/>
              </w:rPr>
              <m:t>2</m:t>
            </m:r>
          </m:sup>
        </m:sSup>
        <m:r>
          <w:rPr>
            <w:rFonts w:ascii="Cambria Math" w:hAnsi="Cambria Math"/>
            <w:sz w:val="24"/>
            <w:szCs w:val="24"/>
          </w:rPr>
          <m:t>=0.70</m:t>
        </m:r>
      </m:oMath>
      <w:r w:rsidRPr="00FB13BB">
        <w:rPr>
          <w:rFonts w:eastAsiaTheme="minorEastAsia"/>
          <w:sz w:val="24"/>
          <w:szCs w:val="24"/>
        </w:rPr>
        <w:t xml:space="preserve">) well </w:t>
      </w:r>
      <w:r w:rsidRPr="00FB13BB">
        <w:rPr>
          <w:sz w:val="24"/>
          <w:szCs w:val="24"/>
        </w:rPr>
        <w:t>with the AQS recorded concentrations.  This statistically-validated BME model was applied to each geocoded residential location to generate a yearly time-series of PM</w:t>
      </w:r>
      <w:r w:rsidRPr="00FB13BB">
        <w:rPr>
          <w:sz w:val="24"/>
          <w:szCs w:val="24"/>
          <w:vertAlign w:val="subscript"/>
        </w:rPr>
        <w:t xml:space="preserve">2.5 </w:t>
      </w:r>
      <w:r w:rsidRPr="00FB13BB">
        <w:rPr>
          <w:sz w:val="24"/>
          <w:szCs w:val="24"/>
        </w:rPr>
        <w:t>exposure, and then combined with the residential histories including relocations to calculate the 3-year moving average PM</w:t>
      </w:r>
      <w:r w:rsidRPr="00FB13BB">
        <w:rPr>
          <w:sz w:val="24"/>
          <w:szCs w:val="24"/>
          <w:vertAlign w:val="subscript"/>
        </w:rPr>
        <w:t>2.5</w:t>
      </w:r>
      <w:r w:rsidRPr="00FB13BB">
        <w:rPr>
          <w:sz w:val="24"/>
          <w:szCs w:val="24"/>
        </w:rPr>
        <w:t xml:space="preserve"> exposures.  The exposure period was classified as “high” if the 3-year average PM</w:t>
      </w:r>
      <w:r w:rsidRPr="00FB13BB">
        <w:rPr>
          <w:sz w:val="24"/>
          <w:szCs w:val="24"/>
          <w:vertAlign w:val="subscript"/>
        </w:rPr>
        <w:t xml:space="preserve">2.5 </w:t>
      </w:r>
      <w:r w:rsidRPr="00FB13BB">
        <w:rPr>
          <w:sz w:val="24"/>
          <w:szCs w:val="24"/>
        </w:rPr>
        <w:t>exceeded (&gt;12 µg/m</w:t>
      </w:r>
      <w:r w:rsidRPr="00FB13BB">
        <w:rPr>
          <w:sz w:val="24"/>
          <w:szCs w:val="24"/>
          <w:vertAlign w:val="superscript"/>
        </w:rPr>
        <w:t>3</w:t>
      </w:r>
      <w:r w:rsidRPr="00FB13BB">
        <w:rPr>
          <w:sz w:val="24"/>
          <w:szCs w:val="24"/>
        </w:rPr>
        <w:t xml:space="preserve">) the current National Ambient Air Quality Standards </w:t>
      </w:r>
      <w:r w:rsidRPr="00FB13BB">
        <w:rPr>
          <w:sz w:val="24"/>
          <w:szCs w:val="24"/>
        </w:rPr>
        <w:fldChar w:fldCharType="begin"/>
      </w:r>
      <w:r>
        <w:rPr>
          <w:sz w:val="24"/>
          <w:szCs w:val="24"/>
        </w:rPr>
        <w:instrText xml:space="preserve"> ADDIN EN.CITE &lt;EndNote&gt;&lt;Cite&gt;&lt;Author&gt;EPA&lt;/Author&gt;&lt;Year&gt;2012&lt;/Year&gt;&lt;RecNum&gt;1230&lt;/RecNum&gt;&lt;DisplayText&gt;&lt;style face="superscript"&gt;11&lt;/style&gt;&lt;/DisplayText&gt;&lt;record&gt;&lt;rec-number&gt;1230&lt;/rec-number&gt;&lt;foreign-keys&gt;&lt;key app="EN" db-id="efvvtw99qrt5auexzrj509v9awx0vsvf95wt" timestamp="1442477824"&gt;1230&lt;/key&gt;&lt;/foreign-keys&gt;&lt;ref-type name="Government Document"&gt;46&lt;/ref-type&gt;&lt;contributors&gt;&lt;authors&gt;&lt;author&gt;EPA&lt;/author&gt;&lt;/authors&gt;&lt;secondary-authors&gt;&lt;author&gt;US. Environmental Protection Agency (EPA)&lt;/author&gt;&lt;/secondary-authors&gt;&lt;/contributors&gt;&lt;titles&gt;&lt;title&gt;National Ambient Air Quality Standards for Particulate Matter; Proposed Rule&lt;/title&gt;&lt;/titles&gt;&lt;pages&gt;38890-39055&lt;/pages&gt;&lt;volume&gt;Vol.77&lt;/volume&gt;&lt;number&gt;No.126&lt;/number&gt;&lt;dates&gt;&lt;year&gt;2012&lt;/year&gt;&lt;pub-dates&gt;&lt;date&gt;June 29&lt;/date&gt;&lt;/pub-dates&gt;&lt;/dates&gt;&lt;publisher&gt;Federal Register&lt;/publisher&gt;&lt;urls&gt;&lt;related-urls&gt;&lt;url&gt;http://www.gpo.gov/fdsys/pkg/FR-2012-06-29/pdf/2012-15017.pdf&lt;/url&gt;&lt;/related-urls&gt;&lt;/urls&gt;&lt;/record&gt;&lt;/Cite&gt;&lt;/EndNote&gt;</w:instrText>
      </w:r>
      <w:r w:rsidRPr="00FB13BB">
        <w:rPr>
          <w:sz w:val="24"/>
          <w:szCs w:val="24"/>
        </w:rPr>
        <w:fldChar w:fldCharType="separate"/>
      </w:r>
      <w:r w:rsidRPr="009B7424">
        <w:rPr>
          <w:noProof/>
          <w:sz w:val="24"/>
          <w:szCs w:val="24"/>
          <w:vertAlign w:val="superscript"/>
        </w:rPr>
        <w:t>11</w:t>
      </w:r>
      <w:r w:rsidRPr="00FB13BB">
        <w:rPr>
          <w:sz w:val="24"/>
          <w:szCs w:val="24"/>
        </w:rPr>
        <w:fldChar w:fldCharType="end"/>
      </w:r>
      <w:r w:rsidRPr="00FB13BB">
        <w:rPr>
          <w:sz w:val="24"/>
          <w:szCs w:val="24"/>
        </w:rPr>
        <w:t xml:space="preserve">.  The AQS has not started monitoring </w:t>
      </w:r>
      <w:proofErr w:type="spellStart"/>
      <w:r w:rsidRPr="00FB13BB">
        <w:rPr>
          <w:sz w:val="24"/>
          <w:szCs w:val="24"/>
        </w:rPr>
        <w:t>nPM</w:t>
      </w:r>
      <w:proofErr w:type="spellEnd"/>
      <w:r w:rsidRPr="00FB13BB">
        <w:rPr>
          <w:sz w:val="24"/>
          <w:szCs w:val="24"/>
        </w:rPr>
        <w:t>. The constructed BME models allowed us to estimate late-life exposure to PM</w:t>
      </w:r>
      <w:r w:rsidRPr="00FB13BB">
        <w:rPr>
          <w:sz w:val="24"/>
          <w:szCs w:val="24"/>
          <w:vertAlign w:val="subscript"/>
        </w:rPr>
        <w:t>2.5</w:t>
      </w:r>
      <w:r w:rsidRPr="00FB13BB">
        <w:rPr>
          <w:sz w:val="24"/>
          <w:szCs w:val="24"/>
        </w:rPr>
        <w:t xml:space="preserve"> </w:t>
      </w:r>
      <w:r w:rsidRPr="00FB13BB">
        <w:rPr>
          <w:sz w:val="24"/>
          <w:szCs w:val="24"/>
        </w:rPr>
        <w:lastRenderedPageBreak/>
        <w:t>in 1999-2010, but there were no appropriate PM</w:t>
      </w:r>
      <w:r w:rsidRPr="00FB13BB">
        <w:rPr>
          <w:sz w:val="24"/>
          <w:szCs w:val="24"/>
          <w:vertAlign w:val="subscript"/>
        </w:rPr>
        <w:t>2.5</w:t>
      </w:r>
      <w:r w:rsidRPr="00FB13BB">
        <w:rPr>
          <w:sz w:val="24"/>
          <w:szCs w:val="24"/>
        </w:rPr>
        <w:t xml:space="preserve"> monitoring data and chemical transport models before 1999 to estimate the exposures likely with higher ambient levels when WHIMS participants were aged less than 65 years.  Also, monitoring data on PM</w:t>
      </w:r>
      <w:r w:rsidRPr="00FB13BB">
        <w:rPr>
          <w:sz w:val="24"/>
          <w:szCs w:val="24"/>
          <w:vertAlign w:val="subscript"/>
        </w:rPr>
        <w:t>2.5</w:t>
      </w:r>
      <w:r w:rsidRPr="00FB13BB">
        <w:rPr>
          <w:sz w:val="24"/>
          <w:szCs w:val="24"/>
        </w:rPr>
        <w:t xml:space="preserve"> constituents or emission sources did not have the adequate quality and sufficient geographic coverage needed to estimate the nationwide residential location-specific ambient levels in 1999-2010.  </w:t>
      </w:r>
    </w:p>
    <w:p w:rsidR="00B34C12" w:rsidRPr="008757A5" w:rsidRDefault="00B34C12" w:rsidP="00B34C12">
      <w:pPr>
        <w:spacing w:line="480" w:lineRule="auto"/>
        <w:rPr>
          <w:b/>
          <w:color w:val="000000"/>
          <w:sz w:val="24"/>
          <w:szCs w:val="24"/>
        </w:rPr>
      </w:pPr>
      <w:r w:rsidRPr="008757A5">
        <w:rPr>
          <w:b/>
          <w:color w:val="000000"/>
          <w:sz w:val="24"/>
          <w:szCs w:val="24"/>
        </w:rPr>
        <w:t>Relevant covariates</w:t>
      </w:r>
    </w:p>
    <w:p w:rsidR="00B34C12" w:rsidRPr="008757A5" w:rsidRDefault="00B34C12" w:rsidP="00B34C12">
      <w:pPr>
        <w:spacing w:line="480" w:lineRule="auto"/>
        <w:rPr>
          <w:color w:val="000000"/>
          <w:sz w:val="24"/>
          <w:szCs w:val="24"/>
        </w:rPr>
      </w:pPr>
      <w:r w:rsidRPr="008757A5">
        <w:rPr>
          <w:color w:val="000000"/>
          <w:sz w:val="24"/>
          <w:szCs w:val="24"/>
        </w:rPr>
        <w:t xml:space="preserve">At WHI baseline, WHIMS participants completed structured questionnaires regarding demographics (age, race-ethnicity), socioeconomic status (SES, including education in years, family income, employment status), lifestyle factors (smoking, alcohol consumption, physical activity), and relevant clinical characteristics (prior use of menopausal HT, depression, cardiovascular disease and related risk factors). </w:t>
      </w:r>
      <w:r w:rsidRPr="008757A5">
        <w:rPr>
          <w:sz w:val="24"/>
          <w:szCs w:val="24"/>
        </w:rPr>
        <w:t xml:space="preserve">The </w:t>
      </w:r>
      <w:proofErr w:type="spellStart"/>
      <w:r w:rsidRPr="008757A5">
        <w:rPr>
          <w:sz w:val="24"/>
          <w:szCs w:val="24"/>
        </w:rPr>
        <w:t>Burnam</w:t>
      </w:r>
      <w:proofErr w:type="spellEnd"/>
      <w:r w:rsidRPr="008757A5">
        <w:rPr>
          <w:sz w:val="24"/>
          <w:szCs w:val="24"/>
        </w:rPr>
        <w:t xml:space="preserve"> screening algorithm </w:t>
      </w:r>
      <w:r w:rsidRPr="008757A5">
        <w:rPr>
          <w:sz w:val="24"/>
          <w:szCs w:val="24"/>
        </w:rPr>
        <w:fldChar w:fldCharType="begin">
          <w:fldData xml:space="preserve">PEVuZE5vdGU+PENpdGU+PEF1dGhvcj5Hb3ZlYXM8L0F1dGhvcj48WWVhcj4yMDExPC9ZZWFyPjxS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</w:fldData>
        </w:fldChar>
      </w:r>
      <w:r>
        <w:rPr>
          <w:sz w:val="24"/>
          <w:szCs w:val="24"/>
        </w:rPr>
        <w:instrText xml:space="preserve"> ADDIN EN.CITE </w:instrText>
      </w:r>
      <w:r>
        <w:rPr>
          <w:sz w:val="24"/>
          <w:szCs w:val="24"/>
        </w:rPr>
        <w:fldChar w:fldCharType="begin">
          <w:fldData xml:space="preserve">PEVuZE5vdGU+PENpdGU+PEF1dGhvcj5Hb3ZlYXM8L0F1dGhvcj48WWVhcj4yMDExPC9ZZWFyPjxS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</w:fldData>
        </w:fldChar>
      </w:r>
      <w:r>
        <w:rPr>
          <w:sz w:val="24"/>
          <w:szCs w:val="24"/>
        </w:rPr>
        <w:instrText xml:space="preserve"> ADDIN EN.CITE.DATA </w:instrText>
      </w:r>
      <w:r>
        <w:rPr>
          <w:sz w:val="24"/>
          <w:szCs w:val="24"/>
        </w:rPr>
      </w:r>
      <w:r>
        <w:rPr>
          <w:sz w:val="24"/>
          <w:szCs w:val="24"/>
        </w:rPr>
        <w:fldChar w:fldCharType="end"/>
      </w:r>
      <w:r w:rsidRPr="008757A5">
        <w:rPr>
          <w:sz w:val="24"/>
          <w:szCs w:val="24"/>
        </w:rPr>
      </w:r>
      <w:r w:rsidRPr="008757A5">
        <w:rPr>
          <w:sz w:val="24"/>
          <w:szCs w:val="24"/>
        </w:rPr>
        <w:fldChar w:fldCharType="separate"/>
      </w:r>
      <w:r w:rsidRPr="009B7424">
        <w:rPr>
          <w:noProof/>
          <w:sz w:val="24"/>
          <w:szCs w:val="24"/>
          <w:vertAlign w:val="superscript"/>
        </w:rPr>
        <w:t>12</w:t>
      </w:r>
      <w:r w:rsidRPr="008757A5">
        <w:rPr>
          <w:sz w:val="24"/>
          <w:szCs w:val="24"/>
        </w:rPr>
        <w:fldChar w:fldCharType="end"/>
      </w:r>
      <w:r w:rsidRPr="008757A5">
        <w:rPr>
          <w:sz w:val="24"/>
          <w:szCs w:val="24"/>
        </w:rPr>
        <w:t xml:space="preserve"> was used to characterize the likelihood of prior depressive disorders. </w:t>
      </w:r>
      <w:r w:rsidRPr="008757A5">
        <w:rPr>
          <w:color w:val="000000"/>
          <w:sz w:val="24"/>
          <w:szCs w:val="24"/>
        </w:rPr>
        <w:t>Women were grouped according to body mass index (in kg/m</w:t>
      </w:r>
      <w:r w:rsidRPr="008757A5">
        <w:rPr>
          <w:color w:val="000000"/>
          <w:sz w:val="24"/>
          <w:szCs w:val="24"/>
          <w:vertAlign w:val="superscript"/>
        </w:rPr>
        <w:t>2</w:t>
      </w:r>
      <w:r w:rsidRPr="008757A5">
        <w:rPr>
          <w:color w:val="000000"/>
          <w:sz w:val="24"/>
          <w:szCs w:val="24"/>
        </w:rPr>
        <w:t xml:space="preserve">) categories </w:t>
      </w:r>
      <w:r w:rsidRPr="008757A5">
        <w:rPr>
          <w:sz w:val="24"/>
          <w:szCs w:val="24"/>
        </w:rPr>
        <w:t xml:space="preserve">(&lt; 25.0 vs. 25.0-29.9 vs. ≥30.0).  </w:t>
      </w:r>
      <w:r w:rsidRPr="008757A5">
        <w:rPr>
          <w:color w:val="000000"/>
          <w:sz w:val="24"/>
          <w:szCs w:val="24"/>
        </w:rPr>
        <w:t xml:space="preserve">Hypertension was defined as antihypertensive medication or elevated blood pressure (systolic≥140 or diastolic≥90 mmHg). Treated diabetes mellitus was defined as a physician diagnosis plus oral medications or insulin therapy. History of cardiovascular disease included previous coronary heart disease (myocardial infarction, coronary angioplasty, or coronary artery bypass graft), stroke, or transient ischemic attack. Good reliability and validity of both the physical measures and self-reported medical histories have been documented </w:t>
      </w:r>
      <w:r w:rsidRPr="008757A5">
        <w:rPr>
          <w:color w:val="000000"/>
          <w:sz w:val="24"/>
          <w:szCs w:val="24"/>
        </w:rPr>
        <w:fldChar w:fldCharType="begin">
          <w:fldData xml:space="preserve">PEVuZE5vdGU+PENpdGU+PEF1dGhvcj5IZWNrYmVydDwvQXV0aG9yPjxZZWFyPjIwMDQ8L1llYXI+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=
</w:fldData>
        </w:fldChar>
      </w:r>
      <w:r>
        <w:rPr>
          <w:color w:val="000000"/>
          <w:sz w:val="24"/>
          <w:szCs w:val="24"/>
        </w:rPr>
        <w:instrText xml:space="preserve"> ADDIN EN.CITE </w:instrText>
      </w:r>
      <w:r>
        <w:rPr>
          <w:color w:val="000000"/>
          <w:sz w:val="24"/>
          <w:szCs w:val="24"/>
        </w:rPr>
        <w:fldChar w:fldCharType="begin">
          <w:fldData xml:space="preserve">PEVuZE5vdGU+PENpdGU+PEF1dGhvcj5IZWNrYmVydDwvQXV0aG9yPjxZZWFyPjIwMDQ8L1llYXI+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=
</w:fldData>
        </w:fldChar>
      </w:r>
      <w:r>
        <w:rPr>
          <w:color w:val="000000"/>
          <w:sz w:val="24"/>
          <w:szCs w:val="24"/>
        </w:rPr>
        <w:instrText xml:space="preserve"> ADDIN EN.CITE.DATA </w:instrText>
      </w:r>
      <w:r>
        <w:rPr>
          <w:color w:val="000000"/>
          <w:sz w:val="24"/>
          <w:szCs w:val="24"/>
        </w:rPr>
      </w:r>
      <w:r>
        <w:rPr>
          <w:color w:val="000000"/>
          <w:sz w:val="24"/>
          <w:szCs w:val="24"/>
        </w:rPr>
        <w:fldChar w:fldCharType="end"/>
      </w:r>
      <w:r w:rsidRPr="008757A5">
        <w:rPr>
          <w:color w:val="000000"/>
          <w:sz w:val="24"/>
          <w:szCs w:val="24"/>
        </w:rPr>
      </w:r>
      <w:r w:rsidRPr="008757A5">
        <w:rPr>
          <w:color w:val="000000"/>
          <w:sz w:val="24"/>
          <w:szCs w:val="24"/>
        </w:rPr>
        <w:fldChar w:fldCharType="separate"/>
      </w:r>
      <w:r w:rsidRPr="009B7424">
        <w:rPr>
          <w:noProof/>
          <w:color w:val="000000"/>
          <w:sz w:val="24"/>
          <w:szCs w:val="24"/>
          <w:vertAlign w:val="superscript"/>
        </w:rPr>
        <w:t>13</w:t>
      </w:r>
      <w:r w:rsidRPr="008757A5">
        <w:rPr>
          <w:color w:val="000000"/>
          <w:sz w:val="24"/>
          <w:szCs w:val="24"/>
        </w:rPr>
        <w:fldChar w:fldCharType="end"/>
      </w:r>
      <w:r w:rsidRPr="008757A5">
        <w:rPr>
          <w:color w:val="000000"/>
          <w:sz w:val="24"/>
          <w:szCs w:val="24"/>
        </w:rPr>
        <w:t xml:space="preserve">. </w:t>
      </w:r>
    </w:p>
    <w:p w:rsidR="00B34C12" w:rsidRPr="008757A5" w:rsidRDefault="00B34C12" w:rsidP="00B34C12">
      <w:pPr>
        <w:autoSpaceDE w:val="0"/>
        <w:autoSpaceDN w:val="0"/>
        <w:adjustRightInd w:val="0"/>
        <w:spacing w:line="480" w:lineRule="auto"/>
        <w:rPr>
          <w:sz w:val="24"/>
          <w:szCs w:val="24"/>
        </w:rPr>
      </w:pPr>
      <w:r w:rsidRPr="008757A5">
        <w:rPr>
          <w:b/>
          <w:sz w:val="24"/>
          <w:szCs w:val="24"/>
        </w:rPr>
        <w:t>Statistical analysis</w:t>
      </w:r>
    </w:p>
    <w:p w:rsidR="00EB6A6F" w:rsidRPr="00962C60" w:rsidRDefault="00E240C6" w:rsidP="00EB6A6F">
      <w:pPr>
        <w:pStyle w:val="CommentText"/>
        <w:spacing w:before="240" w:line="480" w:lineRule="auto"/>
        <w:ind w:firstLine="720"/>
        <w:rPr>
          <w:sz w:val="24"/>
          <w:szCs w:val="24"/>
        </w:rPr>
      </w:pPr>
      <w:r>
        <w:rPr>
          <w:sz w:val="24"/>
          <w:szCs w:val="24"/>
        </w:rPr>
        <w:t xml:space="preserve">Of 4504 WHIMS participants assigned with APOE genotypes, 857 were non-eligible (717 with </w:t>
      </w:r>
      <w:r w:rsidRPr="00C76853">
        <w:rPr>
          <w:sz w:val="24"/>
          <w:szCs w:val="24"/>
        </w:rPr>
        <w:t>ԑ</w:t>
      </w:r>
      <w:r>
        <w:rPr>
          <w:sz w:val="24"/>
          <w:szCs w:val="24"/>
        </w:rPr>
        <w:t>2</w:t>
      </w:r>
      <w:r w:rsidRPr="00C76853">
        <w:rPr>
          <w:sz w:val="24"/>
          <w:szCs w:val="24"/>
        </w:rPr>
        <w:t>/</w:t>
      </w:r>
      <w:r>
        <w:rPr>
          <w:sz w:val="24"/>
          <w:szCs w:val="24"/>
        </w:rPr>
        <w:t>2</w:t>
      </w:r>
      <w:r w:rsidRPr="00C76853">
        <w:rPr>
          <w:sz w:val="24"/>
          <w:szCs w:val="24"/>
        </w:rPr>
        <w:t>, ԑ</w:t>
      </w:r>
      <w:r>
        <w:rPr>
          <w:sz w:val="24"/>
          <w:szCs w:val="24"/>
        </w:rPr>
        <w:t>2</w:t>
      </w:r>
      <w:r w:rsidRPr="00C76853">
        <w:rPr>
          <w:sz w:val="24"/>
          <w:szCs w:val="24"/>
        </w:rPr>
        <w:t>/</w:t>
      </w:r>
      <w:r>
        <w:rPr>
          <w:sz w:val="24"/>
          <w:szCs w:val="24"/>
        </w:rPr>
        <w:t>3</w:t>
      </w:r>
      <w:r w:rsidRPr="00C76853">
        <w:rPr>
          <w:sz w:val="24"/>
          <w:szCs w:val="24"/>
        </w:rPr>
        <w:t xml:space="preserve"> or ԑ</w:t>
      </w:r>
      <w:r>
        <w:rPr>
          <w:sz w:val="24"/>
          <w:szCs w:val="24"/>
        </w:rPr>
        <w:t xml:space="preserve">2/4 plus 140 with </w:t>
      </w:r>
      <w:r w:rsidRPr="00AB04BA">
        <w:rPr>
          <w:sz w:val="24"/>
          <w:szCs w:val="24"/>
        </w:rPr>
        <w:t>PM</w:t>
      </w:r>
      <w:r w:rsidRPr="00AB04BA">
        <w:rPr>
          <w:sz w:val="24"/>
          <w:szCs w:val="24"/>
          <w:vertAlign w:val="subscript"/>
        </w:rPr>
        <w:t>2.5</w:t>
      </w:r>
      <w:r>
        <w:rPr>
          <w:sz w:val="24"/>
          <w:szCs w:val="24"/>
        </w:rPr>
        <w:t xml:space="preserve"> data missing)</w:t>
      </w:r>
      <w:r w:rsidRPr="00BD6BFB">
        <w:rPr>
          <w:sz w:val="24"/>
          <w:szCs w:val="24"/>
        </w:rPr>
        <w:t xml:space="preserve"> </w:t>
      </w:r>
      <w:r>
        <w:rPr>
          <w:sz w:val="24"/>
          <w:szCs w:val="24"/>
        </w:rPr>
        <w:t xml:space="preserve">and thus excluded in the present study.  For the remaining 3647 </w:t>
      </w:r>
      <w:r w:rsidRPr="00382A4D">
        <w:rPr>
          <w:sz w:val="24"/>
          <w:szCs w:val="24"/>
        </w:rPr>
        <w:t>older</w:t>
      </w:r>
      <w:r>
        <w:rPr>
          <w:sz w:val="24"/>
          <w:szCs w:val="24"/>
        </w:rPr>
        <w:t xml:space="preserve"> women, we</w:t>
      </w:r>
      <w:r w:rsidRPr="00167C5C">
        <w:rPr>
          <w:sz w:val="24"/>
          <w:szCs w:val="24"/>
        </w:rPr>
        <w:t xml:space="preserve"> compared the distributions of estimated PM</w:t>
      </w:r>
      <w:r w:rsidRPr="00167C5C">
        <w:rPr>
          <w:sz w:val="24"/>
          <w:szCs w:val="24"/>
          <w:vertAlign w:val="subscript"/>
        </w:rPr>
        <w:t>2.5</w:t>
      </w:r>
      <w:r w:rsidRPr="00167C5C">
        <w:rPr>
          <w:sz w:val="24"/>
          <w:szCs w:val="24"/>
        </w:rPr>
        <w:t xml:space="preserve"> exposures across different population characteristics, using chi-square tests.  The PM</w:t>
      </w:r>
      <w:r w:rsidRPr="00167C5C">
        <w:rPr>
          <w:sz w:val="24"/>
          <w:szCs w:val="24"/>
          <w:vertAlign w:val="subscript"/>
        </w:rPr>
        <w:t>2.5</w:t>
      </w:r>
      <w:r w:rsidRPr="00167C5C">
        <w:rPr>
          <w:sz w:val="24"/>
          <w:szCs w:val="24"/>
        </w:rPr>
        <w:t xml:space="preserve"> exposures distributions were based on the individual-specific summary measure aggregated during the study follow-up in 1999-2010. </w:t>
      </w:r>
      <w:r>
        <w:rPr>
          <w:sz w:val="24"/>
          <w:szCs w:val="24"/>
        </w:rPr>
        <w:t>We examined t</w:t>
      </w:r>
      <w:r w:rsidRPr="00167C5C">
        <w:rPr>
          <w:sz w:val="24"/>
          <w:szCs w:val="24"/>
        </w:rPr>
        <w:t>he distribution of 3-year PM</w:t>
      </w:r>
      <w:r w:rsidRPr="00167C5C">
        <w:rPr>
          <w:sz w:val="24"/>
          <w:szCs w:val="24"/>
          <w:vertAlign w:val="subscript"/>
        </w:rPr>
        <w:t xml:space="preserve">2.5 </w:t>
      </w:r>
      <w:r w:rsidRPr="00167C5C">
        <w:rPr>
          <w:sz w:val="24"/>
          <w:szCs w:val="24"/>
        </w:rPr>
        <w:t xml:space="preserve">exposures in relation to other selected personal and clinical </w:t>
      </w:r>
      <w:r w:rsidRPr="00167C5C">
        <w:rPr>
          <w:sz w:val="24"/>
          <w:szCs w:val="24"/>
        </w:rPr>
        <w:lastRenderedPageBreak/>
        <w:t>c</w:t>
      </w:r>
      <w:r>
        <w:rPr>
          <w:sz w:val="24"/>
          <w:szCs w:val="24"/>
        </w:rPr>
        <w:t>haracteristics (T</w:t>
      </w:r>
      <w:r w:rsidRPr="00167C5C">
        <w:rPr>
          <w:sz w:val="24"/>
          <w:szCs w:val="24"/>
        </w:rPr>
        <w:t>able S1</w:t>
      </w:r>
      <w:r>
        <w:rPr>
          <w:sz w:val="24"/>
          <w:szCs w:val="24"/>
        </w:rPr>
        <w:t>)</w:t>
      </w:r>
      <w:r w:rsidRPr="00167C5C">
        <w:rPr>
          <w:sz w:val="24"/>
          <w:szCs w:val="24"/>
        </w:rPr>
        <w:t>.</w:t>
      </w:r>
      <w:r>
        <w:rPr>
          <w:sz w:val="24"/>
          <w:szCs w:val="24"/>
        </w:rPr>
        <w:t xml:space="preserve"> </w:t>
      </w:r>
      <w:r w:rsidR="006D1A74" w:rsidRPr="00D23AEE">
        <w:rPr>
          <w:sz w:val="24"/>
          <w:szCs w:val="24"/>
        </w:rPr>
        <w:t>Cox proportional hazard models were used to estimate hazard ratios (HRs) and 95% confidence intervals (CIs) for adverse events associated with estimated time-varying 3-year average PM</w:t>
      </w:r>
      <w:r w:rsidR="006D1A74" w:rsidRPr="00D23AEE">
        <w:rPr>
          <w:sz w:val="24"/>
          <w:szCs w:val="24"/>
          <w:vertAlign w:val="subscript"/>
        </w:rPr>
        <w:t>2.5</w:t>
      </w:r>
      <w:r w:rsidR="006D1A74" w:rsidRPr="00D23AEE">
        <w:rPr>
          <w:sz w:val="24"/>
          <w:szCs w:val="24"/>
        </w:rPr>
        <w:t xml:space="preserve"> exposures, adjusting for potential confounders, including age, geographic region, education, income, employment status, lifestyle factors (smoking; alcohol use; physical activities), and clinical characteristics (use of hormone treatment; depression; body mass index; hypercholesterolemia; hypertension, diabetes; and histories of cardiovascular disease).  </w:t>
      </w:r>
      <w:r w:rsidR="00EB6A6F" w:rsidRPr="00962C60">
        <w:rPr>
          <w:sz w:val="24"/>
          <w:szCs w:val="24"/>
        </w:rPr>
        <w:t xml:space="preserve">We used the directed acyclic graph to identify a list of important covariates </w:t>
      </w:r>
      <w:r w:rsidR="00EB6A6F" w:rsidRPr="00962C60">
        <w:rPr>
          <w:i/>
          <w:sz w:val="24"/>
          <w:szCs w:val="24"/>
        </w:rPr>
        <w:t xml:space="preserve">a priori </w:t>
      </w:r>
      <w:r w:rsidR="00EB6A6F" w:rsidRPr="00962C60">
        <w:rPr>
          <w:sz w:val="24"/>
          <w:szCs w:val="24"/>
        </w:rPr>
        <w:t xml:space="preserve">as potential confounders for the putative neurotoxic effects of PM exposures. Conceptually, these covariates would have established causal relationships </w:t>
      </w:r>
      <w:r w:rsidR="00EB6A6F" w:rsidRPr="00962C60">
        <w:rPr>
          <w:i/>
          <w:sz w:val="24"/>
          <w:szCs w:val="24"/>
        </w:rPr>
        <w:t xml:space="preserve">both </w:t>
      </w:r>
      <w:r w:rsidR="00EB6A6F" w:rsidRPr="00962C60">
        <w:rPr>
          <w:sz w:val="24"/>
          <w:szCs w:val="24"/>
        </w:rPr>
        <w:t>with the studied outcomes (global cognitive decline; risk of dementia),</w:t>
      </w:r>
      <w:r w:rsidR="00EB6A6F" w:rsidRPr="00962C60">
        <w:rPr>
          <w:i/>
          <w:sz w:val="24"/>
          <w:szCs w:val="24"/>
        </w:rPr>
        <w:t xml:space="preserve"> and </w:t>
      </w:r>
      <w:r w:rsidR="00EB6A6F" w:rsidRPr="00962C60">
        <w:rPr>
          <w:sz w:val="24"/>
          <w:szCs w:val="24"/>
        </w:rPr>
        <w:t xml:space="preserve">also with the PM exposures.  Because we relied on residential locations to define the primary exposure variables, population characteristics or personal attributes that determine where the people live (and thus the estimated exposure levels) in late life could be considered as potential confounders if they are also known to affect the studied outcomes. For epidemiologic studies on brain health and outdoor air pollutants that relied on location-based exposure estimation, rigorous accounting for such potential confounding had been advocated </w:t>
      </w:r>
      <w:r w:rsidR="00EB6A6F" w:rsidRPr="00962C60">
        <w:rPr>
          <w:sz w:val="24"/>
          <w:szCs w:val="24"/>
        </w:rPr>
        <w:fldChar w:fldCharType="begin">
          <w:fldData xml:space="preserve">PEVuZE5vdGU+PENpdGU+PEF1dGhvcj5CbG9jazwvQXV0aG9yPjxZZWFyPjIwMTI8L1llYXI+PFJl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</w:fldData>
        </w:fldChar>
      </w:r>
      <w:r w:rsidR="00DB2F85">
        <w:rPr>
          <w:sz w:val="24"/>
          <w:szCs w:val="24"/>
        </w:rPr>
        <w:instrText xml:space="preserve"> ADDIN EN.CITE </w:instrText>
      </w:r>
      <w:r w:rsidR="00DB2F85">
        <w:rPr>
          <w:sz w:val="24"/>
          <w:szCs w:val="24"/>
        </w:rPr>
        <w:fldChar w:fldCharType="begin">
          <w:fldData xml:space="preserve">PEVuZE5vdGU+PENpdGU+PEF1dGhvcj5CbG9jazwvQXV0aG9yPjxZZWFyPjIwMTI8L1llYXI+PFJl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</w:fldData>
        </w:fldChar>
      </w:r>
      <w:r w:rsidR="00DB2F85">
        <w:rPr>
          <w:sz w:val="24"/>
          <w:szCs w:val="24"/>
        </w:rPr>
        <w:instrText xml:space="preserve"> ADDIN EN.CITE.DATA </w:instrText>
      </w:r>
      <w:r w:rsidR="00DB2F85">
        <w:rPr>
          <w:sz w:val="24"/>
          <w:szCs w:val="24"/>
        </w:rPr>
      </w:r>
      <w:r w:rsidR="00DB2F85">
        <w:rPr>
          <w:sz w:val="24"/>
          <w:szCs w:val="24"/>
        </w:rPr>
        <w:fldChar w:fldCharType="end"/>
      </w:r>
      <w:r w:rsidR="00EB6A6F" w:rsidRPr="00962C60">
        <w:rPr>
          <w:sz w:val="24"/>
          <w:szCs w:val="24"/>
        </w:rPr>
      </w:r>
      <w:r w:rsidR="00EB6A6F" w:rsidRPr="00962C60">
        <w:rPr>
          <w:sz w:val="24"/>
          <w:szCs w:val="24"/>
        </w:rPr>
        <w:fldChar w:fldCharType="separate"/>
      </w:r>
      <w:r w:rsidR="00DB2F85" w:rsidRPr="00DB2F85">
        <w:rPr>
          <w:noProof/>
          <w:sz w:val="24"/>
          <w:szCs w:val="24"/>
          <w:vertAlign w:val="superscript"/>
        </w:rPr>
        <w:t>14</w:t>
      </w:r>
      <w:r w:rsidR="00EB6A6F" w:rsidRPr="00962C60">
        <w:rPr>
          <w:sz w:val="24"/>
          <w:szCs w:val="24"/>
        </w:rPr>
        <w:fldChar w:fldCharType="end"/>
      </w:r>
      <w:r w:rsidR="00EB6A6F" w:rsidRPr="00962C60">
        <w:rPr>
          <w:sz w:val="24"/>
          <w:szCs w:val="24"/>
        </w:rPr>
        <w:t xml:space="preserve">.  In this regard, age, race/ethnicity, socioeconomic status, and lifestyle factors (including smoking, alcohol consumption, and physical activities) should be conceptualized as potential confounders </w:t>
      </w:r>
      <w:r w:rsidR="00EB6A6F" w:rsidRPr="00962C60">
        <w:rPr>
          <w:i/>
          <w:sz w:val="24"/>
          <w:szCs w:val="24"/>
        </w:rPr>
        <w:t xml:space="preserve">a priori </w:t>
      </w:r>
      <w:r w:rsidR="00EB6A6F" w:rsidRPr="00962C60">
        <w:rPr>
          <w:sz w:val="24"/>
          <w:szCs w:val="24"/>
        </w:rPr>
        <w:t>and included in</w:t>
      </w:r>
      <w:r w:rsidR="00EB6A6F">
        <w:rPr>
          <w:sz w:val="24"/>
          <w:szCs w:val="24"/>
        </w:rPr>
        <w:t xml:space="preserve"> the fully adjusted analyses.  </w:t>
      </w:r>
      <w:r w:rsidR="00EB6A6F" w:rsidRPr="00962C60">
        <w:rPr>
          <w:sz w:val="24"/>
          <w:szCs w:val="24"/>
        </w:rPr>
        <w:t xml:space="preserve">Also, because there is increasing evidence of geographic differences in dementia incidences </w:t>
      </w:r>
      <w:r w:rsidR="00EB6A6F" w:rsidRPr="00962C60">
        <w:rPr>
          <w:sz w:val="24"/>
          <w:szCs w:val="24"/>
        </w:rPr>
        <w:fldChar w:fldCharType="begin"/>
      </w:r>
      <w:r w:rsidR="00DB2F85">
        <w:rPr>
          <w:sz w:val="24"/>
          <w:szCs w:val="24"/>
        </w:rPr>
        <w:instrText xml:space="preserve"> ADDIN EN.CITE &lt;EndNote&gt;&lt;Cite&gt;&lt;Author&gt;Russ&lt;/Author&gt;&lt;Year&gt;2012&lt;/Year&gt;&lt;RecNum&gt;1169&lt;/RecNum&gt;&lt;DisplayText&gt;&lt;style face="superscript"&gt;15&lt;/style&gt;&lt;/DisplayText&gt;&lt;record&gt;&lt;rec-number&gt;1169&lt;/rec-number&gt;&lt;foreign-keys&gt;&lt;key app="EN" db-id="efvvtw99qrt5auexzrj509v9awx0vsvf95wt" timestamp="1420069989"&gt;1169&lt;/key&gt;&lt;/foreign-keys&gt;&lt;ref-type name="Journal Article"&gt;17&lt;/ref-type&gt;&lt;contributors&gt;&lt;authors&gt;&lt;author&gt;Russ, T. C.&lt;/author&gt;&lt;author&gt;Batty, G. D.&lt;/author&gt;&lt;author&gt;Hearnshaw, G. F.&lt;/author&gt;&lt;author&gt;Fenton, C.&lt;/author&gt;&lt;author&gt;Starr, J. M.&lt;/author&gt;&lt;/authors&gt;&lt;/contributors&gt;&lt;auth-address&gt;Scottish Dementia Clinical Research Network, NHS Scotland, UK. tom.russ@nhs.net&lt;/auth-address&gt;&lt;titles&gt;&lt;title&gt;Geographical variation in dementia: systematic review with meta-analysis&lt;/title&gt;&lt;secondary-title&gt;Int J Epidemiol&lt;/secondary-title&gt;&lt;/titles&gt;&lt;periodical&gt;&lt;full-title&gt;Int J Epidemiol&lt;/full-title&gt;&lt;/periodical&gt;&lt;pages&gt;1012-32&lt;/pages&gt;&lt;volume&gt;41&lt;/volume&gt;&lt;number&gt;4&lt;/number&gt;&lt;edition&gt;2012/07/17&lt;/edition&gt;&lt;keywords&gt;&lt;keyword&gt;Dementia/*epidemiology&lt;/keyword&gt;&lt;keyword&gt;*Geography&lt;/keyword&gt;&lt;keyword&gt;Humans&lt;/keyword&gt;&lt;keyword&gt;Incidence&lt;/keyword&gt;&lt;keyword&gt;Prevalence&lt;/keyword&gt;&lt;/keywords&gt;&lt;dates&gt;&lt;year&gt;2012&lt;/year&gt;&lt;pub-dates&gt;&lt;date&gt;Aug&lt;/date&gt;&lt;/pub-dates&gt;&lt;/dates&gt;&lt;isbn&gt;1464-3685 (Electronic)&amp;#xD;0300-5771 (Linking)&lt;/isbn&gt;&lt;accession-num&gt;22798662&lt;/accession-num&gt;&lt;urls&gt;&lt;related-urls&gt;&lt;url&gt;http://www.ncbi.nlm.nih.gov/entrez/query.fcgi?cmd=Retrieve&amp;amp;db=PubMed&amp;amp;dopt=Citation&amp;amp;list_uids=22798662&lt;/url&gt;&lt;/related-urls&gt;&lt;/urls&gt;&lt;custom2&gt;3429875&lt;/custom2&gt;&lt;electronic-resource-num&gt;dys103 [pii]&amp;#xD;10.1093/ije/dys103&lt;/electronic-resource-num&gt;&lt;language&gt;eng&lt;/language&gt;&lt;/record&gt;&lt;/Cite&gt;&lt;/EndNote&gt;</w:instrText>
      </w:r>
      <w:r w:rsidR="00EB6A6F" w:rsidRPr="00962C60">
        <w:rPr>
          <w:sz w:val="24"/>
          <w:szCs w:val="24"/>
        </w:rPr>
        <w:fldChar w:fldCharType="separate"/>
      </w:r>
      <w:r w:rsidR="00DB2F85" w:rsidRPr="00DB2F85">
        <w:rPr>
          <w:noProof/>
          <w:sz w:val="24"/>
          <w:szCs w:val="24"/>
          <w:vertAlign w:val="superscript"/>
        </w:rPr>
        <w:t>15</w:t>
      </w:r>
      <w:r w:rsidR="00EB6A6F" w:rsidRPr="00962C60">
        <w:rPr>
          <w:sz w:val="24"/>
          <w:szCs w:val="24"/>
        </w:rPr>
        <w:fldChar w:fldCharType="end"/>
      </w:r>
      <w:r w:rsidR="00EB6A6F" w:rsidRPr="00962C60">
        <w:rPr>
          <w:sz w:val="24"/>
          <w:szCs w:val="24"/>
        </w:rPr>
        <w:t xml:space="preserve">, to control for possible spatial confounding, possible geographic differences were accounted for in the Cox regression models, jointly with fixed effects (to denote the regional difference across US census-defined geographic region) and spatial random effects </w:t>
      </w:r>
      <w:r w:rsidR="00EB6A6F" w:rsidRPr="00962C60">
        <w:rPr>
          <w:sz w:val="24"/>
          <w:szCs w:val="24"/>
        </w:rPr>
        <w:fldChar w:fldCharType="begin"/>
      </w:r>
      <w:r w:rsidR="00DB2F85">
        <w:rPr>
          <w:sz w:val="24"/>
          <w:szCs w:val="24"/>
        </w:rPr>
        <w:instrText xml:space="preserve"> ADDIN EN.CITE &lt;EndNote&gt;&lt;Cite&gt;&lt;Author&gt;Ripatti&lt;/Author&gt;&lt;Year&gt;2000&lt;/Year&gt;&lt;RecNum&gt;1157&lt;/RecNum&gt;&lt;DisplayText&gt;&lt;style face="superscript"&gt;16&lt;/style&gt;&lt;/DisplayText&gt;&lt;record&gt;&lt;rec-number&gt;1157&lt;/rec-number&gt;&lt;foreign-keys&gt;&lt;key app="EN" db-id="efvvtw99qrt5auexzrj509v9awx0vsvf95wt" timestamp="1418712183"&gt;1157&lt;/key&gt;&lt;/foreign-keys&gt;&lt;ref-type name="Journal Article"&gt;17&lt;/ref-type&gt;&lt;contributors&gt;&lt;authors&gt;&lt;author&gt;Ripatti, S.&lt;/author&gt;&lt;author&gt;Palmgren, J.&lt;/author&gt;&lt;/authors&gt;&lt;/contributors&gt;&lt;auth-address&gt;Rolf Nevanlinna Institute, University of Helsinki, P.O. Box 4, FIN-00014 Helsinki, Finland. samuli.ripatti@rni.helsinki.fi&lt;/auth-address&gt;&lt;titles&gt;&lt;title&gt;Estimation of multivariate frailty models using penalized partial likelihood&lt;/title&gt;&lt;secondary-title&gt;Biometrics&lt;/secondary-title&gt;&lt;/titles&gt;&lt;periodical&gt;&lt;full-title&gt;Biometrics&lt;/full-title&gt;&lt;/periodical&gt;&lt;pages&gt;1016-22&lt;/pages&gt;&lt;volume&gt;56&lt;/volume&gt;&lt;number&gt;4&lt;/number&gt;&lt;edition&gt;2000/12/29&lt;/edition&gt;&lt;keywords&gt;&lt;keyword&gt;Biometry/methods&lt;/keyword&gt;&lt;keyword&gt;Humans&lt;/keyword&gt;&lt;keyword&gt;*Likelihood Functions&lt;/keyword&gt;&lt;keyword&gt;Models, Statistical&lt;/keyword&gt;&lt;keyword&gt;*Multivariate Analysis&lt;/keyword&gt;&lt;keyword&gt;Time Factors&lt;/keyword&gt;&lt;keyword&gt;Treatment Failure&lt;/keyword&gt;&lt;/keywords&gt;&lt;dates&gt;&lt;year&gt;2000&lt;/year&gt;&lt;pub-dates&gt;&lt;date&gt;Dec&lt;/date&gt;&lt;/pub-dates&gt;&lt;/dates&gt;&lt;isbn&gt;0006-341X (Print)&amp;#xD;0006-341X (Linking)&lt;/isbn&gt;&lt;accession-num&gt;11129456&lt;/accession-num&gt;&lt;urls&gt;&lt;related-urls&gt;&lt;url&gt;http://www.ncbi.nlm.nih.gov/entrez/query.fcgi?cmd=Retrieve&amp;amp;db=PubMed&amp;amp;dopt=Citation&amp;amp;list_uids=11129456&lt;/url&gt;&lt;/related-urls&gt;&lt;/urls&gt;&lt;language&gt;eng&lt;/language&gt;&lt;/record&gt;&lt;/Cite&gt;&lt;/EndNote&gt;</w:instrText>
      </w:r>
      <w:r w:rsidR="00EB6A6F" w:rsidRPr="00962C60">
        <w:rPr>
          <w:sz w:val="24"/>
          <w:szCs w:val="24"/>
        </w:rPr>
        <w:fldChar w:fldCharType="separate"/>
      </w:r>
      <w:r w:rsidR="00DB2F85" w:rsidRPr="00DB2F85">
        <w:rPr>
          <w:noProof/>
          <w:sz w:val="24"/>
          <w:szCs w:val="24"/>
          <w:vertAlign w:val="superscript"/>
        </w:rPr>
        <w:t>16</w:t>
      </w:r>
      <w:r w:rsidR="00EB6A6F" w:rsidRPr="00962C60">
        <w:rPr>
          <w:sz w:val="24"/>
          <w:szCs w:val="24"/>
        </w:rPr>
        <w:fldChar w:fldCharType="end"/>
      </w:r>
      <w:r w:rsidR="00EB6A6F" w:rsidRPr="00962C60">
        <w:rPr>
          <w:sz w:val="24"/>
          <w:szCs w:val="24"/>
        </w:rPr>
        <w:t xml:space="preserve"> (to represent the differences by study sites).</w:t>
      </w:r>
    </w:p>
    <w:p w:rsidR="00B34C12" w:rsidRDefault="00B34C12" w:rsidP="00B34C12">
      <w:pPr>
        <w:spacing w:line="480" w:lineRule="auto"/>
        <w:rPr>
          <w:b/>
          <w:i/>
          <w:sz w:val="24"/>
          <w:szCs w:val="24"/>
        </w:rPr>
      </w:pPr>
    </w:p>
    <w:p w:rsidR="00B34C12" w:rsidRDefault="00B34C12" w:rsidP="00214B1A">
      <w:pPr>
        <w:spacing w:line="480" w:lineRule="auto"/>
        <w:rPr>
          <w:rStyle w:val="Hyperlink"/>
          <w:b/>
          <w:sz w:val="28"/>
          <w:szCs w:val="28"/>
        </w:rPr>
        <w:sectPr w:rsidR="00B34C12" w:rsidSect="00B34C12">
          <w:pgSz w:w="12240" w:h="15840" w:code="1"/>
          <w:pgMar w:top="1008" w:right="1008" w:bottom="1008" w:left="1008" w:header="432" w:footer="720" w:gutter="0"/>
          <w:cols w:space="720"/>
          <w:titlePg/>
          <w:docGrid w:linePitch="360"/>
        </w:sectPr>
      </w:pPr>
    </w:p>
    <w:p w:rsidR="00B34C12" w:rsidRPr="00B34C12" w:rsidRDefault="00B34C12" w:rsidP="00214B1A">
      <w:pPr>
        <w:spacing w:line="480" w:lineRule="auto"/>
        <w:rPr>
          <w:rStyle w:val="Hyperlink"/>
          <w:b/>
          <w:sz w:val="28"/>
          <w:szCs w:val="28"/>
        </w:rPr>
      </w:pPr>
    </w:p>
    <w:tbl>
      <w:tblPr>
        <w:tblW w:w="14523" w:type="dxa"/>
        <w:tblInd w:w="93" w:type="dxa"/>
        <w:tblLook w:val="04A0" w:firstRow="1" w:lastRow="0" w:firstColumn="1" w:lastColumn="0" w:noHBand="0" w:noVBand="1"/>
      </w:tblPr>
      <w:tblGrid>
        <w:gridCol w:w="2625"/>
        <w:gridCol w:w="269"/>
        <w:gridCol w:w="1149"/>
        <w:gridCol w:w="2208"/>
        <w:gridCol w:w="1771"/>
        <w:gridCol w:w="1890"/>
        <w:gridCol w:w="1890"/>
        <w:gridCol w:w="1891"/>
        <w:gridCol w:w="830"/>
      </w:tblGrid>
      <w:tr w:rsidR="00214B1A" w:rsidRPr="008757A5" w:rsidTr="0009567D">
        <w:trPr>
          <w:trHeight w:val="420"/>
        </w:trPr>
        <w:tc>
          <w:tcPr>
            <w:tcW w:w="14523" w:type="dxa"/>
            <w:gridSpan w:val="9"/>
            <w:tcBorders>
              <w:top w:val="nil"/>
              <w:left w:val="nil"/>
              <w:bottom w:val="single" w:sz="18" w:space="0" w:color="auto"/>
              <w:right w:val="nil"/>
            </w:tcBorders>
            <w:shd w:val="clear" w:color="auto" w:fill="auto"/>
            <w:noWrap/>
            <w:vAlign w:val="bottom"/>
            <w:hideMark/>
          </w:tcPr>
          <w:p w:rsidR="00214B1A" w:rsidRPr="008757A5" w:rsidRDefault="004617E2" w:rsidP="0009567D">
            <w:pPr>
              <w:rPr>
                <w:rFonts w:ascii="Calibri" w:eastAsia="Times New Roman" w:hAnsi="Calibri"/>
                <w:b/>
                <w:bCs/>
                <w:color w:val="000000"/>
                <w:sz w:val="24"/>
                <w:szCs w:val="24"/>
              </w:rPr>
            </w:pPr>
            <w:r>
              <w:rPr>
                <w:rFonts w:ascii="Calibri" w:eastAsia="Times New Roman" w:hAnsi="Calibri"/>
                <w:b/>
                <w:bCs/>
                <w:color w:val="000000"/>
                <w:sz w:val="24"/>
                <w:szCs w:val="24"/>
              </w:rPr>
              <w:t xml:space="preserve">Table </w:t>
            </w:r>
            <w:r w:rsidR="00214B1A" w:rsidRPr="008757A5">
              <w:rPr>
                <w:rFonts w:ascii="Calibri" w:eastAsia="Times New Roman" w:hAnsi="Calibri"/>
                <w:b/>
                <w:bCs/>
                <w:color w:val="000000"/>
                <w:sz w:val="24"/>
                <w:szCs w:val="24"/>
              </w:rPr>
              <w:t>S</w:t>
            </w:r>
            <w:r>
              <w:rPr>
                <w:rFonts w:ascii="Calibri" w:eastAsia="Times New Roman" w:hAnsi="Calibri"/>
                <w:b/>
                <w:bCs/>
                <w:color w:val="000000"/>
                <w:sz w:val="24"/>
                <w:szCs w:val="24"/>
              </w:rPr>
              <w:t>1</w:t>
            </w:r>
            <w:r w:rsidR="00214B1A" w:rsidRPr="008757A5">
              <w:rPr>
                <w:rFonts w:ascii="Calibri" w:eastAsia="Times New Roman" w:hAnsi="Calibri"/>
                <w:b/>
                <w:bCs/>
                <w:color w:val="000000"/>
                <w:sz w:val="24"/>
                <w:szCs w:val="24"/>
              </w:rPr>
              <w:t xml:space="preserve">: Population Characteristics in Relation to Long-Term Exposure to Fine Particulate Matter (1999-2010) in WHIMS </w:t>
            </w:r>
            <w:proofErr w:type="spellStart"/>
            <w:r w:rsidR="00214B1A" w:rsidRPr="008757A5">
              <w:rPr>
                <w:rFonts w:ascii="Calibri" w:eastAsia="Times New Roman" w:hAnsi="Calibri"/>
                <w:b/>
                <w:bCs/>
                <w:color w:val="000000"/>
                <w:sz w:val="24"/>
                <w:szCs w:val="24"/>
              </w:rPr>
              <w:t>Subcohort</w:t>
            </w:r>
            <w:proofErr w:type="spellEnd"/>
          </w:p>
        </w:tc>
      </w:tr>
      <w:tr w:rsidR="00214B1A" w:rsidRPr="008757A5" w:rsidTr="0009567D">
        <w:trPr>
          <w:trHeight w:val="389"/>
        </w:trPr>
        <w:tc>
          <w:tcPr>
            <w:tcW w:w="2625" w:type="dxa"/>
            <w:tcBorders>
              <w:top w:val="single" w:sz="18" w:space="0" w:color="auto"/>
              <w:left w:val="nil"/>
              <w:bottom w:val="single" w:sz="8" w:space="0" w:color="auto"/>
              <w:right w:val="nil"/>
            </w:tcBorders>
            <w:shd w:val="clear" w:color="auto" w:fill="auto"/>
            <w:noWrap/>
            <w:vAlign w:val="center"/>
          </w:tcPr>
          <w:p w:rsidR="00214B1A" w:rsidRPr="008757A5" w:rsidRDefault="00214B1A" w:rsidP="0009567D">
            <w:pPr>
              <w:jc w:val="center"/>
              <w:rPr>
                <w:rFonts w:ascii="Calibri" w:eastAsia="Times New Roman" w:hAnsi="Calibri"/>
                <w:b/>
                <w:bCs/>
                <w:color w:val="000000"/>
                <w:sz w:val="24"/>
                <w:szCs w:val="24"/>
              </w:rPr>
            </w:pPr>
            <w:r w:rsidRPr="008757A5">
              <w:rPr>
                <w:rFonts w:ascii="Calibri" w:eastAsia="Times New Roman" w:hAnsi="Calibri"/>
                <w:b/>
                <w:bCs/>
                <w:color w:val="000000"/>
                <w:sz w:val="24"/>
                <w:szCs w:val="24"/>
              </w:rPr>
              <w:t>Population Characteristics</w:t>
            </w:r>
          </w:p>
        </w:tc>
        <w:tc>
          <w:tcPr>
            <w:tcW w:w="1418" w:type="dxa"/>
            <w:gridSpan w:val="2"/>
            <w:tcBorders>
              <w:top w:val="single" w:sz="18" w:space="0" w:color="auto"/>
              <w:left w:val="nil"/>
              <w:bottom w:val="single" w:sz="8" w:space="0" w:color="auto"/>
              <w:right w:val="nil"/>
            </w:tcBorders>
            <w:shd w:val="clear" w:color="auto" w:fill="auto"/>
            <w:noWrap/>
            <w:vAlign w:val="center"/>
          </w:tcPr>
          <w:p w:rsidR="00214B1A" w:rsidRPr="008757A5" w:rsidRDefault="00214B1A" w:rsidP="0009567D">
            <w:pPr>
              <w:jc w:val="center"/>
              <w:rPr>
                <w:rFonts w:ascii="Calibri" w:eastAsia="Times New Roman" w:hAnsi="Calibri"/>
                <w:b/>
                <w:bCs/>
                <w:color w:val="000000"/>
                <w:sz w:val="24"/>
                <w:szCs w:val="24"/>
              </w:rPr>
            </w:pPr>
          </w:p>
        </w:tc>
        <w:tc>
          <w:tcPr>
            <w:tcW w:w="2208" w:type="dxa"/>
            <w:tcBorders>
              <w:top w:val="single" w:sz="18" w:space="0" w:color="auto"/>
              <w:left w:val="nil"/>
              <w:bottom w:val="single" w:sz="8" w:space="0" w:color="auto"/>
              <w:right w:val="nil"/>
            </w:tcBorders>
            <w:shd w:val="clear" w:color="auto" w:fill="auto"/>
            <w:noWrap/>
            <w:vAlign w:val="center"/>
          </w:tcPr>
          <w:p w:rsidR="00214B1A" w:rsidRPr="008757A5" w:rsidRDefault="00214B1A" w:rsidP="0009567D">
            <w:pPr>
              <w:jc w:val="center"/>
              <w:rPr>
                <w:rFonts w:ascii="Calibri" w:eastAsia="Times New Roman" w:hAnsi="Calibri"/>
                <w:b/>
                <w:bCs/>
                <w:color w:val="000000"/>
                <w:sz w:val="24"/>
                <w:szCs w:val="24"/>
              </w:rPr>
            </w:pPr>
            <w:r w:rsidRPr="008757A5">
              <w:rPr>
                <w:rFonts w:ascii="Calibri" w:eastAsia="Times New Roman" w:hAnsi="Calibri"/>
                <w:b/>
                <w:bCs/>
                <w:color w:val="000000"/>
                <w:sz w:val="24"/>
                <w:szCs w:val="24"/>
              </w:rPr>
              <w:t xml:space="preserve">3-Year </w:t>
            </w:r>
          </w:p>
          <w:p w:rsidR="00214B1A" w:rsidRPr="008757A5" w:rsidRDefault="00214B1A" w:rsidP="0009567D">
            <w:pPr>
              <w:jc w:val="center"/>
              <w:rPr>
                <w:rFonts w:ascii="Calibri" w:eastAsia="Times New Roman" w:hAnsi="Calibri"/>
                <w:b/>
                <w:bCs/>
                <w:color w:val="000000"/>
                <w:sz w:val="24"/>
                <w:szCs w:val="24"/>
              </w:rPr>
            </w:pPr>
            <w:r w:rsidRPr="008757A5">
              <w:rPr>
                <w:rFonts w:ascii="Calibri" w:eastAsia="Times New Roman" w:hAnsi="Calibri"/>
                <w:b/>
                <w:bCs/>
                <w:color w:val="000000"/>
                <w:sz w:val="24"/>
                <w:szCs w:val="24"/>
              </w:rPr>
              <w:t>Average PM</w:t>
            </w:r>
            <w:r w:rsidRPr="008757A5">
              <w:rPr>
                <w:rFonts w:ascii="Calibri" w:eastAsia="Times New Roman" w:hAnsi="Calibri"/>
                <w:b/>
                <w:bCs/>
                <w:color w:val="000000"/>
                <w:sz w:val="24"/>
                <w:szCs w:val="24"/>
                <w:vertAlign w:val="subscript"/>
              </w:rPr>
              <w:t>2.5</w:t>
            </w:r>
          </w:p>
        </w:tc>
        <w:tc>
          <w:tcPr>
            <w:tcW w:w="7442" w:type="dxa"/>
            <w:gridSpan w:val="4"/>
            <w:tcBorders>
              <w:top w:val="single" w:sz="18" w:space="0" w:color="auto"/>
              <w:left w:val="nil"/>
              <w:bottom w:val="single" w:sz="8" w:space="0" w:color="auto"/>
              <w:right w:val="nil"/>
            </w:tcBorders>
            <w:shd w:val="clear" w:color="auto" w:fill="auto"/>
            <w:noWrap/>
            <w:vAlign w:val="center"/>
          </w:tcPr>
          <w:p w:rsidR="00214B1A" w:rsidRPr="008757A5" w:rsidRDefault="00214B1A" w:rsidP="0009567D">
            <w:pPr>
              <w:jc w:val="center"/>
              <w:rPr>
                <w:rFonts w:ascii="Calibri" w:eastAsia="Times New Roman" w:hAnsi="Calibri"/>
                <w:b/>
                <w:bCs/>
                <w:color w:val="000000"/>
                <w:sz w:val="24"/>
                <w:szCs w:val="24"/>
              </w:rPr>
            </w:pPr>
            <w:r w:rsidRPr="008757A5">
              <w:rPr>
                <w:rFonts w:ascii="Calibri" w:eastAsia="Times New Roman" w:hAnsi="Calibri"/>
                <w:b/>
                <w:bCs/>
                <w:color w:val="000000"/>
                <w:sz w:val="24"/>
                <w:szCs w:val="24"/>
              </w:rPr>
              <w:t>Quartile of 3-Year PM</w:t>
            </w:r>
            <w:r w:rsidRPr="008757A5">
              <w:rPr>
                <w:rFonts w:ascii="Calibri" w:eastAsia="Times New Roman" w:hAnsi="Calibri"/>
                <w:b/>
                <w:bCs/>
                <w:color w:val="000000"/>
                <w:sz w:val="24"/>
                <w:szCs w:val="24"/>
                <w:vertAlign w:val="subscript"/>
              </w:rPr>
              <w:t>2.5</w:t>
            </w:r>
            <w:r w:rsidRPr="008757A5">
              <w:rPr>
                <w:rFonts w:ascii="Calibri" w:eastAsia="Times New Roman" w:hAnsi="Calibri"/>
                <w:b/>
                <w:bCs/>
                <w:color w:val="000000"/>
                <w:sz w:val="24"/>
                <w:szCs w:val="24"/>
              </w:rPr>
              <w:t xml:space="preserve"> (in µg/m</w:t>
            </w:r>
            <w:r w:rsidRPr="008757A5">
              <w:rPr>
                <w:rFonts w:ascii="Calibri" w:eastAsia="Times New Roman" w:hAnsi="Calibri"/>
                <w:b/>
                <w:bCs/>
                <w:color w:val="000000"/>
                <w:sz w:val="24"/>
                <w:szCs w:val="24"/>
                <w:vertAlign w:val="superscript"/>
              </w:rPr>
              <w:t>3</w:t>
            </w:r>
            <w:r w:rsidRPr="008757A5">
              <w:rPr>
                <w:rFonts w:ascii="Calibri" w:eastAsia="Times New Roman" w:hAnsi="Calibri"/>
                <w:b/>
                <w:bCs/>
                <w:color w:val="000000"/>
                <w:sz w:val="24"/>
                <w:szCs w:val="24"/>
              </w:rPr>
              <w:t>)</w:t>
            </w:r>
          </w:p>
        </w:tc>
        <w:tc>
          <w:tcPr>
            <w:tcW w:w="830" w:type="dxa"/>
            <w:tcBorders>
              <w:top w:val="single" w:sz="18" w:space="0" w:color="auto"/>
              <w:left w:val="nil"/>
              <w:bottom w:val="single" w:sz="8" w:space="0" w:color="auto"/>
              <w:right w:val="nil"/>
            </w:tcBorders>
            <w:shd w:val="clear" w:color="auto" w:fill="auto"/>
            <w:noWrap/>
            <w:vAlign w:val="center"/>
          </w:tcPr>
          <w:p w:rsidR="00214B1A" w:rsidRPr="008757A5" w:rsidRDefault="00214B1A" w:rsidP="0009567D">
            <w:pPr>
              <w:jc w:val="center"/>
              <w:rPr>
                <w:rFonts w:ascii="Calibri" w:eastAsia="Times New Roman" w:hAnsi="Calibri"/>
                <w:b/>
                <w:bCs/>
                <w:color w:val="000000"/>
                <w:sz w:val="24"/>
                <w:szCs w:val="24"/>
              </w:rPr>
            </w:pPr>
          </w:p>
        </w:tc>
      </w:tr>
      <w:tr w:rsidR="00214B1A" w:rsidRPr="008757A5" w:rsidTr="0009567D">
        <w:trPr>
          <w:trHeight w:val="389"/>
        </w:trPr>
        <w:tc>
          <w:tcPr>
            <w:tcW w:w="2625" w:type="dxa"/>
            <w:tcBorders>
              <w:top w:val="single" w:sz="8" w:space="0" w:color="auto"/>
              <w:left w:val="nil"/>
              <w:bottom w:val="single" w:sz="8" w:space="0" w:color="auto"/>
              <w:right w:val="nil"/>
            </w:tcBorders>
            <w:shd w:val="clear" w:color="auto" w:fill="auto"/>
            <w:noWrap/>
            <w:vAlign w:val="center"/>
          </w:tcPr>
          <w:p w:rsidR="00214B1A" w:rsidRPr="008757A5" w:rsidRDefault="00214B1A" w:rsidP="0009567D">
            <w:pPr>
              <w:jc w:val="center"/>
              <w:rPr>
                <w:rFonts w:ascii="Calibri" w:eastAsia="Times New Roman" w:hAnsi="Calibri"/>
                <w:b/>
                <w:bCs/>
                <w:color w:val="000000"/>
              </w:rPr>
            </w:pPr>
          </w:p>
        </w:tc>
        <w:tc>
          <w:tcPr>
            <w:tcW w:w="1418" w:type="dxa"/>
            <w:gridSpan w:val="2"/>
            <w:tcBorders>
              <w:top w:val="single" w:sz="8" w:space="0" w:color="auto"/>
              <w:left w:val="nil"/>
              <w:bottom w:val="single" w:sz="8" w:space="0" w:color="auto"/>
              <w:right w:val="nil"/>
            </w:tcBorders>
            <w:shd w:val="clear" w:color="auto" w:fill="auto"/>
            <w:noWrap/>
            <w:vAlign w:val="center"/>
          </w:tcPr>
          <w:p w:rsidR="00214B1A" w:rsidRPr="008757A5" w:rsidRDefault="00214B1A" w:rsidP="0009567D">
            <w:pPr>
              <w:jc w:val="center"/>
              <w:rPr>
                <w:rFonts w:ascii="Calibri" w:eastAsia="Times New Roman" w:hAnsi="Calibri"/>
                <w:b/>
                <w:bCs/>
                <w:color w:val="000000"/>
              </w:rPr>
            </w:pPr>
          </w:p>
        </w:tc>
        <w:tc>
          <w:tcPr>
            <w:tcW w:w="2208" w:type="dxa"/>
            <w:tcBorders>
              <w:top w:val="single" w:sz="8" w:space="0" w:color="auto"/>
              <w:left w:val="nil"/>
              <w:bottom w:val="single" w:sz="8" w:space="0" w:color="auto"/>
              <w:right w:val="nil"/>
            </w:tcBorders>
            <w:shd w:val="clear" w:color="auto" w:fill="auto"/>
            <w:noWrap/>
            <w:vAlign w:val="bottom"/>
          </w:tcPr>
          <w:p w:rsidR="00214B1A" w:rsidRPr="008757A5" w:rsidRDefault="00214B1A" w:rsidP="0009567D">
            <w:pPr>
              <w:jc w:val="center"/>
              <w:rPr>
                <w:rFonts w:ascii="Calibri" w:eastAsia="Times New Roman" w:hAnsi="Calibri"/>
                <w:b/>
                <w:bCs/>
                <w:color w:val="000000"/>
              </w:rPr>
            </w:pPr>
            <w:r w:rsidRPr="008757A5">
              <w:rPr>
                <w:rFonts w:ascii="Calibri" w:eastAsia="Times New Roman" w:hAnsi="Calibri"/>
                <w:b/>
                <w:bCs/>
                <w:color w:val="000000"/>
              </w:rPr>
              <w:t xml:space="preserve"> mean ± SD </w:t>
            </w:r>
          </w:p>
          <w:p w:rsidR="00214B1A" w:rsidRPr="008757A5" w:rsidRDefault="00214B1A" w:rsidP="0009567D">
            <w:pPr>
              <w:jc w:val="center"/>
              <w:rPr>
                <w:rFonts w:ascii="Calibri" w:eastAsia="Times New Roman" w:hAnsi="Calibri"/>
                <w:b/>
                <w:bCs/>
                <w:color w:val="000000"/>
              </w:rPr>
            </w:pPr>
            <w:r w:rsidRPr="008757A5">
              <w:rPr>
                <w:rFonts w:ascii="Calibri" w:eastAsia="Times New Roman" w:hAnsi="Calibri"/>
                <w:b/>
                <w:bCs/>
                <w:color w:val="000000"/>
              </w:rPr>
              <w:t>(in µg/m</w:t>
            </w:r>
            <w:r w:rsidRPr="008757A5">
              <w:rPr>
                <w:rFonts w:ascii="Calibri" w:eastAsia="Times New Roman" w:hAnsi="Calibri"/>
                <w:b/>
                <w:bCs/>
                <w:color w:val="000000"/>
                <w:vertAlign w:val="superscript"/>
              </w:rPr>
              <w:t>3</w:t>
            </w:r>
            <w:r w:rsidRPr="008757A5">
              <w:rPr>
                <w:rFonts w:ascii="Calibri" w:eastAsia="Times New Roman" w:hAnsi="Calibri"/>
                <w:b/>
                <w:bCs/>
                <w:color w:val="000000"/>
              </w:rPr>
              <w:t>)</w:t>
            </w:r>
          </w:p>
        </w:tc>
        <w:tc>
          <w:tcPr>
            <w:tcW w:w="1771" w:type="dxa"/>
            <w:tcBorders>
              <w:top w:val="single" w:sz="8" w:space="0" w:color="auto"/>
              <w:left w:val="nil"/>
              <w:bottom w:val="single" w:sz="8" w:space="0" w:color="auto"/>
              <w:right w:val="nil"/>
            </w:tcBorders>
            <w:shd w:val="clear" w:color="auto" w:fill="auto"/>
            <w:noWrap/>
            <w:vAlign w:val="bottom"/>
          </w:tcPr>
          <w:p w:rsidR="00214B1A" w:rsidRPr="008757A5" w:rsidRDefault="00214B1A" w:rsidP="0009567D">
            <w:pPr>
              <w:jc w:val="center"/>
              <w:rPr>
                <w:rFonts w:ascii="Calibri" w:eastAsia="Times New Roman" w:hAnsi="Calibri"/>
                <w:b/>
                <w:bCs/>
                <w:color w:val="000000"/>
              </w:rPr>
            </w:pPr>
            <w:r w:rsidRPr="008757A5">
              <w:rPr>
                <w:rFonts w:ascii="Calibri" w:eastAsia="Times New Roman" w:hAnsi="Calibri"/>
                <w:b/>
                <w:bCs/>
                <w:color w:val="000000"/>
              </w:rPr>
              <w:t>3.97-10.62 (median=9.87)</w:t>
            </w:r>
          </w:p>
        </w:tc>
        <w:tc>
          <w:tcPr>
            <w:tcW w:w="1890" w:type="dxa"/>
            <w:tcBorders>
              <w:top w:val="single" w:sz="8" w:space="0" w:color="auto"/>
              <w:left w:val="nil"/>
              <w:bottom w:val="single" w:sz="8" w:space="0" w:color="auto"/>
              <w:right w:val="nil"/>
            </w:tcBorders>
            <w:shd w:val="clear" w:color="auto" w:fill="auto"/>
            <w:noWrap/>
            <w:vAlign w:val="bottom"/>
          </w:tcPr>
          <w:p w:rsidR="00214B1A" w:rsidRPr="008757A5" w:rsidRDefault="00214B1A" w:rsidP="0009567D">
            <w:pPr>
              <w:jc w:val="center"/>
              <w:rPr>
                <w:rFonts w:ascii="Calibri" w:eastAsia="Times New Roman" w:hAnsi="Calibri"/>
                <w:b/>
                <w:bCs/>
                <w:color w:val="000000"/>
              </w:rPr>
            </w:pPr>
            <w:r w:rsidRPr="008757A5">
              <w:rPr>
                <w:rFonts w:ascii="Calibri" w:eastAsia="Times New Roman" w:hAnsi="Calibri"/>
                <w:b/>
                <w:bCs/>
                <w:color w:val="000000"/>
              </w:rPr>
              <w:t>10.62-12.19 (median=11.26)</w:t>
            </w:r>
          </w:p>
        </w:tc>
        <w:tc>
          <w:tcPr>
            <w:tcW w:w="1890" w:type="dxa"/>
            <w:tcBorders>
              <w:top w:val="single" w:sz="8" w:space="0" w:color="auto"/>
              <w:left w:val="nil"/>
              <w:bottom w:val="single" w:sz="8" w:space="0" w:color="auto"/>
              <w:right w:val="nil"/>
            </w:tcBorders>
            <w:shd w:val="clear" w:color="auto" w:fill="auto"/>
            <w:noWrap/>
            <w:vAlign w:val="bottom"/>
          </w:tcPr>
          <w:p w:rsidR="00214B1A" w:rsidRPr="008757A5" w:rsidRDefault="00214B1A" w:rsidP="0009567D">
            <w:pPr>
              <w:jc w:val="center"/>
              <w:rPr>
                <w:rFonts w:ascii="Calibri" w:eastAsia="Times New Roman" w:hAnsi="Calibri"/>
                <w:b/>
                <w:bCs/>
                <w:color w:val="000000"/>
              </w:rPr>
            </w:pPr>
            <w:r w:rsidRPr="008757A5">
              <w:rPr>
                <w:rFonts w:ascii="Calibri" w:eastAsia="Times New Roman" w:hAnsi="Calibri"/>
                <w:b/>
                <w:bCs/>
                <w:color w:val="000000"/>
              </w:rPr>
              <w:t xml:space="preserve">12.19-14.34 (median=13.31) </w:t>
            </w:r>
          </w:p>
        </w:tc>
        <w:tc>
          <w:tcPr>
            <w:tcW w:w="1891" w:type="dxa"/>
            <w:tcBorders>
              <w:top w:val="single" w:sz="8" w:space="0" w:color="auto"/>
              <w:left w:val="nil"/>
              <w:bottom w:val="single" w:sz="8" w:space="0" w:color="auto"/>
              <w:right w:val="nil"/>
            </w:tcBorders>
            <w:shd w:val="clear" w:color="auto" w:fill="auto"/>
            <w:noWrap/>
            <w:vAlign w:val="bottom"/>
          </w:tcPr>
          <w:p w:rsidR="00214B1A" w:rsidRPr="008757A5" w:rsidRDefault="00214B1A" w:rsidP="0009567D">
            <w:pPr>
              <w:jc w:val="center"/>
              <w:rPr>
                <w:rFonts w:ascii="Calibri" w:eastAsia="Times New Roman" w:hAnsi="Calibri"/>
                <w:b/>
                <w:bCs/>
                <w:color w:val="000000"/>
              </w:rPr>
            </w:pPr>
            <w:r w:rsidRPr="008757A5">
              <w:rPr>
                <w:rFonts w:ascii="Calibri" w:eastAsia="Times New Roman" w:hAnsi="Calibri"/>
                <w:b/>
                <w:bCs/>
                <w:color w:val="000000"/>
              </w:rPr>
              <w:t>14.34-22.55 (median=15.72)</w:t>
            </w:r>
          </w:p>
        </w:tc>
        <w:tc>
          <w:tcPr>
            <w:tcW w:w="830" w:type="dxa"/>
            <w:tcBorders>
              <w:top w:val="single" w:sz="8" w:space="0" w:color="auto"/>
              <w:left w:val="nil"/>
              <w:bottom w:val="single" w:sz="8" w:space="0" w:color="auto"/>
              <w:right w:val="nil"/>
            </w:tcBorders>
            <w:shd w:val="clear" w:color="auto" w:fill="auto"/>
            <w:noWrap/>
            <w:vAlign w:val="center"/>
          </w:tcPr>
          <w:p w:rsidR="00214B1A" w:rsidRPr="008757A5" w:rsidRDefault="00214B1A" w:rsidP="0009567D">
            <w:pPr>
              <w:jc w:val="center"/>
              <w:rPr>
                <w:rFonts w:ascii="Calibri" w:eastAsia="Times New Roman" w:hAnsi="Calibri"/>
                <w:b/>
                <w:bCs/>
                <w:color w:val="000000"/>
              </w:rPr>
            </w:pPr>
            <w:r w:rsidRPr="008757A5">
              <w:rPr>
                <w:rFonts w:ascii="Calibri" w:eastAsia="Times New Roman" w:hAnsi="Calibri"/>
                <w:b/>
                <w:bCs/>
                <w:color w:val="000000"/>
              </w:rPr>
              <w:t>p-value</w:t>
            </w:r>
          </w:p>
        </w:tc>
      </w:tr>
      <w:tr w:rsidR="00214B1A" w:rsidRPr="008757A5" w:rsidTr="0009567D">
        <w:trPr>
          <w:trHeight w:val="389"/>
        </w:trPr>
        <w:tc>
          <w:tcPr>
            <w:tcW w:w="2625" w:type="dxa"/>
            <w:tcBorders>
              <w:top w:val="single" w:sz="8" w:space="0" w:color="auto"/>
              <w:left w:val="nil"/>
              <w:bottom w:val="single" w:sz="8" w:space="0" w:color="auto"/>
              <w:right w:val="nil"/>
            </w:tcBorders>
            <w:shd w:val="clear" w:color="auto" w:fill="auto"/>
            <w:noWrap/>
            <w:vAlign w:val="center"/>
            <w:hideMark/>
          </w:tcPr>
          <w:p w:rsidR="00214B1A" w:rsidRPr="008757A5" w:rsidRDefault="00214B1A" w:rsidP="0009567D">
            <w:pPr>
              <w:jc w:val="center"/>
              <w:rPr>
                <w:rFonts w:ascii="Calibri" w:eastAsia="Times New Roman" w:hAnsi="Calibri"/>
                <w:b/>
                <w:bCs/>
                <w:color w:val="000000"/>
              </w:rPr>
            </w:pPr>
            <w:r w:rsidRPr="008757A5">
              <w:rPr>
                <w:rFonts w:ascii="Calibri" w:eastAsia="Times New Roman" w:hAnsi="Calibri"/>
                <w:b/>
                <w:bCs/>
                <w:color w:val="000000"/>
              </w:rPr>
              <w:t>All</w:t>
            </w:r>
          </w:p>
        </w:tc>
        <w:tc>
          <w:tcPr>
            <w:tcW w:w="1418" w:type="dxa"/>
            <w:gridSpan w:val="2"/>
            <w:tcBorders>
              <w:top w:val="single" w:sz="8" w:space="0" w:color="auto"/>
              <w:left w:val="nil"/>
              <w:bottom w:val="single" w:sz="8" w:space="0" w:color="auto"/>
              <w:right w:val="nil"/>
            </w:tcBorders>
            <w:shd w:val="clear" w:color="auto" w:fill="auto"/>
            <w:noWrap/>
            <w:vAlign w:val="center"/>
            <w:hideMark/>
          </w:tcPr>
          <w:p w:rsidR="00214B1A" w:rsidRPr="008757A5" w:rsidRDefault="00214B1A" w:rsidP="0009567D">
            <w:pPr>
              <w:jc w:val="center"/>
              <w:rPr>
                <w:rFonts w:ascii="Calibri" w:eastAsia="Times New Roman" w:hAnsi="Calibri"/>
                <w:b/>
                <w:bCs/>
                <w:color w:val="000000"/>
              </w:rPr>
            </w:pPr>
            <w:r w:rsidRPr="008757A5">
              <w:rPr>
                <w:rFonts w:ascii="Calibri" w:eastAsia="Times New Roman" w:hAnsi="Calibri"/>
                <w:b/>
                <w:bCs/>
                <w:color w:val="000000"/>
              </w:rPr>
              <w:t>N=3647</w:t>
            </w:r>
          </w:p>
        </w:tc>
        <w:tc>
          <w:tcPr>
            <w:tcW w:w="2208" w:type="dxa"/>
            <w:tcBorders>
              <w:top w:val="single" w:sz="8" w:space="0" w:color="auto"/>
              <w:left w:val="nil"/>
              <w:bottom w:val="single" w:sz="8" w:space="0" w:color="auto"/>
              <w:right w:val="nil"/>
            </w:tcBorders>
            <w:shd w:val="clear" w:color="auto" w:fill="auto"/>
            <w:noWrap/>
            <w:vAlign w:val="center"/>
            <w:hideMark/>
          </w:tcPr>
          <w:p w:rsidR="00214B1A" w:rsidRPr="008757A5" w:rsidRDefault="00214B1A" w:rsidP="0009567D">
            <w:pPr>
              <w:jc w:val="center"/>
              <w:rPr>
                <w:rFonts w:ascii="Calibri" w:eastAsia="Times New Roman" w:hAnsi="Calibri"/>
                <w:b/>
                <w:bCs/>
                <w:color w:val="000000"/>
              </w:rPr>
            </w:pPr>
            <w:r w:rsidRPr="008757A5">
              <w:rPr>
                <w:rFonts w:ascii="Calibri" w:eastAsia="Times New Roman" w:hAnsi="Calibri"/>
                <w:b/>
                <w:bCs/>
                <w:color w:val="000000"/>
              </w:rPr>
              <w:t>12.50 ± 2.69</w:t>
            </w:r>
          </w:p>
        </w:tc>
        <w:tc>
          <w:tcPr>
            <w:tcW w:w="1771" w:type="dxa"/>
            <w:tcBorders>
              <w:top w:val="single" w:sz="8" w:space="0" w:color="auto"/>
              <w:left w:val="nil"/>
              <w:bottom w:val="single" w:sz="8" w:space="0" w:color="auto"/>
              <w:right w:val="nil"/>
            </w:tcBorders>
            <w:shd w:val="clear" w:color="auto" w:fill="auto"/>
            <w:noWrap/>
            <w:vAlign w:val="center"/>
            <w:hideMark/>
          </w:tcPr>
          <w:p w:rsidR="00214B1A" w:rsidRPr="008757A5" w:rsidRDefault="00214B1A" w:rsidP="0009567D">
            <w:pPr>
              <w:jc w:val="center"/>
              <w:rPr>
                <w:rFonts w:ascii="Calibri" w:eastAsia="Times New Roman" w:hAnsi="Calibri"/>
                <w:b/>
                <w:bCs/>
                <w:color w:val="000000"/>
              </w:rPr>
            </w:pPr>
            <w:r w:rsidRPr="008757A5">
              <w:rPr>
                <w:rFonts w:ascii="Calibri" w:eastAsia="Times New Roman" w:hAnsi="Calibri"/>
                <w:b/>
                <w:bCs/>
                <w:color w:val="000000"/>
              </w:rPr>
              <w:t>N=912</w:t>
            </w:r>
          </w:p>
        </w:tc>
        <w:tc>
          <w:tcPr>
            <w:tcW w:w="1890" w:type="dxa"/>
            <w:tcBorders>
              <w:top w:val="single" w:sz="8" w:space="0" w:color="auto"/>
              <w:left w:val="nil"/>
              <w:bottom w:val="single" w:sz="8" w:space="0" w:color="auto"/>
              <w:right w:val="nil"/>
            </w:tcBorders>
            <w:shd w:val="clear" w:color="auto" w:fill="auto"/>
            <w:noWrap/>
            <w:vAlign w:val="center"/>
            <w:hideMark/>
          </w:tcPr>
          <w:p w:rsidR="00214B1A" w:rsidRPr="008757A5" w:rsidRDefault="00214B1A" w:rsidP="0009567D">
            <w:pPr>
              <w:jc w:val="center"/>
              <w:rPr>
                <w:rFonts w:ascii="Calibri" w:eastAsia="Times New Roman" w:hAnsi="Calibri"/>
                <w:b/>
                <w:bCs/>
                <w:color w:val="000000"/>
              </w:rPr>
            </w:pPr>
            <w:r w:rsidRPr="008757A5">
              <w:rPr>
                <w:rFonts w:ascii="Calibri" w:eastAsia="Times New Roman" w:hAnsi="Calibri"/>
                <w:b/>
                <w:bCs/>
                <w:color w:val="000000"/>
              </w:rPr>
              <w:t>N=912</w:t>
            </w:r>
          </w:p>
        </w:tc>
        <w:tc>
          <w:tcPr>
            <w:tcW w:w="1890" w:type="dxa"/>
            <w:tcBorders>
              <w:top w:val="single" w:sz="8" w:space="0" w:color="auto"/>
              <w:left w:val="nil"/>
              <w:bottom w:val="single" w:sz="8" w:space="0" w:color="auto"/>
              <w:right w:val="nil"/>
            </w:tcBorders>
            <w:shd w:val="clear" w:color="auto" w:fill="auto"/>
            <w:noWrap/>
            <w:vAlign w:val="center"/>
            <w:hideMark/>
          </w:tcPr>
          <w:p w:rsidR="00214B1A" w:rsidRPr="008757A5" w:rsidRDefault="00214B1A" w:rsidP="0009567D">
            <w:pPr>
              <w:jc w:val="center"/>
              <w:rPr>
                <w:rFonts w:ascii="Calibri" w:eastAsia="Times New Roman" w:hAnsi="Calibri"/>
                <w:b/>
                <w:bCs/>
                <w:color w:val="000000"/>
              </w:rPr>
            </w:pPr>
            <w:r w:rsidRPr="008757A5">
              <w:rPr>
                <w:rFonts w:ascii="Calibri" w:eastAsia="Times New Roman" w:hAnsi="Calibri"/>
                <w:b/>
                <w:bCs/>
                <w:color w:val="000000"/>
              </w:rPr>
              <w:t>N=912</w:t>
            </w:r>
          </w:p>
        </w:tc>
        <w:tc>
          <w:tcPr>
            <w:tcW w:w="1891" w:type="dxa"/>
            <w:tcBorders>
              <w:top w:val="single" w:sz="8" w:space="0" w:color="auto"/>
              <w:left w:val="nil"/>
              <w:bottom w:val="single" w:sz="8" w:space="0" w:color="auto"/>
              <w:right w:val="nil"/>
            </w:tcBorders>
            <w:shd w:val="clear" w:color="auto" w:fill="auto"/>
            <w:noWrap/>
            <w:vAlign w:val="center"/>
            <w:hideMark/>
          </w:tcPr>
          <w:p w:rsidR="00214B1A" w:rsidRPr="008757A5" w:rsidRDefault="00214B1A" w:rsidP="0009567D">
            <w:pPr>
              <w:jc w:val="center"/>
              <w:rPr>
                <w:rFonts w:ascii="Calibri" w:eastAsia="Times New Roman" w:hAnsi="Calibri"/>
                <w:b/>
                <w:bCs/>
                <w:color w:val="000000"/>
              </w:rPr>
            </w:pPr>
            <w:r w:rsidRPr="008757A5">
              <w:rPr>
                <w:rFonts w:ascii="Calibri" w:eastAsia="Times New Roman" w:hAnsi="Calibri"/>
                <w:b/>
                <w:bCs/>
                <w:color w:val="000000"/>
              </w:rPr>
              <w:t>N=911</w:t>
            </w:r>
          </w:p>
        </w:tc>
        <w:tc>
          <w:tcPr>
            <w:tcW w:w="830" w:type="dxa"/>
            <w:tcBorders>
              <w:top w:val="single" w:sz="8" w:space="0" w:color="auto"/>
              <w:left w:val="nil"/>
              <w:bottom w:val="single" w:sz="8" w:space="0" w:color="auto"/>
              <w:right w:val="nil"/>
            </w:tcBorders>
            <w:shd w:val="clear" w:color="auto" w:fill="auto"/>
            <w:noWrap/>
            <w:vAlign w:val="center"/>
            <w:hideMark/>
          </w:tcPr>
          <w:p w:rsidR="00214B1A" w:rsidRPr="008757A5" w:rsidRDefault="00214B1A" w:rsidP="0009567D">
            <w:pPr>
              <w:jc w:val="center"/>
              <w:rPr>
                <w:rFonts w:ascii="Calibri" w:eastAsia="Times New Roman" w:hAnsi="Calibri"/>
                <w:b/>
                <w:bCs/>
                <w:color w:val="000000"/>
              </w:rPr>
            </w:pPr>
          </w:p>
        </w:tc>
      </w:tr>
      <w:tr w:rsidR="00214B1A" w:rsidRPr="008757A5" w:rsidTr="0009567D">
        <w:trPr>
          <w:trHeight w:val="374"/>
        </w:trPr>
        <w:tc>
          <w:tcPr>
            <w:tcW w:w="2625" w:type="dxa"/>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b/>
                <w:color w:val="000000"/>
              </w:rPr>
            </w:pPr>
            <w:r w:rsidRPr="008757A5">
              <w:rPr>
                <w:rFonts w:ascii="Calibri" w:eastAsia="Times New Roman" w:hAnsi="Calibri"/>
                <w:b/>
                <w:color w:val="000000"/>
              </w:rPr>
              <w:t>U. S. Region</w:t>
            </w:r>
          </w:p>
        </w:tc>
        <w:tc>
          <w:tcPr>
            <w:tcW w:w="1418" w:type="dxa"/>
            <w:gridSpan w:val="2"/>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&lt;.0001</w:t>
            </w:r>
          </w:p>
        </w:tc>
      </w:tr>
      <w:tr w:rsidR="00214B1A" w:rsidRPr="008757A5" w:rsidTr="0009567D">
        <w:trPr>
          <w:trHeight w:val="374"/>
        </w:trPr>
        <w:tc>
          <w:tcPr>
            <w:tcW w:w="2625" w:type="dxa"/>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Northeast</w:t>
            </w:r>
          </w:p>
        </w:tc>
        <w:tc>
          <w:tcPr>
            <w:tcW w:w="1418" w:type="dxa"/>
            <w:gridSpan w:val="2"/>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1037</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12.1 ± 1.67</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210 (20.3%)</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366 (35.3%)</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369 (35.6%)</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92 (8.9%)</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625" w:type="dxa"/>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South</w:t>
            </w:r>
          </w:p>
        </w:tc>
        <w:tc>
          <w:tcPr>
            <w:tcW w:w="1418" w:type="dxa"/>
            <w:gridSpan w:val="2"/>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715</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13.45 ± 2.09</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112 (15.7%)</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83 (11.6%)</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269 (37.6%)</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251 (35.1%)</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625" w:type="dxa"/>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Midwest</w:t>
            </w:r>
          </w:p>
        </w:tc>
        <w:tc>
          <w:tcPr>
            <w:tcW w:w="1418" w:type="dxa"/>
            <w:gridSpan w:val="2"/>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898</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12.95 ± 2.27</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179 (19.9%)</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207 (23.1%)</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210 (23.4%)</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302 (33.6%)</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625" w:type="dxa"/>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West</w:t>
            </w:r>
          </w:p>
        </w:tc>
        <w:tc>
          <w:tcPr>
            <w:tcW w:w="1418" w:type="dxa"/>
            <w:gridSpan w:val="2"/>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997</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11.84 ± 3.8</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411 (41.2%)</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256 (25.7%)</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64 (6.4%)</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266 (26.7%)</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625" w:type="dxa"/>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b/>
                <w:color w:val="000000"/>
              </w:rPr>
            </w:pPr>
            <w:r w:rsidRPr="008757A5">
              <w:rPr>
                <w:rFonts w:ascii="Calibri" w:eastAsia="Times New Roman" w:hAnsi="Calibri"/>
                <w:b/>
                <w:color w:val="000000"/>
              </w:rPr>
              <w:t>Age group at screening</w:t>
            </w:r>
          </w:p>
        </w:tc>
        <w:tc>
          <w:tcPr>
            <w:tcW w:w="1418" w:type="dxa"/>
            <w:gridSpan w:val="2"/>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0.001</w:t>
            </w:r>
          </w:p>
        </w:tc>
      </w:tr>
      <w:tr w:rsidR="00214B1A" w:rsidRPr="008757A5" w:rsidTr="0009567D">
        <w:trPr>
          <w:trHeight w:val="374"/>
        </w:trPr>
        <w:tc>
          <w:tcPr>
            <w:tcW w:w="2625" w:type="dxa"/>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63-69</w:t>
            </w:r>
          </w:p>
        </w:tc>
        <w:tc>
          <w:tcPr>
            <w:tcW w:w="1418" w:type="dxa"/>
            <w:gridSpan w:val="2"/>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1713</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12.46 ± 2.65</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436 (25.5%)</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420 (24.5%)</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445 (26%)</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412 (24.1%)</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625" w:type="dxa"/>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70-74</w:t>
            </w:r>
          </w:p>
        </w:tc>
        <w:tc>
          <w:tcPr>
            <w:tcW w:w="1418" w:type="dxa"/>
            <w:gridSpan w:val="2"/>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1353</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12.41 ± 2.7</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354 (26.2%)</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342 (25.3%)</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343 (25.4%)</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314 (23.2%)</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625" w:type="dxa"/>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≥75</w:t>
            </w:r>
          </w:p>
        </w:tc>
        <w:tc>
          <w:tcPr>
            <w:tcW w:w="1418" w:type="dxa"/>
            <w:gridSpan w:val="2"/>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581</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12.84 ± 2.79</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122 (21%)</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150 (25.8%)</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124 (21.3%)</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185 (31.8%)</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625" w:type="dxa"/>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b/>
                <w:color w:val="000000"/>
              </w:rPr>
            </w:pPr>
            <w:r w:rsidRPr="008757A5">
              <w:rPr>
                <w:rFonts w:ascii="Calibri" w:eastAsia="Times New Roman" w:hAnsi="Calibri"/>
                <w:b/>
                <w:color w:val="000000"/>
              </w:rPr>
              <w:t>Family Income</w:t>
            </w:r>
          </w:p>
        </w:tc>
        <w:tc>
          <w:tcPr>
            <w:tcW w:w="1418" w:type="dxa"/>
            <w:gridSpan w:val="2"/>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0.03</w:t>
            </w:r>
          </w:p>
        </w:tc>
      </w:tr>
      <w:tr w:rsidR="00214B1A" w:rsidRPr="008757A5" w:rsidTr="0009567D">
        <w:trPr>
          <w:trHeight w:val="374"/>
        </w:trPr>
        <w:tc>
          <w:tcPr>
            <w:tcW w:w="2625" w:type="dxa"/>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Less than $10,000</w:t>
            </w:r>
          </w:p>
        </w:tc>
        <w:tc>
          <w:tcPr>
            <w:tcW w:w="1418" w:type="dxa"/>
            <w:gridSpan w:val="2"/>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144</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12.27 ± 2.65</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35 (24.3%)</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47 (32.6%)</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26 (18.1%)</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36 (25%)</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625" w:type="dxa"/>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$10,000 to $34,999</w:t>
            </w:r>
          </w:p>
        </w:tc>
        <w:tc>
          <w:tcPr>
            <w:tcW w:w="1418" w:type="dxa"/>
            <w:gridSpan w:val="2"/>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1734</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12.42 ± 2.73</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469 (27%)</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420 (24.2%)</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408 (23.5%)</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437 (25.2%)</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625" w:type="dxa"/>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$35,000 to $74,999</w:t>
            </w:r>
          </w:p>
        </w:tc>
        <w:tc>
          <w:tcPr>
            <w:tcW w:w="1418" w:type="dxa"/>
            <w:gridSpan w:val="2"/>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1251</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12.56 ± 2.68</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301 (24.1%)</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318 (25.4%)</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327 (26.1%)</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305 (24.4%)</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625" w:type="dxa"/>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≥$75,000</w:t>
            </w:r>
          </w:p>
        </w:tc>
        <w:tc>
          <w:tcPr>
            <w:tcW w:w="1418" w:type="dxa"/>
            <w:gridSpan w:val="2"/>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383</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12.8 ± 2.64</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78 (20.4%)</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89 (23.2%)</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112 (29.2%)</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104 (27.2%)</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625" w:type="dxa"/>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Missing</w:t>
            </w:r>
          </w:p>
        </w:tc>
        <w:tc>
          <w:tcPr>
            <w:tcW w:w="1418" w:type="dxa"/>
            <w:gridSpan w:val="2"/>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135</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12.48 ± 2.59</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29 (21.5%)</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38 (28.1%)</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39 (28.9%)</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29 (21.5%)</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625" w:type="dxa"/>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b/>
                <w:color w:val="000000"/>
              </w:rPr>
            </w:pPr>
            <w:r w:rsidRPr="008757A5">
              <w:rPr>
                <w:rFonts w:ascii="Calibri" w:eastAsia="Times New Roman" w:hAnsi="Calibri"/>
                <w:b/>
                <w:color w:val="000000"/>
              </w:rPr>
              <w:t>Education</w:t>
            </w:r>
          </w:p>
        </w:tc>
        <w:tc>
          <w:tcPr>
            <w:tcW w:w="1418" w:type="dxa"/>
            <w:gridSpan w:val="2"/>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0.23</w:t>
            </w:r>
          </w:p>
        </w:tc>
      </w:tr>
      <w:tr w:rsidR="00214B1A" w:rsidRPr="008757A5" w:rsidTr="0009567D">
        <w:trPr>
          <w:trHeight w:val="374"/>
        </w:trPr>
        <w:tc>
          <w:tcPr>
            <w:tcW w:w="2625" w:type="dxa"/>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&lt;High School</w:t>
            </w:r>
          </w:p>
        </w:tc>
        <w:tc>
          <w:tcPr>
            <w:tcW w:w="1418" w:type="dxa"/>
            <w:gridSpan w:val="2"/>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187</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12.62 ± 2.72</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48 (25.7%)</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42 (22.5%)</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41 (21.9%)</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56 (29.9%)</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625" w:type="dxa"/>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High school/GED</w:t>
            </w:r>
          </w:p>
        </w:tc>
        <w:tc>
          <w:tcPr>
            <w:tcW w:w="1418" w:type="dxa"/>
            <w:gridSpan w:val="2"/>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794</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12.47 ± 2.59</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198 (24.9%)</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214 (27%)</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178 (22.4%)</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204 (25.7%)</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625" w:type="dxa"/>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&gt;High school</w:t>
            </w:r>
          </w:p>
        </w:tc>
        <w:tc>
          <w:tcPr>
            <w:tcW w:w="1418" w:type="dxa"/>
            <w:gridSpan w:val="2"/>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2657</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12.5 ± 2.72</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666 (25.1%)</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654 (24.6%)</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690 (26%)</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647 (24.4%)</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625" w:type="dxa"/>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b/>
                <w:color w:val="000000"/>
              </w:rPr>
            </w:pPr>
            <w:r w:rsidRPr="008757A5">
              <w:rPr>
                <w:rFonts w:ascii="Calibri" w:eastAsia="Times New Roman" w:hAnsi="Calibri"/>
                <w:b/>
                <w:color w:val="000000"/>
              </w:rPr>
              <w:t>Employment</w:t>
            </w:r>
          </w:p>
        </w:tc>
        <w:tc>
          <w:tcPr>
            <w:tcW w:w="1418" w:type="dxa"/>
            <w:gridSpan w:val="2"/>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0.22</w:t>
            </w:r>
          </w:p>
        </w:tc>
      </w:tr>
      <w:tr w:rsidR="00214B1A" w:rsidRPr="008757A5" w:rsidTr="0009567D">
        <w:trPr>
          <w:trHeight w:val="374"/>
        </w:trPr>
        <w:tc>
          <w:tcPr>
            <w:tcW w:w="2625" w:type="dxa"/>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lastRenderedPageBreak/>
              <w:t xml:space="preserve">  Currently employed</w:t>
            </w:r>
          </w:p>
        </w:tc>
        <w:tc>
          <w:tcPr>
            <w:tcW w:w="1418" w:type="dxa"/>
            <w:gridSpan w:val="2"/>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661</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12.63 ± 2.69</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162 (24.5%)</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153 (23.1%)</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182 (27.5%)</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164 (24.8%)</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625" w:type="dxa"/>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Not working</w:t>
            </w:r>
          </w:p>
        </w:tc>
        <w:tc>
          <w:tcPr>
            <w:tcW w:w="1418" w:type="dxa"/>
            <w:gridSpan w:val="2"/>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355</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12.64 ± 2.79</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83 (23.4%)</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78 (22%)</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100 (28.2%)</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94 (26.5%)</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625" w:type="dxa"/>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Retired</w:t>
            </w:r>
          </w:p>
        </w:tc>
        <w:tc>
          <w:tcPr>
            <w:tcW w:w="1418" w:type="dxa"/>
            <w:gridSpan w:val="2"/>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2619</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12.45 ± 2.68</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667 (25.5%)</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676 (25.8%)</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626 (23.9%)</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650 (24.8%)</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6251" w:type="dxa"/>
            <w:gridSpan w:val="4"/>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b/>
                <w:color w:val="000000"/>
              </w:rPr>
            </w:pPr>
            <w:r w:rsidRPr="008757A5">
              <w:rPr>
                <w:rFonts w:ascii="Calibri" w:eastAsia="Times New Roman" w:hAnsi="Calibri"/>
                <w:b/>
                <w:color w:val="000000"/>
              </w:rPr>
              <w:t>Moderate/Strenuous activities ≥20 minutes</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0.05</w:t>
            </w: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No activity</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2051</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12.57 ± 2.71</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497 (24.2%)</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505 (24.6%)</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502 (24.5%)</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547 (26.7%)</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Some activity</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168</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12.75 ± 2.45</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30 (17.9%)</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52 (31%)</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43 (25.6%)</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43 (25.6%)</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2-4 episodes/week</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741</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12.38 ± 2.7</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195 (26.3%)</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195 (26.3%)</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186 (25.1%)</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165 (22.3%)</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&gt;4 episodes/week</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679</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12.38 ± 2.68</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188 (27.7%)</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158 (23.3%)</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178 (26.2%)</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155 (22.8%)</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b/>
                <w:color w:val="000000"/>
              </w:rPr>
            </w:pPr>
            <w:r w:rsidRPr="008757A5">
              <w:rPr>
                <w:rFonts w:ascii="Calibri" w:eastAsia="Times New Roman" w:hAnsi="Calibri"/>
                <w:b/>
                <w:color w:val="000000"/>
              </w:rPr>
              <w:t>Smoking status</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0.42</w:t>
            </w: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Never Smoked</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1912</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12.55 ± 2.7</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469 (24.5%)</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484 (25.3%)</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457 (23.9%)</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502 (26.3%)</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Past Smoker</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1467</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12.44 ± 2.71</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377 (25.7%)</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361 (24.6%)</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388 (26.4%)</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341 (23.2%)</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Current Smoker</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219</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12.51 ± 2.65</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56 (25.6%)</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54 (24.7%)</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52 (23.7%)</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57 (26%)</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b/>
                <w:color w:val="000000"/>
              </w:rPr>
            </w:pPr>
            <w:r w:rsidRPr="008757A5">
              <w:rPr>
                <w:rFonts w:ascii="Calibri" w:eastAsia="Times New Roman" w:hAnsi="Calibri"/>
                <w:b/>
                <w:color w:val="000000"/>
              </w:rPr>
              <w:t>Alcohol intake</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0.0002</w:t>
            </w: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Non drinker</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415</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12.93 ± 2.67</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93 (22.4%)</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79 (19%)</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107 (25.8%)</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136 (32.8%)</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Past drinker</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599</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12.63 ± 2.83</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154 (25.7%)</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141 (23.5%)</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132 (22%)</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172 (28.7%)</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&lt;1 drink per day</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2098</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12.4 ± 2.66</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531 (25.3%)</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564 (26.9%)</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526 (25.1%)</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477 (22.7%)</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&gt;1 drink per day</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509</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12.43 ± 2.65</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129 (25.3%)</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122 (24%)</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139 (27.3%)</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119 (23.4%)</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b/>
                <w:color w:val="000000"/>
              </w:rPr>
            </w:pPr>
            <w:r w:rsidRPr="008757A5">
              <w:rPr>
                <w:rFonts w:ascii="Calibri" w:eastAsia="Times New Roman" w:hAnsi="Calibri"/>
                <w:b/>
                <w:color w:val="000000"/>
              </w:rPr>
              <w:t>HT use ever</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&lt;.0001</w:t>
            </w: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No</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2003</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12.57 ± 2.51</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449 (22.4%)</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523 (26.1%)</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553 (27.6%)</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478 (23.9%)</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Yes</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1643</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12.43 ± 2.9</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462 (28.1%)</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389 (23.7%)</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359 (21.9%)</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433 (26.4%)</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Body mass Index (kg/m</w:t>
            </w:r>
            <w:r w:rsidRPr="008757A5">
              <w:rPr>
                <w:rFonts w:ascii="Calibri" w:eastAsia="Times New Roman" w:hAnsi="Calibri"/>
                <w:color w:val="000000"/>
                <w:vertAlign w:val="superscript"/>
              </w:rPr>
              <w:t>2</w:t>
            </w:r>
            <w:r w:rsidRPr="008757A5">
              <w:rPr>
                <w:rFonts w:ascii="Calibri" w:eastAsia="Times New Roman" w:hAnsi="Calibri"/>
                <w:color w:val="000000"/>
              </w:rPr>
              <w:t>)</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0.87</w:t>
            </w: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&lt;25</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1119</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12.53 ± 2.72</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284 (25.4%)</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267 (23.9%)</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293 (26.2%)</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275 (24.6%)</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25-29</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1341</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12.55 ± 2.72</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330 (24.6%)</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347 (25.9%)</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329 (24.5%)</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335 (25%)</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≥30</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1169</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12.42 ± 2.64</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298 (25.5%)</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293 (25.1%)</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282 (24.1%)</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296 (25.3%)</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b/>
                <w:color w:val="000000"/>
              </w:rPr>
            </w:pPr>
            <w:r w:rsidRPr="008757A5">
              <w:rPr>
                <w:rFonts w:ascii="Calibri" w:eastAsia="Times New Roman" w:hAnsi="Calibri"/>
                <w:b/>
                <w:color w:val="000000"/>
              </w:rPr>
              <w:t>History of depression</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0.40</w:t>
            </w: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No</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3313</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12.5 ± 2.68</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824 (24.9%)</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846 (25.5%)</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819 (24.7%)</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824 (24.9%)</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Yes</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268</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12.59 ± 2.77</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64 (23.9%)</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59 (22%)</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77 (28.7%)</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68 (25.4%)</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4043" w:type="dxa"/>
            <w:gridSpan w:val="3"/>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b/>
                <w:color w:val="000000"/>
              </w:rPr>
            </w:pPr>
            <w:r w:rsidRPr="008757A5">
              <w:rPr>
                <w:rFonts w:ascii="Calibri" w:eastAsia="Times New Roman" w:hAnsi="Calibri"/>
                <w:b/>
                <w:color w:val="000000"/>
              </w:rPr>
              <w:lastRenderedPageBreak/>
              <w:t>Diabetes treated ever (pills or shots)</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0.14</w:t>
            </w: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No</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3442</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12.52 ± 2.71</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866 (25.2%)</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848 (24.6%)</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863 (25.1%)</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865 (25.1%)</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Yes</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201</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12.23 ± 2.44</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45 (22.4%)</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64 (31.8%)</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48 (23.9%)</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44 (21.9%)</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4043" w:type="dxa"/>
            <w:gridSpan w:val="3"/>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b/>
                <w:color w:val="000000"/>
              </w:rPr>
            </w:pPr>
            <w:r w:rsidRPr="008757A5">
              <w:rPr>
                <w:rFonts w:ascii="Calibri" w:eastAsia="Times New Roman" w:hAnsi="Calibri"/>
                <w:b/>
                <w:color w:val="000000"/>
              </w:rPr>
              <w:t>High cholesterol requiring pills ever</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0.55</w:t>
            </w: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No</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2910</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12.47 ± 2.7</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737 (25.3%)</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733 (25.2%)</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723 (24.8%)</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717 (24.6%)</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Yes</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698</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12.63 ± 2.67</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164 (23.5%)</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168 (24.1%)</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181 (25.9%)</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185 (26.5%)</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b/>
                <w:color w:val="000000"/>
              </w:rPr>
            </w:pPr>
            <w:r w:rsidRPr="008757A5">
              <w:rPr>
                <w:rFonts w:ascii="Calibri" w:eastAsia="Times New Roman" w:hAnsi="Calibri"/>
                <w:b/>
                <w:color w:val="000000"/>
              </w:rPr>
              <w:t>Hypertension ever</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0.38</w:t>
            </w: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No</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2307</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12.5 ± 2.69</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591 (25.6%)</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557 (24.1%)</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580 (25.1%)</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579 (25.1%)</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Yes</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1308</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12.5 ± 2.69</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313 (23.9%)</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348 (26.6%)</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322 (24.6%)</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325 (24.8%)</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b/>
                <w:color w:val="000000"/>
              </w:rPr>
            </w:pPr>
            <w:r w:rsidRPr="008757A5">
              <w:rPr>
                <w:rFonts w:ascii="Calibri" w:eastAsia="Times New Roman" w:hAnsi="Calibri"/>
                <w:b/>
                <w:color w:val="000000"/>
              </w:rPr>
              <w:t>Cardiovascular disease</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0.48</w:t>
            </w: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No</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3028</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12.49 ± 2.7</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767 (25.3%)</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769 (25.4%)</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751 (24.8%)</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741 (24.5%)</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Yes</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578</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12.5 ± 2.65</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141 (24.4%)</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133 (23%)</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150 (26%)</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154 (26.6%)</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b/>
                <w:color w:val="000000"/>
              </w:rPr>
            </w:pPr>
            <w:proofErr w:type="spellStart"/>
            <w:r w:rsidRPr="008757A5">
              <w:rPr>
                <w:rFonts w:ascii="Calibri" w:eastAsia="Times New Roman" w:hAnsi="Calibri"/>
                <w:b/>
                <w:color w:val="000000"/>
              </w:rPr>
              <w:t>Subcohort</w:t>
            </w:r>
            <w:proofErr w:type="spellEnd"/>
            <w:r w:rsidRPr="008757A5">
              <w:rPr>
                <w:rFonts w:ascii="Calibri" w:eastAsia="Times New Roman" w:hAnsi="Calibri"/>
                <w:b/>
                <w:color w:val="000000"/>
              </w:rPr>
              <w:t xml:space="preserve"> membership: E-alone</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0.28</w:t>
            </w: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E-alone control</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609</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12.35 ± 2.74</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159 (26.1%)</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161 (26.4%)</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136 (22.3%)</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153 (25.1%)</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E-alone intervention</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588</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12.57 ± 2.77</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156 (26.5%)</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128 (21.8%)</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145 (24.7%)</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159 (27%)</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b/>
                <w:color w:val="000000"/>
              </w:rPr>
            </w:pPr>
            <w:proofErr w:type="spellStart"/>
            <w:r w:rsidRPr="008757A5">
              <w:rPr>
                <w:rFonts w:ascii="Calibri" w:eastAsia="Times New Roman" w:hAnsi="Calibri"/>
                <w:b/>
                <w:color w:val="000000"/>
              </w:rPr>
              <w:t>Subcohort</w:t>
            </w:r>
            <w:proofErr w:type="spellEnd"/>
            <w:r w:rsidRPr="008757A5">
              <w:rPr>
                <w:rFonts w:ascii="Calibri" w:eastAsia="Times New Roman" w:hAnsi="Calibri"/>
                <w:b/>
                <w:color w:val="000000"/>
              </w:rPr>
              <w:t xml:space="preserve"> membership: E+P</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0.42</w:t>
            </w: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E+P control</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1251</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12.51 ± 2.7</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301 (24.1%)</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317 (25.3%)</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339 (27.1%)</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294 (23.5%)</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E+P intervention</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1199</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12.53 ± 2.62</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296 (24.7%)</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306 (25.5%)</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292 (24.4%)</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305 (25.4%)</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b/>
                <w:color w:val="000000"/>
              </w:rPr>
            </w:pPr>
            <w:r w:rsidRPr="008757A5">
              <w:rPr>
                <w:rFonts w:ascii="Calibri" w:eastAsia="Times New Roman" w:hAnsi="Calibri"/>
                <w:b/>
                <w:color w:val="000000"/>
              </w:rPr>
              <w:t>APOE genetic category</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0.48</w:t>
            </w: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e3/e3</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2644</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12.51 ± 2.67</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671 (25.4%)</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647 (24.5%)</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673 (25.5%)</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653 (24.7%)</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74"/>
        </w:trPr>
        <w:tc>
          <w:tcPr>
            <w:tcW w:w="2894" w:type="dxa"/>
            <w:gridSpan w:val="2"/>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e3/e4</w:t>
            </w:r>
          </w:p>
        </w:tc>
        <w:tc>
          <w:tcPr>
            <w:tcW w:w="1149"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922</w:t>
            </w:r>
          </w:p>
        </w:tc>
        <w:tc>
          <w:tcPr>
            <w:tcW w:w="2208"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12.49 ± 2.76</w:t>
            </w:r>
          </w:p>
        </w:tc>
        <w:tc>
          <w:tcPr>
            <w:tcW w:w="177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222 (24.1%)</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248 (26.9%)</w:t>
            </w:r>
          </w:p>
        </w:tc>
        <w:tc>
          <w:tcPr>
            <w:tcW w:w="189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214 (23.2%)</w:t>
            </w:r>
          </w:p>
        </w:tc>
        <w:tc>
          <w:tcPr>
            <w:tcW w:w="1891"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238 (25.8%)</w:t>
            </w:r>
          </w:p>
        </w:tc>
        <w:tc>
          <w:tcPr>
            <w:tcW w:w="830" w:type="dxa"/>
            <w:tcBorders>
              <w:top w:val="nil"/>
              <w:left w:val="nil"/>
              <w:bottom w:val="nil"/>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p>
        </w:tc>
      </w:tr>
      <w:tr w:rsidR="00214B1A" w:rsidRPr="008757A5" w:rsidTr="0009567D">
        <w:trPr>
          <w:trHeight w:val="389"/>
        </w:trPr>
        <w:tc>
          <w:tcPr>
            <w:tcW w:w="2894" w:type="dxa"/>
            <w:gridSpan w:val="2"/>
            <w:tcBorders>
              <w:top w:val="nil"/>
              <w:left w:val="nil"/>
              <w:bottom w:val="single" w:sz="8" w:space="0" w:color="auto"/>
              <w:right w:val="nil"/>
            </w:tcBorders>
            <w:shd w:val="clear" w:color="auto" w:fill="auto"/>
            <w:noWrap/>
            <w:vAlign w:val="bottom"/>
            <w:hideMark/>
          </w:tcPr>
          <w:p w:rsidR="00214B1A" w:rsidRPr="008757A5" w:rsidRDefault="00214B1A" w:rsidP="0009567D">
            <w:pPr>
              <w:rPr>
                <w:rFonts w:ascii="Calibri" w:eastAsia="Times New Roman" w:hAnsi="Calibri"/>
                <w:color w:val="000000"/>
              </w:rPr>
            </w:pPr>
            <w:r w:rsidRPr="008757A5">
              <w:rPr>
                <w:rFonts w:ascii="Calibri" w:eastAsia="Times New Roman" w:hAnsi="Calibri"/>
                <w:color w:val="000000"/>
              </w:rPr>
              <w:t xml:space="preserve">  e4/e4</w:t>
            </w:r>
          </w:p>
        </w:tc>
        <w:tc>
          <w:tcPr>
            <w:tcW w:w="1149" w:type="dxa"/>
            <w:tcBorders>
              <w:top w:val="nil"/>
              <w:left w:val="nil"/>
              <w:bottom w:val="single" w:sz="8" w:space="0" w:color="auto"/>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81</w:t>
            </w:r>
          </w:p>
        </w:tc>
        <w:tc>
          <w:tcPr>
            <w:tcW w:w="2208" w:type="dxa"/>
            <w:tcBorders>
              <w:top w:val="nil"/>
              <w:left w:val="nil"/>
              <w:bottom w:val="single" w:sz="8" w:space="0" w:color="auto"/>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12.48 ± 2.79</w:t>
            </w:r>
          </w:p>
        </w:tc>
        <w:tc>
          <w:tcPr>
            <w:tcW w:w="1771" w:type="dxa"/>
            <w:tcBorders>
              <w:top w:val="nil"/>
              <w:left w:val="nil"/>
              <w:bottom w:val="single" w:sz="8" w:space="0" w:color="auto"/>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19 (23.5%)</w:t>
            </w:r>
          </w:p>
        </w:tc>
        <w:tc>
          <w:tcPr>
            <w:tcW w:w="1890" w:type="dxa"/>
            <w:tcBorders>
              <w:top w:val="nil"/>
              <w:left w:val="nil"/>
              <w:bottom w:val="single" w:sz="8" w:space="0" w:color="auto"/>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17 (21%)</w:t>
            </w:r>
          </w:p>
        </w:tc>
        <w:tc>
          <w:tcPr>
            <w:tcW w:w="1890" w:type="dxa"/>
            <w:tcBorders>
              <w:top w:val="nil"/>
              <w:left w:val="nil"/>
              <w:bottom w:val="single" w:sz="8" w:space="0" w:color="auto"/>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25 (30.9%)</w:t>
            </w:r>
          </w:p>
        </w:tc>
        <w:tc>
          <w:tcPr>
            <w:tcW w:w="1891" w:type="dxa"/>
            <w:tcBorders>
              <w:top w:val="nil"/>
              <w:left w:val="nil"/>
              <w:bottom w:val="single" w:sz="8" w:space="0" w:color="auto"/>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20 (24.7%)</w:t>
            </w:r>
          </w:p>
        </w:tc>
        <w:tc>
          <w:tcPr>
            <w:tcW w:w="830" w:type="dxa"/>
            <w:tcBorders>
              <w:top w:val="nil"/>
              <w:left w:val="nil"/>
              <w:bottom w:val="single" w:sz="8" w:space="0" w:color="auto"/>
              <w:right w:val="nil"/>
            </w:tcBorders>
            <w:shd w:val="clear" w:color="auto" w:fill="auto"/>
            <w:noWrap/>
            <w:vAlign w:val="bottom"/>
            <w:hideMark/>
          </w:tcPr>
          <w:p w:rsidR="00214B1A" w:rsidRPr="008757A5" w:rsidRDefault="00214B1A" w:rsidP="0009567D">
            <w:pPr>
              <w:jc w:val="center"/>
              <w:rPr>
                <w:rFonts w:ascii="Calibri" w:eastAsia="Times New Roman" w:hAnsi="Calibri"/>
                <w:color w:val="000000"/>
              </w:rPr>
            </w:pPr>
            <w:r w:rsidRPr="008757A5">
              <w:rPr>
                <w:rFonts w:ascii="Calibri" w:eastAsia="Times New Roman" w:hAnsi="Calibri"/>
                <w:color w:val="000000"/>
              </w:rPr>
              <w:t> </w:t>
            </w:r>
          </w:p>
        </w:tc>
      </w:tr>
      <w:tr w:rsidR="00214B1A" w:rsidRPr="008757A5" w:rsidTr="0009567D">
        <w:trPr>
          <w:trHeight w:val="374"/>
        </w:trPr>
        <w:tc>
          <w:tcPr>
            <w:tcW w:w="14523" w:type="dxa"/>
            <w:gridSpan w:val="9"/>
            <w:tcBorders>
              <w:top w:val="nil"/>
              <w:left w:val="nil"/>
              <w:bottom w:val="nil"/>
              <w:right w:val="nil"/>
            </w:tcBorders>
            <w:shd w:val="clear" w:color="auto" w:fill="auto"/>
            <w:noWrap/>
            <w:vAlign w:val="bottom"/>
            <w:hideMark/>
          </w:tcPr>
          <w:p w:rsidR="00214B1A" w:rsidRPr="008757A5" w:rsidRDefault="00214B1A" w:rsidP="0009567D">
            <w:pPr>
              <w:rPr>
                <w:rFonts w:ascii="Calibri" w:eastAsia="Times New Roman" w:hAnsi="Calibri"/>
                <w:bCs/>
                <w:color w:val="000000"/>
              </w:rPr>
            </w:pPr>
            <w:r w:rsidRPr="008757A5">
              <w:rPr>
                <w:rFonts w:ascii="Calibri" w:eastAsia="Times New Roman" w:hAnsi="Calibri"/>
                <w:bCs/>
                <w:color w:val="000000"/>
              </w:rPr>
              <w:t>* defined as the subject-specific average of time-varying 3-year PM</w:t>
            </w:r>
            <w:r w:rsidRPr="008757A5">
              <w:rPr>
                <w:rFonts w:ascii="Calibri" w:eastAsia="Times New Roman" w:hAnsi="Calibri"/>
                <w:bCs/>
                <w:color w:val="000000"/>
                <w:vertAlign w:val="subscript"/>
              </w:rPr>
              <w:t xml:space="preserve">2.5 </w:t>
            </w:r>
            <w:r w:rsidRPr="008757A5">
              <w:rPr>
                <w:rFonts w:ascii="Calibri" w:eastAsia="Times New Roman" w:hAnsi="Calibri"/>
                <w:bCs/>
                <w:color w:val="000000"/>
              </w:rPr>
              <w:t xml:space="preserve">exposures during the follow-up time prior to dementia event time or censoring time </w:t>
            </w:r>
          </w:p>
        </w:tc>
      </w:tr>
    </w:tbl>
    <w:p w:rsidR="00214B1A" w:rsidRPr="008757A5" w:rsidRDefault="00214B1A" w:rsidP="00214B1A">
      <w:pPr>
        <w:spacing w:line="480" w:lineRule="auto"/>
        <w:rPr>
          <w:sz w:val="24"/>
          <w:szCs w:val="24"/>
        </w:rPr>
      </w:pPr>
    </w:p>
    <w:p w:rsidR="00214B1A" w:rsidRPr="008757A5" w:rsidRDefault="00214B1A" w:rsidP="00214B1A">
      <w:pPr>
        <w:rPr>
          <w:b/>
          <w:sz w:val="28"/>
          <w:szCs w:val="28"/>
        </w:rPr>
      </w:pPr>
      <w:r w:rsidRPr="008757A5">
        <w:rPr>
          <w:sz w:val="24"/>
          <w:szCs w:val="24"/>
        </w:rPr>
        <w:br w:type="page"/>
      </w:r>
      <w:r w:rsidR="004617E2">
        <w:rPr>
          <w:b/>
          <w:sz w:val="28"/>
          <w:szCs w:val="28"/>
        </w:rPr>
        <w:lastRenderedPageBreak/>
        <w:t xml:space="preserve">Table </w:t>
      </w:r>
      <w:r w:rsidRPr="008757A5">
        <w:rPr>
          <w:b/>
          <w:sz w:val="28"/>
          <w:szCs w:val="28"/>
        </w:rPr>
        <w:t>S</w:t>
      </w:r>
      <w:r w:rsidR="004617E2">
        <w:rPr>
          <w:b/>
          <w:sz w:val="28"/>
          <w:szCs w:val="28"/>
        </w:rPr>
        <w:t>2</w:t>
      </w:r>
      <w:r w:rsidRPr="008757A5">
        <w:rPr>
          <w:b/>
          <w:sz w:val="28"/>
          <w:szCs w:val="28"/>
        </w:rPr>
        <w:t xml:space="preserve">: Cox Proportional Hazard Models for the Adverse </w:t>
      </w:r>
      <w:proofErr w:type="gramStart"/>
      <w:r w:rsidRPr="008757A5">
        <w:rPr>
          <w:b/>
          <w:sz w:val="28"/>
          <w:szCs w:val="28"/>
        </w:rPr>
        <w:t>Effects(</w:t>
      </w:r>
      <w:proofErr w:type="gramEnd"/>
      <w:r w:rsidRPr="008757A5">
        <w:rPr>
          <w:b/>
          <w:sz w:val="28"/>
          <w:szCs w:val="28"/>
        </w:rPr>
        <w:t>†) of PM</w:t>
      </w:r>
      <w:r w:rsidRPr="008757A5">
        <w:rPr>
          <w:b/>
          <w:sz w:val="28"/>
          <w:szCs w:val="28"/>
          <w:vertAlign w:val="subscript"/>
        </w:rPr>
        <w:t>2.5</w:t>
      </w:r>
      <w:r w:rsidRPr="008757A5">
        <w:rPr>
          <w:b/>
          <w:sz w:val="28"/>
          <w:szCs w:val="28"/>
        </w:rPr>
        <w:t xml:space="preserve"> on Accelerated Global Cognitive Decline and Increased Risk for All-Cause Dementia, Stratified by APOE Genotypes in Non-Hispanic White </w:t>
      </w:r>
      <w:proofErr w:type="spellStart"/>
      <w:r w:rsidRPr="008757A5">
        <w:rPr>
          <w:b/>
          <w:sz w:val="28"/>
          <w:szCs w:val="28"/>
        </w:rPr>
        <w:t>Subcohort</w:t>
      </w:r>
      <w:proofErr w:type="spellEnd"/>
      <w:r w:rsidRPr="008757A5">
        <w:rPr>
          <w:b/>
          <w:sz w:val="28"/>
          <w:szCs w:val="28"/>
        </w:rPr>
        <w:t>(‡) of WHIMS, 1999-2010</w:t>
      </w:r>
    </w:p>
    <w:tbl>
      <w:tblPr>
        <w:tblStyle w:val="TableGrid"/>
        <w:tblW w:w="12550" w:type="dxa"/>
        <w:jc w:val="center"/>
        <w:tblLook w:val="04A0" w:firstRow="1" w:lastRow="0" w:firstColumn="1" w:lastColumn="0" w:noHBand="0" w:noVBand="1"/>
      </w:tblPr>
      <w:tblGrid>
        <w:gridCol w:w="2430"/>
        <w:gridCol w:w="3150"/>
        <w:gridCol w:w="3289"/>
        <w:gridCol w:w="3681"/>
      </w:tblGrid>
      <w:tr w:rsidR="00214B1A" w:rsidRPr="008757A5" w:rsidTr="0009567D">
        <w:trPr>
          <w:trHeight w:val="276"/>
          <w:jc w:val="center"/>
        </w:trPr>
        <w:tc>
          <w:tcPr>
            <w:tcW w:w="2430" w:type="dxa"/>
            <w:shd w:val="clear" w:color="auto" w:fill="auto"/>
          </w:tcPr>
          <w:p w:rsidR="00214B1A" w:rsidRPr="008757A5" w:rsidRDefault="00214B1A" w:rsidP="0009567D">
            <w:pPr>
              <w:pStyle w:val="NoSpacing"/>
              <w:jc w:val="center"/>
              <w:rPr>
                <w:rFonts w:eastAsia="Times New Roman"/>
                <w:b/>
                <w:sz w:val="24"/>
                <w:szCs w:val="24"/>
              </w:rPr>
            </w:pPr>
          </w:p>
        </w:tc>
        <w:tc>
          <w:tcPr>
            <w:tcW w:w="3150" w:type="dxa"/>
            <w:shd w:val="clear" w:color="auto" w:fill="auto"/>
            <w:noWrap/>
          </w:tcPr>
          <w:p w:rsidR="00214B1A" w:rsidRPr="008757A5" w:rsidRDefault="00214B1A" w:rsidP="0009567D">
            <w:pPr>
              <w:pStyle w:val="NoSpacing"/>
              <w:jc w:val="center"/>
              <w:rPr>
                <w:rFonts w:eastAsia="Times New Roman"/>
                <w:b/>
                <w:sz w:val="24"/>
                <w:szCs w:val="24"/>
              </w:rPr>
            </w:pPr>
          </w:p>
        </w:tc>
        <w:tc>
          <w:tcPr>
            <w:tcW w:w="3289" w:type="dxa"/>
            <w:shd w:val="clear" w:color="auto" w:fill="auto"/>
            <w:noWrap/>
          </w:tcPr>
          <w:p w:rsidR="00214B1A" w:rsidRPr="008757A5" w:rsidRDefault="00214B1A" w:rsidP="0009567D">
            <w:pPr>
              <w:pStyle w:val="NoSpacing"/>
              <w:jc w:val="center"/>
              <w:rPr>
                <w:rFonts w:eastAsia="Times New Roman"/>
                <w:b/>
                <w:sz w:val="24"/>
                <w:szCs w:val="24"/>
              </w:rPr>
            </w:pPr>
            <w:r w:rsidRPr="008757A5">
              <w:rPr>
                <w:rFonts w:eastAsia="Times New Roman"/>
                <w:b/>
                <w:sz w:val="24"/>
                <w:szCs w:val="24"/>
              </w:rPr>
              <w:t>Accelerated Global Decline</w:t>
            </w:r>
          </w:p>
        </w:tc>
        <w:tc>
          <w:tcPr>
            <w:tcW w:w="3681" w:type="dxa"/>
            <w:shd w:val="clear" w:color="auto" w:fill="auto"/>
            <w:noWrap/>
          </w:tcPr>
          <w:p w:rsidR="00214B1A" w:rsidRPr="008757A5" w:rsidRDefault="00214B1A" w:rsidP="0009567D">
            <w:pPr>
              <w:pStyle w:val="NoSpacing"/>
              <w:jc w:val="center"/>
              <w:rPr>
                <w:rFonts w:eastAsia="Times New Roman"/>
                <w:b/>
                <w:sz w:val="24"/>
                <w:szCs w:val="24"/>
              </w:rPr>
            </w:pPr>
            <w:r w:rsidRPr="008757A5">
              <w:rPr>
                <w:rFonts w:eastAsia="Times New Roman"/>
                <w:b/>
                <w:sz w:val="24"/>
                <w:szCs w:val="24"/>
              </w:rPr>
              <w:t>All-Cause Dementia</w:t>
            </w:r>
          </w:p>
        </w:tc>
      </w:tr>
      <w:tr w:rsidR="00214B1A" w:rsidRPr="008757A5" w:rsidTr="0009567D">
        <w:trPr>
          <w:trHeight w:val="276"/>
          <w:jc w:val="center"/>
        </w:trPr>
        <w:tc>
          <w:tcPr>
            <w:tcW w:w="2430" w:type="dxa"/>
            <w:shd w:val="clear" w:color="auto" w:fill="auto"/>
            <w:hideMark/>
          </w:tcPr>
          <w:p w:rsidR="00214B1A" w:rsidRPr="008757A5" w:rsidRDefault="00214B1A" w:rsidP="0009567D">
            <w:pPr>
              <w:pStyle w:val="NoSpacing"/>
              <w:jc w:val="center"/>
              <w:rPr>
                <w:rFonts w:eastAsia="Times New Roman"/>
                <w:b/>
                <w:sz w:val="24"/>
                <w:szCs w:val="24"/>
              </w:rPr>
            </w:pPr>
            <w:r w:rsidRPr="008757A5">
              <w:rPr>
                <w:rFonts w:eastAsia="Times New Roman"/>
                <w:b/>
                <w:sz w:val="24"/>
                <w:szCs w:val="24"/>
              </w:rPr>
              <w:t>Models</w:t>
            </w:r>
          </w:p>
        </w:tc>
        <w:tc>
          <w:tcPr>
            <w:tcW w:w="3150" w:type="dxa"/>
            <w:shd w:val="clear" w:color="auto" w:fill="auto"/>
            <w:noWrap/>
            <w:hideMark/>
          </w:tcPr>
          <w:p w:rsidR="00214B1A" w:rsidRPr="008757A5" w:rsidRDefault="00214B1A" w:rsidP="0009567D">
            <w:pPr>
              <w:pStyle w:val="NoSpacing"/>
              <w:jc w:val="center"/>
              <w:rPr>
                <w:rFonts w:eastAsia="Times New Roman"/>
                <w:b/>
                <w:sz w:val="24"/>
                <w:szCs w:val="24"/>
              </w:rPr>
            </w:pPr>
          </w:p>
        </w:tc>
        <w:tc>
          <w:tcPr>
            <w:tcW w:w="3289" w:type="dxa"/>
            <w:shd w:val="clear" w:color="auto" w:fill="auto"/>
            <w:noWrap/>
            <w:hideMark/>
          </w:tcPr>
          <w:p w:rsidR="00214B1A" w:rsidRPr="008757A5" w:rsidRDefault="00214B1A" w:rsidP="0009567D">
            <w:pPr>
              <w:pStyle w:val="NoSpacing"/>
              <w:jc w:val="center"/>
              <w:rPr>
                <w:rFonts w:eastAsia="Times New Roman"/>
                <w:b/>
                <w:sz w:val="24"/>
                <w:szCs w:val="24"/>
              </w:rPr>
            </w:pPr>
            <w:r w:rsidRPr="008757A5">
              <w:rPr>
                <w:rFonts w:eastAsia="Times New Roman"/>
                <w:b/>
                <w:sz w:val="24"/>
                <w:szCs w:val="24"/>
              </w:rPr>
              <w:t>Hazard Ratio (95% CI)</w:t>
            </w:r>
          </w:p>
        </w:tc>
        <w:tc>
          <w:tcPr>
            <w:tcW w:w="3681" w:type="dxa"/>
            <w:shd w:val="clear" w:color="auto" w:fill="auto"/>
            <w:noWrap/>
            <w:hideMark/>
          </w:tcPr>
          <w:p w:rsidR="00214B1A" w:rsidRPr="008757A5" w:rsidRDefault="00214B1A" w:rsidP="0009567D">
            <w:pPr>
              <w:pStyle w:val="NoSpacing"/>
              <w:jc w:val="center"/>
              <w:rPr>
                <w:rFonts w:eastAsia="Times New Roman"/>
                <w:b/>
                <w:sz w:val="24"/>
                <w:szCs w:val="24"/>
              </w:rPr>
            </w:pPr>
            <w:r w:rsidRPr="008757A5">
              <w:rPr>
                <w:rFonts w:eastAsia="Times New Roman"/>
                <w:b/>
                <w:sz w:val="24"/>
                <w:szCs w:val="24"/>
              </w:rPr>
              <w:t>Hazard Ratio (95% CI)</w:t>
            </w:r>
          </w:p>
        </w:tc>
      </w:tr>
      <w:tr w:rsidR="00214B1A" w:rsidRPr="008757A5" w:rsidTr="0009567D">
        <w:trPr>
          <w:trHeight w:val="245"/>
          <w:jc w:val="center"/>
        </w:trPr>
        <w:tc>
          <w:tcPr>
            <w:tcW w:w="2430" w:type="dxa"/>
            <w:shd w:val="clear" w:color="auto" w:fill="auto"/>
            <w:noWrap/>
            <w:hideMark/>
          </w:tcPr>
          <w:p w:rsidR="00214B1A" w:rsidRPr="008757A5" w:rsidRDefault="00214B1A" w:rsidP="0009567D">
            <w:pPr>
              <w:pStyle w:val="NoSpacing"/>
              <w:jc w:val="center"/>
              <w:rPr>
                <w:rFonts w:eastAsia="Times New Roman"/>
                <w:b/>
                <w:sz w:val="24"/>
                <w:szCs w:val="24"/>
              </w:rPr>
            </w:pPr>
            <w:r w:rsidRPr="008757A5">
              <w:rPr>
                <w:rFonts w:eastAsia="Times New Roman"/>
                <w:b/>
                <w:sz w:val="24"/>
                <w:szCs w:val="24"/>
              </w:rPr>
              <w:t>I</w:t>
            </w:r>
          </w:p>
        </w:tc>
        <w:tc>
          <w:tcPr>
            <w:tcW w:w="3150" w:type="dxa"/>
            <w:shd w:val="clear" w:color="auto" w:fill="auto"/>
            <w:noWrap/>
            <w:hideMark/>
          </w:tcPr>
          <w:p w:rsidR="00214B1A" w:rsidRPr="008757A5" w:rsidRDefault="00214B1A" w:rsidP="0009567D">
            <w:pPr>
              <w:pStyle w:val="NoSpacing"/>
              <w:jc w:val="center"/>
              <w:rPr>
                <w:rFonts w:eastAsia="Times New Roman"/>
                <w:b/>
                <w:sz w:val="24"/>
                <w:szCs w:val="24"/>
              </w:rPr>
            </w:pPr>
            <w:r w:rsidRPr="008757A5">
              <w:rPr>
                <w:rFonts w:eastAsia="Times New Roman"/>
                <w:b/>
                <w:sz w:val="24"/>
                <w:szCs w:val="24"/>
              </w:rPr>
              <w:t>Main PM</w:t>
            </w:r>
            <w:r w:rsidRPr="008757A5">
              <w:rPr>
                <w:rFonts w:eastAsia="Times New Roman"/>
                <w:b/>
                <w:sz w:val="24"/>
                <w:szCs w:val="24"/>
                <w:vertAlign w:val="subscript"/>
              </w:rPr>
              <w:t>2.5</w:t>
            </w:r>
            <w:r w:rsidRPr="008757A5">
              <w:rPr>
                <w:rFonts w:eastAsia="Times New Roman"/>
                <w:b/>
                <w:sz w:val="24"/>
                <w:szCs w:val="24"/>
              </w:rPr>
              <w:t xml:space="preserve"> Effect</w:t>
            </w:r>
          </w:p>
        </w:tc>
        <w:tc>
          <w:tcPr>
            <w:tcW w:w="3289" w:type="dxa"/>
            <w:shd w:val="clear" w:color="auto" w:fill="auto"/>
            <w:noWrap/>
            <w:vAlign w:val="bottom"/>
            <w:hideMark/>
          </w:tcPr>
          <w:p w:rsidR="00214B1A" w:rsidRPr="008757A5" w:rsidRDefault="00214B1A" w:rsidP="0009567D">
            <w:pPr>
              <w:rPr>
                <w:rFonts w:ascii="Calibri" w:hAnsi="Calibri"/>
                <w:color w:val="000000"/>
                <w:sz w:val="24"/>
                <w:szCs w:val="24"/>
              </w:rPr>
            </w:pPr>
          </w:p>
        </w:tc>
        <w:tc>
          <w:tcPr>
            <w:tcW w:w="3681" w:type="dxa"/>
            <w:shd w:val="clear" w:color="auto" w:fill="auto"/>
            <w:noWrap/>
            <w:vAlign w:val="bottom"/>
            <w:hideMark/>
          </w:tcPr>
          <w:p w:rsidR="00214B1A" w:rsidRPr="008757A5" w:rsidRDefault="00214B1A" w:rsidP="0009567D">
            <w:pPr>
              <w:rPr>
                <w:rFonts w:ascii="Calibri" w:hAnsi="Calibri"/>
                <w:color w:val="000000"/>
                <w:sz w:val="24"/>
                <w:szCs w:val="24"/>
              </w:rPr>
            </w:pPr>
          </w:p>
        </w:tc>
      </w:tr>
      <w:tr w:rsidR="00214B1A" w:rsidRPr="008757A5" w:rsidTr="0009567D">
        <w:trPr>
          <w:trHeight w:val="245"/>
          <w:jc w:val="center"/>
        </w:trPr>
        <w:tc>
          <w:tcPr>
            <w:tcW w:w="2430" w:type="dxa"/>
            <w:shd w:val="clear" w:color="auto" w:fill="auto"/>
            <w:noWrap/>
            <w:hideMark/>
          </w:tcPr>
          <w:p w:rsidR="00214B1A" w:rsidRPr="008757A5" w:rsidRDefault="00214B1A" w:rsidP="0009567D">
            <w:pPr>
              <w:pStyle w:val="NoSpacing"/>
              <w:rPr>
                <w:rFonts w:eastAsia="Times New Roman"/>
                <w:sz w:val="24"/>
                <w:szCs w:val="24"/>
              </w:rPr>
            </w:pPr>
          </w:p>
        </w:tc>
        <w:tc>
          <w:tcPr>
            <w:tcW w:w="3150" w:type="dxa"/>
            <w:shd w:val="clear" w:color="auto" w:fill="auto"/>
            <w:noWrap/>
            <w:hideMark/>
          </w:tcPr>
          <w:p w:rsidR="00214B1A" w:rsidRPr="008757A5" w:rsidRDefault="00214B1A" w:rsidP="0009567D">
            <w:pPr>
              <w:pStyle w:val="NoSpacing"/>
              <w:jc w:val="right"/>
              <w:rPr>
                <w:rFonts w:eastAsia="Times New Roman"/>
                <w:sz w:val="24"/>
                <w:szCs w:val="24"/>
                <w:vertAlign w:val="subscript"/>
              </w:rPr>
            </w:pPr>
            <w:r w:rsidRPr="008757A5">
              <w:rPr>
                <w:rFonts w:eastAsia="Times New Roman"/>
                <w:sz w:val="24"/>
                <w:szCs w:val="24"/>
              </w:rPr>
              <w:t>High vs. Low PM</w:t>
            </w:r>
            <w:r w:rsidRPr="008757A5">
              <w:rPr>
                <w:rFonts w:eastAsia="Times New Roman"/>
                <w:sz w:val="24"/>
                <w:szCs w:val="24"/>
                <w:vertAlign w:val="subscript"/>
              </w:rPr>
              <w:t>2.5</w:t>
            </w:r>
          </w:p>
        </w:tc>
        <w:tc>
          <w:tcPr>
            <w:tcW w:w="3289" w:type="dxa"/>
            <w:shd w:val="clear" w:color="auto" w:fill="auto"/>
            <w:noWrap/>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1.83 (1.47, 2.27); P&lt;0.01</w:t>
            </w:r>
          </w:p>
        </w:tc>
        <w:tc>
          <w:tcPr>
            <w:tcW w:w="3681" w:type="dxa"/>
            <w:shd w:val="clear" w:color="auto" w:fill="auto"/>
            <w:noWrap/>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1.67 (1.21, 2.30); P&lt;0.01</w:t>
            </w:r>
          </w:p>
        </w:tc>
      </w:tr>
      <w:tr w:rsidR="00214B1A" w:rsidRPr="008757A5" w:rsidTr="0009567D">
        <w:trPr>
          <w:trHeight w:val="245"/>
          <w:jc w:val="center"/>
        </w:trPr>
        <w:tc>
          <w:tcPr>
            <w:tcW w:w="2430" w:type="dxa"/>
            <w:shd w:val="clear" w:color="auto" w:fill="auto"/>
            <w:noWrap/>
          </w:tcPr>
          <w:p w:rsidR="00214B1A" w:rsidRPr="008757A5" w:rsidRDefault="00214B1A" w:rsidP="0009567D">
            <w:pPr>
              <w:pStyle w:val="NoSpacing"/>
              <w:rPr>
                <w:rFonts w:eastAsia="Times New Roman"/>
                <w:sz w:val="24"/>
                <w:szCs w:val="24"/>
              </w:rPr>
            </w:pPr>
          </w:p>
        </w:tc>
        <w:tc>
          <w:tcPr>
            <w:tcW w:w="3150" w:type="dxa"/>
            <w:shd w:val="clear" w:color="auto" w:fill="auto"/>
            <w:noWrap/>
          </w:tcPr>
          <w:p w:rsidR="00214B1A" w:rsidRPr="008757A5" w:rsidRDefault="00214B1A" w:rsidP="0009567D">
            <w:pPr>
              <w:pStyle w:val="NoSpacing"/>
              <w:jc w:val="center"/>
              <w:rPr>
                <w:rFonts w:eastAsia="Times New Roman"/>
                <w:b/>
                <w:sz w:val="24"/>
                <w:szCs w:val="24"/>
              </w:rPr>
            </w:pPr>
            <w:r w:rsidRPr="008757A5">
              <w:rPr>
                <w:rFonts w:eastAsia="Times New Roman"/>
                <w:b/>
                <w:sz w:val="24"/>
                <w:szCs w:val="24"/>
              </w:rPr>
              <w:t>PM</w:t>
            </w:r>
            <w:r w:rsidRPr="008757A5">
              <w:rPr>
                <w:rFonts w:eastAsia="Times New Roman"/>
                <w:b/>
                <w:sz w:val="24"/>
                <w:szCs w:val="24"/>
                <w:vertAlign w:val="subscript"/>
              </w:rPr>
              <w:t>2.5</w:t>
            </w:r>
            <w:r w:rsidRPr="008757A5">
              <w:rPr>
                <w:rFonts w:eastAsia="Times New Roman"/>
                <w:b/>
                <w:sz w:val="24"/>
                <w:szCs w:val="24"/>
              </w:rPr>
              <w:t xml:space="preserve"> Effect by APOE</w:t>
            </w:r>
          </w:p>
        </w:tc>
        <w:tc>
          <w:tcPr>
            <w:tcW w:w="3289" w:type="dxa"/>
            <w:shd w:val="clear" w:color="auto" w:fill="auto"/>
            <w:noWrap/>
          </w:tcPr>
          <w:p w:rsidR="00214B1A" w:rsidRPr="008757A5" w:rsidRDefault="00214B1A" w:rsidP="0009567D">
            <w:pPr>
              <w:jc w:val="center"/>
              <w:rPr>
                <w:rFonts w:ascii="Calibri" w:hAnsi="Calibri"/>
                <w:color w:val="000000"/>
                <w:sz w:val="24"/>
                <w:szCs w:val="24"/>
              </w:rPr>
            </w:pPr>
          </w:p>
        </w:tc>
        <w:tc>
          <w:tcPr>
            <w:tcW w:w="3681" w:type="dxa"/>
            <w:shd w:val="clear" w:color="auto" w:fill="auto"/>
            <w:noWrap/>
          </w:tcPr>
          <w:p w:rsidR="00214B1A" w:rsidRPr="008757A5" w:rsidRDefault="00214B1A" w:rsidP="0009567D">
            <w:pPr>
              <w:jc w:val="center"/>
              <w:rPr>
                <w:rFonts w:ascii="Calibri" w:hAnsi="Calibri"/>
                <w:color w:val="000000"/>
                <w:sz w:val="24"/>
                <w:szCs w:val="24"/>
              </w:rPr>
            </w:pPr>
          </w:p>
        </w:tc>
      </w:tr>
      <w:tr w:rsidR="00214B1A" w:rsidRPr="008757A5" w:rsidTr="0009567D">
        <w:trPr>
          <w:trHeight w:val="245"/>
          <w:jc w:val="center"/>
        </w:trPr>
        <w:tc>
          <w:tcPr>
            <w:tcW w:w="2430" w:type="dxa"/>
            <w:shd w:val="clear" w:color="auto" w:fill="auto"/>
            <w:noWrap/>
            <w:hideMark/>
          </w:tcPr>
          <w:p w:rsidR="00214B1A" w:rsidRPr="008757A5" w:rsidRDefault="00214B1A" w:rsidP="0009567D">
            <w:pPr>
              <w:pStyle w:val="NoSpacing"/>
              <w:rPr>
                <w:rFonts w:eastAsia="Times New Roman"/>
                <w:sz w:val="24"/>
                <w:szCs w:val="24"/>
              </w:rPr>
            </w:pPr>
          </w:p>
        </w:tc>
        <w:tc>
          <w:tcPr>
            <w:tcW w:w="3150" w:type="dxa"/>
            <w:shd w:val="clear" w:color="auto" w:fill="auto"/>
            <w:noWrap/>
            <w:hideMark/>
          </w:tcPr>
          <w:p w:rsidR="00214B1A" w:rsidRPr="008757A5" w:rsidRDefault="00214B1A" w:rsidP="0009567D">
            <w:pPr>
              <w:pStyle w:val="NoSpacing"/>
              <w:jc w:val="right"/>
              <w:rPr>
                <w:rFonts w:eastAsia="Times New Roman"/>
                <w:sz w:val="24"/>
                <w:szCs w:val="24"/>
              </w:rPr>
            </w:pPr>
            <w:r w:rsidRPr="008757A5">
              <w:rPr>
                <w:rFonts w:ascii="Calibri" w:eastAsia="Times New Roman" w:hAnsi="Calibri"/>
                <w:sz w:val="24"/>
                <w:szCs w:val="24"/>
              </w:rPr>
              <w:t>ε</w:t>
            </w:r>
            <w:r w:rsidRPr="008757A5">
              <w:rPr>
                <w:rFonts w:eastAsia="Times New Roman"/>
                <w:sz w:val="24"/>
                <w:szCs w:val="24"/>
              </w:rPr>
              <w:t>3/3</w:t>
            </w:r>
          </w:p>
        </w:tc>
        <w:tc>
          <w:tcPr>
            <w:tcW w:w="3289" w:type="dxa"/>
            <w:shd w:val="clear" w:color="auto" w:fill="auto"/>
            <w:noWrap/>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1.71 (1.31, 2.23); P&lt;0.01</w:t>
            </w:r>
          </w:p>
        </w:tc>
        <w:tc>
          <w:tcPr>
            <w:tcW w:w="3681" w:type="dxa"/>
            <w:shd w:val="clear" w:color="auto" w:fill="auto"/>
            <w:noWrap/>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1.26 (0.78, 2.03); P=0.35</w:t>
            </w:r>
          </w:p>
        </w:tc>
      </w:tr>
      <w:tr w:rsidR="00214B1A" w:rsidRPr="008757A5" w:rsidTr="0009567D">
        <w:trPr>
          <w:trHeight w:val="245"/>
          <w:jc w:val="center"/>
        </w:trPr>
        <w:tc>
          <w:tcPr>
            <w:tcW w:w="2430" w:type="dxa"/>
            <w:shd w:val="clear" w:color="auto" w:fill="auto"/>
            <w:noWrap/>
            <w:hideMark/>
          </w:tcPr>
          <w:p w:rsidR="00214B1A" w:rsidRPr="008757A5" w:rsidRDefault="00214B1A" w:rsidP="0009567D">
            <w:pPr>
              <w:pStyle w:val="NoSpacing"/>
              <w:rPr>
                <w:rFonts w:eastAsia="Times New Roman"/>
                <w:sz w:val="24"/>
                <w:szCs w:val="24"/>
              </w:rPr>
            </w:pPr>
          </w:p>
        </w:tc>
        <w:tc>
          <w:tcPr>
            <w:tcW w:w="3150" w:type="dxa"/>
            <w:shd w:val="clear" w:color="auto" w:fill="auto"/>
            <w:noWrap/>
            <w:hideMark/>
          </w:tcPr>
          <w:p w:rsidR="00214B1A" w:rsidRPr="008757A5" w:rsidRDefault="00214B1A" w:rsidP="0009567D">
            <w:pPr>
              <w:pStyle w:val="NoSpacing"/>
              <w:jc w:val="right"/>
              <w:rPr>
                <w:rFonts w:eastAsia="Times New Roman"/>
                <w:sz w:val="24"/>
                <w:szCs w:val="24"/>
              </w:rPr>
            </w:pPr>
            <w:r w:rsidRPr="008757A5">
              <w:rPr>
                <w:rFonts w:ascii="Calibri" w:eastAsia="Times New Roman" w:hAnsi="Calibri"/>
                <w:sz w:val="24"/>
                <w:szCs w:val="24"/>
              </w:rPr>
              <w:t>ε</w:t>
            </w:r>
            <w:r w:rsidRPr="008757A5">
              <w:rPr>
                <w:rFonts w:eastAsia="Times New Roman"/>
                <w:sz w:val="24"/>
                <w:szCs w:val="24"/>
              </w:rPr>
              <w:t>3/4</w:t>
            </w:r>
          </w:p>
        </w:tc>
        <w:tc>
          <w:tcPr>
            <w:tcW w:w="3289" w:type="dxa"/>
            <w:shd w:val="clear" w:color="auto" w:fill="auto"/>
            <w:noWrap/>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1.96 (1.35, 2.84); P&lt;0.01</w:t>
            </w:r>
          </w:p>
        </w:tc>
        <w:tc>
          <w:tcPr>
            <w:tcW w:w="3681" w:type="dxa"/>
            <w:shd w:val="clear" w:color="auto" w:fill="auto"/>
            <w:noWrap/>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1.89 (1.23, 2.91) P&lt;0.01</w:t>
            </w:r>
          </w:p>
        </w:tc>
      </w:tr>
      <w:tr w:rsidR="00214B1A" w:rsidRPr="008757A5" w:rsidTr="0009567D">
        <w:trPr>
          <w:trHeight w:val="245"/>
          <w:jc w:val="center"/>
        </w:trPr>
        <w:tc>
          <w:tcPr>
            <w:tcW w:w="2430" w:type="dxa"/>
            <w:shd w:val="clear" w:color="auto" w:fill="auto"/>
            <w:noWrap/>
            <w:hideMark/>
          </w:tcPr>
          <w:p w:rsidR="00214B1A" w:rsidRPr="008757A5" w:rsidRDefault="00214B1A" w:rsidP="0009567D">
            <w:pPr>
              <w:pStyle w:val="NoSpacing"/>
              <w:rPr>
                <w:rFonts w:eastAsia="Times New Roman"/>
                <w:sz w:val="24"/>
                <w:szCs w:val="24"/>
              </w:rPr>
            </w:pPr>
          </w:p>
        </w:tc>
        <w:tc>
          <w:tcPr>
            <w:tcW w:w="3150" w:type="dxa"/>
            <w:shd w:val="clear" w:color="auto" w:fill="auto"/>
            <w:noWrap/>
            <w:hideMark/>
          </w:tcPr>
          <w:p w:rsidR="00214B1A" w:rsidRPr="008757A5" w:rsidRDefault="00214B1A" w:rsidP="0009567D">
            <w:pPr>
              <w:pStyle w:val="NoSpacing"/>
              <w:jc w:val="right"/>
              <w:rPr>
                <w:rFonts w:eastAsia="Times New Roman"/>
                <w:sz w:val="24"/>
                <w:szCs w:val="24"/>
              </w:rPr>
            </w:pPr>
            <w:r w:rsidRPr="008757A5">
              <w:rPr>
                <w:rFonts w:ascii="Calibri" w:eastAsia="Times New Roman" w:hAnsi="Calibri"/>
                <w:sz w:val="24"/>
                <w:szCs w:val="24"/>
              </w:rPr>
              <w:t>ε</w:t>
            </w:r>
            <w:r w:rsidRPr="008757A5">
              <w:rPr>
                <w:rFonts w:eastAsia="Times New Roman"/>
                <w:sz w:val="24"/>
                <w:szCs w:val="24"/>
              </w:rPr>
              <w:t>4/4</w:t>
            </w:r>
          </w:p>
        </w:tc>
        <w:tc>
          <w:tcPr>
            <w:tcW w:w="3289" w:type="dxa"/>
            <w:shd w:val="clear" w:color="auto" w:fill="auto"/>
            <w:noWrap/>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2.87 (1.14, 7.23); P=0.02</w:t>
            </w:r>
          </w:p>
        </w:tc>
        <w:tc>
          <w:tcPr>
            <w:tcW w:w="3681" w:type="dxa"/>
            <w:shd w:val="clear" w:color="auto" w:fill="auto"/>
            <w:noWrap/>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3.53 (1.21, 10.34) P=0.02</w:t>
            </w:r>
          </w:p>
        </w:tc>
      </w:tr>
      <w:tr w:rsidR="00214B1A" w:rsidRPr="008757A5" w:rsidTr="0009567D">
        <w:trPr>
          <w:trHeight w:val="245"/>
          <w:jc w:val="center"/>
        </w:trPr>
        <w:tc>
          <w:tcPr>
            <w:tcW w:w="2430" w:type="dxa"/>
            <w:shd w:val="clear" w:color="auto" w:fill="auto"/>
            <w:noWrap/>
            <w:hideMark/>
          </w:tcPr>
          <w:p w:rsidR="00214B1A" w:rsidRPr="008757A5" w:rsidRDefault="00214B1A" w:rsidP="0009567D">
            <w:pPr>
              <w:pStyle w:val="NoSpacing"/>
              <w:jc w:val="center"/>
              <w:rPr>
                <w:rFonts w:eastAsia="Times New Roman"/>
                <w:sz w:val="24"/>
                <w:szCs w:val="24"/>
              </w:rPr>
            </w:pPr>
          </w:p>
        </w:tc>
        <w:tc>
          <w:tcPr>
            <w:tcW w:w="3150" w:type="dxa"/>
            <w:shd w:val="clear" w:color="auto" w:fill="auto"/>
            <w:noWrap/>
          </w:tcPr>
          <w:p w:rsidR="00214B1A" w:rsidRPr="008757A5" w:rsidRDefault="00214B1A" w:rsidP="0009567D">
            <w:pPr>
              <w:pStyle w:val="NoSpacing"/>
              <w:jc w:val="center"/>
              <w:rPr>
                <w:rFonts w:eastAsia="Times New Roman"/>
                <w:sz w:val="24"/>
                <w:szCs w:val="24"/>
              </w:rPr>
            </w:pPr>
          </w:p>
        </w:tc>
        <w:tc>
          <w:tcPr>
            <w:tcW w:w="3289" w:type="dxa"/>
            <w:shd w:val="clear" w:color="auto" w:fill="auto"/>
            <w:noWrap/>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Interaction p=0.52</w:t>
            </w:r>
          </w:p>
        </w:tc>
        <w:tc>
          <w:tcPr>
            <w:tcW w:w="3681" w:type="dxa"/>
            <w:shd w:val="clear" w:color="auto" w:fill="auto"/>
            <w:noWrap/>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Interaction p=0.16</w:t>
            </w:r>
          </w:p>
        </w:tc>
      </w:tr>
      <w:tr w:rsidR="00214B1A" w:rsidRPr="008757A5" w:rsidTr="0009567D">
        <w:trPr>
          <w:trHeight w:val="276"/>
          <w:jc w:val="center"/>
        </w:trPr>
        <w:tc>
          <w:tcPr>
            <w:tcW w:w="2430" w:type="dxa"/>
            <w:shd w:val="clear" w:color="auto" w:fill="auto"/>
            <w:noWrap/>
            <w:hideMark/>
          </w:tcPr>
          <w:p w:rsidR="00214B1A" w:rsidRPr="008757A5" w:rsidRDefault="00214B1A" w:rsidP="0009567D">
            <w:pPr>
              <w:pStyle w:val="NoSpacing"/>
              <w:jc w:val="center"/>
              <w:rPr>
                <w:rFonts w:eastAsia="Times New Roman"/>
                <w:b/>
                <w:sz w:val="24"/>
                <w:szCs w:val="24"/>
              </w:rPr>
            </w:pPr>
            <w:r w:rsidRPr="008757A5">
              <w:rPr>
                <w:rFonts w:eastAsia="Times New Roman"/>
                <w:b/>
                <w:sz w:val="24"/>
                <w:szCs w:val="24"/>
              </w:rPr>
              <w:t>II</w:t>
            </w:r>
          </w:p>
        </w:tc>
        <w:tc>
          <w:tcPr>
            <w:tcW w:w="3150" w:type="dxa"/>
            <w:shd w:val="clear" w:color="auto" w:fill="auto"/>
            <w:noWrap/>
            <w:hideMark/>
          </w:tcPr>
          <w:p w:rsidR="00214B1A" w:rsidRPr="008757A5" w:rsidRDefault="00214B1A" w:rsidP="0009567D">
            <w:pPr>
              <w:pStyle w:val="NoSpacing"/>
              <w:jc w:val="center"/>
              <w:rPr>
                <w:rFonts w:eastAsia="Times New Roman"/>
                <w:b/>
                <w:sz w:val="24"/>
                <w:szCs w:val="24"/>
              </w:rPr>
            </w:pPr>
            <w:r w:rsidRPr="008757A5">
              <w:rPr>
                <w:rFonts w:eastAsia="Times New Roman"/>
                <w:b/>
                <w:sz w:val="24"/>
                <w:szCs w:val="24"/>
              </w:rPr>
              <w:t>Main PM</w:t>
            </w:r>
            <w:r w:rsidRPr="008757A5">
              <w:rPr>
                <w:rFonts w:eastAsia="Times New Roman"/>
                <w:b/>
                <w:sz w:val="24"/>
                <w:szCs w:val="24"/>
                <w:vertAlign w:val="subscript"/>
              </w:rPr>
              <w:t>2.5</w:t>
            </w:r>
            <w:r w:rsidRPr="008757A5">
              <w:rPr>
                <w:rFonts w:eastAsia="Times New Roman"/>
                <w:b/>
                <w:sz w:val="24"/>
                <w:szCs w:val="24"/>
              </w:rPr>
              <w:t xml:space="preserve"> Effect</w:t>
            </w:r>
          </w:p>
        </w:tc>
        <w:tc>
          <w:tcPr>
            <w:tcW w:w="3289" w:type="dxa"/>
            <w:shd w:val="clear" w:color="auto" w:fill="auto"/>
            <w:noWrap/>
            <w:hideMark/>
          </w:tcPr>
          <w:p w:rsidR="00214B1A" w:rsidRPr="008757A5" w:rsidRDefault="00214B1A" w:rsidP="0009567D">
            <w:pPr>
              <w:jc w:val="center"/>
              <w:rPr>
                <w:rFonts w:ascii="Calibri" w:hAnsi="Calibri"/>
                <w:color w:val="000000"/>
                <w:sz w:val="24"/>
                <w:szCs w:val="24"/>
              </w:rPr>
            </w:pPr>
          </w:p>
        </w:tc>
        <w:tc>
          <w:tcPr>
            <w:tcW w:w="3681" w:type="dxa"/>
            <w:shd w:val="clear" w:color="auto" w:fill="auto"/>
            <w:noWrap/>
            <w:hideMark/>
          </w:tcPr>
          <w:p w:rsidR="00214B1A" w:rsidRPr="008757A5" w:rsidRDefault="00214B1A" w:rsidP="0009567D">
            <w:pPr>
              <w:jc w:val="center"/>
              <w:rPr>
                <w:rFonts w:ascii="Calibri" w:hAnsi="Calibri"/>
                <w:color w:val="000000"/>
                <w:sz w:val="24"/>
                <w:szCs w:val="24"/>
              </w:rPr>
            </w:pPr>
          </w:p>
        </w:tc>
      </w:tr>
      <w:tr w:rsidR="00214B1A" w:rsidRPr="008757A5" w:rsidTr="0009567D">
        <w:trPr>
          <w:trHeight w:val="245"/>
          <w:jc w:val="center"/>
        </w:trPr>
        <w:tc>
          <w:tcPr>
            <w:tcW w:w="2430" w:type="dxa"/>
            <w:shd w:val="clear" w:color="auto" w:fill="auto"/>
            <w:noWrap/>
            <w:hideMark/>
          </w:tcPr>
          <w:p w:rsidR="00214B1A" w:rsidRPr="008757A5" w:rsidRDefault="00214B1A" w:rsidP="0009567D">
            <w:pPr>
              <w:pStyle w:val="NoSpacing"/>
              <w:rPr>
                <w:rFonts w:eastAsia="Times New Roman"/>
                <w:sz w:val="24"/>
                <w:szCs w:val="24"/>
              </w:rPr>
            </w:pPr>
          </w:p>
        </w:tc>
        <w:tc>
          <w:tcPr>
            <w:tcW w:w="3150" w:type="dxa"/>
            <w:shd w:val="clear" w:color="auto" w:fill="auto"/>
            <w:noWrap/>
            <w:hideMark/>
          </w:tcPr>
          <w:p w:rsidR="00214B1A" w:rsidRPr="008757A5" w:rsidRDefault="00214B1A" w:rsidP="0009567D">
            <w:pPr>
              <w:pStyle w:val="NoSpacing"/>
              <w:jc w:val="right"/>
              <w:rPr>
                <w:rFonts w:eastAsia="Times New Roman"/>
                <w:sz w:val="24"/>
                <w:szCs w:val="24"/>
                <w:vertAlign w:val="subscript"/>
              </w:rPr>
            </w:pPr>
            <w:r w:rsidRPr="008757A5">
              <w:rPr>
                <w:rFonts w:eastAsia="Times New Roman"/>
                <w:sz w:val="24"/>
                <w:szCs w:val="24"/>
              </w:rPr>
              <w:t>High vs. Low PM</w:t>
            </w:r>
            <w:r w:rsidRPr="008757A5">
              <w:rPr>
                <w:rFonts w:eastAsia="Times New Roman"/>
                <w:sz w:val="24"/>
                <w:szCs w:val="24"/>
                <w:vertAlign w:val="subscript"/>
              </w:rPr>
              <w:t>2.5</w:t>
            </w:r>
          </w:p>
        </w:tc>
        <w:tc>
          <w:tcPr>
            <w:tcW w:w="3289" w:type="dxa"/>
            <w:shd w:val="clear" w:color="auto" w:fill="auto"/>
            <w:noWrap/>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1.85 (1.45, 2.36); P&lt;0.01</w:t>
            </w:r>
          </w:p>
        </w:tc>
        <w:tc>
          <w:tcPr>
            <w:tcW w:w="3681" w:type="dxa"/>
            <w:shd w:val="clear" w:color="auto" w:fill="auto"/>
            <w:noWrap/>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1.71 (1.20, 2.45); P&lt;0.01</w:t>
            </w:r>
          </w:p>
        </w:tc>
      </w:tr>
      <w:tr w:rsidR="00214B1A" w:rsidRPr="008757A5" w:rsidTr="0009567D">
        <w:trPr>
          <w:trHeight w:val="245"/>
          <w:jc w:val="center"/>
        </w:trPr>
        <w:tc>
          <w:tcPr>
            <w:tcW w:w="2430" w:type="dxa"/>
            <w:shd w:val="clear" w:color="auto" w:fill="auto"/>
            <w:noWrap/>
          </w:tcPr>
          <w:p w:rsidR="00214B1A" w:rsidRPr="008757A5" w:rsidRDefault="00214B1A" w:rsidP="0009567D">
            <w:pPr>
              <w:pStyle w:val="NoSpacing"/>
              <w:rPr>
                <w:rFonts w:eastAsia="Times New Roman"/>
                <w:sz w:val="24"/>
                <w:szCs w:val="24"/>
              </w:rPr>
            </w:pPr>
          </w:p>
        </w:tc>
        <w:tc>
          <w:tcPr>
            <w:tcW w:w="3150" w:type="dxa"/>
            <w:shd w:val="clear" w:color="auto" w:fill="auto"/>
            <w:noWrap/>
          </w:tcPr>
          <w:p w:rsidR="00214B1A" w:rsidRPr="008757A5" w:rsidRDefault="00214B1A" w:rsidP="0009567D">
            <w:pPr>
              <w:pStyle w:val="NoSpacing"/>
              <w:jc w:val="center"/>
              <w:rPr>
                <w:rFonts w:eastAsia="Times New Roman"/>
                <w:b/>
                <w:sz w:val="24"/>
                <w:szCs w:val="24"/>
              </w:rPr>
            </w:pPr>
            <w:r w:rsidRPr="008757A5">
              <w:rPr>
                <w:rFonts w:eastAsia="Times New Roman"/>
                <w:b/>
                <w:sz w:val="24"/>
                <w:szCs w:val="24"/>
              </w:rPr>
              <w:t>PM</w:t>
            </w:r>
            <w:r w:rsidRPr="008757A5">
              <w:rPr>
                <w:rFonts w:eastAsia="Times New Roman"/>
                <w:b/>
                <w:sz w:val="24"/>
                <w:szCs w:val="24"/>
                <w:vertAlign w:val="subscript"/>
              </w:rPr>
              <w:t>2.5</w:t>
            </w:r>
            <w:r w:rsidRPr="008757A5">
              <w:rPr>
                <w:rFonts w:eastAsia="Times New Roman"/>
                <w:b/>
                <w:sz w:val="24"/>
                <w:szCs w:val="24"/>
              </w:rPr>
              <w:t xml:space="preserve"> Effect by APOE</w:t>
            </w:r>
          </w:p>
        </w:tc>
        <w:tc>
          <w:tcPr>
            <w:tcW w:w="3289" w:type="dxa"/>
            <w:shd w:val="clear" w:color="auto" w:fill="auto"/>
            <w:noWrap/>
          </w:tcPr>
          <w:p w:rsidR="00214B1A" w:rsidRPr="008757A5" w:rsidRDefault="00214B1A" w:rsidP="0009567D">
            <w:pPr>
              <w:jc w:val="center"/>
              <w:rPr>
                <w:rFonts w:ascii="Calibri" w:hAnsi="Calibri"/>
                <w:color w:val="000000"/>
                <w:sz w:val="24"/>
                <w:szCs w:val="24"/>
              </w:rPr>
            </w:pPr>
          </w:p>
        </w:tc>
        <w:tc>
          <w:tcPr>
            <w:tcW w:w="3681" w:type="dxa"/>
            <w:shd w:val="clear" w:color="auto" w:fill="auto"/>
            <w:noWrap/>
          </w:tcPr>
          <w:p w:rsidR="00214B1A" w:rsidRPr="008757A5" w:rsidRDefault="00214B1A" w:rsidP="0009567D">
            <w:pPr>
              <w:jc w:val="center"/>
              <w:rPr>
                <w:rFonts w:ascii="Calibri" w:hAnsi="Calibri"/>
                <w:color w:val="000000"/>
                <w:sz w:val="24"/>
                <w:szCs w:val="24"/>
              </w:rPr>
            </w:pPr>
          </w:p>
        </w:tc>
      </w:tr>
      <w:tr w:rsidR="00214B1A" w:rsidRPr="008757A5" w:rsidTr="0009567D">
        <w:trPr>
          <w:trHeight w:val="245"/>
          <w:jc w:val="center"/>
        </w:trPr>
        <w:tc>
          <w:tcPr>
            <w:tcW w:w="2430" w:type="dxa"/>
            <w:shd w:val="clear" w:color="auto" w:fill="auto"/>
            <w:noWrap/>
            <w:hideMark/>
          </w:tcPr>
          <w:p w:rsidR="00214B1A" w:rsidRPr="008757A5" w:rsidRDefault="00214B1A" w:rsidP="0009567D">
            <w:pPr>
              <w:pStyle w:val="NoSpacing"/>
              <w:rPr>
                <w:rFonts w:eastAsia="Times New Roman"/>
                <w:sz w:val="24"/>
                <w:szCs w:val="24"/>
              </w:rPr>
            </w:pPr>
          </w:p>
        </w:tc>
        <w:tc>
          <w:tcPr>
            <w:tcW w:w="3150" w:type="dxa"/>
            <w:shd w:val="clear" w:color="auto" w:fill="auto"/>
            <w:noWrap/>
            <w:hideMark/>
          </w:tcPr>
          <w:p w:rsidR="00214B1A" w:rsidRPr="008757A5" w:rsidRDefault="00214B1A" w:rsidP="0009567D">
            <w:pPr>
              <w:pStyle w:val="NoSpacing"/>
              <w:jc w:val="right"/>
              <w:rPr>
                <w:rFonts w:eastAsia="Times New Roman"/>
                <w:sz w:val="24"/>
                <w:szCs w:val="24"/>
              </w:rPr>
            </w:pPr>
            <w:r w:rsidRPr="008757A5">
              <w:rPr>
                <w:rFonts w:ascii="Calibri" w:eastAsia="Times New Roman" w:hAnsi="Calibri"/>
                <w:sz w:val="24"/>
                <w:szCs w:val="24"/>
              </w:rPr>
              <w:t>ε</w:t>
            </w:r>
            <w:r w:rsidRPr="008757A5">
              <w:rPr>
                <w:rFonts w:eastAsia="Times New Roman"/>
                <w:sz w:val="24"/>
                <w:szCs w:val="24"/>
              </w:rPr>
              <w:t>3/3</w:t>
            </w:r>
          </w:p>
        </w:tc>
        <w:tc>
          <w:tcPr>
            <w:tcW w:w="3289" w:type="dxa"/>
            <w:shd w:val="clear" w:color="auto" w:fill="auto"/>
            <w:noWrap/>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1.71 (1.28, 2.28); P&lt;0.01</w:t>
            </w:r>
          </w:p>
        </w:tc>
        <w:tc>
          <w:tcPr>
            <w:tcW w:w="3681" w:type="dxa"/>
            <w:shd w:val="clear" w:color="auto" w:fill="auto"/>
            <w:noWrap/>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1.36 (0.81, 2.28); P=0.24</w:t>
            </w:r>
          </w:p>
        </w:tc>
      </w:tr>
      <w:tr w:rsidR="00214B1A" w:rsidRPr="008757A5" w:rsidTr="0009567D">
        <w:trPr>
          <w:trHeight w:val="245"/>
          <w:jc w:val="center"/>
        </w:trPr>
        <w:tc>
          <w:tcPr>
            <w:tcW w:w="2430" w:type="dxa"/>
            <w:shd w:val="clear" w:color="auto" w:fill="auto"/>
            <w:noWrap/>
            <w:hideMark/>
          </w:tcPr>
          <w:p w:rsidR="00214B1A" w:rsidRPr="008757A5" w:rsidRDefault="00214B1A" w:rsidP="0009567D">
            <w:pPr>
              <w:pStyle w:val="NoSpacing"/>
              <w:rPr>
                <w:rFonts w:eastAsia="Times New Roman"/>
                <w:sz w:val="24"/>
                <w:szCs w:val="24"/>
              </w:rPr>
            </w:pPr>
          </w:p>
        </w:tc>
        <w:tc>
          <w:tcPr>
            <w:tcW w:w="3150" w:type="dxa"/>
            <w:shd w:val="clear" w:color="auto" w:fill="auto"/>
            <w:noWrap/>
            <w:hideMark/>
          </w:tcPr>
          <w:p w:rsidR="00214B1A" w:rsidRPr="008757A5" w:rsidRDefault="00214B1A" w:rsidP="0009567D">
            <w:pPr>
              <w:pStyle w:val="NoSpacing"/>
              <w:jc w:val="right"/>
              <w:rPr>
                <w:rFonts w:eastAsia="Times New Roman"/>
                <w:sz w:val="24"/>
                <w:szCs w:val="24"/>
              </w:rPr>
            </w:pPr>
            <w:r w:rsidRPr="008757A5">
              <w:rPr>
                <w:rFonts w:ascii="Calibri" w:eastAsia="Times New Roman" w:hAnsi="Calibri"/>
                <w:sz w:val="24"/>
                <w:szCs w:val="24"/>
              </w:rPr>
              <w:t>ε</w:t>
            </w:r>
            <w:r w:rsidRPr="008757A5">
              <w:rPr>
                <w:rFonts w:eastAsia="Times New Roman"/>
                <w:sz w:val="24"/>
                <w:szCs w:val="24"/>
              </w:rPr>
              <w:t>3/4</w:t>
            </w:r>
          </w:p>
        </w:tc>
        <w:tc>
          <w:tcPr>
            <w:tcW w:w="3289" w:type="dxa"/>
            <w:shd w:val="clear" w:color="auto" w:fill="auto"/>
            <w:noWrap/>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2.03 (1.36, 3.02); P&lt;0.01</w:t>
            </w:r>
          </w:p>
        </w:tc>
        <w:tc>
          <w:tcPr>
            <w:tcW w:w="3681" w:type="dxa"/>
            <w:shd w:val="clear" w:color="auto" w:fill="auto"/>
            <w:noWrap/>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1.88 (1.17, 3.01); P&lt;0.01</w:t>
            </w:r>
          </w:p>
        </w:tc>
      </w:tr>
      <w:tr w:rsidR="00214B1A" w:rsidRPr="008757A5" w:rsidTr="0009567D">
        <w:trPr>
          <w:trHeight w:val="245"/>
          <w:jc w:val="center"/>
        </w:trPr>
        <w:tc>
          <w:tcPr>
            <w:tcW w:w="2430" w:type="dxa"/>
            <w:shd w:val="clear" w:color="auto" w:fill="auto"/>
            <w:noWrap/>
            <w:hideMark/>
          </w:tcPr>
          <w:p w:rsidR="00214B1A" w:rsidRPr="008757A5" w:rsidRDefault="00214B1A" w:rsidP="0009567D">
            <w:pPr>
              <w:pStyle w:val="NoSpacing"/>
              <w:rPr>
                <w:rFonts w:eastAsia="Times New Roman"/>
                <w:sz w:val="24"/>
                <w:szCs w:val="24"/>
              </w:rPr>
            </w:pPr>
          </w:p>
        </w:tc>
        <w:tc>
          <w:tcPr>
            <w:tcW w:w="3150" w:type="dxa"/>
            <w:shd w:val="clear" w:color="auto" w:fill="auto"/>
            <w:noWrap/>
            <w:hideMark/>
          </w:tcPr>
          <w:p w:rsidR="00214B1A" w:rsidRPr="008757A5" w:rsidRDefault="00214B1A" w:rsidP="0009567D">
            <w:pPr>
              <w:pStyle w:val="NoSpacing"/>
              <w:jc w:val="right"/>
              <w:rPr>
                <w:rFonts w:eastAsia="Times New Roman"/>
                <w:sz w:val="24"/>
                <w:szCs w:val="24"/>
              </w:rPr>
            </w:pPr>
            <w:r w:rsidRPr="008757A5">
              <w:rPr>
                <w:rFonts w:ascii="Calibri" w:eastAsia="Times New Roman" w:hAnsi="Calibri"/>
                <w:sz w:val="24"/>
                <w:szCs w:val="24"/>
              </w:rPr>
              <w:t>ε</w:t>
            </w:r>
            <w:r w:rsidRPr="008757A5">
              <w:rPr>
                <w:rFonts w:eastAsia="Times New Roman"/>
                <w:sz w:val="24"/>
                <w:szCs w:val="24"/>
              </w:rPr>
              <w:t>4/4</w:t>
            </w:r>
          </w:p>
        </w:tc>
        <w:tc>
          <w:tcPr>
            <w:tcW w:w="3289" w:type="dxa"/>
            <w:shd w:val="clear" w:color="auto" w:fill="auto"/>
            <w:noWrap/>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2.73 (1.08, 6.94); P=0.03</w:t>
            </w:r>
          </w:p>
        </w:tc>
        <w:tc>
          <w:tcPr>
            <w:tcW w:w="3681" w:type="dxa"/>
            <w:shd w:val="clear" w:color="auto" w:fill="auto"/>
            <w:noWrap/>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3.19 (1.06, 9.57); P=0.04</w:t>
            </w:r>
          </w:p>
        </w:tc>
      </w:tr>
      <w:tr w:rsidR="00214B1A" w:rsidRPr="008757A5" w:rsidTr="0009567D">
        <w:trPr>
          <w:trHeight w:val="245"/>
          <w:jc w:val="center"/>
        </w:trPr>
        <w:tc>
          <w:tcPr>
            <w:tcW w:w="2430" w:type="dxa"/>
            <w:shd w:val="clear" w:color="auto" w:fill="auto"/>
            <w:noWrap/>
            <w:hideMark/>
          </w:tcPr>
          <w:p w:rsidR="00214B1A" w:rsidRPr="008757A5" w:rsidRDefault="00214B1A" w:rsidP="0009567D">
            <w:pPr>
              <w:pStyle w:val="NoSpacing"/>
              <w:jc w:val="center"/>
              <w:rPr>
                <w:rFonts w:eastAsia="Times New Roman"/>
                <w:sz w:val="24"/>
                <w:szCs w:val="24"/>
              </w:rPr>
            </w:pPr>
          </w:p>
        </w:tc>
        <w:tc>
          <w:tcPr>
            <w:tcW w:w="3150" w:type="dxa"/>
            <w:shd w:val="clear" w:color="auto" w:fill="auto"/>
            <w:noWrap/>
            <w:hideMark/>
          </w:tcPr>
          <w:p w:rsidR="00214B1A" w:rsidRPr="008757A5" w:rsidRDefault="00214B1A" w:rsidP="0009567D">
            <w:pPr>
              <w:pStyle w:val="NoSpacing"/>
              <w:jc w:val="center"/>
              <w:rPr>
                <w:rFonts w:eastAsia="Times New Roman"/>
                <w:sz w:val="24"/>
                <w:szCs w:val="24"/>
              </w:rPr>
            </w:pPr>
          </w:p>
        </w:tc>
        <w:tc>
          <w:tcPr>
            <w:tcW w:w="3289" w:type="dxa"/>
            <w:shd w:val="clear" w:color="auto" w:fill="auto"/>
            <w:noWrap/>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Interaction p=0.54</w:t>
            </w:r>
          </w:p>
        </w:tc>
        <w:tc>
          <w:tcPr>
            <w:tcW w:w="3681" w:type="dxa"/>
            <w:shd w:val="clear" w:color="auto" w:fill="auto"/>
            <w:noWrap/>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Interaction p=0.31</w:t>
            </w:r>
          </w:p>
        </w:tc>
      </w:tr>
      <w:tr w:rsidR="00214B1A" w:rsidRPr="008757A5" w:rsidTr="0009567D">
        <w:trPr>
          <w:trHeight w:val="245"/>
          <w:jc w:val="center"/>
        </w:trPr>
        <w:tc>
          <w:tcPr>
            <w:tcW w:w="2430" w:type="dxa"/>
            <w:shd w:val="clear" w:color="auto" w:fill="auto"/>
            <w:noWrap/>
            <w:hideMark/>
          </w:tcPr>
          <w:p w:rsidR="00214B1A" w:rsidRPr="008757A5" w:rsidRDefault="00214B1A" w:rsidP="0009567D">
            <w:pPr>
              <w:pStyle w:val="NoSpacing"/>
              <w:jc w:val="center"/>
              <w:rPr>
                <w:rFonts w:eastAsia="Times New Roman"/>
                <w:b/>
                <w:sz w:val="24"/>
                <w:szCs w:val="24"/>
              </w:rPr>
            </w:pPr>
            <w:r w:rsidRPr="008757A5">
              <w:rPr>
                <w:rFonts w:eastAsia="Times New Roman"/>
                <w:b/>
                <w:sz w:val="24"/>
                <w:szCs w:val="24"/>
              </w:rPr>
              <w:t>III</w:t>
            </w:r>
          </w:p>
        </w:tc>
        <w:tc>
          <w:tcPr>
            <w:tcW w:w="3150" w:type="dxa"/>
            <w:shd w:val="clear" w:color="auto" w:fill="auto"/>
            <w:noWrap/>
            <w:hideMark/>
          </w:tcPr>
          <w:p w:rsidR="00214B1A" w:rsidRPr="008757A5" w:rsidRDefault="00214B1A" w:rsidP="0009567D">
            <w:pPr>
              <w:pStyle w:val="NoSpacing"/>
              <w:jc w:val="center"/>
              <w:rPr>
                <w:rFonts w:eastAsia="Times New Roman"/>
                <w:b/>
                <w:sz w:val="24"/>
                <w:szCs w:val="24"/>
              </w:rPr>
            </w:pPr>
            <w:r w:rsidRPr="008757A5">
              <w:rPr>
                <w:rFonts w:eastAsia="Times New Roman"/>
                <w:b/>
                <w:sz w:val="24"/>
                <w:szCs w:val="24"/>
              </w:rPr>
              <w:t>Main PM</w:t>
            </w:r>
            <w:r w:rsidRPr="008757A5">
              <w:rPr>
                <w:rFonts w:eastAsia="Times New Roman"/>
                <w:b/>
                <w:sz w:val="24"/>
                <w:szCs w:val="24"/>
                <w:vertAlign w:val="subscript"/>
              </w:rPr>
              <w:t>2.5</w:t>
            </w:r>
            <w:r w:rsidRPr="008757A5">
              <w:rPr>
                <w:rFonts w:eastAsia="Times New Roman"/>
                <w:b/>
                <w:sz w:val="24"/>
                <w:szCs w:val="24"/>
              </w:rPr>
              <w:t xml:space="preserve"> Effect</w:t>
            </w:r>
          </w:p>
        </w:tc>
        <w:tc>
          <w:tcPr>
            <w:tcW w:w="3289" w:type="dxa"/>
            <w:shd w:val="clear" w:color="auto" w:fill="auto"/>
            <w:noWrap/>
            <w:hideMark/>
          </w:tcPr>
          <w:p w:rsidR="00214B1A" w:rsidRPr="008757A5" w:rsidRDefault="00214B1A" w:rsidP="0009567D">
            <w:pPr>
              <w:jc w:val="center"/>
              <w:rPr>
                <w:rFonts w:ascii="Calibri" w:hAnsi="Calibri"/>
                <w:color w:val="000000"/>
                <w:sz w:val="24"/>
                <w:szCs w:val="24"/>
              </w:rPr>
            </w:pPr>
          </w:p>
        </w:tc>
        <w:tc>
          <w:tcPr>
            <w:tcW w:w="3681" w:type="dxa"/>
            <w:shd w:val="clear" w:color="auto" w:fill="auto"/>
            <w:noWrap/>
            <w:hideMark/>
          </w:tcPr>
          <w:p w:rsidR="00214B1A" w:rsidRPr="008757A5" w:rsidRDefault="00214B1A" w:rsidP="0009567D">
            <w:pPr>
              <w:jc w:val="center"/>
              <w:rPr>
                <w:rFonts w:ascii="Calibri" w:hAnsi="Calibri"/>
                <w:color w:val="000000"/>
                <w:sz w:val="24"/>
                <w:szCs w:val="24"/>
              </w:rPr>
            </w:pPr>
          </w:p>
        </w:tc>
      </w:tr>
      <w:tr w:rsidR="00214B1A" w:rsidRPr="008757A5" w:rsidTr="0009567D">
        <w:trPr>
          <w:trHeight w:val="245"/>
          <w:jc w:val="center"/>
        </w:trPr>
        <w:tc>
          <w:tcPr>
            <w:tcW w:w="2430" w:type="dxa"/>
            <w:shd w:val="clear" w:color="auto" w:fill="auto"/>
            <w:noWrap/>
            <w:hideMark/>
          </w:tcPr>
          <w:p w:rsidR="00214B1A" w:rsidRPr="008757A5" w:rsidRDefault="00214B1A" w:rsidP="0009567D">
            <w:pPr>
              <w:pStyle w:val="NoSpacing"/>
              <w:rPr>
                <w:rFonts w:eastAsia="Times New Roman"/>
                <w:sz w:val="24"/>
                <w:szCs w:val="24"/>
              </w:rPr>
            </w:pPr>
            <w:r w:rsidRPr="008757A5">
              <w:rPr>
                <w:rFonts w:eastAsia="Times New Roman"/>
                <w:sz w:val="24"/>
                <w:szCs w:val="24"/>
              </w:rPr>
              <w:t>(Fig.1: Adjusted)</w:t>
            </w:r>
          </w:p>
        </w:tc>
        <w:tc>
          <w:tcPr>
            <w:tcW w:w="3150" w:type="dxa"/>
            <w:shd w:val="clear" w:color="auto" w:fill="auto"/>
            <w:noWrap/>
            <w:hideMark/>
          </w:tcPr>
          <w:p w:rsidR="00214B1A" w:rsidRPr="008757A5" w:rsidRDefault="00214B1A" w:rsidP="0009567D">
            <w:pPr>
              <w:pStyle w:val="NoSpacing"/>
              <w:jc w:val="right"/>
              <w:rPr>
                <w:rFonts w:eastAsia="Times New Roman"/>
                <w:sz w:val="24"/>
                <w:szCs w:val="24"/>
                <w:vertAlign w:val="subscript"/>
              </w:rPr>
            </w:pPr>
            <w:r w:rsidRPr="008757A5">
              <w:rPr>
                <w:rFonts w:eastAsia="Times New Roman"/>
                <w:sz w:val="24"/>
                <w:szCs w:val="24"/>
              </w:rPr>
              <w:t>High vs. Low PM</w:t>
            </w:r>
            <w:r w:rsidRPr="008757A5">
              <w:rPr>
                <w:rFonts w:eastAsia="Times New Roman"/>
                <w:sz w:val="24"/>
                <w:szCs w:val="24"/>
                <w:vertAlign w:val="subscript"/>
              </w:rPr>
              <w:t>2.5</w:t>
            </w:r>
          </w:p>
        </w:tc>
        <w:tc>
          <w:tcPr>
            <w:tcW w:w="3289" w:type="dxa"/>
            <w:shd w:val="clear" w:color="auto" w:fill="auto"/>
            <w:noWrap/>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1.81 (1.42, 2.32); P&lt;0.01</w:t>
            </w:r>
          </w:p>
        </w:tc>
        <w:tc>
          <w:tcPr>
            <w:tcW w:w="3681" w:type="dxa"/>
            <w:shd w:val="clear" w:color="auto" w:fill="auto"/>
            <w:noWrap/>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1.92 (1.31, 2.80); P&lt;0.01</w:t>
            </w:r>
          </w:p>
        </w:tc>
      </w:tr>
      <w:tr w:rsidR="00214B1A" w:rsidRPr="008757A5" w:rsidTr="0009567D">
        <w:trPr>
          <w:trHeight w:val="245"/>
          <w:jc w:val="center"/>
        </w:trPr>
        <w:tc>
          <w:tcPr>
            <w:tcW w:w="2430" w:type="dxa"/>
            <w:shd w:val="clear" w:color="auto" w:fill="auto"/>
            <w:noWrap/>
          </w:tcPr>
          <w:p w:rsidR="00214B1A" w:rsidRPr="008757A5" w:rsidRDefault="00214B1A" w:rsidP="0009567D">
            <w:pPr>
              <w:pStyle w:val="NoSpacing"/>
              <w:rPr>
                <w:rFonts w:eastAsia="Times New Roman"/>
                <w:sz w:val="24"/>
                <w:szCs w:val="24"/>
              </w:rPr>
            </w:pPr>
          </w:p>
        </w:tc>
        <w:tc>
          <w:tcPr>
            <w:tcW w:w="3150" w:type="dxa"/>
            <w:shd w:val="clear" w:color="auto" w:fill="auto"/>
            <w:noWrap/>
          </w:tcPr>
          <w:p w:rsidR="00214B1A" w:rsidRPr="008757A5" w:rsidRDefault="00214B1A" w:rsidP="0009567D">
            <w:pPr>
              <w:pStyle w:val="NoSpacing"/>
              <w:jc w:val="center"/>
              <w:rPr>
                <w:rFonts w:eastAsia="Times New Roman"/>
                <w:b/>
                <w:sz w:val="24"/>
                <w:szCs w:val="24"/>
              </w:rPr>
            </w:pPr>
            <w:r w:rsidRPr="008757A5">
              <w:rPr>
                <w:rFonts w:eastAsia="Times New Roman"/>
                <w:b/>
                <w:sz w:val="24"/>
                <w:szCs w:val="24"/>
              </w:rPr>
              <w:t>PM</w:t>
            </w:r>
            <w:r w:rsidRPr="008757A5">
              <w:rPr>
                <w:rFonts w:eastAsia="Times New Roman"/>
                <w:b/>
                <w:sz w:val="24"/>
                <w:szCs w:val="24"/>
                <w:vertAlign w:val="subscript"/>
              </w:rPr>
              <w:t>2.5</w:t>
            </w:r>
            <w:r w:rsidRPr="008757A5">
              <w:rPr>
                <w:rFonts w:eastAsia="Times New Roman"/>
                <w:b/>
                <w:sz w:val="24"/>
                <w:szCs w:val="24"/>
              </w:rPr>
              <w:t xml:space="preserve"> Effect by APOE</w:t>
            </w:r>
          </w:p>
        </w:tc>
        <w:tc>
          <w:tcPr>
            <w:tcW w:w="3289" w:type="dxa"/>
            <w:shd w:val="clear" w:color="auto" w:fill="auto"/>
            <w:noWrap/>
          </w:tcPr>
          <w:p w:rsidR="00214B1A" w:rsidRPr="008757A5" w:rsidRDefault="00214B1A" w:rsidP="0009567D">
            <w:pPr>
              <w:jc w:val="center"/>
              <w:rPr>
                <w:rFonts w:ascii="Calibri" w:hAnsi="Calibri"/>
                <w:color w:val="000000"/>
                <w:sz w:val="24"/>
                <w:szCs w:val="24"/>
              </w:rPr>
            </w:pPr>
          </w:p>
        </w:tc>
        <w:tc>
          <w:tcPr>
            <w:tcW w:w="3681" w:type="dxa"/>
            <w:shd w:val="clear" w:color="auto" w:fill="auto"/>
            <w:noWrap/>
          </w:tcPr>
          <w:p w:rsidR="00214B1A" w:rsidRPr="008757A5" w:rsidRDefault="00214B1A" w:rsidP="0009567D">
            <w:pPr>
              <w:jc w:val="center"/>
              <w:rPr>
                <w:rFonts w:ascii="Calibri" w:hAnsi="Calibri"/>
                <w:color w:val="000000"/>
                <w:sz w:val="24"/>
                <w:szCs w:val="24"/>
              </w:rPr>
            </w:pPr>
          </w:p>
        </w:tc>
      </w:tr>
      <w:tr w:rsidR="00214B1A" w:rsidRPr="008757A5" w:rsidTr="0009567D">
        <w:trPr>
          <w:trHeight w:val="245"/>
          <w:jc w:val="center"/>
        </w:trPr>
        <w:tc>
          <w:tcPr>
            <w:tcW w:w="2430" w:type="dxa"/>
            <w:shd w:val="clear" w:color="auto" w:fill="auto"/>
            <w:noWrap/>
            <w:hideMark/>
          </w:tcPr>
          <w:p w:rsidR="00214B1A" w:rsidRPr="008757A5" w:rsidRDefault="00214B1A" w:rsidP="0009567D">
            <w:pPr>
              <w:pStyle w:val="NoSpacing"/>
              <w:rPr>
                <w:rFonts w:eastAsia="Times New Roman"/>
                <w:sz w:val="24"/>
                <w:szCs w:val="24"/>
              </w:rPr>
            </w:pPr>
          </w:p>
        </w:tc>
        <w:tc>
          <w:tcPr>
            <w:tcW w:w="3150" w:type="dxa"/>
            <w:shd w:val="clear" w:color="auto" w:fill="auto"/>
            <w:noWrap/>
            <w:hideMark/>
          </w:tcPr>
          <w:p w:rsidR="00214B1A" w:rsidRPr="008757A5" w:rsidRDefault="00214B1A" w:rsidP="0009567D">
            <w:pPr>
              <w:pStyle w:val="NoSpacing"/>
              <w:jc w:val="right"/>
              <w:rPr>
                <w:rFonts w:eastAsia="Times New Roman"/>
                <w:sz w:val="24"/>
                <w:szCs w:val="24"/>
              </w:rPr>
            </w:pPr>
            <w:r w:rsidRPr="008757A5">
              <w:rPr>
                <w:rFonts w:ascii="Calibri" w:eastAsia="Times New Roman" w:hAnsi="Calibri"/>
                <w:sz w:val="24"/>
                <w:szCs w:val="24"/>
              </w:rPr>
              <w:t>ε</w:t>
            </w:r>
            <w:r w:rsidRPr="008757A5">
              <w:rPr>
                <w:rFonts w:eastAsia="Times New Roman"/>
                <w:sz w:val="24"/>
                <w:szCs w:val="24"/>
              </w:rPr>
              <w:t>3/3</w:t>
            </w:r>
          </w:p>
        </w:tc>
        <w:tc>
          <w:tcPr>
            <w:tcW w:w="3289" w:type="dxa"/>
            <w:shd w:val="clear" w:color="auto" w:fill="auto"/>
            <w:noWrap/>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1.65 (1.23, 2.23); P&lt;0.01</w:t>
            </w:r>
          </w:p>
        </w:tc>
        <w:tc>
          <w:tcPr>
            <w:tcW w:w="3681" w:type="dxa"/>
            <w:shd w:val="clear" w:color="auto" w:fill="auto"/>
            <w:noWrap/>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1.68 (0.97, 2.92); P=0.06</w:t>
            </w:r>
          </w:p>
        </w:tc>
      </w:tr>
      <w:tr w:rsidR="00214B1A" w:rsidRPr="008757A5" w:rsidTr="0009567D">
        <w:trPr>
          <w:trHeight w:val="245"/>
          <w:jc w:val="center"/>
        </w:trPr>
        <w:tc>
          <w:tcPr>
            <w:tcW w:w="2430" w:type="dxa"/>
            <w:shd w:val="clear" w:color="auto" w:fill="auto"/>
            <w:noWrap/>
            <w:hideMark/>
          </w:tcPr>
          <w:p w:rsidR="00214B1A" w:rsidRPr="008757A5" w:rsidRDefault="00214B1A" w:rsidP="0009567D">
            <w:pPr>
              <w:pStyle w:val="NoSpacing"/>
              <w:rPr>
                <w:rFonts w:eastAsia="Times New Roman"/>
                <w:sz w:val="24"/>
                <w:szCs w:val="24"/>
              </w:rPr>
            </w:pPr>
          </w:p>
        </w:tc>
        <w:tc>
          <w:tcPr>
            <w:tcW w:w="3150" w:type="dxa"/>
            <w:shd w:val="clear" w:color="auto" w:fill="auto"/>
            <w:noWrap/>
            <w:hideMark/>
          </w:tcPr>
          <w:p w:rsidR="00214B1A" w:rsidRPr="008757A5" w:rsidRDefault="00214B1A" w:rsidP="0009567D">
            <w:pPr>
              <w:pStyle w:val="NoSpacing"/>
              <w:jc w:val="right"/>
              <w:rPr>
                <w:rFonts w:eastAsia="Times New Roman"/>
                <w:sz w:val="24"/>
                <w:szCs w:val="24"/>
              </w:rPr>
            </w:pPr>
            <w:r w:rsidRPr="008757A5">
              <w:rPr>
                <w:rFonts w:ascii="Calibri" w:eastAsia="Times New Roman" w:hAnsi="Calibri"/>
                <w:sz w:val="24"/>
                <w:szCs w:val="24"/>
              </w:rPr>
              <w:t>ε</w:t>
            </w:r>
            <w:r w:rsidRPr="008757A5">
              <w:rPr>
                <w:rFonts w:eastAsia="Times New Roman"/>
                <w:sz w:val="24"/>
                <w:szCs w:val="24"/>
              </w:rPr>
              <w:t>3/4</w:t>
            </w:r>
          </w:p>
        </w:tc>
        <w:tc>
          <w:tcPr>
            <w:tcW w:w="3289" w:type="dxa"/>
            <w:shd w:val="clear" w:color="auto" w:fill="auto"/>
            <w:noWrap/>
            <w:vAlign w:val="bottom"/>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1.93 (1.29, 2.90); P&lt;0.01</w:t>
            </w:r>
          </w:p>
        </w:tc>
        <w:tc>
          <w:tcPr>
            <w:tcW w:w="3681" w:type="dxa"/>
            <w:shd w:val="clear" w:color="auto" w:fill="auto"/>
            <w:noWrap/>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1.91 (1.17, 3.14); P=0.01</w:t>
            </w:r>
          </w:p>
        </w:tc>
      </w:tr>
      <w:tr w:rsidR="00214B1A" w:rsidRPr="008757A5" w:rsidTr="0009567D">
        <w:trPr>
          <w:trHeight w:val="245"/>
          <w:jc w:val="center"/>
        </w:trPr>
        <w:tc>
          <w:tcPr>
            <w:tcW w:w="2430" w:type="dxa"/>
            <w:shd w:val="clear" w:color="auto" w:fill="auto"/>
            <w:noWrap/>
            <w:hideMark/>
          </w:tcPr>
          <w:p w:rsidR="00214B1A" w:rsidRPr="008757A5" w:rsidRDefault="00214B1A" w:rsidP="0009567D">
            <w:pPr>
              <w:pStyle w:val="NoSpacing"/>
              <w:rPr>
                <w:rFonts w:eastAsia="Times New Roman"/>
                <w:sz w:val="24"/>
                <w:szCs w:val="24"/>
              </w:rPr>
            </w:pPr>
          </w:p>
        </w:tc>
        <w:tc>
          <w:tcPr>
            <w:tcW w:w="3150" w:type="dxa"/>
            <w:shd w:val="clear" w:color="auto" w:fill="auto"/>
            <w:noWrap/>
            <w:hideMark/>
          </w:tcPr>
          <w:p w:rsidR="00214B1A" w:rsidRPr="008757A5" w:rsidRDefault="00214B1A" w:rsidP="0009567D">
            <w:pPr>
              <w:pStyle w:val="NoSpacing"/>
              <w:jc w:val="right"/>
              <w:rPr>
                <w:rFonts w:eastAsia="Times New Roman"/>
                <w:sz w:val="24"/>
                <w:szCs w:val="24"/>
              </w:rPr>
            </w:pPr>
            <w:r w:rsidRPr="008757A5">
              <w:rPr>
                <w:rFonts w:ascii="Calibri" w:eastAsia="Times New Roman" w:hAnsi="Calibri"/>
                <w:sz w:val="24"/>
                <w:szCs w:val="24"/>
              </w:rPr>
              <w:t>ε</w:t>
            </w:r>
            <w:r w:rsidRPr="008757A5">
              <w:rPr>
                <w:rFonts w:eastAsia="Times New Roman"/>
                <w:sz w:val="24"/>
                <w:szCs w:val="24"/>
              </w:rPr>
              <w:t>4/4</w:t>
            </w:r>
          </w:p>
        </w:tc>
        <w:tc>
          <w:tcPr>
            <w:tcW w:w="3289" w:type="dxa"/>
            <w:shd w:val="clear" w:color="auto" w:fill="auto"/>
            <w:noWrap/>
            <w:vAlign w:val="bottom"/>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3.64 (1.36, 9.69); P&lt;0.01</w:t>
            </w:r>
          </w:p>
        </w:tc>
        <w:tc>
          <w:tcPr>
            <w:tcW w:w="3681" w:type="dxa"/>
            <w:shd w:val="clear" w:color="auto" w:fill="auto"/>
            <w:noWrap/>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3.95 (1.18, 13.19); P=0.03</w:t>
            </w:r>
          </w:p>
        </w:tc>
      </w:tr>
      <w:tr w:rsidR="00214B1A" w:rsidRPr="008757A5" w:rsidTr="0009567D">
        <w:trPr>
          <w:trHeight w:val="245"/>
          <w:jc w:val="center"/>
        </w:trPr>
        <w:tc>
          <w:tcPr>
            <w:tcW w:w="2430" w:type="dxa"/>
            <w:shd w:val="clear" w:color="auto" w:fill="auto"/>
            <w:noWrap/>
            <w:hideMark/>
          </w:tcPr>
          <w:p w:rsidR="00214B1A" w:rsidRPr="008757A5" w:rsidRDefault="00214B1A" w:rsidP="0009567D">
            <w:pPr>
              <w:pStyle w:val="NoSpacing"/>
              <w:jc w:val="center"/>
              <w:rPr>
                <w:rFonts w:eastAsia="Times New Roman"/>
                <w:sz w:val="24"/>
                <w:szCs w:val="24"/>
              </w:rPr>
            </w:pPr>
          </w:p>
        </w:tc>
        <w:tc>
          <w:tcPr>
            <w:tcW w:w="3150" w:type="dxa"/>
            <w:shd w:val="clear" w:color="auto" w:fill="auto"/>
            <w:noWrap/>
          </w:tcPr>
          <w:p w:rsidR="00214B1A" w:rsidRPr="008757A5" w:rsidRDefault="00214B1A" w:rsidP="0009567D">
            <w:pPr>
              <w:pStyle w:val="NoSpacing"/>
              <w:jc w:val="center"/>
              <w:rPr>
                <w:rFonts w:eastAsia="Times New Roman"/>
                <w:sz w:val="24"/>
                <w:szCs w:val="24"/>
              </w:rPr>
            </w:pPr>
          </w:p>
        </w:tc>
        <w:tc>
          <w:tcPr>
            <w:tcW w:w="3289" w:type="dxa"/>
            <w:shd w:val="clear" w:color="auto" w:fill="auto"/>
            <w:noWrap/>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Interaction p=0.29</w:t>
            </w:r>
          </w:p>
        </w:tc>
        <w:tc>
          <w:tcPr>
            <w:tcW w:w="3681" w:type="dxa"/>
            <w:shd w:val="clear" w:color="auto" w:fill="auto"/>
            <w:noWrap/>
            <w:hideMark/>
          </w:tcPr>
          <w:p w:rsidR="00214B1A" w:rsidRPr="008757A5" w:rsidRDefault="00214B1A" w:rsidP="0009567D">
            <w:pPr>
              <w:jc w:val="center"/>
              <w:rPr>
                <w:rFonts w:ascii="Calibri" w:hAnsi="Calibri"/>
                <w:color w:val="000000"/>
                <w:sz w:val="24"/>
                <w:szCs w:val="24"/>
              </w:rPr>
            </w:pPr>
            <w:r w:rsidRPr="008757A5">
              <w:rPr>
                <w:rFonts w:ascii="Calibri" w:hAnsi="Calibri"/>
                <w:color w:val="000000"/>
                <w:sz w:val="24"/>
                <w:szCs w:val="24"/>
              </w:rPr>
              <w:t>Interaction p=0.43</w:t>
            </w:r>
          </w:p>
        </w:tc>
      </w:tr>
    </w:tbl>
    <w:p w:rsidR="00214B1A" w:rsidRPr="008757A5" w:rsidRDefault="00214B1A" w:rsidP="00214B1A">
      <w:pPr>
        <w:contextualSpacing/>
        <w:rPr>
          <w:bCs/>
          <w:color w:val="000000" w:themeColor="text1"/>
        </w:rPr>
      </w:pPr>
      <w:r w:rsidRPr="008757A5">
        <w:rPr>
          <w:color w:val="000000" w:themeColor="text1"/>
        </w:rPr>
        <w:t>†</w:t>
      </w:r>
      <w:r w:rsidRPr="008757A5">
        <w:rPr>
          <w:bCs/>
          <w:color w:val="000000" w:themeColor="text1"/>
        </w:rPr>
        <w:t xml:space="preserve"> expressed as the hazard ratio (95% confidence interval) associated with increased time-varying PM</w:t>
      </w:r>
      <w:r w:rsidRPr="008757A5">
        <w:rPr>
          <w:bCs/>
          <w:color w:val="000000" w:themeColor="text1"/>
          <w:vertAlign w:val="subscript"/>
        </w:rPr>
        <w:t>2.5</w:t>
      </w:r>
      <w:r w:rsidRPr="008757A5">
        <w:rPr>
          <w:bCs/>
          <w:color w:val="000000" w:themeColor="text1"/>
        </w:rPr>
        <w:t xml:space="preserve"> comparing high (3-year average &gt;12</w:t>
      </w:r>
      <w:r w:rsidRPr="008757A5">
        <w:rPr>
          <w:rFonts w:eastAsia="Times New Roman"/>
          <w:color w:val="000000" w:themeColor="text1"/>
        </w:rPr>
        <w:t xml:space="preserve"> µg/m</w:t>
      </w:r>
      <w:r w:rsidRPr="008757A5">
        <w:rPr>
          <w:rFonts w:eastAsia="Times New Roman"/>
          <w:color w:val="000000" w:themeColor="text1"/>
          <w:vertAlign w:val="superscript"/>
        </w:rPr>
        <w:t>3</w:t>
      </w:r>
      <w:r w:rsidRPr="008757A5">
        <w:rPr>
          <w:bCs/>
          <w:color w:val="000000" w:themeColor="text1"/>
        </w:rPr>
        <w:t>) to low (3-year average ≤12</w:t>
      </w:r>
      <w:r w:rsidRPr="008757A5">
        <w:rPr>
          <w:rFonts w:eastAsia="Times New Roman"/>
          <w:color w:val="000000" w:themeColor="text1"/>
        </w:rPr>
        <w:t xml:space="preserve"> µg/m</w:t>
      </w:r>
      <w:r w:rsidRPr="008757A5">
        <w:rPr>
          <w:rFonts w:eastAsia="Times New Roman"/>
          <w:color w:val="000000" w:themeColor="text1"/>
          <w:vertAlign w:val="superscript"/>
        </w:rPr>
        <w:t>3</w:t>
      </w:r>
      <w:r w:rsidRPr="008757A5">
        <w:rPr>
          <w:bCs/>
          <w:color w:val="000000" w:themeColor="text1"/>
        </w:rPr>
        <w:t xml:space="preserve">) exposure </w:t>
      </w:r>
    </w:p>
    <w:p w:rsidR="00214B1A" w:rsidRPr="008757A5" w:rsidRDefault="00214B1A" w:rsidP="00214B1A">
      <w:pPr>
        <w:contextualSpacing/>
        <w:rPr>
          <w:color w:val="000000" w:themeColor="text1"/>
        </w:rPr>
      </w:pPr>
      <w:r w:rsidRPr="008757A5">
        <w:rPr>
          <w:color w:val="000000" w:themeColor="text1"/>
        </w:rPr>
        <w:t>‡</w:t>
      </w:r>
      <w:proofErr w:type="spellStart"/>
      <w:r w:rsidRPr="008757A5">
        <w:rPr>
          <w:color w:val="000000" w:themeColor="text1"/>
        </w:rPr>
        <w:t>subcohort</w:t>
      </w:r>
      <w:proofErr w:type="spellEnd"/>
      <w:r w:rsidRPr="008757A5">
        <w:rPr>
          <w:color w:val="000000" w:themeColor="text1"/>
        </w:rPr>
        <w:t xml:space="preserve"> of </w:t>
      </w:r>
      <w:r w:rsidR="0009567D">
        <w:rPr>
          <w:color w:val="000000" w:themeColor="text1"/>
        </w:rPr>
        <w:t xml:space="preserve">3647 </w:t>
      </w:r>
      <w:r w:rsidRPr="008757A5">
        <w:rPr>
          <w:color w:val="000000" w:themeColor="text1"/>
        </w:rPr>
        <w:t xml:space="preserve">non-Hispanic white women with </w:t>
      </w:r>
      <w:r w:rsidRPr="008757A5">
        <w:t>ε3/3, ε3/4, or ε4/4</w:t>
      </w:r>
    </w:p>
    <w:p w:rsidR="00214B1A" w:rsidRPr="008757A5" w:rsidRDefault="00214B1A" w:rsidP="00214B1A">
      <w:pPr>
        <w:rPr>
          <w:rFonts w:eastAsia="Times New Roman"/>
          <w:color w:val="000000" w:themeColor="text1"/>
        </w:rPr>
      </w:pPr>
      <w:r w:rsidRPr="008757A5">
        <w:rPr>
          <w:rFonts w:eastAsia="Times New Roman"/>
          <w:bCs/>
          <w:color w:val="000000" w:themeColor="text1"/>
        </w:rPr>
        <w:t xml:space="preserve">Model I </w:t>
      </w:r>
      <w:r w:rsidRPr="008757A5">
        <w:rPr>
          <w:rFonts w:eastAsia="Times New Roman"/>
          <w:color w:val="000000" w:themeColor="text1"/>
        </w:rPr>
        <w:t xml:space="preserve">adjusting APOE genotype </w:t>
      </w:r>
    </w:p>
    <w:p w:rsidR="00214B1A" w:rsidRPr="008757A5" w:rsidRDefault="00214B1A" w:rsidP="00214B1A">
      <w:pPr>
        <w:rPr>
          <w:rFonts w:eastAsia="Times New Roman"/>
          <w:bCs/>
          <w:color w:val="000000" w:themeColor="text1"/>
        </w:rPr>
      </w:pPr>
      <w:r w:rsidRPr="008757A5">
        <w:rPr>
          <w:rFonts w:eastAsia="Times New Roman"/>
          <w:bCs/>
          <w:color w:val="000000" w:themeColor="text1"/>
        </w:rPr>
        <w:t>Model II</w:t>
      </w:r>
      <w:r w:rsidRPr="008757A5">
        <w:rPr>
          <w:rFonts w:eastAsia="Times New Roman"/>
          <w:color w:val="000000" w:themeColor="text1"/>
        </w:rPr>
        <w:t xml:space="preserve"> adjusting for APOE genotype, age, geographic region/spatial random effect, SES (participant’s education and family income), and lifestyle factors (alcohol consumption status, smoking status and physical activities)</w:t>
      </w:r>
      <w:r w:rsidRPr="008757A5">
        <w:rPr>
          <w:rFonts w:eastAsia="Times New Roman"/>
          <w:bCs/>
          <w:color w:val="000000" w:themeColor="text1"/>
        </w:rPr>
        <w:t xml:space="preserve"> </w:t>
      </w:r>
    </w:p>
    <w:p w:rsidR="00214B1A" w:rsidRPr="008757A5" w:rsidRDefault="00214B1A" w:rsidP="00214B1A">
      <w:pPr>
        <w:pStyle w:val="Teaser"/>
        <w:spacing w:before="0"/>
      </w:pPr>
      <w:r w:rsidRPr="008757A5">
        <w:rPr>
          <w:bCs/>
          <w:color w:val="000000" w:themeColor="text1"/>
          <w:sz w:val="20"/>
          <w:szCs w:val="20"/>
        </w:rPr>
        <w:t>Model III</w:t>
      </w:r>
      <w:r w:rsidRPr="008757A5">
        <w:rPr>
          <w:color w:val="000000" w:themeColor="text1"/>
          <w:sz w:val="20"/>
          <w:szCs w:val="20"/>
        </w:rPr>
        <w:t xml:space="preserve"> adjusting for Model-II covariates plus, body mass index, and prior depression, </w:t>
      </w:r>
      <w:r w:rsidRPr="008757A5">
        <w:rPr>
          <w:color w:val="000000"/>
          <w:sz w:val="20"/>
          <w:szCs w:val="20"/>
        </w:rPr>
        <w:t>cardiovascular disease</w:t>
      </w:r>
      <w:r w:rsidRPr="008757A5">
        <w:rPr>
          <w:color w:val="000000" w:themeColor="text1"/>
          <w:sz w:val="20"/>
          <w:szCs w:val="20"/>
        </w:rPr>
        <w:t xml:space="preserve"> histories, and conventional </w:t>
      </w:r>
      <w:r w:rsidRPr="008757A5">
        <w:rPr>
          <w:color w:val="000000"/>
          <w:sz w:val="20"/>
          <w:szCs w:val="20"/>
        </w:rPr>
        <w:t>cardiovascular disease</w:t>
      </w:r>
      <w:r w:rsidRPr="008757A5">
        <w:rPr>
          <w:color w:val="000000" w:themeColor="text1"/>
          <w:sz w:val="20"/>
          <w:szCs w:val="20"/>
        </w:rPr>
        <w:t xml:space="preserve"> risk factors (hypertension; diabetes mellitus; hypercholesterolemia)</w:t>
      </w:r>
    </w:p>
    <w:p w:rsidR="004617E2" w:rsidRDefault="004617E2" w:rsidP="00214B1A">
      <w:pPr>
        <w:rPr>
          <w:b/>
          <w:sz w:val="28"/>
          <w:szCs w:val="28"/>
        </w:rPr>
      </w:pPr>
    </w:p>
    <w:p w:rsidR="00214B1A" w:rsidRPr="00B35E3B" w:rsidRDefault="004617E2" w:rsidP="00214B1A">
      <w:pPr>
        <w:rPr>
          <w:b/>
          <w:sz w:val="24"/>
          <w:szCs w:val="24"/>
        </w:rPr>
      </w:pPr>
      <w:r w:rsidRPr="00B35E3B">
        <w:rPr>
          <w:b/>
          <w:sz w:val="24"/>
          <w:szCs w:val="24"/>
        </w:rPr>
        <w:lastRenderedPageBreak/>
        <w:t xml:space="preserve">Table </w:t>
      </w:r>
      <w:r w:rsidR="00214B1A" w:rsidRPr="00B35E3B">
        <w:rPr>
          <w:b/>
          <w:sz w:val="24"/>
          <w:szCs w:val="24"/>
        </w:rPr>
        <w:t>S</w:t>
      </w:r>
      <w:r w:rsidRPr="00B35E3B">
        <w:rPr>
          <w:b/>
          <w:sz w:val="24"/>
          <w:szCs w:val="24"/>
        </w:rPr>
        <w:t>3</w:t>
      </w:r>
      <w:r w:rsidR="00214B1A" w:rsidRPr="00B35E3B">
        <w:rPr>
          <w:b/>
          <w:sz w:val="24"/>
          <w:szCs w:val="24"/>
        </w:rPr>
        <w:t>. Statistical analysis of mouse data.</w:t>
      </w:r>
    </w:p>
    <w:p w:rsidR="00214B1A" w:rsidRPr="00B35E3B" w:rsidRDefault="00214B1A" w:rsidP="00214B1A">
      <w:pPr>
        <w:rPr>
          <w:sz w:val="24"/>
          <w:szCs w:val="24"/>
        </w:rPr>
      </w:pPr>
    </w:p>
    <w:tbl>
      <w:tblPr>
        <w:tblStyle w:val="TableGrid"/>
        <w:tblW w:w="0" w:type="auto"/>
        <w:tblLayout w:type="fixed"/>
        <w:tblLook w:val="04A0" w:firstRow="1" w:lastRow="0" w:firstColumn="1" w:lastColumn="0" w:noHBand="0" w:noVBand="1"/>
      </w:tblPr>
      <w:tblGrid>
        <w:gridCol w:w="378"/>
        <w:gridCol w:w="2160"/>
        <w:gridCol w:w="990"/>
        <w:gridCol w:w="1080"/>
        <w:gridCol w:w="1260"/>
        <w:gridCol w:w="1170"/>
        <w:gridCol w:w="1260"/>
        <w:gridCol w:w="1080"/>
        <w:gridCol w:w="1170"/>
        <w:gridCol w:w="1170"/>
        <w:gridCol w:w="990"/>
        <w:gridCol w:w="990"/>
      </w:tblGrid>
      <w:tr w:rsidR="00447B06" w:rsidRPr="00B35E3B" w:rsidTr="00B35E3B">
        <w:tc>
          <w:tcPr>
            <w:tcW w:w="378" w:type="dxa"/>
            <w:tcBorders>
              <w:top w:val="nil"/>
              <w:left w:val="nil"/>
              <w:bottom w:val="nil"/>
              <w:right w:val="nil"/>
            </w:tcBorders>
            <w:vAlign w:val="center"/>
          </w:tcPr>
          <w:p w:rsidR="00447B06" w:rsidRPr="00B35E3B" w:rsidRDefault="00447B06" w:rsidP="00B35E3B">
            <w:pPr>
              <w:jc w:val="center"/>
              <w:rPr>
                <w:sz w:val="24"/>
                <w:szCs w:val="24"/>
              </w:rPr>
            </w:pPr>
          </w:p>
        </w:tc>
        <w:tc>
          <w:tcPr>
            <w:tcW w:w="2160" w:type="dxa"/>
            <w:tcBorders>
              <w:top w:val="nil"/>
              <w:left w:val="nil"/>
              <w:bottom w:val="single" w:sz="4" w:space="0" w:color="auto"/>
              <w:right w:val="single" w:sz="4" w:space="0" w:color="auto"/>
            </w:tcBorders>
            <w:vAlign w:val="center"/>
          </w:tcPr>
          <w:p w:rsidR="00447B06" w:rsidRPr="00B35E3B" w:rsidRDefault="00447B06" w:rsidP="00B35E3B">
            <w:pPr>
              <w:jc w:val="center"/>
              <w:rPr>
                <w:sz w:val="24"/>
                <w:szCs w:val="24"/>
              </w:rPr>
            </w:pPr>
          </w:p>
        </w:tc>
        <w:tc>
          <w:tcPr>
            <w:tcW w:w="9180" w:type="dxa"/>
            <w:gridSpan w:val="8"/>
            <w:tcBorders>
              <w:left w:val="single" w:sz="4" w:space="0" w:color="auto"/>
            </w:tcBorders>
            <w:vAlign w:val="center"/>
          </w:tcPr>
          <w:p w:rsidR="00447B06" w:rsidRPr="00B35E3B" w:rsidRDefault="00447B06" w:rsidP="00B35E3B">
            <w:pPr>
              <w:jc w:val="center"/>
              <w:rPr>
                <w:b/>
                <w:sz w:val="24"/>
                <w:szCs w:val="24"/>
              </w:rPr>
            </w:pPr>
            <w:r w:rsidRPr="00B35E3B">
              <w:rPr>
                <w:b/>
                <w:sz w:val="24"/>
                <w:szCs w:val="24"/>
              </w:rPr>
              <w:t>EFAD</w:t>
            </w:r>
          </w:p>
        </w:tc>
        <w:tc>
          <w:tcPr>
            <w:tcW w:w="1980" w:type="dxa"/>
            <w:gridSpan w:val="2"/>
            <w:vMerge w:val="restart"/>
            <w:vAlign w:val="center"/>
          </w:tcPr>
          <w:p w:rsidR="00447B06" w:rsidRPr="00B35E3B" w:rsidRDefault="00447B06" w:rsidP="00B35E3B">
            <w:pPr>
              <w:jc w:val="center"/>
              <w:rPr>
                <w:b/>
                <w:sz w:val="24"/>
                <w:szCs w:val="24"/>
              </w:rPr>
            </w:pPr>
            <w:r w:rsidRPr="00B35E3B">
              <w:rPr>
                <w:b/>
                <w:sz w:val="24"/>
                <w:szCs w:val="24"/>
              </w:rPr>
              <w:t>C57BL/6</w:t>
            </w:r>
          </w:p>
        </w:tc>
      </w:tr>
      <w:tr w:rsidR="00447B06" w:rsidRPr="00B35E3B" w:rsidTr="00B35E3B">
        <w:tc>
          <w:tcPr>
            <w:tcW w:w="378" w:type="dxa"/>
            <w:tcBorders>
              <w:top w:val="nil"/>
              <w:left w:val="nil"/>
              <w:bottom w:val="nil"/>
              <w:right w:val="single" w:sz="4" w:space="0" w:color="auto"/>
            </w:tcBorders>
            <w:vAlign w:val="center"/>
          </w:tcPr>
          <w:p w:rsidR="00447B06" w:rsidRPr="00B35E3B" w:rsidRDefault="00447B06" w:rsidP="00B35E3B">
            <w:pPr>
              <w:jc w:val="center"/>
              <w:rPr>
                <w:sz w:val="24"/>
                <w:szCs w:val="24"/>
              </w:rPr>
            </w:pPr>
          </w:p>
        </w:tc>
        <w:tc>
          <w:tcPr>
            <w:tcW w:w="2160" w:type="dxa"/>
            <w:vMerge w:val="restart"/>
            <w:tcBorders>
              <w:top w:val="single" w:sz="4" w:space="0" w:color="auto"/>
              <w:left w:val="single" w:sz="4" w:space="0" w:color="auto"/>
            </w:tcBorders>
            <w:vAlign w:val="center"/>
          </w:tcPr>
          <w:p w:rsidR="00447B06" w:rsidRPr="00B35E3B" w:rsidRDefault="00447B06" w:rsidP="00B35E3B">
            <w:pPr>
              <w:jc w:val="center"/>
              <w:rPr>
                <w:b/>
                <w:sz w:val="24"/>
                <w:szCs w:val="24"/>
              </w:rPr>
            </w:pPr>
            <w:r w:rsidRPr="00B35E3B">
              <w:rPr>
                <w:b/>
                <w:sz w:val="24"/>
                <w:szCs w:val="24"/>
              </w:rPr>
              <w:t>Endpoint</w:t>
            </w:r>
          </w:p>
        </w:tc>
        <w:tc>
          <w:tcPr>
            <w:tcW w:w="2070" w:type="dxa"/>
            <w:gridSpan w:val="2"/>
            <w:vMerge w:val="restart"/>
            <w:vAlign w:val="center"/>
          </w:tcPr>
          <w:p w:rsidR="00447B06" w:rsidRPr="00B35E3B" w:rsidRDefault="00D27189" w:rsidP="00B35E3B">
            <w:pPr>
              <w:jc w:val="center"/>
              <w:rPr>
                <w:b/>
                <w:sz w:val="24"/>
                <w:szCs w:val="24"/>
              </w:rPr>
            </w:pPr>
            <w:r>
              <w:rPr>
                <w:b/>
                <w:sz w:val="24"/>
                <w:szCs w:val="24"/>
              </w:rPr>
              <w:t>APOE4</w:t>
            </w:r>
            <w:r w:rsidRPr="00B35E3B">
              <w:rPr>
                <w:b/>
                <w:sz w:val="24"/>
                <w:szCs w:val="24"/>
              </w:rPr>
              <w:t xml:space="preserve"> </w:t>
            </w:r>
            <w:r w:rsidR="00447B06" w:rsidRPr="00B35E3B">
              <w:rPr>
                <w:b/>
                <w:sz w:val="24"/>
                <w:szCs w:val="24"/>
              </w:rPr>
              <w:t>effect</w:t>
            </w:r>
          </w:p>
        </w:tc>
        <w:tc>
          <w:tcPr>
            <w:tcW w:w="2430" w:type="dxa"/>
            <w:gridSpan w:val="2"/>
            <w:vMerge w:val="restart"/>
            <w:vAlign w:val="center"/>
          </w:tcPr>
          <w:p w:rsidR="00447B06" w:rsidRPr="00B35E3B" w:rsidRDefault="00447B06" w:rsidP="00B35E3B">
            <w:pPr>
              <w:jc w:val="center"/>
              <w:rPr>
                <w:b/>
                <w:sz w:val="24"/>
                <w:szCs w:val="24"/>
              </w:rPr>
            </w:pPr>
            <w:proofErr w:type="spellStart"/>
            <w:r w:rsidRPr="00B35E3B">
              <w:rPr>
                <w:b/>
                <w:sz w:val="24"/>
                <w:szCs w:val="24"/>
              </w:rPr>
              <w:t>nPM</w:t>
            </w:r>
            <w:proofErr w:type="spellEnd"/>
            <w:r w:rsidRPr="00B35E3B">
              <w:rPr>
                <w:b/>
                <w:sz w:val="24"/>
                <w:szCs w:val="24"/>
              </w:rPr>
              <w:t xml:space="preserve"> exposure effect, overall</w:t>
            </w:r>
          </w:p>
        </w:tc>
        <w:tc>
          <w:tcPr>
            <w:tcW w:w="4680" w:type="dxa"/>
            <w:gridSpan w:val="4"/>
            <w:vAlign w:val="center"/>
          </w:tcPr>
          <w:p w:rsidR="00447B06" w:rsidRPr="00B35E3B" w:rsidRDefault="00447B06" w:rsidP="00B35E3B">
            <w:pPr>
              <w:jc w:val="center"/>
              <w:rPr>
                <w:b/>
                <w:sz w:val="24"/>
                <w:szCs w:val="24"/>
              </w:rPr>
            </w:pPr>
            <w:proofErr w:type="spellStart"/>
            <w:r w:rsidRPr="00B35E3B">
              <w:rPr>
                <w:b/>
                <w:sz w:val="24"/>
                <w:szCs w:val="24"/>
              </w:rPr>
              <w:t>nPM</w:t>
            </w:r>
            <w:proofErr w:type="spellEnd"/>
            <w:r w:rsidRPr="00B35E3B">
              <w:rPr>
                <w:b/>
                <w:sz w:val="24"/>
                <w:szCs w:val="24"/>
              </w:rPr>
              <w:t xml:space="preserve"> exposure effect, by genotype</w:t>
            </w:r>
          </w:p>
        </w:tc>
        <w:tc>
          <w:tcPr>
            <w:tcW w:w="1980" w:type="dxa"/>
            <w:gridSpan w:val="2"/>
            <w:vMerge/>
            <w:vAlign w:val="center"/>
          </w:tcPr>
          <w:p w:rsidR="00447B06" w:rsidRPr="00B35E3B" w:rsidRDefault="00447B06" w:rsidP="00B35E3B">
            <w:pPr>
              <w:jc w:val="center"/>
              <w:rPr>
                <w:b/>
                <w:sz w:val="24"/>
                <w:szCs w:val="24"/>
              </w:rPr>
            </w:pPr>
          </w:p>
        </w:tc>
      </w:tr>
      <w:tr w:rsidR="00447B06" w:rsidRPr="00B35E3B" w:rsidTr="00B35E3B">
        <w:tc>
          <w:tcPr>
            <w:tcW w:w="378" w:type="dxa"/>
            <w:tcBorders>
              <w:top w:val="nil"/>
              <w:left w:val="nil"/>
              <w:bottom w:val="nil"/>
              <w:right w:val="single" w:sz="4" w:space="0" w:color="auto"/>
            </w:tcBorders>
            <w:vAlign w:val="center"/>
          </w:tcPr>
          <w:p w:rsidR="00447B06" w:rsidRPr="00B35E3B" w:rsidRDefault="00447B06" w:rsidP="00B35E3B">
            <w:pPr>
              <w:jc w:val="center"/>
              <w:rPr>
                <w:sz w:val="24"/>
                <w:szCs w:val="24"/>
              </w:rPr>
            </w:pPr>
          </w:p>
        </w:tc>
        <w:tc>
          <w:tcPr>
            <w:tcW w:w="2160" w:type="dxa"/>
            <w:vMerge/>
            <w:tcBorders>
              <w:left w:val="single" w:sz="4" w:space="0" w:color="auto"/>
            </w:tcBorders>
            <w:vAlign w:val="center"/>
          </w:tcPr>
          <w:p w:rsidR="00447B06" w:rsidRPr="00B35E3B" w:rsidRDefault="00447B06" w:rsidP="00B35E3B">
            <w:pPr>
              <w:jc w:val="center"/>
              <w:rPr>
                <w:b/>
                <w:sz w:val="24"/>
                <w:szCs w:val="24"/>
              </w:rPr>
            </w:pPr>
          </w:p>
        </w:tc>
        <w:tc>
          <w:tcPr>
            <w:tcW w:w="2070" w:type="dxa"/>
            <w:gridSpan w:val="2"/>
            <w:vMerge/>
            <w:vAlign w:val="center"/>
          </w:tcPr>
          <w:p w:rsidR="00447B06" w:rsidRPr="00B35E3B" w:rsidRDefault="00447B06" w:rsidP="00B35E3B">
            <w:pPr>
              <w:jc w:val="center"/>
              <w:rPr>
                <w:b/>
                <w:sz w:val="24"/>
                <w:szCs w:val="24"/>
              </w:rPr>
            </w:pPr>
          </w:p>
        </w:tc>
        <w:tc>
          <w:tcPr>
            <w:tcW w:w="2430" w:type="dxa"/>
            <w:gridSpan w:val="2"/>
            <w:vMerge/>
            <w:vAlign w:val="center"/>
          </w:tcPr>
          <w:p w:rsidR="00447B06" w:rsidRPr="00B35E3B" w:rsidRDefault="00447B06" w:rsidP="00B35E3B">
            <w:pPr>
              <w:jc w:val="center"/>
              <w:rPr>
                <w:b/>
                <w:sz w:val="24"/>
                <w:szCs w:val="24"/>
              </w:rPr>
            </w:pPr>
          </w:p>
        </w:tc>
        <w:tc>
          <w:tcPr>
            <w:tcW w:w="2340" w:type="dxa"/>
            <w:gridSpan w:val="2"/>
            <w:vAlign w:val="center"/>
          </w:tcPr>
          <w:p w:rsidR="00447B06" w:rsidRPr="00B35E3B" w:rsidRDefault="00447B06" w:rsidP="00B35E3B">
            <w:pPr>
              <w:jc w:val="center"/>
              <w:rPr>
                <w:b/>
                <w:sz w:val="24"/>
                <w:szCs w:val="24"/>
              </w:rPr>
            </w:pPr>
            <w:r w:rsidRPr="00B35E3B">
              <w:rPr>
                <w:b/>
                <w:sz w:val="24"/>
                <w:szCs w:val="24"/>
              </w:rPr>
              <w:t>E3FAD</w:t>
            </w:r>
          </w:p>
        </w:tc>
        <w:tc>
          <w:tcPr>
            <w:tcW w:w="2340" w:type="dxa"/>
            <w:gridSpan w:val="2"/>
            <w:vAlign w:val="center"/>
          </w:tcPr>
          <w:p w:rsidR="00447B06" w:rsidRPr="00B35E3B" w:rsidRDefault="00447B06" w:rsidP="00B35E3B">
            <w:pPr>
              <w:jc w:val="center"/>
              <w:rPr>
                <w:b/>
                <w:sz w:val="24"/>
                <w:szCs w:val="24"/>
              </w:rPr>
            </w:pPr>
            <w:r w:rsidRPr="00B35E3B">
              <w:rPr>
                <w:b/>
                <w:sz w:val="24"/>
                <w:szCs w:val="24"/>
              </w:rPr>
              <w:t>E4FAD</w:t>
            </w:r>
          </w:p>
        </w:tc>
        <w:tc>
          <w:tcPr>
            <w:tcW w:w="1980" w:type="dxa"/>
            <w:gridSpan w:val="2"/>
            <w:vMerge/>
            <w:vAlign w:val="center"/>
          </w:tcPr>
          <w:p w:rsidR="00447B06" w:rsidRPr="00B35E3B" w:rsidRDefault="00447B06" w:rsidP="00B35E3B">
            <w:pPr>
              <w:jc w:val="center"/>
              <w:rPr>
                <w:b/>
                <w:sz w:val="24"/>
                <w:szCs w:val="24"/>
              </w:rPr>
            </w:pPr>
          </w:p>
        </w:tc>
      </w:tr>
      <w:tr w:rsidR="00B35E3B" w:rsidRPr="00B35E3B" w:rsidTr="00B35E3B">
        <w:tc>
          <w:tcPr>
            <w:tcW w:w="378" w:type="dxa"/>
            <w:tcBorders>
              <w:top w:val="nil"/>
              <w:left w:val="nil"/>
              <w:bottom w:val="single" w:sz="4" w:space="0" w:color="auto"/>
              <w:right w:val="single" w:sz="4" w:space="0" w:color="auto"/>
            </w:tcBorders>
            <w:vAlign w:val="center"/>
          </w:tcPr>
          <w:p w:rsidR="00447B06" w:rsidRPr="00B35E3B" w:rsidRDefault="00447B06" w:rsidP="00B35E3B">
            <w:pPr>
              <w:jc w:val="center"/>
              <w:rPr>
                <w:sz w:val="24"/>
                <w:szCs w:val="24"/>
              </w:rPr>
            </w:pPr>
          </w:p>
        </w:tc>
        <w:tc>
          <w:tcPr>
            <w:tcW w:w="2160" w:type="dxa"/>
            <w:vMerge/>
            <w:tcBorders>
              <w:left w:val="single" w:sz="4" w:space="0" w:color="auto"/>
              <w:bottom w:val="single" w:sz="4" w:space="0" w:color="auto"/>
            </w:tcBorders>
            <w:vAlign w:val="center"/>
          </w:tcPr>
          <w:p w:rsidR="00447B06" w:rsidRPr="00B35E3B" w:rsidRDefault="00447B06" w:rsidP="00B35E3B">
            <w:pPr>
              <w:jc w:val="center"/>
              <w:rPr>
                <w:b/>
                <w:sz w:val="24"/>
                <w:szCs w:val="24"/>
              </w:rPr>
            </w:pPr>
          </w:p>
        </w:tc>
        <w:tc>
          <w:tcPr>
            <w:tcW w:w="990" w:type="dxa"/>
            <w:tcBorders>
              <w:bottom w:val="single" w:sz="4" w:space="0" w:color="auto"/>
            </w:tcBorders>
            <w:vAlign w:val="center"/>
          </w:tcPr>
          <w:p w:rsidR="00447B06" w:rsidRPr="00B35E3B" w:rsidRDefault="00447B06" w:rsidP="00B35E3B">
            <w:pPr>
              <w:jc w:val="center"/>
              <w:rPr>
                <w:b/>
                <w:sz w:val="24"/>
                <w:szCs w:val="24"/>
              </w:rPr>
            </w:pPr>
            <w:proofErr w:type="spellStart"/>
            <w:r w:rsidRPr="00B35E3B">
              <w:rPr>
                <w:b/>
                <w:sz w:val="24"/>
                <w:szCs w:val="24"/>
              </w:rPr>
              <w:t>Coeff</w:t>
            </w:r>
            <w:proofErr w:type="spellEnd"/>
          </w:p>
        </w:tc>
        <w:tc>
          <w:tcPr>
            <w:tcW w:w="1080" w:type="dxa"/>
            <w:tcBorders>
              <w:bottom w:val="single" w:sz="4" w:space="0" w:color="auto"/>
            </w:tcBorders>
            <w:vAlign w:val="center"/>
          </w:tcPr>
          <w:p w:rsidR="00447B06" w:rsidRPr="00B35E3B" w:rsidRDefault="00447B06" w:rsidP="00B35E3B">
            <w:pPr>
              <w:jc w:val="center"/>
              <w:rPr>
                <w:b/>
                <w:sz w:val="24"/>
                <w:szCs w:val="24"/>
              </w:rPr>
            </w:pPr>
            <w:r w:rsidRPr="00B35E3B">
              <w:rPr>
                <w:b/>
                <w:sz w:val="24"/>
                <w:szCs w:val="24"/>
              </w:rPr>
              <w:t>p-value</w:t>
            </w:r>
          </w:p>
        </w:tc>
        <w:tc>
          <w:tcPr>
            <w:tcW w:w="1260" w:type="dxa"/>
            <w:tcBorders>
              <w:bottom w:val="single" w:sz="4" w:space="0" w:color="auto"/>
            </w:tcBorders>
            <w:vAlign w:val="center"/>
          </w:tcPr>
          <w:p w:rsidR="00447B06" w:rsidRPr="00B35E3B" w:rsidRDefault="00447B06" w:rsidP="00B35E3B">
            <w:pPr>
              <w:jc w:val="center"/>
              <w:rPr>
                <w:b/>
                <w:sz w:val="24"/>
                <w:szCs w:val="24"/>
              </w:rPr>
            </w:pPr>
            <w:proofErr w:type="spellStart"/>
            <w:r w:rsidRPr="00B35E3B">
              <w:rPr>
                <w:b/>
                <w:sz w:val="24"/>
                <w:szCs w:val="24"/>
              </w:rPr>
              <w:t>Coeff</w:t>
            </w:r>
            <w:proofErr w:type="spellEnd"/>
          </w:p>
        </w:tc>
        <w:tc>
          <w:tcPr>
            <w:tcW w:w="1170" w:type="dxa"/>
            <w:tcBorders>
              <w:bottom w:val="single" w:sz="4" w:space="0" w:color="auto"/>
            </w:tcBorders>
            <w:vAlign w:val="center"/>
          </w:tcPr>
          <w:p w:rsidR="00447B06" w:rsidRPr="00B35E3B" w:rsidRDefault="00447B06" w:rsidP="00B35E3B">
            <w:pPr>
              <w:jc w:val="center"/>
              <w:rPr>
                <w:b/>
                <w:sz w:val="24"/>
                <w:szCs w:val="24"/>
              </w:rPr>
            </w:pPr>
            <w:r w:rsidRPr="00B35E3B">
              <w:rPr>
                <w:b/>
                <w:sz w:val="24"/>
                <w:szCs w:val="24"/>
              </w:rPr>
              <w:t>p-value</w:t>
            </w:r>
          </w:p>
        </w:tc>
        <w:tc>
          <w:tcPr>
            <w:tcW w:w="1260" w:type="dxa"/>
            <w:tcBorders>
              <w:bottom w:val="single" w:sz="4" w:space="0" w:color="auto"/>
            </w:tcBorders>
            <w:vAlign w:val="center"/>
          </w:tcPr>
          <w:p w:rsidR="00447B06" w:rsidRPr="00B35E3B" w:rsidRDefault="00447B06" w:rsidP="00B35E3B">
            <w:pPr>
              <w:jc w:val="center"/>
              <w:rPr>
                <w:b/>
                <w:sz w:val="24"/>
                <w:szCs w:val="24"/>
              </w:rPr>
            </w:pPr>
            <w:proofErr w:type="spellStart"/>
            <w:r w:rsidRPr="00B35E3B">
              <w:rPr>
                <w:b/>
                <w:sz w:val="24"/>
                <w:szCs w:val="24"/>
              </w:rPr>
              <w:t>Coeff</w:t>
            </w:r>
            <w:proofErr w:type="spellEnd"/>
          </w:p>
        </w:tc>
        <w:tc>
          <w:tcPr>
            <w:tcW w:w="1080" w:type="dxa"/>
            <w:tcBorders>
              <w:bottom w:val="single" w:sz="4" w:space="0" w:color="auto"/>
            </w:tcBorders>
            <w:vAlign w:val="center"/>
          </w:tcPr>
          <w:p w:rsidR="00447B06" w:rsidRPr="00B35E3B" w:rsidRDefault="00447B06" w:rsidP="00B35E3B">
            <w:pPr>
              <w:jc w:val="center"/>
              <w:rPr>
                <w:b/>
                <w:sz w:val="24"/>
                <w:szCs w:val="24"/>
              </w:rPr>
            </w:pPr>
            <w:r w:rsidRPr="00B35E3B">
              <w:rPr>
                <w:b/>
                <w:sz w:val="24"/>
                <w:szCs w:val="24"/>
              </w:rPr>
              <w:t>p-value</w:t>
            </w:r>
          </w:p>
        </w:tc>
        <w:tc>
          <w:tcPr>
            <w:tcW w:w="1170" w:type="dxa"/>
            <w:tcBorders>
              <w:bottom w:val="single" w:sz="4" w:space="0" w:color="auto"/>
            </w:tcBorders>
            <w:vAlign w:val="center"/>
          </w:tcPr>
          <w:p w:rsidR="00447B06" w:rsidRPr="00B35E3B" w:rsidRDefault="00447B06" w:rsidP="00B35E3B">
            <w:pPr>
              <w:jc w:val="center"/>
              <w:rPr>
                <w:b/>
                <w:sz w:val="24"/>
                <w:szCs w:val="24"/>
              </w:rPr>
            </w:pPr>
            <w:proofErr w:type="spellStart"/>
            <w:r w:rsidRPr="00B35E3B">
              <w:rPr>
                <w:b/>
                <w:sz w:val="24"/>
                <w:szCs w:val="24"/>
              </w:rPr>
              <w:t>Coeff</w:t>
            </w:r>
            <w:proofErr w:type="spellEnd"/>
          </w:p>
        </w:tc>
        <w:tc>
          <w:tcPr>
            <w:tcW w:w="1170" w:type="dxa"/>
            <w:tcBorders>
              <w:bottom w:val="single" w:sz="4" w:space="0" w:color="auto"/>
            </w:tcBorders>
            <w:vAlign w:val="center"/>
          </w:tcPr>
          <w:p w:rsidR="00447B06" w:rsidRPr="00B35E3B" w:rsidRDefault="00447B06" w:rsidP="00B35E3B">
            <w:pPr>
              <w:jc w:val="center"/>
              <w:rPr>
                <w:b/>
                <w:sz w:val="24"/>
                <w:szCs w:val="24"/>
              </w:rPr>
            </w:pPr>
            <w:r w:rsidRPr="00B35E3B">
              <w:rPr>
                <w:b/>
                <w:sz w:val="24"/>
                <w:szCs w:val="24"/>
              </w:rPr>
              <w:t>p-value</w:t>
            </w:r>
          </w:p>
        </w:tc>
        <w:tc>
          <w:tcPr>
            <w:tcW w:w="990" w:type="dxa"/>
            <w:tcBorders>
              <w:bottom w:val="single" w:sz="4" w:space="0" w:color="auto"/>
            </w:tcBorders>
            <w:vAlign w:val="center"/>
          </w:tcPr>
          <w:p w:rsidR="00447B06" w:rsidRPr="00B35E3B" w:rsidRDefault="00447B06" w:rsidP="00B35E3B">
            <w:pPr>
              <w:jc w:val="center"/>
              <w:rPr>
                <w:b/>
                <w:sz w:val="24"/>
                <w:szCs w:val="24"/>
              </w:rPr>
            </w:pPr>
            <w:proofErr w:type="spellStart"/>
            <w:r w:rsidRPr="00B35E3B">
              <w:rPr>
                <w:b/>
                <w:sz w:val="24"/>
                <w:szCs w:val="24"/>
              </w:rPr>
              <w:t>Coeff</w:t>
            </w:r>
            <w:proofErr w:type="spellEnd"/>
          </w:p>
        </w:tc>
        <w:tc>
          <w:tcPr>
            <w:tcW w:w="990" w:type="dxa"/>
            <w:tcBorders>
              <w:bottom w:val="single" w:sz="4" w:space="0" w:color="auto"/>
            </w:tcBorders>
            <w:vAlign w:val="center"/>
          </w:tcPr>
          <w:p w:rsidR="00447B06" w:rsidRPr="00B35E3B" w:rsidRDefault="00447B06" w:rsidP="00B35E3B">
            <w:pPr>
              <w:jc w:val="center"/>
              <w:rPr>
                <w:b/>
                <w:sz w:val="24"/>
                <w:szCs w:val="24"/>
              </w:rPr>
            </w:pPr>
            <w:r w:rsidRPr="00B35E3B">
              <w:rPr>
                <w:b/>
                <w:sz w:val="24"/>
                <w:szCs w:val="24"/>
              </w:rPr>
              <w:t>p-value</w:t>
            </w:r>
          </w:p>
        </w:tc>
      </w:tr>
      <w:tr w:rsidR="00B35E3B" w:rsidRPr="00B35E3B" w:rsidTr="00B35E3B">
        <w:trPr>
          <w:trHeight w:val="494"/>
        </w:trPr>
        <w:tc>
          <w:tcPr>
            <w:tcW w:w="378" w:type="dxa"/>
            <w:vMerge w:val="restart"/>
            <w:tcBorders>
              <w:top w:val="single" w:sz="4" w:space="0" w:color="auto"/>
              <w:right w:val="single" w:sz="4" w:space="0" w:color="auto"/>
            </w:tcBorders>
            <w:textDirection w:val="btLr"/>
            <w:vAlign w:val="center"/>
          </w:tcPr>
          <w:p w:rsidR="00447B06" w:rsidRPr="00B35E3B" w:rsidRDefault="00447B06" w:rsidP="00B35E3B">
            <w:pPr>
              <w:ind w:left="113" w:right="113"/>
              <w:jc w:val="center"/>
              <w:rPr>
                <w:b/>
                <w:sz w:val="24"/>
                <w:szCs w:val="24"/>
              </w:rPr>
            </w:pPr>
            <w:r w:rsidRPr="00B35E3B">
              <w:rPr>
                <w:b/>
                <w:sz w:val="24"/>
                <w:szCs w:val="24"/>
              </w:rPr>
              <w:t>cortex</w:t>
            </w:r>
          </w:p>
        </w:tc>
        <w:tc>
          <w:tcPr>
            <w:tcW w:w="2160" w:type="dxa"/>
            <w:tcBorders>
              <w:top w:val="single" w:sz="4" w:space="0" w:color="auto"/>
              <w:left w:val="single" w:sz="4" w:space="0" w:color="auto"/>
              <w:bottom w:val="nil"/>
              <w:right w:val="single" w:sz="4" w:space="0" w:color="auto"/>
            </w:tcBorders>
            <w:vAlign w:val="center"/>
          </w:tcPr>
          <w:p w:rsidR="00447B06" w:rsidRPr="00B35E3B" w:rsidRDefault="00447B06" w:rsidP="00B35E3B">
            <w:pPr>
              <w:jc w:val="center"/>
              <w:rPr>
                <w:b/>
                <w:sz w:val="24"/>
                <w:szCs w:val="24"/>
              </w:rPr>
            </w:pPr>
            <w:r w:rsidRPr="00B35E3B">
              <w:rPr>
                <w:b/>
                <w:sz w:val="24"/>
                <w:szCs w:val="24"/>
              </w:rPr>
              <w:t>Aβ oligomers</w:t>
            </w:r>
          </w:p>
        </w:tc>
        <w:tc>
          <w:tcPr>
            <w:tcW w:w="990" w:type="dxa"/>
            <w:tcBorders>
              <w:top w:val="single" w:sz="4" w:space="0" w:color="auto"/>
              <w:left w:val="single" w:sz="4" w:space="0" w:color="auto"/>
              <w:bottom w:val="nil"/>
              <w:right w:val="nil"/>
            </w:tcBorders>
            <w:vAlign w:val="center"/>
          </w:tcPr>
          <w:p w:rsidR="00447B06" w:rsidRPr="00B35E3B" w:rsidRDefault="00447B06" w:rsidP="00B35E3B">
            <w:pPr>
              <w:jc w:val="center"/>
              <w:rPr>
                <w:b/>
                <w:i/>
                <w:sz w:val="24"/>
                <w:szCs w:val="24"/>
              </w:rPr>
            </w:pPr>
            <w:r w:rsidRPr="00B35E3B">
              <w:rPr>
                <w:b/>
                <w:i/>
                <w:sz w:val="24"/>
                <w:szCs w:val="24"/>
              </w:rPr>
              <w:t>0.06</w:t>
            </w:r>
          </w:p>
        </w:tc>
        <w:tc>
          <w:tcPr>
            <w:tcW w:w="1080" w:type="dxa"/>
            <w:tcBorders>
              <w:top w:val="single" w:sz="4" w:space="0" w:color="auto"/>
              <w:left w:val="nil"/>
              <w:bottom w:val="nil"/>
              <w:right w:val="nil"/>
            </w:tcBorders>
            <w:vAlign w:val="center"/>
          </w:tcPr>
          <w:p w:rsidR="00447B06" w:rsidRPr="00B35E3B" w:rsidRDefault="00447B06" w:rsidP="00B35E3B">
            <w:pPr>
              <w:jc w:val="center"/>
              <w:rPr>
                <w:b/>
                <w:i/>
                <w:sz w:val="24"/>
                <w:szCs w:val="24"/>
              </w:rPr>
            </w:pPr>
            <w:r w:rsidRPr="00B35E3B">
              <w:rPr>
                <w:b/>
                <w:i/>
                <w:sz w:val="24"/>
                <w:szCs w:val="24"/>
              </w:rPr>
              <w:t>0.0001</w:t>
            </w:r>
          </w:p>
        </w:tc>
        <w:tc>
          <w:tcPr>
            <w:tcW w:w="1260" w:type="dxa"/>
            <w:tcBorders>
              <w:top w:val="single" w:sz="4" w:space="0" w:color="auto"/>
              <w:left w:val="nil"/>
              <w:bottom w:val="nil"/>
              <w:right w:val="nil"/>
            </w:tcBorders>
            <w:vAlign w:val="center"/>
          </w:tcPr>
          <w:p w:rsidR="00447B06" w:rsidRPr="00B35E3B" w:rsidRDefault="00447B06" w:rsidP="00B35E3B">
            <w:pPr>
              <w:jc w:val="center"/>
              <w:rPr>
                <w:b/>
                <w:i/>
                <w:sz w:val="24"/>
                <w:szCs w:val="24"/>
              </w:rPr>
            </w:pPr>
            <w:r w:rsidRPr="00B35E3B">
              <w:rPr>
                <w:b/>
                <w:i/>
                <w:sz w:val="24"/>
                <w:szCs w:val="24"/>
              </w:rPr>
              <w:t>0.05</w:t>
            </w:r>
          </w:p>
        </w:tc>
        <w:tc>
          <w:tcPr>
            <w:tcW w:w="1170" w:type="dxa"/>
            <w:tcBorders>
              <w:top w:val="single" w:sz="4" w:space="0" w:color="auto"/>
              <w:left w:val="nil"/>
              <w:bottom w:val="nil"/>
              <w:right w:val="single" w:sz="4" w:space="0" w:color="auto"/>
            </w:tcBorders>
            <w:vAlign w:val="center"/>
          </w:tcPr>
          <w:p w:rsidR="00447B06" w:rsidRPr="00B35E3B" w:rsidRDefault="00447B06" w:rsidP="00B35E3B">
            <w:pPr>
              <w:jc w:val="center"/>
              <w:rPr>
                <w:b/>
                <w:i/>
                <w:sz w:val="24"/>
                <w:szCs w:val="24"/>
              </w:rPr>
            </w:pPr>
            <w:r w:rsidRPr="00B35E3B">
              <w:rPr>
                <w:b/>
                <w:i/>
                <w:sz w:val="24"/>
                <w:szCs w:val="24"/>
              </w:rPr>
              <w:t>0.0001</w:t>
            </w:r>
          </w:p>
        </w:tc>
        <w:tc>
          <w:tcPr>
            <w:tcW w:w="1260" w:type="dxa"/>
            <w:tcBorders>
              <w:top w:val="single" w:sz="4" w:space="0" w:color="auto"/>
              <w:left w:val="single" w:sz="4" w:space="0" w:color="auto"/>
              <w:bottom w:val="nil"/>
              <w:right w:val="nil"/>
            </w:tcBorders>
            <w:vAlign w:val="center"/>
          </w:tcPr>
          <w:p w:rsidR="00447B06" w:rsidRPr="00B35E3B" w:rsidRDefault="00447B06" w:rsidP="00B35E3B">
            <w:pPr>
              <w:jc w:val="center"/>
              <w:rPr>
                <w:sz w:val="24"/>
                <w:szCs w:val="24"/>
              </w:rPr>
            </w:pPr>
            <w:r w:rsidRPr="00B35E3B">
              <w:rPr>
                <w:sz w:val="24"/>
                <w:szCs w:val="24"/>
              </w:rPr>
              <w:t>0.07</w:t>
            </w:r>
          </w:p>
        </w:tc>
        <w:tc>
          <w:tcPr>
            <w:tcW w:w="1080" w:type="dxa"/>
            <w:tcBorders>
              <w:top w:val="single" w:sz="4" w:space="0" w:color="auto"/>
              <w:left w:val="nil"/>
              <w:bottom w:val="nil"/>
              <w:right w:val="nil"/>
            </w:tcBorders>
            <w:vAlign w:val="center"/>
          </w:tcPr>
          <w:p w:rsidR="00447B06" w:rsidRPr="00B35E3B" w:rsidRDefault="00447B06" w:rsidP="00B35E3B">
            <w:pPr>
              <w:jc w:val="center"/>
              <w:rPr>
                <w:sz w:val="24"/>
                <w:szCs w:val="24"/>
              </w:rPr>
            </w:pPr>
            <w:r w:rsidRPr="00B35E3B">
              <w:rPr>
                <w:sz w:val="24"/>
                <w:szCs w:val="24"/>
              </w:rPr>
              <w:t>0.07</w:t>
            </w:r>
          </w:p>
        </w:tc>
        <w:tc>
          <w:tcPr>
            <w:tcW w:w="1170" w:type="dxa"/>
            <w:tcBorders>
              <w:top w:val="single" w:sz="4" w:space="0" w:color="auto"/>
              <w:left w:val="nil"/>
              <w:bottom w:val="nil"/>
              <w:right w:val="nil"/>
            </w:tcBorders>
            <w:vAlign w:val="center"/>
          </w:tcPr>
          <w:p w:rsidR="00447B06" w:rsidRPr="00B35E3B" w:rsidRDefault="00447B06" w:rsidP="00B35E3B">
            <w:pPr>
              <w:jc w:val="center"/>
              <w:rPr>
                <w:b/>
                <w:i/>
                <w:sz w:val="24"/>
                <w:szCs w:val="24"/>
              </w:rPr>
            </w:pPr>
            <w:r w:rsidRPr="00B35E3B">
              <w:rPr>
                <w:b/>
                <w:i/>
                <w:sz w:val="24"/>
                <w:szCs w:val="24"/>
              </w:rPr>
              <w:t>0.03</w:t>
            </w:r>
          </w:p>
        </w:tc>
        <w:tc>
          <w:tcPr>
            <w:tcW w:w="1170" w:type="dxa"/>
            <w:tcBorders>
              <w:top w:val="single" w:sz="4" w:space="0" w:color="auto"/>
              <w:left w:val="nil"/>
              <w:bottom w:val="nil"/>
              <w:right w:val="single" w:sz="4" w:space="0" w:color="auto"/>
            </w:tcBorders>
            <w:vAlign w:val="center"/>
          </w:tcPr>
          <w:p w:rsidR="00447B06" w:rsidRPr="00B35E3B" w:rsidRDefault="00447B06" w:rsidP="00B35E3B">
            <w:pPr>
              <w:jc w:val="center"/>
              <w:rPr>
                <w:b/>
                <w:i/>
                <w:sz w:val="24"/>
                <w:szCs w:val="24"/>
              </w:rPr>
            </w:pPr>
            <w:r w:rsidRPr="00B35E3B">
              <w:rPr>
                <w:b/>
                <w:i/>
                <w:sz w:val="24"/>
                <w:szCs w:val="24"/>
              </w:rPr>
              <w:t>0.03</w:t>
            </w:r>
          </w:p>
        </w:tc>
        <w:tc>
          <w:tcPr>
            <w:tcW w:w="990" w:type="dxa"/>
            <w:tcBorders>
              <w:top w:val="single" w:sz="4" w:space="0" w:color="auto"/>
              <w:left w:val="single" w:sz="4" w:space="0" w:color="auto"/>
              <w:bottom w:val="nil"/>
              <w:right w:val="nil"/>
            </w:tcBorders>
            <w:vAlign w:val="center"/>
          </w:tcPr>
          <w:p w:rsidR="00447B06" w:rsidRPr="00B35E3B" w:rsidRDefault="00447B06" w:rsidP="00B35E3B">
            <w:pPr>
              <w:jc w:val="center"/>
              <w:rPr>
                <w:sz w:val="24"/>
                <w:szCs w:val="24"/>
              </w:rPr>
            </w:pPr>
            <w:r w:rsidRPr="00B35E3B">
              <w:rPr>
                <w:sz w:val="24"/>
                <w:szCs w:val="24"/>
              </w:rPr>
              <w:t>-</w:t>
            </w:r>
          </w:p>
        </w:tc>
        <w:tc>
          <w:tcPr>
            <w:tcW w:w="990" w:type="dxa"/>
            <w:tcBorders>
              <w:top w:val="single" w:sz="4" w:space="0" w:color="auto"/>
              <w:left w:val="nil"/>
              <w:bottom w:val="nil"/>
              <w:right w:val="single" w:sz="4" w:space="0" w:color="auto"/>
            </w:tcBorders>
            <w:vAlign w:val="center"/>
          </w:tcPr>
          <w:p w:rsidR="00447B06" w:rsidRPr="00B35E3B" w:rsidRDefault="00447B06" w:rsidP="00B35E3B">
            <w:pPr>
              <w:jc w:val="center"/>
              <w:rPr>
                <w:sz w:val="24"/>
                <w:szCs w:val="24"/>
              </w:rPr>
            </w:pPr>
            <w:r w:rsidRPr="00B35E3B">
              <w:rPr>
                <w:sz w:val="24"/>
                <w:szCs w:val="24"/>
              </w:rPr>
              <w:t>-</w:t>
            </w:r>
          </w:p>
        </w:tc>
      </w:tr>
      <w:tr w:rsidR="00B35E3B" w:rsidRPr="00B35E3B" w:rsidTr="00B35E3B">
        <w:trPr>
          <w:trHeight w:val="485"/>
        </w:trPr>
        <w:tc>
          <w:tcPr>
            <w:tcW w:w="378" w:type="dxa"/>
            <w:vMerge/>
            <w:tcBorders>
              <w:right w:val="single" w:sz="4" w:space="0" w:color="auto"/>
            </w:tcBorders>
            <w:vAlign w:val="center"/>
          </w:tcPr>
          <w:p w:rsidR="00447B06" w:rsidRPr="00B35E3B" w:rsidRDefault="00447B06" w:rsidP="00B35E3B">
            <w:pPr>
              <w:jc w:val="center"/>
              <w:rPr>
                <w:b/>
                <w:sz w:val="24"/>
                <w:szCs w:val="24"/>
              </w:rPr>
            </w:pPr>
          </w:p>
        </w:tc>
        <w:tc>
          <w:tcPr>
            <w:tcW w:w="2160" w:type="dxa"/>
            <w:tcBorders>
              <w:top w:val="nil"/>
              <w:left w:val="single" w:sz="4" w:space="0" w:color="auto"/>
              <w:bottom w:val="nil"/>
              <w:right w:val="single" w:sz="4" w:space="0" w:color="auto"/>
            </w:tcBorders>
            <w:vAlign w:val="center"/>
          </w:tcPr>
          <w:p w:rsidR="00447B06" w:rsidRPr="00B35E3B" w:rsidRDefault="00447B06" w:rsidP="00B35E3B">
            <w:pPr>
              <w:jc w:val="center"/>
              <w:rPr>
                <w:b/>
                <w:sz w:val="24"/>
                <w:szCs w:val="24"/>
              </w:rPr>
            </w:pPr>
            <w:r w:rsidRPr="00B35E3B">
              <w:rPr>
                <w:b/>
                <w:sz w:val="24"/>
                <w:szCs w:val="24"/>
              </w:rPr>
              <w:t>Aβ plaque load</w:t>
            </w:r>
          </w:p>
        </w:tc>
        <w:tc>
          <w:tcPr>
            <w:tcW w:w="990" w:type="dxa"/>
            <w:tcBorders>
              <w:top w:val="nil"/>
              <w:left w:val="single" w:sz="4" w:space="0" w:color="auto"/>
              <w:bottom w:val="nil"/>
              <w:right w:val="nil"/>
            </w:tcBorders>
            <w:vAlign w:val="center"/>
          </w:tcPr>
          <w:p w:rsidR="00447B06" w:rsidRPr="00B35E3B" w:rsidRDefault="00447B06" w:rsidP="00B35E3B">
            <w:pPr>
              <w:jc w:val="center"/>
              <w:rPr>
                <w:b/>
                <w:i/>
                <w:sz w:val="24"/>
                <w:szCs w:val="24"/>
              </w:rPr>
            </w:pPr>
            <w:r w:rsidRPr="00B35E3B">
              <w:rPr>
                <w:b/>
                <w:i/>
                <w:sz w:val="24"/>
                <w:szCs w:val="24"/>
              </w:rPr>
              <w:t>2.88</w:t>
            </w:r>
          </w:p>
        </w:tc>
        <w:tc>
          <w:tcPr>
            <w:tcW w:w="1080" w:type="dxa"/>
            <w:tcBorders>
              <w:top w:val="nil"/>
              <w:left w:val="nil"/>
              <w:bottom w:val="nil"/>
              <w:right w:val="nil"/>
            </w:tcBorders>
            <w:vAlign w:val="center"/>
          </w:tcPr>
          <w:p w:rsidR="00447B06" w:rsidRPr="00B35E3B" w:rsidRDefault="00447B06" w:rsidP="00B35E3B">
            <w:pPr>
              <w:jc w:val="center"/>
              <w:rPr>
                <w:b/>
                <w:i/>
                <w:sz w:val="24"/>
                <w:szCs w:val="24"/>
              </w:rPr>
            </w:pPr>
            <w:r w:rsidRPr="00B35E3B">
              <w:rPr>
                <w:b/>
                <w:i/>
                <w:sz w:val="24"/>
                <w:szCs w:val="24"/>
              </w:rPr>
              <w:t>0.001</w:t>
            </w:r>
          </w:p>
        </w:tc>
        <w:tc>
          <w:tcPr>
            <w:tcW w:w="1260" w:type="dxa"/>
            <w:tcBorders>
              <w:top w:val="nil"/>
              <w:left w:val="nil"/>
              <w:bottom w:val="nil"/>
              <w:right w:val="nil"/>
            </w:tcBorders>
            <w:vAlign w:val="center"/>
          </w:tcPr>
          <w:p w:rsidR="00447B06" w:rsidRPr="00B35E3B" w:rsidRDefault="00447B06" w:rsidP="00B35E3B">
            <w:pPr>
              <w:jc w:val="center"/>
              <w:rPr>
                <w:b/>
                <w:i/>
                <w:sz w:val="24"/>
                <w:szCs w:val="24"/>
              </w:rPr>
            </w:pPr>
            <w:r w:rsidRPr="00B35E3B">
              <w:rPr>
                <w:b/>
                <w:i/>
                <w:sz w:val="24"/>
                <w:szCs w:val="24"/>
              </w:rPr>
              <w:t>0.97</w:t>
            </w:r>
          </w:p>
        </w:tc>
        <w:tc>
          <w:tcPr>
            <w:tcW w:w="1170" w:type="dxa"/>
            <w:tcBorders>
              <w:top w:val="nil"/>
              <w:left w:val="nil"/>
              <w:bottom w:val="nil"/>
              <w:right w:val="single" w:sz="4" w:space="0" w:color="auto"/>
            </w:tcBorders>
            <w:vAlign w:val="center"/>
          </w:tcPr>
          <w:p w:rsidR="00447B06" w:rsidRPr="00B35E3B" w:rsidRDefault="00447B06" w:rsidP="00B35E3B">
            <w:pPr>
              <w:jc w:val="center"/>
              <w:rPr>
                <w:b/>
                <w:i/>
                <w:sz w:val="24"/>
                <w:szCs w:val="24"/>
              </w:rPr>
            </w:pPr>
            <w:r w:rsidRPr="00B35E3B">
              <w:rPr>
                <w:b/>
                <w:i/>
                <w:sz w:val="24"/>
                <w:szCs w:val="24"/>
              </w:rPr>
              <w:t>0.02</w:t>
            </w:r>
          </w:p>
        </w:tc>
        <w:tc>
          <w:tcPr>
            <w:tcW w:w="1260" w:type="dxa"/>
            <w:tcBorders>
              <w:top w:val="nil"/>
              <w:left w:val="single" w:sz="4" w:space="0" w:color="auto"/>
              <w:bottom w:val="nil"/>
              <w:right w:val="nil"/>
            </w:tcBorders>
            <w:vAlign w:val="center"/>
          </w:tcPr>
          <w:p w:rsidR="00447B06" w:rsidRPr="00B35E3B" w:rsidRDefault="00447B06" w:rsidP="00B35E3B">
            <w:pPr>
              <w:jc w:val="center"/>
              <w:rPr>
                <w:sz w:val="24"/>
                <w:szCs w:val="24"/>
              </w:rPr>
            </w:pPr>
            <w:r w:rsidRPr="00B35E3B">
              <w:rPr>
                <w:sz w:val="24"/>
                <w:szCs w:val="24"/>
              </w:rPr>
              <w:t>0.49</w:t>
            </w:r>
          </w:p>
        </w:tc>
        <w:tc>
          <w:tcPr>
            <w:tcW w:w="1080" w:type="dxa"/>
            <w:tcBorders>
              <w:top w:val="nil"/>
              <w:left w:val="nil"/>
              <w:bottom w:val="nil"/>
              <w:right w:val="nil"/>
            </w:tcBorders>
            <w:vAlign w:val="center"/>
          </w:tcPr>
          <w:p w:rsidR="00447B06" w:rsidRPr="00B35E3B" w:rsidRDefault="00447B06" w:rsidP="00B35E3B">
            <w:pPr>
              <w:jc w:val="center"/>
              <w:rPr>
                <w:sz w:val="24"/>
                <w:szCs w:val="24"/>
              </w:rPr>
            </w:pPr>
            <w:r w:rsidRPr="00B35E3B">
              <w:rPr>
                <w:sz w:val="24"/>
                <w:szCs w:val="24"/>
              </w:rPr>
              <w:t>0.27</w:t>
            </w:r>
          </w:p>
        </w:tc>
        <w:tc>
          <w:tcPr>
            <w:tcW w:w="1170" w:type="dxa"/>
            <w:tcBorders>
              <w:top w:val="nil"/>
              <w:left w:val="nil"/>
              <w:bottom w:val="nil"/>
              <w:right w:val="nil"/>
            </w:tcBorders>
            <w:vAlign w:val="center"/>
          </w:tcPr>
          <w:p w:rsidR="00447B06" w:rsidRPr="00B35E3B" w:rsidRDefault="00447B06" w:rsidP="00B35E3B">
            <w:pPr>
              <w:jc w:val="center"/>
              <w:rPr>
                <w:b/>
                <w:i/>
                <w:sz w:val="24"/>
                <w:szCs w:val="24"/>
              </w:rPr>
            </w:pPr>
            <w:r w:rsidRPr="00B35E3B">
              <w:rPr>
                <w:b/>
                <w:i/>
                <w:sz w:val="24"/>
                <w:szCs w:val="24"/>
              </w:rPr>
              <w:t>1.39</w:t>
            </w:r>
          </w:p>
        </w:tc>
        <w:tc>
          <w:tcPr>
            <w:tcW w:w="1170" w:type="dxa"/>
            <w:tcBorders>
              <w:top w:val="nil"/>
              <w:left w:val="nil"/>
              <w:bottom w:val="nil"/>
              <w:right w:val="single" w:sz="4" w:space="0" w:color="auto"/>
            </w:tcBorders>
            <w:vAlign w:val="center"/>
          </w:tcPr>
          <w:p w:rsidR="00447B06" w:rsidRPr="00B35E3B" w:rsidRDefault="00447B06" w:rsidP="00B35E3B">
            <w:pPr>
              <w:jc w:val="center"/>
              <w:rPr>
                <w:b/>
                <w:i/>
                <w:sz w:val="24"/>
                <w:szCs w:val="24"/>
              </w:rPr>
            </w:pPr>
            <w:r w:rsidRPr="00B35E3B">
              <w:rPr>
                <w:b/>
                <w:i/>
                <w:sz w:val="24"/>
                <w:szCs w:val="24"/>
              </w:rPr>
              <w:t>0.04</w:t>
            </w:r>
          </w:p>
        </w:tc>
        <w:tc>
          <w:tcPr>
            <w:tcW w:w="990" w:type="dxa"/>
            <w:tcBorders>
              <w:top w:val="nil"/>
              <w:left w:val="single" w:sz="4" w:space="0" w:color="auto"/>
              <w:bottom w:val="nil"/>
              <w:right w:val="nil"/>
            </w:tcBorders>
            <w:vAlign w:val="center"/>
          </w:tcPr>
          <w:p w:rsidR="00447B06" w:rsidRPr="00B35E3B" w:rsidRDefault="00447B06" w:rsidP="00B35E3B">
            <w:pPr>
              <w:jc w:val="center"/>
              <w:rPr>
                <w:sz w:val="24"/>
                <w:szCs w:val="24"/>
              </w:rPr>
            </w:pPr>
            <w:r w:rsidRPr="00B35E3B">
              <w:rPr>
                <w:sz w:val="24"/>
                <w:szCs w:val="24"/>
              </w:rPr>
              <w:t>-</w:t>
            </w:r>
          </w:p>
        </w:tc>
        <w:tc>
          <w:tcPr>
            <w:tcW w:w="990" w:type="dxa"/>
            <w:tcBorders>
              <w:top w:val="nil"/>
              <w:left w:val="nil"/>
              <w:bottom w:val="nil"/>
              <w:right w:val="single" w:sz="4" w:space="0" w:color="auto"/>
            </w:tcBorders>
            <w:vAlign w:val="center"/>
          </w:tcPr>
          <w:p w:rsidR="00447B06" w:rsidRPr="00B35E3B" w:rsidRDefault="00447B06" w:rsidP="00B35E3B">
            <w:pPr>
              <w:jc w:val="center"/>
              <w:rPr>
                <w:sz w:val="24"/>
                <w:szCs w:val="24"/>
              </w:rPr>
            </w:pPr>
            <w:r w:rsidRPr="00B35E3B">
              <w:rPr>
                <w:sz w:val="24"/>
                <w:szCs w:val="24"/>
              </w:rPr>
              <w:t>-</w:t>
            </w:r>
          </w:p>
        </w:tc>
      </w:tr>
      <w:tr w:rsidR="00B35E3B" w:rsidRPr="00B35E3B" w:rsidTr="00B35E3B">
        <w:trPr>
          <w:trHeight w:val="557"/>
        </w:trPr>
        <w:tc>
          <w:tcPr>
            <w:tcW w:w="378" w:type="dxa"/>
            <w:vMerge/>
            <w:tcBorders>
              <w:right w:val="single" w:sz="4" w:space="0" w:color="auto"/>
            </w:tcBorders>
            <w:vAlign w:val="center"/>
          </w:tcPr>
          <w:p w:rsidR="00447B06" w:rsidRPr="00B35E3B" w:rsidRDefault="00447B06" w:rsidP="00B35E3B">
            <w:pPr>
              <w:jc w:val="center"/>
              <w:rPr>
                <w:b/>
                <w:sz w:val="24"/>
                <w:szCs w:val="24"/>
              </w:rPr>
            </w:pPr>
          </w:p>
        </w:tc>
        <w:tc>
          <w:tcPr>
            <w:tcW w:w="2160" w:type="dxa"/>
            <w:tcBorders>
              <w:top w:val="nil"/>
              <w:left w:val="single" w:sz="4" w:space="0" w:color="auto"/>
              <w:bottom w:val="single" w:sz="4" w:space="0" w:color="auto"/>
              <w:right w:val="single" w:sz="4" w:space="0" w:color="auto"/>
            </w:tcBorders>
            <w:vAlign w:val="center"/>
          </w:tcPr>
          <w:p w:rsidR="00447B06" w:rsidRPr="00B35E3B" w:rsidRDefault="00447B06" w:rsidP="00B35E3B">
            <w:pPr>
              <w:jc w:val="center"/>
              <w:rPr>
                <w:b/>
                <w:sz w:val="24"/>
                <w:szCs w:val="24"/>
              </w:rPr>
            </w:pPr>
            <w:proofErr w:type="spellStart"/>
            <w:r w:rsidRPr="00B35E3B">
              <w:rPr>
                <w:b/>
                <w:sz w:val="24"/>
                <w:szCs w:val="24"/>
              </w:rPr>
              <w:t>ThioS</w:t>
            </w:r>
            <w:proofErr w:type="spellEnd"/>
            <w:r w:rsidRPr="00B35E3B">
              <w:rPr>
                <w:b/>
                <w:sz w:val="24"/>
                <w:szCs w:val="24"/>
              </w:rPr>
              <w:t xml:space="preserve"> amyloid load</w:t>
            </w:r>
          </w:p>
        </w:tc>
        <w:tc>
          <w:tcPr>
            <w:tcW w:w="990" w:type="dxa"/>
            <w:tcBorders>
              <w:top w:val="nil"/>
              <w:left w:val="single" w:sz="4" w:space="0" w:color="auto"/>
              <w:bottom w:val="single" w:sz="4" w:space="0" w:color="auto"/>
              <w:right w:val="nil"/>
            </w:tcBorders>
            <w:vAlign w:val="center"/>
          </w:tcPr>
          <w:p w:rsidR="00447B06" w:rsidRPr="00B35E3B" w:rsidRDefault="00447B06" w:rsidP="00B35E3B">
            <w:pPr>
              <w:jc w:val="center"/>
              <w:rPr>
                <w:b/>
                <w:i/>
                <w:sz w:val="24"/>
                <w:szCs w:val="24"/>
              </w:rPr>
            </w:pPr>
            <w:r w:rsidRPr="00B35E3B">
              <w:rPr>
                <w:b/>
                <w:i/>
                <w:sz w:val="24"/>
                <w:szCs w:val="24"/>
              </w:rPr>
              <w:t>1.44</w:t>
            </w:r>
          </w:p>
        </w:tc>
        <w:tc>
          <w:tcPr>
            <w:tcW w:w="1080" w:type="dxa"/>
            <w:tcBorders>
              <w:top w:val="nil"/>
              <w:left w:val="nil"/>
              <w:bottom w:val="single" w:sz="4" w:space="0" w:color="auto"/>
              <w:right w:val="nil"/>
            </w:tcBorders>
            <w:vAlign w:val="center"/>
          </w:tcPr>
          <w:p w:rsidR="00447B06" w:rsidRPr="00B35E3B" w:rsidRDefault="00447B06" w:rsidP="00B35E3B">
            <w:pPr>
              <w:jc w:val="center"/>
              <w:rPr>
                <w:b/>
                <w:i/>
                <w:sz w:val="24"/>
                <w:szCs w:val="24"/>
              </w:rPr>
            </w:pPr>
            <w:r w:rsidRPr="00B35E3B">
              <w:rPr>
                <w:b/>
                <w:i/>
                <w:sz w:val="24"/>
                <w:szCs w:val="24"/>
              </w:rPr>
              <w:t>0.001</w:t>
            </w:r>
          </w:p>
        </w:tc>
        <w:tc>
          <w:tcPr>
            <w:tcW w:w="1260" w:type="dxa"/>
            <w:tcBorders>
              <w:top w:val="nil"/>
              <w:left w:val="nil"/>
              <w:bottom w:val="single" w:sz="4" w:space="0" w:color="auto"/>
              <w:right w:val="nil"/>
            </w:tcBorders>
            <w:vAlign w:val="center"/>
          </w:tcPr>
          <w:p w:rsidR="00447B06" w:rsidRPr="00B35E3B" w:rsidRDefault="00447B06" w:rsidP="00B35E3B">
            <w:pPr>
              <w:jc w:val="center"/>
              <w:rPr>
                <w:b/>
                <w:i/>
                <w:sz w:val="24"/>
                <w:szCs w:val="24"/>
              </w:rPr>
            </w:pPr>
            <w:r w:rsidRPr="00B35E3B">
              <w:rPr>
                <w:b/>
                <w:i/>
                <w:sz w:val="24"/>
                <w:szCs w:val="24"/>
              </w:rPr>
              <w:t>0.53</w:t>
            </w:r>
          </w:p>
        </w:tc>
        <w:tc>
          <w:tcPr>
            <w:tcW w:w="1170" w:type="dxa"/>
            <w:tcBorders>
              <w:top w:val="nil"/>
              <w:left w:val="nil"/>
              <w:bottom w:val="single" w:sz="4" w:space="0" w:color="auto"/>
              <w:right w:val="single" w:sz="4" w:space="0" w:color="auto"/>
            </w:tcBorders>
            <w:vAlign w:val="center"/>
          </w:tcPr>
          <w:p w:rsidR="00447B06" w:rsidRPr="00B35E3B" w:rsidRDefault="00447B06" w:rsidP="00B35E3B">
            <w:pPr>
              <w:jc w:val="center"/>
              <w:rPr>
                <w:b/>
                <w:i/>
                <w:sz w:val="24"/>
                <w:szCs w:val="24"/>
              </w:rPr>
            </w:pPr>
            <w:r w:rsidRPr="00B35E3B">
              <w:rPr>
                <w:b/>
                <w:i/>
                <w:sz w:val="24"/>
                <w:szCs w:val="24"/>
              </w:rPr>
              <w:t>0.12</w:t>
            </w:r>
          </w:p>
        </w:tc>
        <w:tc>
          <w:tcPr>
            <w:tcW w:w="1260" w:type="dxa"/>
            <w:tcBorders>
              <w:top w:val="nil"/>
              <w:left w:val="single" w:sz="4" w:space="0" w:color="auto"/>
              <w:bottom w:val="single" w:sz="4" w:space="0" w:color="auto"/>
              <w:right w:val="nil"/>
            </w:tcBorders>
            <w:vAlign w:val="center"/>
          </w:tcPr>
          <w:p w:rsidR="00447B06" w:rsidRPr="00B35E3B" w:rsidRDefault="00447B06" w:rsidP="00B35E3B">
            <w:pPr>
              <w:jc w:val="center"/>
              <w:rPr>
                <w:sz w:val="24"/>
                <w:szCs w:val="24"/>
              </w:rPr>
            </w:pPr>
            <w:r w:rsidRPr="00B35E3B">
              <w:rPr>
                <w:sz w:val="24"/>
                <w:szCs w:val="24"/>
              </w:rPr>
              <w:t>-0.09</w:t>
            </w:r>
          </w:p>
        </w:tc>
        <w:tc>
          <w:tcPr>
            <w:tcW w:w="1080" w:type="dxa"/>
            <w:tcBorders>
              <w:top w:val="nil"/>
              <w:left w:val="nil"/>
              <w:bottom w:val="single" w:sz="4" w:space="0" w:color="auto"/>
              <w:right w:val="nil"/>
            </w:tcBorders>
            <w:vAlign w:val="center"/>
          </w:tcPr>
          <w:p w:rsidR="00447B06" w:rsidRPr="00B35E3B" w:rsidRDefault="00447B06" w:rsidP="00B35E3B">
            <w:pPr>
              <w:jc w:val="center"/>
              <w:rPr>
                <w:sz w:val="24"/>
                <w:szCs w:val="24"/>
              </w:rPr>
            </w:pPr>
            <w:r w:rsidRPr="00B35E3B">
              <w:rPr>
                <w:sz w:val="24"/>
                <w:szCs w:val="24"/>
              </w:rPr>
              <w:t>0.97</w:t>
            </w:r>
          </w:p>
        </w:tc>
        <w:tc>
          <w:tcPr>
            <w:tcW w:w="1170" w:type="dxa"/>
            <w:tcBorders>
              <w:top w:val="nil"/>
              <w:left w:val="nil"/>
              <w:bottom w:val="single" w:sz="4" w:space="0" w:color="auto"/>
              <w:right w:val="nil"/>
            </w:tcBorders>
            <w:vAlign w:val="center"/>
          </w:tcPr>
          <w:p w:rsidR="00447B06" w:rsidRPr="00B35E3B" w:rsidRDefault="00447B06" w:rsidP="00B35E3B">
            <w:pPr>
              <w:jc w:val="center"/>
              <w:rPr>
                <w:b/>
                <w:i/>
                <w:sz w:val="24"/>
                <w:szCs w:val="24"/>
              </w:rPr>
            </w:pPr>
            <w:r w:rsidRPr="00B35E3B">
              <w:rPr>
                <w:b/>
                <w:i/>
                <w:sz w:val="24"/>
                <w:szCs w:val="24"/>
              </w:rPr>
              <w:t>1.06</w:t>
            </w:r>
          </w:p>
        </w:tc>
        <w:tc>
          <w:tcPr>
            <w:tcW w:w="1170" w:type="dxa"/>
            <w:tcBorders>
              <w:top w:val="nil"/>
              <w:left w:val="nil"/>
              <w:bottom w:val="single" w:sz="4" w:space="0" w:color="auto"/>
              <w:right w:val="single" w:sz="4" w:space="0" w:color="auto"/>
            </w:tcBorders>
            <w:vAlign w:val="center"/>
          </w:tcPr>
          <w:p w:rsidR="00447B06" w:rsidRPr="00B35E3B" w:rsidRDefault="00447B06" w:rsidP="00B35E3B">
            <w:pPr>
              <w:jc w:val="center"/>
              <w:rPr>
                <w:b/>
                <w:i/>
                <w:sz w:val="24"/>
                <w:szCs w:val="24"/>
              </w:rPr>
            </w:pPr>
            <w:r w:rsidRPr="00B35E3B">
              <w:rPr>
                <w:b/>
                <w:i/>
                <w:sz w:val="24"/>
                <w:szCs w:val="24"/>
              </w:rPr>
              <w:t>0.001</w:t>
            </w:r>
          </w:p>
        </w:tc>
        <w:tc>
          <w:tcPr>
            <w:tcW w:w="990" w:type="dxa"/>
            <w:tcBorders>
              <w:top w:val="nil"/>
              <w:left w:val="single" w:sz="4" w:space="0" w:color="auto"/>
              <w:bottom w:val="single" w:sz="4" w:space="0" w:color="auto"/>
              <w:right w:val="nil"/>
            </w:tcBorders>
            <w:vAlign w:val="center"/>
          </w:tcPr>
          <w:p w:rsidR="00447B06" w:rsidRPr="00B35E3B" w:rsidRDefault="00447B06" w:rsidP="00B35E3B">
            <w:pPr>
              <w:jc w:val="center"/>
              <w:rPr>
                <w:sz w:val="24"/>
                <w:szCs w:val="24"/>
              </w:rPr>
            </w:pPr>
            <w:r w:rsidRPr="00B35E3B">
              <w:rPr>
                <w:sz w:val="24"/>
                <w:szCs w:val="24"/>
              </w:rPr>
              <w:t>-</w:t>
            </w:r>
          </w:p>
        </w:tc>
        <w:tc>
          <w:tcPr>
            <w:tcW w:w="990" w:type="dxa"/>
            <w:tcBorders>
              <w:top w:val="nil"/>
              <w:left w:val="nil"/>
              <w:bottom w:val="single" w:sz="4" w:space="0" w:color="auto"/>
              <w:right w:val="single" w:sz="4" w:space="0" w:color="auto"/>
            </w:tcBorders>
            <w:vAlign w:val="center"/>
          </w:tcPr>
          <w:p w:rsidR="00447B06" w:rsidRPr="00B35E3B" w:rsidRDefault="00447B06" w:rsidP="00B35E3B">
            <w:pPr>
              <w:jc w:val="center"/>
              <w:rPr>
                <w:sz w:val="24"/>
                <w:szCs w:val="24"/>
              </w:rPr>
            </w:pPr>
            <w:r w:rsidRPr="00B35E3B">
              <w:rPr>
                <w:sz w:val="24"/>
                <w:szCs w:val="24"/>
              </w:rPr>
              <w:t>-</w:t>
            </w:r>
          </w:p>
        </w:tc>
      </w:tr>
      <w:tr w:rsidR="00B35E3B" w:rsidRPr="00B35E3B" w:rsidTr="00B35E3B">
        <w:trPr>
          <w:trHeight w:val="458"/>
        </w:trPr>
        <w:tc>
          <w:tcPr>
            <w:tcW w:w="378" w:type="dxa"/>
            <w:vMerge w:val="restart"/>
            <w:tcBorders>
              <w:right w:val="single" w:sz="4" w:space="0" w:color="auto"/>
            </w:tcBorders>
            <w:textDirection w:val="btLr"/>
            <w:vAlign w:val="center"/>
          </w:tcPr>
          <w:p w:rsidR="00447B06" w:rsidRPr="00B35E3B" w:rsidRDefault="00447B06" w:rsidP="00B35E3B">
            <w:pPr>
              <w:ind w:left="113" w:right="113"/>
              <w:jc w:val="center"/>
              <w:rPr>
                <w:b/>
                <w:sz w:val="24"/>
                <w:szCs w:val="24"/>
              </w:rPr>
            </w:pPr>
            <w:r w:rsidRPr="00B35E3B">
              <w:rPr>
                <w:b/>
                <w:sz w:val="24"/>
                <w:szCs w:val="24"/>
              </w:rPr>
              <w:t>Hippocampus</w:t>
            </w:r>
          </w:p>
        </w:tc>
        <w:tc>
          <w:tcPr>
            <w:tcW w:w="2160" w:type="dxa"/>
            <w:tcBorders>
              <w:top w:val="single" w:sz="4" w:space="0" w:color="auto"/>
              <w:left w:val="single" w:sz="4" w:space="0" w:color="auto"/>
              <w:bottom w:val="nil"/>
              <w:right w:val="single" w:sz="4" w:space="0" w:color="auto"/>
            </w:tcBorders>
            <w:vAlign w:val="center"/>
          </w:tcPr>
          <w:p w:rsidR="00447B06" w:rsidRPr="00B35E3B" w:rsidRDefault="00447B06" w:rsidP="00B35E3B">
            <w:pPr>
              <w:jc w:val="center"/>
              <w:rPr>
                <w:b/>
                <w:sz w:val="24"/>
                <w:szCs w:val="24"/>
              </w:rPr>
            </w:pPr>
            <w:r w:rsidRPr="00B35E3B">
              <w:rPr>
                <w:b/>
                <w:sz w:val="24"/>
                <w:szCs w:val="24"/>
              </w:rPr>
              <w:t>GluR1</w:t>
            </w:r>
          </w:p>
        </w:tc>
        <w:tc>
          <w:tcPr>
            <w:tcW w:w="990" w:type="dxa"/>
            <w:tcBorders>
              <w:top w:val="single" w:sz="4" w:space="0" w:color="auto"/>
              <w:left w:val="single" w:sz="4" w:space="0" w:color="auto"/>
              <w:bottom w:val="nil"/>
              <w:right w:val="nil"/>
            </w:tcBorders>
            <w:vAlign w:val="center"/>
          </w:tcPr>
          <w:p w:rsidR="00447B06" w:rsidRPr="00B35E3B" w:rsidRDefault="00447B06" w:rsidP="00B35E3B">
            <w:pPr>
              <w:jc w:val="center"/>
              <w:rPr>
                <w:sz w:val="24"/>
                <w:szCs w:val="24"/>
              </w:rPr>
            </w:pPr>
            <w:r w:rsidRPr="00B35E3B">
              <w:rPr>
                <w:sz w:val="24"/>
                <w:szCs w:val="24"/>
              </w:rPr>
              <w:t>-0.11</w:t>
            </w:r>
          </w:p>
        </w:tc>
        <w:tc>
          <w:tcPr>
            <w:tcW w:w="1080" w:type="dxa"/>
            <w:tcBorders>
              <w:top w:val="single" w:sz="4" w:space="0" w:color="auto"/>
              <w:left w:val="nil"/>
              <w:bottom w:val="nil"/>
              <w:right w:val="nil"/>
            </w:tcBorders>
            <w:vAlign w:val="center"/>
          </w:tcPr>
          <w:p w:rsidR="00447B06" w:rsidRPr="00B35E3B" w:rsidRDefault="00447B06" w:rsidP="00B35E3B">
            <w:pPr>
              <w:jc w:val="center"/>
              <w:rPr>
                <w:sz w:val="24"/>
                <w:szCs w:val="24"/>
              </w:rPr>
            </w:pPr>
            <w:r w:rsidRPr="00B35E3B">
              <w:rPr>
                <w:sz w:val="24"/>
                <w:szCs w:val="24"/>
              </w:rPr>
              <w:t>0.1</w:t>
            </w:r>
          </w:p>
        </w:tc>
        <w:tc>
          <w:tcPr>
            <w:tcW w:w="1260" w:type="dxa"/>
            <w:tcBorders>
              <w:top w:val="single" w:sz="4" w:space="0" w:color="auto"/>
              <w:left w:val="nil"/>
              <w:bottom w:val="nil"/>
              <w:right w:val="nil"/>
            </w:tcBorders>
            <w:vAlign w:val="center"/>
          </w:tcPr>
          <w:p w:rsidR="00447B06" w:rsidRPr="00B35E3B" w:rsidRDefault="00447B06" w:rsidP="00B35E3B">
            <w:pPr>
              <w:jc w:val="center"/>
              <w:rPr>
                <w:b/>
                <w:i/>
                <w:sz w:val="24"/>
                <w:szCs w:val="24"/>
              </w:rPr>
            </w:pPr>
            <w:r w:rsidRPr="00B35E3B">
              <w:rPr>
                <w:b/>
                <w:i/>
                <w:sz w:val="24"/>
                <w:szCs w:val="24"/>
              </w:rPr>
              <w:t>-0.29</w:t>
            </w:r>
          </w:p>
        </w:tc>
        <w:tc>
          <w:tcPr>
            <w:tcW w:w="1170" w:type="dxa"/>
            <w:tcBorders>
              <w:top w:val="single" w:sz="4" w:space="0" w:color="auto"/>
              <w:left w:val="nil"/>
              <w:bottom w:val="nil"/>
              <w:right w:val="single" w:sz="4" w:space="0" w:color="auto"/>
            </w:tcBorders>
            <w:vAlign w:val="center"/>
          </w:tcPr>
          <w:p w:rsidR="00447B06" w:rsidRPr="00B35E3B" w:rsidRDefault="00447B06" w:rsidP="00B35E3B">
            <w:pPr>
              <w:jc w:val="center"/>
              <w:rPr>
                <w:b/>
                <w:i/>
                <w:sz w:val="24"/>
                <w:szCs w:val="24"/>
              </w:rPr>
            </w:pPr>
            <w:r w:rsidRPr="00B35E3B">
              <w:rPr>
                <w:b/>
                <w:i/>
                <w:sz w:val="24"/>
                <w:szCs w:val="24"/>
              </w:rPr>
              <w:t>0.0001</w:t>
            </w:r>
          </w:p>
        </w:tc>
        <w:tc>
          <w:tcPr>
            <w:tcW w:w="1260" w:type="dxa"/>
            <w:tcBorders>
              <w:top w:val="single" w:sz="4" w:space="0" w:color="auto"/>
              <w:left w:val="single" w:sz="4" w:space="0" w:color="auto"/>
              <w:bottom w:val="nil"/>
              <w:right w:val="nil"/>
            </w:tcBorders>
            <w:vAlign w:val="center"/>
          </w:tcPr>
          <w:p w:rsidR="00447B06" w:rsidRPr="00B35E3B" w:rsidRDefault="00447B06" w:rsidP="00B35E3B">
            <w:pPr>
              <w:jc w:val="center"/>
              <w:rPr>
                <w:b/>
                <w:i/>
                <w:sz w:val="24"/>
                <w:szCs w:val="24"/>
              </w:rPr>
            </w:pPr>
            <w:r w:rsidRPr="00B35E3B">
              <w:rPr>
                <w:b/>
                <w:i/>
                <w:sz w:val="24"/>
                <w:szCs w:val="24"/>
              </w:rPr>
              <w:t>-0.26</w:t>
            </w:r>
          </w:p>
        </w:tc>
        <w:tc>
          <w:tcPr>
            <w:tcW w:w="1080" w:type="dxa"/>
            <w:tcBorders>
              <w:top w:val="single" w:sz="4" w:space="0" w:color="auto"/>
              <w:left w:val="nil"/>
              <w:bottom w:val="nil"/>
              <w:right w:val="nil"/>
            </w:tcBorders>
            <w:vAlign w:val="center"/>
          </w:tcPr>
          <w:p w:rsidR="00447B06" w:rsidRPr="00B35E3B" w:rsidRDefault="00447B06" w:rsidP="00B35E3B">
            <w:pPr>
              <w:jc w:val="center"/>
              <w:rPr>
                <w:b/>
                <w:i/>
                <w:sz w:val="24"/>
                <w:szCs w:val="24"/>
              </w:rPr>
            </w:pPr>
            <w:r w:rsidRPr="00B35E3B">
              <w:rPr>
                <w:b/>
                <w:i/>
                <w:sz w:val="24"/>
                <w:szCs w:val="24"/>
              </w:rPr>
              <w:t>0.01</w:t>
            </w:r>
          </w:p>
        </w:tc>
        <w:tc>
          <w:tcPr>
            <w:tcW w:w="1170" w:type="dxa"/>
            <w:tcBorders>
              <w:top w:val="single" w:sz="4" w:space="0" w:color="auto"/>
              <w:left w:val="nil"/>
              <w:bottom w:val="nil"/>
              <w:right w:val="nil"/>
            </w:tcBorders>
            <w:vAlign w:val="center"/>
          </w:tcPr>
          <w:p w:rsidR="00447B06" w:rsidRPr="00B35E3B" w:rsidRDefault="00447B06" w:rsidP="00B35E3B">
            <w:pPr>
              <w:jc w:val="center"/>
              <w:rPr>
                <w:b/>
                <w:i/>
                <w:sz w:val="24"/>
                <w:szCs w:val="24"/>
              </w:rPr>
            </w:pPr>
            <w:r w:rsidRPr="00B35E3B">
              <w:rPr>
                <w:b/>
                <w:i/>
                <w:sz w:val="24"/>
                <w:szCs w:val="24"/>
              </w:rPr>
              <w:t>-0.32</w:t>
            </w:r>
          </w:p>
        </w:tc>
        <w:tc>
          <w:tcPr>
            <w:tcW w:w="1170" w:type="dxa"/>
            <w:tcBorders>
              <w:top w:val="single" w:sz="4" w:space="0" w:color="auto"/>
              <w:left w:val="nil"/>
              <w:bottom w:val="nil"/>
              <w:right w:val="single" w:sz="4" w:space="0" w:color="auto"/>
            </w:tcBorders>
            <w:vAlign w:val="center"/>
          </w:tcPr>
          <w:p w:rsidR="00447B06" w:rsidRPr="00B35E3B" w:rsidRDefault="00447B06" w:rsidP="00B35E3B">
            <w:pPr>
              <w:jc w:val="center"/>
              <w:rPr>
                <w:b/>
                <w:i/>
                <w:sz w:val="24"/>
                <w:szCs w:val="24"/>
              </w:rPr>
            </w:pPr>
            <w:r w:rsidRPr="00B35E3B">
              <w:rPr>
                <w:b/>
                <w:i/>
                <w:sz w:val="24"/>
                <w:szCs w:val="24"/>
              </w:rPr>
              <w:t>0.01</w:t>
            </w:r>
          </w:p>
        </w:tc>
        <w:tc>
          <w:tcPr>
            <w:tcW w:w="990" w:type="dxa"/>
            <w:tcBorders>
              <w:top w:val="single" w:sz="4" w:space="0" w:color="auto"/>
              <w:left w:val="single" w:sz="4" w:space="0" w:color="auto"/>
              <w:bottom w:val="nil"/>
              <w:right w:val="nil"/>
            </w:tcBorders>
            <w:vAlign w:val="center"/>
          </w:tcPr>
          <w:p w:rsidR="00447B06" w:rsidRPr="00B35E3B" w:rsidRDefault="00447B06" w:rsidP="00B35E3B">
            <w:pPr>
              <w:jc w:val="center"/>
              <w:rPr>
                <w:sz w:val="24"/>
                <w:szCs w:val="24"/>
              </w:rPr>
            </w:pPr>
            <w:r w:rsidRPr="00B35E3B">
              <w:rPr>
                <w:sz w:val="24"/>
                <w:szCs w:val="24"/>
              </w:rPr>
              <w:t>--</w:t>
            </w:r>
          </w:p>
        </w:tc>
        <w:tc>
          <w:tcPr>
            <w:tcW w:w="990" w:type="dxa"/>
            <w:tcBorders>
              <w:top w:val="single" w:sz="4" w:space="0" w:color="auto"/>
              <w:left w:val="nil"/>
              <w:bottom w:val="nil"/>
              <w:right w:val="single" w:sz="4" w:space="0" w:color="auto"/>
            </w:tcBorders>
            <w:vAlign w:val="center"/>
          </w:tcPr>
          <w:p w:rsidR="00447B06" w:rsidRPr="00B35E3B" w:rsidRDefault="00447B06" w:rsidP="00B35E3B">
            <w:pPr>
              <w:jc w:val="center"/>
              <w:rPr>
                <w:sz w:val="24"/>
                <w:szCs w:val="24"/>
              </w:rPr>
            </w:pPr>
            <w:r w:rsidRPr="00B35E3B">
              <w:rPr>
                <w:sz w:val="24"/>
                <w:szCs w:val="24"/>
              </w:rPr>
              <w:t>-</w:t>
            </w:r>
          </w:p>
        </w:tc>
      </w:tr>
      <w:tr w:rsidR="00447B06" w:rsidRPr="00B35E3B" w:rsidTr="00B35E3B">
        <w:trPr>
          <w:trHeight w:val="449"/>
        </w:trPr>
        <w:tc>
          <w:tcPr>
            <w:tcW w:w="378" w:type="dxa"/>
            <w:vMerge/>
            <w:tcBorders>
              <w:right w:val="single" w:sz="4" w:space="0" w:color="auto"/>
            </w:tcBorders>
            <w:vAlign w:val="center"/>
          </w:tcPr>
          <w:p w:rsidR="00447B06" w:rsidRPr="00B35E3B" w:rsidRDefault="00447B06" w:rsidP="00B35E3B">
            <w:pPr>
              <w:jc w:val="center"/>
              <w:rPr>
                <w:sz w:val="24"/>
                <w:szCs w:val="24"/>
              </w:rPr>
            </w:pPr>
          </w:p>
        </w:tc>
        <w:tc>
          <w:tcPr>
            <w:tcW w:w="2160" w:type="dxa"/>
            <w:tcBorders>
              <w:top w:val="nil"/>
              <w:left w:val="single" w:sz="4" w:space="0" w:color="auto"/>
              <w:bottom w:val="nil"/>
              <w:right w:val="single" w:sz="4" w:space="0" w:color="auto"/>
            </w:tcBorders>
            <w:vAlign w:val="center"/>
          </w:tcPr>
          <w:p w:rsidR="00447B06" w:rsidRPr="00B35E3B" w:rsidRDefault="00447B06" w:rsidP="00B35E3B">
            <w:pPr>
              <w:jc w:val="center"/>
              <w:rPr>
                <w:b/>
                <w:sz w:val="24"/>
                <w:szCs w:val="24"/>
              </w:rPr>
            </w:pPr>
            <w:r w:rsidRPr="00B35E3B">
              <w:rPr>
                <w:b/>
                <w:sz w:val="24"/>
                <w:szCs w:val="24"/>
              </w:rPr>
              <w:t>GluR2</w:t>
            </w:r>
          </w:p>
        </w:tc>
        <w:tc>
          <w:tcPr>
            <w:tcW w:w="990" w:type="dxa"/>
            <w:tcBorders>
              <w:top w:val="nil"/>
              <w:left w:val="single" w:sz="4" w:space="0" w:color="auto"/>
              <w:bottom w:val="nil"/>
              <w:right w:val="nil"/>
            </w:tcBorders>
            <w:vAlign w:val="center"/>
          </w:tcPr>
          <w:p w:rsidR="00447B06" w:rsidRPr="00B35E3B" w:rsidRDefault="00447B06" w:rsidP="00B35E3B">
            <w:pPr>
              <w:jc w:val="center"/>
              <w:rPr>
                <w:sz w:val="24"/>
                <w:szCs w:val="24"/>
              </w:rPr>
            </w:pPr>
            <w:r w:rsidRPr="00B35E3B">
              <w:rPr>
                <w:sz w:val="24"/>
                <w:szCs w:val="24"/>
              </w:rPr>
              <w:t>-0.020</w:t>
            </w:r>
          </w:p>
        </w:tc>
        <w:tc>
          <w:tcPr>
            <w:tcW w:w="1080" w:type="dxa"/>
            <w:tcBorders>
              <w:top w:val="nil"/>
              <w:left w:val="nil"/>
              <w:bottom w:val="nil"/>
              <w:right w:val="nil"/>
            </w:tcBorders>
            <w:vAlign w:val="center"/>
          </w:tcPr>
          <w:p w:rsidR="00447B06" w:rsidRPr="00B35E3B" w:rsidRDefault="00447B06" w:rsidP="00B35E3B">
            <w:pPr>
              <w:jc w:val="center"/>
              <w:rPr>
                <w:sz w:val="24"/>
                <w:szCs w:val="24"/>
              </w:rPr>
            </w:pPr>
            <w:r w:rsidRPr="00B35E3B">
              <w:rPr>
                <w:sz w:val="24"/>
                <w:szCs w:val="24"/>
              </w:rPr>
              <w:t>0.69</w:t>
            </w:r>
          </w:p>
        </w:tc>
        <w:tc>
          <w:tcPr>
            <w:tcW w:w="1260" w:type="dxa"/>
            <w:tcBorders>
              <w:top w:val="nil"/>
              <w:left w:val="nil"/>
              <w:bottom w:val="nil"/>
              <w:right w:val="nil"/>
            </w:tcBorders>
            <w:vAlign w:val="center"/>
          </w:tcPr>
          <w:p w:rsidR="00447B06" w:rsidRPr="00B35E3B" w:rsidRDefault="00447B06" w:rsidP="00B35E3B">
            <w:pPr>
              <w:jc w:val="center"/>
              <w:rPr>
                <w:sz w:val="24"/>
                <w:szCs w:val="24"/>
              </w:rPr>
            </w:pPr>
            <w:r w:rsidRPr="00B35E3B">
              <w:rPr>
                <w:sz w:val="24"/>
                <w:szCs w:val="24"/>
              </w:rPr>
              <w:t>-0.043</w:t>
            </w:r>
          </w:p>
        </w:tc>
        <w:tc>
          <w:tcPr>
            <w:tcW w:w="1170" w:type="dxa"/>
            <w:tcBorders>
              <w:top w:val="nil"/>
              <w:left w:val="nil"/>
              <w:bottom w:val="nil"/>
              <w:right w:val="single" w:sz="4" w:space="0" w:color="auto"/>
            </w:tcBorders>
            <w:vAlign w:val="center"/>
          </w:tcPr>
          <w:p w:rsidR="00447B06" w:rsidRPr="00B35E3B" w:rsidRDefault="00447B06" w:rsidP="00B35E3B">
            <w:pPr>
              <w:jc w:val="center"/>
              <w:rPr>
                <w:sz w:val="24"/>
                <w:szCs w:val="24"/>
              </w:rPr>
            </w:pPr>
            <w:r w:rsidRPr="00B35E3B">
              <w:rPr>
                <w:sz w:val="24"/>
                <w:szCs w:val="24"/>
              </w:rPr>
              <w:t>0.54</w:t>
            </w:r>
          </w:p>
        </w:tc>
        <w:tc>
          <w:tcPr>
            <w:tcW w:w="1260" w:type="dxa"/>
            <w:tcBorders>
              <w:top w:val="nil"/>
              <w:left w:val="single" w:sz="4" w:space="0" w:color="auto"/>
              <w:bottom w:val="nil"/>
              <w:right w:val="nil"/>
            </w:tcBorders>
            <w:vAlign w:val="center"/>
          </w:tcPr>
          <w:p w:rsidR="00447B06" w:rsidRPr="00B35E3B" w:rsidRDefault="00447B06" w:rsidP="00B35E3B">
            <w:pPr>
              <w:jc w:val="center"/>
              <w:rPr>
                <w:sz w:val="24"/>
                <w:szCs w:val="24"/>
              </w:rPr>
            </w:pPr>
            <w:r w:rsidRPr="00B35E3B">
              <w:rPr>
                <w:sz w:val="24"/>
                <w:szCs w:val="24"/>
              </w:rPr>
              <w:t>0.049</w:t>
            </w:r>
          </w:p>
        </w:tc>
        <w:tc>
          <w:tcPr>
            <w:tcW w:w="1080" w:type="dxa"/>
            <w:tcBorders>
              <w:top w:val="nil"/>
              <w:left w:val="nil"/>
              <w:bottom w:val="nil"/>
              <w:right w:val="nil"/>
            </w:tcBorders>
            <w:vAlign w:val="center"/>
          </w:tcPr>
          <w:p w:rsidR="00447B06" w:rsidRPr="00B35E3B" w:rsidRDefault="00447B06" w:rsidP="00B35E3B">
            <w:pPr>
              <w:jc w:val="center"/>
              <w:rPr>
                <w:sz w:val="24"/>
                <w:szCs w:val="24"/>
              </w:rPr>
            </w:pPr>
            <w:r w:rsidRPr="00B35E3B">
              <w:rPr>
                <w:sz w:val="24"/>
                <w:szCs w:val="24"/>
              </w:rPr>
              <w:t>0.68</w:t>
            </w:r>
          </w:p>
        </w:tc>
        <w:tc>
          <w:tcPr>
            <w:tcW w:w="1170" w:type="dxa"/>
            <w:tcBorders>
              <w:top w:val="nil"/>
              <w:left w:val="nil"/>
              <w:bottom w:val="nil"/>
              <w:right w:val="nil"/>
            </w:tcBorders>
            <w:vAlign w:val="center"/>
          </w:tcPr>
          <w:p w:rsidR="00447B06" w:rsidRPr="00B35E3B" w:rsidRDefault="00447B06" w:rsidP="00B35E3B">
            <w:pPr>
              <w:jc w:val="center"/>
              <w:rPr>
                <w:sz w:val="24"/>
                <w:szCs w:val="24"/>
              </w:rPr>
            </w:pPr>
            <w:r w:rsidRPr="00B35E3B">
              <w:rPr>
                <w:sz w:val="24"/>
                <w:szCs w:val="24"/>
              </w:rPr>
              <w:t>-0.12</w:t>
            </w:r>
          </w:p>
        </w:tc>
        <w:tc>
          <w:tcPr>
            <w:tcW w:w="1170" w:type="dxa"/>
            <w:tcBorders>
              <w:top w:val="nil"/>
              <w:left w:val="nil"/>
              <w:bottom w:val="nil"/>
              <w:right w:val="single" w:sz="4" w:space="0" w:color="auto"/>
            </w:tcBorders>
            <w:vAlign w:val="center"/>
          </w:tcPr>
          <w:p w:rsidR="00447B06" w:rsidRPr="00B35E3B" w:rsidRDefault="00447B06" w:rsidP="00B35E3B">
            <w:pPr>
              <w:jc w:val="center"/>
              <w:rPr>
                <w:sz w:val="24"/>
                <w:szCs w:val="24"/>
              </w:rPr>
            </w:pPr>
            <w:r w:rsidRPr="00B35E3B">
              <w:rPr>
                <w:sz w:val="24"/>
                <w:szCs w:val="24"/>
              </w:rPr>
              <w:t>0.14</w:t>
            </w:r>
          </w:p>
        </w:tc>
        <w:tc>
          <w:tcPr>
            <w:tcW w:w="990" w:type="dxa"/>
            <w:tcBorders>
              <w:top w:val="nil"/>
              <w:left w:val="single" w:sz="4" w:space="0" w:color="auto"/>
              <w:bottom w:val="nil"/>
              <w:right w:val="nil"/>
            </w:tcBorders>
            <w:vAlign w:val="center"/>
          </w:tcPr>
          <w:p w:rsidR="00447B06" w:rsidRPr="00B35E3B" w:rsidRDefault="00447B06" w:rsidP="00B35E3B">
            <w:pPr>
              <w:jc w:val="center"/>
              <w:rPr>
                <w:sz w:val="24"/>
                <w:szCs w:val="24"/>
              </w:rPr>
            </w:pPr>
            <w:r w:rsidRPr="00B35E3B">
              <w:rPr>
                <w:sz w:val="24"/>
                <w:szCs w:val="24"/>
              </w:rPr>
              <w:t>-</w:t>
            </w:r>
          </w:p>
        </w:tc>
        <w:tc>
          <w:tcPr>
            <w:tcW w:w="990" w:type="dxa"/>
            <w:tcBorders>
              <w:top w:val="nil"/>
              <w:left w:val="nil"/>
              <w:bottom w:val="nil"/>
              <w:right w:val="single" w:sz="4" w:space="0" w:color="auto"/>
            </w:tcBorders>
            <w:vAlign w:val="center"/>
          </w:tcPr>
          <w:p w:rsidR="00447B06" w:rsidRPr="00B35E3B" w:rsidRDefault="00447B06" w:rsidP="00B35E3B">
            <w:pPr>
              <w:jc w:val="center"/>
              <w:rPr>
                <w:sz w:val="24"/>
                <w:szCs w:val="24"/>
              </w:rPr>
            </w:pPr>
            <w:r w:rsidRPr="00B35E3B">
              <w:rPr>
                <w:sz w:val="24"/>
                <w:szCs w:val="24"/>
              </w:rPr>
              <w:t>-</w:t>
            </w:r>
          </w:p>
        </w:tc>
      </w:tr>
      <w:tr w:rsidR="00447B06" w:rsidRPr="00B35E3B" w:rsidTr="00B35E3B">
        <w:trPr>
          <w:trHeight w:val="431"/>
        </w:trPr>
        <w:tc>
          <w:tcPr>
            <w:tcW w:w="378" w:type="dxa"/>
            <w:vMerge/>
            <w:tcBorders>
              <w:right w:val="single" w:sz="4" w:space="0" w:color="auto"/>
            </w:tcBorders>
            <w:vAlign w:val="center"/>
          </w:tcPr>
          <w:p w:rsidR="00447B06" w:rsidRPr="00B35E3B" w:rsidRDefault="00447B06" w:rsidP="00B35E3B">
            <w:pPr>
              <w:jc w:val="center"/>
              <w:rPr>
                <w:sz w:val="24"/>
                <w:szCs w:val="24"/>
              </w:rPr>
            </w:pPr>
          </w:p>
        </w:tc>
        <w:tc>
          <w:tcPr>
            <w:tcW w:w="2160" w:type="dxa"/>
            <w:tcBorders>
              <w:top w:val="nil"/>
              <w:left w:val="single" w:sz="4" w:space="0" w:color="auto"/>
              <w:bottom w:val="nil"/>
              <w:right w:val="single" w:sz="4" w:space="0" w:color="auto"/>
            </w:tcBorders>
            <w:vAlign w:val="center"/>
          </w:tcPr>
          <w:p w:rsidR="00447B06" w:rsidRPr="00B35E3B" w:rsidRDefault="00447B06" w:rsidP="00B35E3B">
            <w:pPr>
              <w:jc w:val="center"/>
              <w:rPr>
                <w:b/>
                <w:sz w:val="24"/>
                <w:szCs w:val="24"/>
              </w:rPr>
            </w:pPr>
            <w:r w:rsidRPr="00B35E3B">
              <w:rPr>
                <w:b/>
                <w:sz w:val="24"/>
                <w:szCs w:val="24"/>
              </w:rPr>
              <w:t>CA1 neurites</w:t>
            </w:r>
          </w:p>
        </w:tc>
        <w:tc>
          <w:tcPr>
            <w:tcW w:w="990" w:type="dxa"/>
            <w:tcBorders>
              <w:top w:val="nil"/>
              <w:left w:val="single" w:sz="4" w:space="0" w:color="auto"/>
              <w:bottom w:val="nil"/>
              <w:right w:val="nil"/>
            </w:tcBorders>
            <w:vAlign w:val="center"/>
          </w:tcPr>
          <w:p w:rsidR="00447B06" w:rsidRPr="00B35E3B" w:rsidRDefault="00447B06" w:rsidP="00B35E3B">
            <w:pPr>
              <w:jc w:val="center"/>
              <w:rPr>
                <w:sz w:val="24"/>
                <w:szCs w:val="24"/>
              </w:rPr>
            </w:pPr>
            <w:r w:rsidRPr="00B35E3B">
              <w:rPr>
                <w:sz w:val="24"/>
                <w:szCs w:val="24"/>
              </w:rPr>
              <w:t>-0.01</w:t>
            </w:r>
          </w:p>
        </w:tc>
        <w:tc>
          <w:tcPr>
            <w:tcW w:w="1080" w:type="dxa"/>
            <w:tcBorders>
              <w:top w:val="nil"/>
              <w:left w:val="nil"/>
              <w:bottom w:val="nil"/>
              <w:right w:val="nil"/>
            </w:tcBorders>
            <w:vAlign w:val="center"/>
          </w:tcPr>
          <w:p w:rsidR="00447B06" w:rsidRPr="00B35E3B" w:rsidRDefault="00447B06" w:rsidP="00B35E3B">
            <w:pPr>
              <w:jc w:val="center"/>
              <w:rPr>
                <w:sz w:val="24"/>
                <w:szCs w:val="24"/>
              </w:rPr>
            </w:pPr>
            <w:r w:rsidRPr="00B35E3B">
              <w:rPr>
                <w:sz w:val="24"/>
                <w:szCs w:val="24"/>
              </w:rPr>
              <w:t>0.06</w:t>
            </w:r>
          </w:p>
        </w:tc>
        <w:tc>
          <w:tcPr>
            <w:tcW w:w="1260" w:type="dxa"/>
            <w:tcBorders>
              <w:top w:val="nil"/>
              <w:left w:val="nil"/>
              <w:bottom w:val="nil"/>
              <w:right w:val="nil"/>
            </w:tcBorders>
            <w:vAlign w:val="center"/>
          </w:tcPr>
          <w:p w:rsidR="00447B06" w:rsidRPr="00B35E3B" w:rsidRDefault="00447B06" w:rsidP="00B35E3B">
            <w:pPr>
              <w:jc w:val="center"/>
              <w:rPr>
                <w:b/>
                <w:i/>
                <w:sz w:val="24"/>
                <w:szCs w:val="24"/>
              </w:rPr>
            </w:pPr>
            <w:r w:rsidRPr="00B35E3B">
              <w:rPr>
                <w:b/>
                <w:i/>
                <w:sz w:val="24"/>
                <w:szCs w:val="24"/>
              </w:rPr>
              <w:t>-0.06</w:t>
            </w:r>
          </w:p>
        </w:tc>
        <w:tc>
          <w:tcPr>
            <w:tcW w:w="1170" w:type="dxa"/>
            <w:tcBorders>
              <w:top w:val="nil"/>
              <w:left w:val="nil"/>
              <w:bottom w:val="nil"/>
              <w:right w:val="single" w:sz="4" w:space="0" w:color="auto"/>
            </w:tcBorders>
            <w:vAlign w:val="center"/>
          </w:tcPr>
          <w:p w:rsidR="00447B06" w:rsidRPr="00B35E3B" w:rsidRDefault="00447B06" w:rsidP="00B35E3B">
            <w:pPr>
              <w:jc w:val="center"/>
              <w:rPr>
                <w:b/>
                <w:i/>
                <w:sz w:val="24"/>
                <w:szCs w:val="24"/>
              </w:rPr>
            </w:pPr>
            <w:r w:rsidRPr="00B35E3B">
              <w:rPr>
                <w:b/>
                <w:i/>
                <w:sz w:val="24"/>
                <w:szCs w:val="24"/>
              </w:rPr>
              <w:t>0.02</w:t>
            </w:r>
          </w:p>
        </w:tc>
        <w:tc>
          <w:tcPr>
            <w:tcW w:w="1260" w:type="dxa"/>
            <w:tcBorders>
              <w:top w:val="nil"/>
              <w:left w:val="single" w:sz="4" w:space="0" w:color="auto"/>
              <w:bottom w:val="nil"/>
              <w:right w:val="nil"/>
            </w:tcBorders>
            <w:vAlign w:val="center"/>
          </w:tcPr>
          <w:p w:rsidR="00447B06" w:rsidRPr="00B35E3B" w:rsidRDefault="00447B06" w:rsidP="00B35E3B">
            <w:pPr>
              <w:jc w:val="center"/>
              <w:rPr>
                <w:b/>
                <w:i/>
                <w:sz w:val="24"/>
                <w:szCs w:val="24"/>
              </w:rPr>
            </w:pPr>
            <w:r w:rsidRPr="00B35E3B">
              <w:rPr>
                <w:b/>
                <w:i/>
                <w:sz w:val="24"/>
                <w:szCs w:val="24"/>
              </w:rPr>
              <w:t>-0.09</w:t>
            </w:r>
          </w:p>
        </w:tc>
        <w:tc>
          <w:tcPr>
            <w:tcW w:w="1080" w:type="dxa"/>
            <w:tcBorders>
              <w:top w:val="nil"/>
              <w:left w:val="nil"/>
              <w:bottom w:val="nil"/>
              <w:right w:val="nil"/>
            </w:tcBorders>
            <w:vAlign w:val="center"/>
          </w:tcPr>
          <w:p w:rsidR="00447B06" w:rsidRPr="00B35E3B" w:rsidRDefault="00447B06" w:rsidP="00B35E3B">
            <w:pPr>
              <w:jc w:val="center"/>
              <w:rPr>
                <w:b/>
                <w:i/>
                <w:sz w:val="24"/>
                <w:szCs w:val="24"/>
              </w:rPr>
            </w:pPr>
            <w:r w:rsidRPr="00B35E3B">
              <w:rPr>
                <w:b/>
                <w:i/>
                <w:sz w:val="24"/>
                <w:szCs w:val="24"/>
              </w:rPr>
              <w:t>0.03</w:t>
            </w:r>
          </w:p>
        </w:tc>
        <w:tc>
          <w:tcPr>
            <w:tcW w:w="1170" w:type="dxa"/>
            <w:tcBorders>
              <w:top w:val="nil"/>
              <w:left w:val="nil"/>
              <w:bottom w:val="nil"/>
              <w:right w:val="nil"/>
            </w:tcBorders>
            <w:vAlign w:val="center"/>
          </w:tcPr>
          <w:p w:rsidR="00447B06" w:rsidRPr="00B35E3B" w:rsidRDefault="00447B06" w:rsidP="00B35E3B">
            <w:pPr>
              <w:jc w:val="center"/>
              <w:rPr>
                <w:sz w:val="24"/>
                <w:szCs w:val="24"/>
              </w:rPr>
            </w:pPr>
            <w:r w:rsidRPr="00B35E3B">
              <w:rPr>
                <w:sz w:val="24"/>
                <w:szCs w:val="24"/>
              </w:rPr>
              <w:t>-0.04</w:t>
            </w:r>
          </w:p>
        </w:tc>
        <w:tc>
          <w:tcPr>
            <w:tcW w:w="1170" w:type="dxa"/>
            <w:tcBorders>
              <w:top w:val="nil"/>
              <w:left w:val="nil"/>
              <w:bottom w:val="nil"/>
              <w:right w:val="single" w:sz="4" w:space="0" w:color="auto"/>
            </w:tcBorders>
            <w:vAlign w:val="center"/>
          </w:tcPr>
          <w:p w:rsidR="00447B06" w:rsidRPr="00B35E3B" w:rsidRDefault="00447B06" w:rsidP="00B35E3B">
            <w:pPr>
              <w:jc w:val="center"/>
              <w:rPr>
                <w:sz w:val="24"/>
                <w:szCs w:val="24"/>
              </w:rPr>
            </w:pPr>
            <w:r w:rsidRPr="00B35E3B">
              <w:rPr>
                <w:sz w:val="24"/>
                <w:szCs w:val="24"/>
              </w:rPr>
              <w:t>0.22</w:t>
            </w:r>
          </w:p>
        </w:tc>
        <w:tc>
          <w:tcPr>
            <w:tcW w:w="990" w:type="dxa"/>
            <w:tcBorders>
              <w:top w:val="nil"/>
              <w:left w:val="single" w:sz="4" w:space="0" w:color="auto"/>
              <w:bottom w:val="nil"/>
              <w:right w:val="nil"/>
            </w:tcBorders>
            <w:vAlign w:val="center"/>
          </w:tcPr>
          <w:p w:rsidR="00447B06" w:rsidRPr="00B35E3B" w:rsidRDefault="00447B06" w:rsidP="00B35E3B">
            <w:pPr>
              <w:jc w:val="center"/>
              <w:rPr>
                <w:b/>
                <w:color w:val="000000"/>
                <w:sz w:val="24"/>
                <w:szCs w:val="24"/>
              </w:rPr>
            </w:pPr>
            <w:r w:rsidRPr="00B35E3B">
              <w:rPr>
                <w:b/>
                <w:color w:val="000000"/>
                <w:sz w:val="24"/>
                <w:szCs w:val="24"/>
              </w:rPr>
              <w:t>-0.25</w:t>
            </w:r>
          </w:p>
        </w:tc>
        <w:tc>
          <w:tcPr>
            <w:tcW w:w="990" w:type="dxa"/>
            <w:tcBorders>
              <w:top w:val="nil"/>
              <w:left w:val="nil"/>
              <w:bottom w:val="nil"/>
              <w:right w:val="single" w:sz="4" w:space="0" w:color="auto"/>
            </w:tcBorders>
            <w:vAlign w:val="center"/>
          </w:tcPr>
          <w:p w:rsidR="00447B06" w:rsidRPr="00B35E3B" w:rsidRDefault="00447B06" w:rsidP="00B35E3B">
            <w:pPr>
              <w:jc w:val="center"/>
              <w:rPr>
                <w:b/>
                <w:color w:val="000000"/>
                <w:sz w:val="24"/>
                <w:szCs w:val="24"/>
              </w:rPr>
            </w:pPr>
            <w:r w:rsidRPr="00B35E3B">
              <w:rPr>
                <w:b/>
                <w:color w:val="000000"/>
                <w:sz w:val="24"/>
                <w:szCs w:val="24"/>
              </w:rPr>
              <w:t>0.003</w:t>
            </w:r>
          </w:p>
        </w:tc>
      </w:tr>
      <w:tr w:rsidR="00B35E3B" w:rsidRPr="00B35E3B" w:rsidTr="00B35E3B">
        <w:trPr>
          <w:trHeight w:val="440"/>
        </w:trPr>
        <w:tc>
          <w:tcPr>
            <w:tcW w:w="378" w:type="dxa"/>
            <w:vMerge/>
            <w:tcBorders>
              <w:right w:val="single" w:sz="4" w:space="0" w:color="auto"/>
            </w:tcBorders>
            <w:vAlign w:val="center"/>
          </w:tcPr>
          <w:p w:rsidR="00447B06" w:rsidRPr="00B35E3B" w:rsidRDefault="00447B06" w:rsidP="00B35E3B">
            <w:pPr>
              <w:jc w:val="center"/>
              <w:rPr>
                <w:sz w:val="24"/>
                <w:szCs w:val="24"/>
              </w:rPr>
            </w:pPr>
          </w:p>
        </w:tc>
        <w:tc>
          <w:tcPr>
            <w:tcW w:w="2160" w:type="dxa"/>
            <w:tcBorders>
              <w:top w:val="nil"/>
              <w:left w:val="single" w:sz="4" w:space="0" w:color="auto"/>
              <w:bottom w:val="single" w:sz="4" w:space="0" w:color="auto"/>
              <w:right w:val="single" w:sz="4" w:space="0" w:color="auto"/>
            </w:tcBorders>
            <w:vAlign w:val="center"/>
          </w:tcPr>
          <w:p w:rsidR="00447B06" w:rsidRPr="00B35E3B" w:rsidRDefault="00447B06" w:rsidP="00B35E3B">
            <w:pPr>
              <w:jc w:val="center"/>
              <w:rPr>
                <w:b/>
                <w:sz w:val="24"/>
                <w:szCs w:val="24"/>
              </w:rPr>
            </w:pPr>
            <w:r w:rsidRPr="00B35E3B">
              <w:rPr>
                <w:b/>
                <w:sz w:val="24"/>
                <w:szCs w:val="24"/>
              </w:rPr>
              <w:t>DG neurites</w:t>
            </w:r>
          </w:p>
        </w:tc>
        <w:tc>
          <w:tcPr>
            <w:tcW w:w="990" w:type="dxa"/>
            <w:tcBorders>
              <w:top w:val="nil"/>
              <w:left w:val="single" w:sz="4" w:space="0" w:color="auto"/>
              <w:bottom w:val="single" w:sz="4" w:space="0" w:color="auto"/>
              <w:right w:val="nil"/>
            </w:tcBorders>
            <w:vAlign w:val="center"/>
          </w:tcPr>
          <w:p w:rsidR="00447B06" w:rsidRPr="00B35E3B" w:rsidRDefault="00447B06" w:rsidP="00B35E3B">
            <w:pPr>
              <w:jc w:val="center"/>
              <w:rPr>
                <w:sz w:val="24"/>
                <w:szCs w:val="24"/>
              </w:rPr>
            </w:pPr>
            <w:r w:rsidRPr="00B35E3B">
              <w:rPr>
                <w:sz w:val="24"/>
                <w:szCs w:val="24"/>
              </w:rPr>
              <w:t>0.16</w:t>
            </w:r>
          </w:p>
        </w:tc>
        <w:tc>
          <w:tcPr>
            <w:tcW w:w="1080" w:type="dxa"/>
            <w:tcBorders>
              <w:top w:val="nil"/>
              <w:left w:val="nil"/>
              <w:bottom w:val="single" w:sz="4" w:space="0" w:color="auto"/>
              <w:right w:val="nil"/>
            </w:tcBorders>
            <w:vAlign w:val="center"/>
          </w:tcPr>
          <w:p w:rsidR="00447B06" w:rsidRPr="00B35E3B" w:rsidRDefault="00447B06" w:rsidP="00B35E3B">
            <w:pPr>
              <w:jc w:val="center"/>
              <w:rPr>
                <w:sz w:val="24"/>
                <w:szCs w:val="24"/>
              </w:rPr>
            </w:pPr>
            <w:r w:rsidRPr="00B35E3B">
              <w:rPr>
                <w:sz w:val="24"/>
                <w:szCs w:val="24"/>
              </w:rPr>
              <w:t>0.94</w:t>
            </w:r>
          </w:p>
        </w:tc>
        <w:tc>
          <w:tcPr>
            <w:tcW w:w="1260" w:type="dxa"/>
            <w:tcBorders>
              <w:top w:val="nil"/>
              <w:left w:val="nil"/>
              <w:bottom w:val="single" w:sz="4" w:space="0" w:color="auto"/>
              <w:right w:val="nil"/>
            </w:tcBorders>
            <w:vAlign w:val="center"/>
          </w:tcPr>
          <w:p w:rsidR="00447B06" w:rsidRPr="00B35E3B" w:rsidRDefault="00447B06" w:rsidP="00B35E3B">
            <w:pPr>
              <w:jc w:val="center"/>
              <w:rPr>
                <w:sz w:val="24"/>
                <w:szCs w:val="24"/>
              </w:rPr>
            </w:pPr>
            <w:r w:rsidRPr="00B35E3B">
              <w:rPr>
                <w:sz w:val="24"/>
                <w:szCs w:val="24"/>
              </w:rPr>
              <w:t>-0.39</w:t>
            </w:r>
          </w:p>
        </w:tc>
        <w:tc>
          <w:tcPr>
            <w:tcW w:w="1170" w:type="dxa"/>
            <w:tcBorders>
              <w:top w:val="nil"/>
              <w:left w:val="nil"/>
              <w:bottom w:val="single" w:sz="4" w:space="0" w:color="auto"/>
              <w:right w:val="single" w:sz="4" w:space="0" w:color="auto"/>
            </w:tcBorders>
            <w:vAlign w:val="center"/>
          </w:tcPr>
          <w:p w:rsidR="00447B06" w:rsidRPr="00B35E3B" w:rsidRDefault="00447B06" w:rsidP="00B35E3B">
            <w:pPr>
              <w:jc w:val="center"/>
              <w:rPr>
                <w:sz w:val="24"/>
                <w:szCs w:val="24"/>
              </w:rPr>
            </w:pPr>
            <w:r w:rsidRPr="00B35E3B">
              <w:rPr>
                <w:sz w:val="24"/>
                <w:szCs w:val="24"/>
              </w:rPr>
              <w:t>0.85</w:t>
            </w:r>
          </w:p>
        </w:tc>
        <w:tc>
          <w:tcPr>
            <w:tcW w:w="1260" w:type="dxa"/>
            <w:tcBorders>
              <w:top w:val="nil"/>
              <w:left w:val="single" w:sz="4" w:space="0" w:color="auto"/>
              <w:bottom w:val="single" w:sz="4" w:space="0" w:color="auto"/>
              <w:right w:val="nil"/>
            </w:tcBorders>
            <w:vAlign w:val="center"/>
          </w:tcPr>
          <w:p w:rsidR="00447B06" w:rsidRPr="00B35E3B" w:rsidRDefault="00447B06" w:rsidP="00B35E3B">
            <w:pPr>
              <w:jc w:val="center"/>
              <w:rPr>
                <w:sz w:val="24"/>
                <w:szCs w:val="24"/>
              </w:rPr>
            </w:pPr>
            <w:r w:rsidRPr="00B35E3B">
              <w:rPr>
                <w:sz w:val="24"/>
                <w:szCs w:val="24"/>
              </w:rPr>
              <w:t>-1.04</w:t>
            </w:r>
          </w:p>
        </w:tc>
        <w:tc>
          <w:tcPr>
            <w:tcW w:w="1080" w:type="dxa"/>
            <w:tcBorders>
              <w:top w:val="nil"/>
              <w:left w:val="nil"/>
              <w:bottom w:val="single" w:sz="4" w:space="0" w:color="auto"/>
              <w:right w:val="nil"/>
            </w:tcBorders>
            <w:vAlign w:val="center"/>
          </w:tcPr>
          <w:p w:rsidR="00447B06" w:rsidRPr="00B35E3B" w:rsidRDefault="00447B06" w:rsidP="00B35E3B">
            <w:pPr>
              <w:jc w:val="center"/>
              <w:rPr>
                <w:sz w:val="24"/>
                <w:szCs w:val="24"/>
              </w:rPr>
            </w:pPr>
            <w:r w:rsidRPr="00B35E3B">
              <w:rPr>
                <w:sz w:val="24"/>
                <w:szCs w:val="24"/>
              </w:rPr>
              <w:t>0.75</w:t>
            </w:r>
          </w:p>
        </w:tc>
        <w:tc>
          <w:tcPr>
            <w:tcW w:w="1170" w:type="dxa"/>
            <w:tcBorders>
              <w:top w:val="nil"/>
              <w:left w:val="nil"/>
              <w:bottom w:val="single" w:sz="4" w:space="0" w:color="auto"/>
              <w:right w:val="nil"/>
            </w:tcBorders>
            <w:vAlign w:val="center"/>
          </w:tcPr>
          <w:p w:rsidR="00447B06" w:rsidRPr="00B35E3B" w:rsidRDefault="00447B06" w:rsidP="00B35E3B">
            <w:pPr>
              <w:jc w:val="center"/>
              <w:rPr>
                <w:sz w:val="24"/>
                <w:szCs w:val="24"/>
              </w:rPr>
            </w:pPr>
            <w:r w:rsidRPr="00B35E3B">
              <w:rPr>
                <w:sz w:val="24"/>
                <w:szCs w:val="24"/>
              </w:rPr>
              <w:t>0.25</w:t>
            </w:r>
          </w:p>
        </w:tc>
        <w:tc>
          <w:tcPr>
            <w:tcW w:w="1170" w:type="dxa"/>
            <w:tcBorders>
              <w:top w:val="nil"/>
              <w:left w:val="nil"/>
              <w:bottom w:val="single" w:sz="4" w:space="0" w:color="auto"/>
              <w:right w:val="single" w:sz="4" w:space="0" w:color="auto"/>
            </w:tcBorders>
            <w:vAlign w:val="center"/>
          </w:tcPr>
          <w:p w:rsidR="00447B06" w:rsidRPr="00B35E3B" w:rsidRDefault="00447B06" w:rsidP="00B35E3B">
            <w:pPr>
              <w:jc w:val="center"/>
              <w:rPr>
                <w:sz w:val="24"/>
                <w:szCs w:val="24"/>
              </w:rPr>
            </w:pPr>
            <w:r w:rsidRPr="00B35E3B">
              <w:rPr>
                <w:sz w:val="24"/>
                <w:szCs w:val="24"/>
              </w:rPr>
              <w:t>0.91</w:t>
            </w:r>
          </w:p>
        </w:tc>
        <w:tc>
          <w:tcPr>
            <w:tcW w:w="990" w:type="dxa"/>
            <w:tcBorders>
              <w:top w:val="nil"/>
              <w:left w:val="single" w:sz="4" w:space="0" w:color="auto"/>
              <w:bottom w:val="single" w:sz="4" w:space="0" w:color="auto"/>
              <w:right w:val="nil"/>
            </w:tcBorders>
            <w:vAlign w:val="center"/>
          </w:tcPr>
          <w:p w:rsidR="00447B06" w:rsidRPr="00B35E3B" w:rsidRDefault="00447B06" w:rsidP="00B35E3B">
            <w:pPr>
              <w:jc w:val="center"/>
              <w:rPr>
                <w:color w:val="000000"/>
                <w:sz w:val="24"/>
                <w:szCs w:val="24"/>
              </w:rPr>
            </w:pPr>
            <w:r w:rsidRPr="00B35E3B">
              <w:rPr>
                <w:color w:val="000000"/>
                <w:sz w:val="24"/>
                <w:szCs w:val="24"/>
              </w:rPr>
              <w:t>-0.19</w:t>
            </w:r>
          </w:p>
        </w:tc>
        <w:tc>
          <w:tcPr>
            <w:tcW w:w="990" w:type="dxa"/>
            <w:tcBorders>
              <w:top w:val="nil"/>
              <w:left w:val="nil"/>
              <w:bottom w:val="single" w:sz="4" w:space="0" w:color="auto"/>
              <w:right w:val="single" w:sz="4" w:space="0" w:color="auto"/>
            </w:tcBorders>
            <w:vAlign w:val="center"/>
          </w:tcPr>
          <w:p w:rsidR="00447B06" w:rsidRPr="00B35E3B" w:rsidRDefault="00447B06" w:rsidP="00B35E3B">
            <w:pPr>
              <w:jc w:val="center"/>
              <w:rPr>
                <w:color w:val="000000"/>
                <w:sz w:val="24"/>
                <w:szCs w:val="24"/>
              </w:rPr>
            </w:pPr>
            <w:r w:rsidRPr="00B35E3B">
              <w:rPr>
                <w:color w:val="000000"/>
                <w:sz w:val="24"/>
                <w:szCs w:val="24"/>
              </w:rPr>
              <w:t>0.23</w:t>
            </w:r>
          </w:p>
        </w:tc>
      </w:tr>
    </w:tbl>
    <w:p w:rsidR="00447B06" w:rsidRDefault="00447B06" w:rsidP="00447B06">
      <w:pPr>
        <w:rPr>
          <w:rFonts w:ascii="Arial" w:hAnsi="Arial" w:cs="Arial"/>
          <w:szCs w:val="24"/>
        </w:rPr>
      </w:pPr>
    </w:p>
    <w:p w:rsidR="00447B06" w:rsidRPr="00E54900" w:rsidRDefault="00447B06" w:rsidP="00447B06">
      <w:pPr>
        <w:rPr>
          <w:sz w:val="18"/>
        </w:rPr>
      </w:pPr>
      <w:r w:rsidRPr="008757A5">
        <w:rPr>
          <w:rFonts w:ascii="Arial" w:hAnsi="Arial" w:cs="Arial"/>
          <w:szCs w:val="24"/>
        </w:rPr>
        <w:t>CA1, region 1 of hippocampal proper; DG, dentate gyrus. Statistically significant: bold italics.</w:t>
      </w:r>
    </w:p>
    <w:p w:rsidR="00214B1A" w:rsidRDefault="00214B1A" w:rsidP="00214B1A">
      <w:pPr>
        <w:pStyle w:val="Paragraph"/>
        <w:spacing w:before="0" w:line="480" w:lineRule="auto"/>
        <w:ind w:firstLine="0"/>
        <w:rPr>
          <w:b/>
          <w:caps/>
        </w:rPr>
        <w:sectPr w:rsidR="00214B1A" w:rsidSect="0009567D">
          <w:pgSz w:w="15840" w:h="12240" w:orient="landscape" w:code="1"/>
          <w:pgMar w:top="1008" w:right="1008" w:bottom="1008" w:left="1008" w:header="432" w:footer="720" w:gutter="0"/>
          <w:cols w:space="720"/>
          <w:titlePg/>
          <w:docGrid w:linePitch="360"/>
        </w:sectPr>
      </w:pPr>
    </w:p>
    <w:p w:rsidR="00881B6F" w:rsidRDefault="00881B6F">
      <w:pPr>
        <w:spacing w:after="200" w:line="276" w:lineRule="auto"/>
        <w:rPr>
          <w:b/>
          <w:sz w:val="24"/>
          <w:szCs w:val="24"/>
        </w:rPr>
      </w:pPr>
      <w:r>
        <w:rPr>
          <w:b/>
          <w:noProof/>
          <w:sz w:val="24"/>
          <w:szCs w:val="24"/>
        </w:rPr>
        <w:lastRenderedPageBreak/>
        <w:drawing>
          <wp:inline distT="0" distB="0" distL="0" distR="0">
            <wp:extent cx="5572125" cy="22301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cciottolo Suppl Fig 1.jpg"/>
                    <pic:cNvPicPr/>
                  </pic:nvPicPr>
                  <pic:blipFill>
                    <a:blip r:embed="rId7">
                      <a:extLst>
                        <a:ext uri="{28A0092B-C50C-407E-A947-70E740481C1C}">
                          <a14:useLocalDpi xmlns:a14="http://schemas.microsoft.com/office/drawing/2010/main" val="0"/>
                        </a:ext>
                      </a:extLst>
                    </a:blip>
                    <a:stretch>
                      <a:fillRect/>
                    </a:stretch>
                  </pic:blipFill>
                  <pic:spPr>
                    <a:xfrm>
                      <a:off x="0" y="0"/>
                      <a:ext cx="5572805" cy="2230430"/>
                    </a:xfrm>
                    <a:prstGeom prst="rect">
                      <a:avLst/>
                    </a:prstGeom>
                  </pic:spPr>
                </pic:pic>
              </a:graphicData>
            </a:graphic>
          </wp:inline>
        </w:drawing>
      </w:r>
    </w:p>
    <w:p w:rsidR="00577B62" w:rsidRDefault="00577B62">
      <w:pPr>
        <w:spacing w:after="200" w:line="276" w:lineRule="auto"/>
        <w:rPr>
          <w:sz w:val="24"/>
          <w:szCs w:val="24"/>
        </w:rPr>
      </w:pPr>
      <w:r>
        <w:rPr>
          <w:b/>
          <w:sz w:val="24"/>
          <w:szCs w:val="24"/>
        </w:rPr>
        <w:t xml:space="preserve">Supplementary Figure 1. </w:t>
      </w:r>
      <w:r w:rsidRPr="00577B62">
        <w:rPr>
          <w:b/>
          <w:sz w:val="24"/>
          <w:szCs w:val="24"/>
        </w:rPr>
        <w:t xml:space="preserve">Timeline of mice exposure. </w:t>
      </w:r>
      <w:r w:rsidRPr="00577B62">
        <w:rPr>
          <w:sz w:val="24"/>
          <w:szCs w:val="24"/>
        </w:rPr>
        <w:t>Alternate day intermittent exposure schedule is expanded for first week, with M</w:t>
      </w:r>
      <w:r>
        <w:rPr>
          <w:sz w:val="24"/>
          <w:szCs w:val="24"/>
        </w:rPr>
        <w:t xml:space="preserve"> (Monday) </w:t>
      </w:r>
      <w:r w:rsidRPr="00577B62">
        <w:rPr>
          <w:sz w:val="24"/>
          <w:szCs w:val="24"/>
        </w:rPr>
        <w:t>W</w:t>
      </w:r>
      <w:r>
        <w:rPr>
          <w:sz w:val="24"/>
          <w:szCs w:val="24"/>
        </w:rPr>
        <w:t xml:space="preserve"> (Wednesday) </w:t>
      </w:r>
      <w:r w:rsidRPr="00577B62">
        <w:rPr>
          <w:sz w:val="24"/>
          <w:szCs w:val="24"/>
        </w:rPr>
        <w:t xml:space="preserve">F </w:t>
      </w:r>
      <w:r>
        <w:rPr>
          <w:sz w:val="24"/>
          <w:szCs w:val="24"/>
        </w:rPr>
        <w:t xml:space="preserve">(Friday) </w:t>
      </w:r>
      <w:r w:rsidRPr="00577B62">
        <w:rPr>
          <w:sz w:val="24"/>
          <w:szCs w:val="24"/>
        </w:rPr>
        <w:t xml:space="preserve">exposure days indicated in bold. Age of mice at beginning and end of experiment are labeled below the timeline. </w:t>
      </w:r>
      <w:r w:rsidR="00812EAF">
        <w:rPr>
          <w:sz w:val="24"/>
          <w:szCs w:val="24"/>
        </w:rPr>
        <w:t xml:space="preserve">a. EFAD mice 15 </w:t>
      </w:r>
      <w:proofErr w:type="spellStart"/>
      <w:r w:rsidR="00812EAF">
        <w:rPr>
          <w:sz w:val="24"/>
          <w:szCs w:val="24"/>
        </w:rPr>
        <w:t>wks</w:t>
      </w:r>
      <w:proofErr w:type="spellEnd"/>
      <w:r w:rsidR="00812EAF">
        <w:rPr>
          <w:sz w:val="24"/>
          <w:szCs w:val="24"/>
        </w:rPr>
        <w:t xml:space="preserve"> exposure; b. C57BL/6 mice 10 </w:t>
      </w:r>
      <w:proofErr w:type="spellStart"/>
      <w:r w:rsidR="00812EAF">
        <w:rPr>
          <w:sz w:val="24"/>
          <w:szCs w:val="24"/>
        </w:rPr>
        <w:t>wks</w:t>
      </w:r>
      <w:proofErr w:type="spellEnd"/>
      <w:r w:rsidR="00812EAF">
        <w:rPr>
          <w:sz w:val="24"/>
          <w:szCs w:val="24"/>
        </w:rPr>
        <w:t xml:space="preserve"> exposure. </w:t>
      </w:r>
    </w:p>
    <w:p w:rsidR="00881B6F" w:rsidRDefault="00881B6F">
      <w:pPr>
        <w:spacing w:after="200" w:line="276" w:lineRule="auto"/>
        <w:rPr>
          <w:sz w:val="24"/>
          <w:szCs w:val="24"/>
        </w:rPr>
      </w:pPr>
    </w:p>
    <w:p w:rsidR="00881B6F" w:rsidRPr="00577B62" w:rsidRDefault="00881B6F">
      <w:pPr>
        <w:spacing w:after="200" w:line="276" w:lineRule="auto"/>
        <w:rPr>
          <w:b/>
          <w:sz w:val="24"/>
          <w:szCs w:val="24"/>
        </w:rPr>
      </w:pPr>
      <w:r>
        <w:rPr>
          <w:b/>
          <w:noProof/>
          <w:sz w:val="24"/>
          <w:szCs w:val="24"/>
        </w:rPr>
        <w:drawing>
          <wp:inline distT="0" distB="0" distL="0" distR="0">
            <wp:extent cx="3675888" cy="265176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cciottolo Suppl Fig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75888" cy="2651760"/>
                    </a:xfrm>
                    <a:prstGeom prst="rect">
                      <a:avLst/>
                    </a:prstGeom>
                  </pic:spPr>
                </pic:pic>
              </a:graphicData>
            </a:graphic>
          </wp:inline>
        </w:drawing>
      </w:r>
    </w:p>
    <w:p w:rsidR="003606F2" w:rsidRDefault="00577B62" w:rsidP="005C020C">
      <w:pPr>
        <w:spacing w:after="200" w:line="276" w:lineRule="auto"/>
        <w:rPr>
          <w:rFonts w:eastAsia="Times New Roman"/>
          <w:color w:val="000000"/>
          <w:sz w:val="24"/>
          <w:szCs w:val="24"/>
        </w:rPr>
      </w:pPr>
      <w:r>
        <w:rPr>
          <w:b/>
          <w:sz w:val="24"/>
          <w:szCs w:val="24"/>
        </w:rPr>
        <w:t xml:space="preserve">Supplementary Figure 2. Correlation. </w:t>
      </w:r>
      <w:r w:rsidR="00035C61" w:rsidRPr="00035C61">
        <w:rPr>
          <w:sz w:val="24"/>
          <w:szCs w:val="24"/>
        </w:rPr>
        <w:t>Correlation analysis of a</w:t>
      </w:r>
      <w:r w:rsidRPr="00035C61">
        <w:rPr>
          <w:sz w:val="24"/>
          <w:szCs w:val="24"/>
        </w:rPr>
        <w:t>myloid load</w:t>
      </w:r>
      <w:r w:rsidRPr="00577B62">
        <w:rPr>
          <w:sz w:val="24"/>
          <w:szCs w:val="24"/>
        </w:rPr>
        <w:t xml:space="preserve"> </w:t>
      </w:r>
      <w:r w:rsidR="00035C61">
        <w:rPr>
          <w:sz w:val="24"/>
          <w:szCs w:val="24"/>
        </w:rPr>
        <w:t xml:space="preserve">as </w:t>
      </w:r>
      <w:r w:rsidRPr="00577B62">
        <w:rPr>
          <w:sz w:val="24"/>
          <w:szCs w:val="24"/>
        </w:rPr>
        <w:t xml:space="preserve">analyzed by </w:t>
      </w:r>
      <w:proofErr w:type="spellStart"/>
      <w:r w:rsidRPr="00577B62">
        <w:rPr>
          <w:sz w:val="24"/>
          <w:szCs w:val="24"/>
        </w:rPr>
        <w:t>Thioflavin</w:t>
      </w:r>
      <w:proofErr w:type="spellEnd"/>
      <w:r w:rsidRPr="00577B62">
        <w:rPr>
          <w:sz w:val="24"/>
          <w:szCs w:val="24"/>
        </w:rPr>
        <w:t xml:space="preserve"> S staining (</w:t>
      </w:r>
      <w:proofErr w:type="spellStart"/>
      <w:r w:rsidRPr="00577B62">
        <w:rPr>
          <w:sz w:val="24"/>
          <w:szCs w:val="24"/>
        </w:rPr>
        <w:t>Thio</w:t>
      </w:r>
      <w:r w:rsidR="00D37CE4">
        <w:rPr>
          <w:sz w:val="24"/>
          <w:szCs w:val="24"/>
        </w:rPr>
        <w:t>S</w:t>
      </w:r>
      <w:proofErr w:type="spellEnd"/>
      <w:r w:rsidRPr="00577B62">
        <w:rPr>
          <w:sz w:val="24"/>
          <w:szCs w:val="24"/>
        </w:rPr>
        <w:t>)</w:t>
      </w:r>
      <w:r w:rsidR="00035C61">
        <w:rPr>
          <w:sz w:val="24"/>
          <w:szCs w:val="24"/>
        </w:rPr>
        <w:t xml:space="preserve"> and Aβ plaque load as analyzed by 4G8 immunostaining is shown. </w:t>
      </w:r>
      <w:r w:rsidR="008113E6">
        <w:rPr>
          <w:rFonts w:eastAsia="Times New Roman"/>
          <w:color w:val="000000"/>
          <w:sz w:val="24"/>
          <w:szCs w:val="24"/>
        </w:rPr>
        <w:t>r</w:t>
      </w:r>
      <w:r w:rsidR="008113E6" w:rsidRPr="00D1746D">
        <w:rPr>
          <w:rFonts w:eastAsia="Times New Roman"/>
          <w:color w:val="000000"/>
          <w:sz w:val="24"/>
          <w:szCs w:val="24"/>
          <w:vertAlign w:val="superscript"/>
        </w:rPr>
        <w:t>2</w:t>
      </w:r>
      <w:r w:rsidR="008113E6">
        <w:rPr>
          <w:rFonts w:eastAsia="Times New Roman"/>
          <w:color w:val="000000"/>
          <w:sz w:val="24"/>
          <w:szCs w:val="24"/>
        </w:rPr>
        <w:t>=0.78, p&lt;0.0001</w:t>
      </w:r>
      <w:r w:rsidR="003606F2">
        <w:rPr>
          <w:rFonts w:eastAsia="Times New Roman"/>
          <w:color w:val="000000"/>
          <w:sz w:val="24"/>
          <w:szCs w:val="24"/>
        </w:rPr>
        <w:t xml:space="preserve">. </w:t>
      </w:r>
      <w:proofErr w:type="gramStart"/>
      <w:r w:rsidR="003606F2">
        <w:rPr>
          <w:rFonts w:eastAsia="Times New Roman"/>
          <w:color w:val="000000"/>
          <w:sz w:val="24"/>
          <w:szCs w:val="24"/>
        </w:rPr>
        <w:t>open</w:t>
      </w:r>
      <w:proofErr w:type="gramEnd"/>
      <w:r w:rsidR="003606F2">
        <w:rPr>
          <w:rFonts w:eastAsia="Times New Roman"/>
          <w:color w:val="000000"/>
          <w:sz w:val="24"/>
          <w:szCs w:val="24"/>
        </w:rPr>
        <w:t xml:space="preserve"> symbol: controls; black symbol: </w:t>
      </w:r>
      <w:proofErr w:type="spellStart"/>
      <w:r w:rsidR="003606F2">
        <w:rPr>
          <w:rFonts w:eastAsia="Times New Roman"/>
          <w:color w:val="000000"/>
          <w:sz w:val="24"/>
          <w:szCs w:val="24"/>
        </w:rPr>
        <w:t>nPM</w:t>
      </w:r>
      <w:proofErr w:type="spellEnd"/>
      <w:r w:rsidR="003606F2">
        <w:rPr>
          <w:rFonts w:eastAsia="Times New Roman"/>
          <w:color w:val="000000"/>
          <w:sz w:val="24"/>
          <w:szCs w:val="24"/>
        </w:rPr>
        <w:t xml:space="preserve"> exposed mice; circle: E3FAD mice; triangle: E4FAD mice. </w:t>
      </w:r>
    </w:p>
    <w:p w:rsidR="00881B6F" w:rsidRDefault="00881B6F" w:rsidP="005C020C">
      <w:pPr>
        <w:spacing w:after="200" w:line="276" w:lineRule="auto"/>
        <w:rPr>
          <w:rFonts w:eastAsia="Times New Roman"/>
          <w:color w:val="000000"/>
          <w:sz w:val="24"/>
          <w:szCs w:val="24"/>
        </w:rPr>
      </w:pPr>
    </w:p>
    <w:p w:rsidR="00881B6F" w:rsidRDefault="00881B6F" w:rsidP="005C020C">
      <w:pPr>
        <w:spacing w:after="200" w:line="276" w:lineRule="auto"/>
        <w:rPr>
          <w:rFonts w:eastAsia="Times New Roman"/>
          <w:color w:val="000000"/>
          <w:sz w:val="24"/>
          <w:szCs w:val="24"/>
        </w:rPr>
      </w:pPr>
      <w:r>
        <w:rPr>
          <w:rFonts w:eastAsia="Times New Roman"/>
          <w:noProof/>
          <w:color w:val="000000"/>
          <w:sz w:val="24"/>
          <w:szCs w:val="24"/>
        </w:rPr>
        <w:lastRenderedPageBreak/>
        <w:drawing>
          <wp:inline distT="0" distB="0" distL="0" distR="0">
            <wp:extent cx="4067175" cy="225277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cciottolo Suppl Fig 3.jpg"/>
                    <pic:cNvPicPr/>
                  </pic:nvPicPr>
                  <pic:blipFill>
                    <a:blip r:embed="rId9">
                      <a:extLst>
                        <a:ext uri="{28A0092B-C50C-407E-A947-70E740481C1C}">
                          <a14:useLocalDpi xmlns:a14="http://schemas.microsoft.com/office/drawing/2010/main" val="0"/>
                        </a:ext>
                      </a:extLst>
                    </a:blip>
                    <a:stretch>
                      <a:fillRect/>
                    </a:stretch>
                  </pic:blipFill>
                  <pic:spPr>
                    <a:xfrm>
                      <a:off x="0" y="0"/>
                      <a:ext cx="4076605" cy="2258002"/>
                    </a:xfrm>
                    <a:prstGeom prst="rect">
                      <a:avLst/>
                    </a:prstGeom>
                  </pic:spPr>
                </pic:pic>
              </a:graphicData>
            </a:graphic>
          </wp:inline>
        </w:drawing>
      </w:r>
      <w:bookmarkStart w:id="0" w:name="_GoBack"/>
      <w:bookmarkEnd w:id="0"/>
    </w:p>
    <w:p w:rsidR="00E76846" w:rsidRDefault="00E76846" w:rsidP="005C020C">
      <w:pPr>
        <w:spacing w:after="200" w:line="276" w:lineRule="auto"/>
        <w:rPr>
          <w:rFonts w:eastAsia="Times New Roman"/>
          <w:color w:val="000000"/>
          <w:sz w:val="24"/>
          <w:szCs w:val="24"/>
        </w:rPr>
      </w:pPr>
      <w:r>
        <w:rPr>
          <w:b/>
          <w:sz w:val="24"/>
          <w:szCs w:val="24"/>
        </w:rPr>
        <w:t xml:space="preserve">Supplementary Figure 3. Synaptic proteins did not change after </w:t>
      </w:r>
      <w:proofErr w:type="spellStart"/>
      <w:r>
        <w:rPr>
          <w:b/>
          <w:sz w:val="24"/>
          <w:szCs w:val="24"/>
        </w:rPr>
        <w:t>nPM</w:t>
      </w:r>
      <w:proofErr w:type="spellEnd"/>
      <w:r>
        <w:rPr>
          <w:b/>
          <w:sz w:val="24"/>
          <w:szCs w:val="24"/>
        </w:rPr>
        <w:t xml:space="preserve"> exposure in female EFAD mice. </w:t>
      </w:r>
      <w:proofErr w:type="spellStart"/>
      <w:proofErr w:type="gramStart"/>
      <w:r w:rsidRPr="005D6F84">
        <w:rPr>
          <w:color w:val="000000"/>
          <w:sz w:val="24"/>
          <w:szCs w:val="24"/>
        </w:rPr>
        <w:t>nPM</w:t>
      </w:r>
      <w:proofErr w:type="spellEnd"/>
      <w:proofErr w:type="gramEnd"/>
      <w:r w:rsidRPr="005D6F84">
        <w:rPr>
          <w:color w:val="000000"/>
          <w:sz w:val="24"/>
          <w:szCs w:val="24"/>
        </w:rPr>
        <w:t xml:space="preserve"> exposure did not alter post-synaptic PSD95 or pre-synaptic protein </w:t>
      </w:r>
      <w:proofErr w:type="spellStart"/>
      <w:r w:rsidRPr="005D6F84">
        <w:rPr>
          <w:color w:val="000000"/>
          <w:sz w:val="24"/>
          <w:szCs w:val="24"/>
        </w:rPr>
        <w:t>synaptophysin</w:t>
      </w:r>
      <w:proofErr w:type="spellEnd"/>
      <w:r w:rsidRPr="005D6F84">
        <w:rPr>
          <w:color w:val="000000"/>
          <w:sz w:val="24"/>
          <w:szCs w:val="24"/>
        </w:rPr>
        <w:t xml:space="preserve">. </w:t>
      </w:r>
      <w:r w:rsidRPr="005D6F84">
        <w:rPr>
          <w:sz w:val="24"/>
          <w:szCs w:val="24"/>
        </w:rPr>
        <w:t xml:space="preserve">White bar, control; black bar, </w:t>
      </w:r>
      <w:proofErr w:type="spellStart"/>
      <w:r w:rsidRPr="005D6F84">
        <w:rPr>
          <w:sz w:val="24"/>
          <w:szCs w:val="24"/>
        </w:rPr>
        <w:t>nPM</w:t>
      </w:r>
      <w:proofErr w:type="spellEnd"/>
      <w:r w:rsidRPr="005D6F84">
        <w:rPr>
          <w:sz w:val="24"/>
          <w:szCs w:val="24"/>
        </w:rPr>
        <w:t xml:space="preserve"> exposed. N=5</w:t>
      </w:r>
      <w:r>
        <w:rPr>
          <w:sz w:val="24"/>
          <w:szCs w:val="24"/>
        </w:rPr>
        <w:t xml:space="preserve"> mice/experimental</w:t>
      </w:r>
      <w:r w:rsidRPr="005D6F84">
        <w:rPr>
          <w:sz w:val="24"/>
          <w:szCs w:val="24"/>
        </w:rPr>
        <w:t xml:space="preserve"> group; </w:t>
      </w:r>
      <w:r w:rsidRPr="005D6F84">
        <w:rPr>
          <w:color w:val="000000"/>
          <w:sz w:val="24"/>
          <w:szCs w:val="24"/>
        </w:rPr>
        <w:t>Mean ±</w:t>
      </w:r>
      <w:r w:rsidRPr="005D6F84">
        <w:rPr>
          <w:color w:val="000000"/>
          <w:sz w:val="24"/>
          <w:szCs w:val="24"/>
          <w:u w:val="single"/>
        </w:rPr>
        <w:t xml:space="preserve"> </w:t>
      </w:r>
      <w:r w:rsidRPr="005D6F84">
        <w:rPr>
          <w:color w:val="000000"/>
          <w:sz w:val="24"/>
          <w:szCs w:val="24"/>
        </w:rPr>
        <w:t>SE.</w:t>
      </w:r>
    </w:p>
    <w:p w:rsidR="00E32F7E" w:rsidRPr="00E32F7E" w:rsidRDefault="008113E6" w:rsidP="005C020C">
      <w:pPr>
        <w:spacing w:after="200" w:line="276" w:lineRule="auto"/>
        <w:rPr>
          <w:b/>
        </w:rPr>
      </w:pPr>
      <w:r>
        <w:rPr>
          <w:rFonts w:eastAsia="Times New Roman"/>
          <w:color w:val="000000"/>
          <w:sz w:val="24"/>
          <w:szCs w:val="24"/>
        </w:rPr>
        <w:br/>
      </w:r>
      <w:r w:rsidR="00E32F7E" w:rsidRPr="00E32F7E">
        <w:rPr>
          <w:b/>
        </w:rPr>
        <w:t>Supplementary References</w:t>
      </w:r>
    </w:p>
    <w:p w:rsidR="00DB2F85" w:rsidRPr="00DB2F85" w:rsidRDefault="00E32F7E" w:rsidP="00DB2F85">
      <w:pPr>
        <w:pStyle w:val="EndNoteBibliography"/>
        <w:ind w:left="720" w:hanging="720"/>
      </w:pPr>
      <w:r>
        <w:fldChar w:fldCharType="begin"/>
      </w:r>
      <w:r>
        <w:instrText xml:space="preserve"> ADDIN EN.REFLIST </w:instrText>
      </w:r>
      <w:r>
        <w:fldChar w:fldCharType="separate"/>
      </w:r>
      <w:r w:rsidR="00DB2F85" w:rsidRPr="00DB2F85">
        <w:t>1.</w:t>
      </w:r>
      <w:r w:rsidR="00DB2F85" w:rsidRPr="00DB2F85">
        <w:tab/>
        <w:t>Shumaker SA, Legault C, Kuller L, Rapp SR, Thal L, Lane DS</w:t>
      </w:r>
      <w:r w:rsidR="00DB2F85" w:rsidRPr="00DB2F85">
        <w:rPr>
          <w:i/>
        </w:rPr>
        <w:t xml:space="preserve"> et al.</w:t>
      </w:r>
      <w:r w:rsidR="00DB2F85" w:rsidRPr="00DB2F85">
        <w:t xml:space="preserve"> Conjugated equine estrogens and incidence of probable dementia and mild cognitive impairment in postmenopausal women: Women's Health Initiative Memory Study. </w:t>
      </w:r>
      <w:r w:rsidR="00DB2F85" w:rsidRPr="00DB2F85">
        <w:rPr>
          <w:i/>
        </w:rPr>
        <w:t>JAMA</w:t>
      </w:r>
      <w:r w:rsidR="00DB2F85" w:rsidRPr="00DB2F85">
        <w:t xml:space="preserve"> 2004; </w:t>
      </w:r>
      <w:r w:rsidR="00DB2F85" w:rsidRPr="00DB2F85">
        <w:rPr>
          <w:b/>
        </w:rPr>
        <w:t>291</w:t>
      </w:r>
      <w:r w:rsidR="00DB2F85" w:rsidRPr="00DB2F85">
        <w:t>(24)</w:t>
      </w:r>
      <w:r w:rsidR="00DB2F85" w:rsidRPr="00DB2F85">
        <w:rPr>
          <w:b/>
        </w:rPr>
        <w:t xml:space="preserve">: </w:t>
      </w:r>
      <w:r w:rsidR="00DB2F85" w:rsidRPr="00DB2F85">
        <w:t>2947-2958.</w:t>
      </w:r>
    </w:p>
    <w:p w:rsidR="00DB2F85" w:rsidRPr="00DB2F85" w:rsidRDefault="00DB2F85" w:rsidP="00DB2F85">
      <w:pPr>
        <w:pStyle w:val="EndNoteBibliography"/>
      </w:pPr>
    </w:p>
    <w:p w:rsidR="00DB2F85" w:rsidRPr="00DB2F85" w:rsidRDefault="00DB2F85" w:rsidP="00DB2F85">
      <w:pPr>
        <w:pStyle w:val="EndNoteBibliography"/>
        <w:ind w:left="720" w:hanging="720"/>
      </w:pPr>
      <w:r w:rsidRPr="00DB2F85">
        <w:t>2.</w:t>
      </w:r>
      <w:r w:rsidRPr="00DB2F85">
        <w:tab/>
        <w:t xml:space="preserve">Teng EL, Chui HC. The Modified Mini-Mental State (3MS) examination. </w:t>
      </w:r>
      <w:r w:rsidRPr="00DB2F85">
        <w:rPr>
          <w:i/>
        </w:rPr>
        <w:t>J Clin Psychiatry</w:t>
      </w:r>
      <w:r w:rsidRPr="00DB2F85">
        <w:t xml:space="preserve"> 1987; </w:t>
      </w:r>
      <w:r w:rsidRPr="00DB2F85">
        <w:rPr>
          <w:b/>
        </w:rPr>
        <w:t>48</w:t>
      </w:r>
      <w:r w:rsidRPr="00DB2F85">
        <w:t>(8)</w:t>
      </w:r>
      <w:r w:rsidRPr="00DB2F85">
        <w:rPr>
          <w:b/>
        </w:rPr>
        <w:t xml:space="preserve">: </w:t>
      </w:r>
      <w:r w:rsidRPr="00DB2F85">
        <w:t>314-318.</w:t>
      </w:r>
    </w:p>
    <w:p w:rsidR="00DB2F85" w:rsidRPr="00DB2F85" w:rsidRDefault="00DB2F85" w:rsidP="00DB2F85">
      <w:pPr>
        <w:pStyle w:val="EndNoteBibliography"/>
      </w:pPr>
    </w:p>
    <w:p w:rsidR="00DB2F85" w:rsidRPr="00DB2F85" w:rsidRDefault="00DB2F85" w:rsidP="00DB2F85">
      <w:pPr>
        <w:pStyle w:val="EndNoteBibliography"/>
        <w:ind w:left="720" w:hanging="720"/>
      </w:pPr>
      <w:r w:rsidRPr="00DB2F85">
        <w:t>3.</w:t>
      </w:r>
      <w:r w:rsidRPr="00DB2F85">
        <w:tab/>
        <w:t>Yaffe K, Laffan AM, Harrison SL, Redline S, Spira AP, Ensrud KE</w:t>
      </w:r>
      <w:r w:rsidRPr="00DB2F85">
        <w:rPr>
          <w:i/>
        </w:rPr>
        <w:t xml:space="preserve"> et al.</w:t>
      </w:r>
      <w:r w:rsidRPr="00DB2F85">
        <w:t xml:space="preserve"> Sleep-disordered breathing, hypoxia, and risk of mild cognitive impairment and dementia in older women. </w:t>
      </w:r>
      <w:r w:rsidRPr="00DB2F85">
        <w:rPr>
          <w:i/>
        </w:rPr>
        <w:t>JAMA</w:t>
      </w:r>
      <w:r w:rsidRPr="00DB2F85">
        <w:t xml:space="preserve"> 2011; </w:t>
      </w:r>
      <w:r w:rsidRPr="00DB2F85">
        <w:rPr>
          <w:b/>
        </w:rPr>
        <w:t>306</w:t>
      </w:r>
      <w:r w:rsidRPr="00DB2F85">
        <w:t>(6)</w:t>
      </w:r>
      <w:r w:rsidRPr="00DB2F85">
        <w:rPr>
          <w:b/>
        </w:rPr>
        <w:t xml:space="preserve">: </w:t>
      </w:r>
      <w:r w:rsidRPr="00DB2F85">
        <w:t>613-619.</w:t>
      </w:r>
    </w:p>
    <w:p w:rsidR="00DB2F85" w:rsidRPr="00DB2F85" w:rsidRDefault="00DB2F85" w:rsidP="00DB2F85">
      <w:pPr>
        <w:pStyle w:val="EndNoteBibliography"/>
      </w:pPr>
    </w:p>
    <w:p w:rsidR="00DB2F85" w:rsidRPr="00DB2F85" w:rsidRDefault="00DB2F85" w:rsidP="00DB2F85">
      <w:pPr>
        <w:pStyle w:val="EndNoteBibliography"/>
        <w:ind w:left="720" w:hanging="720"/>
      </w:pPr>
      <w:r w:rsidRPr="00DB2F85">
        <w:t>4.</w:t>
      </w:r>
      <w:r w:rsidRPr="00DB2F85">
        <w:tab/>
        <w:t xml:space="preserve">Brandt J, Spencer M, Folstein M. The Telephone Interview for Cognitive Status. </w:t>
      </w:r>
      <w:r w:rsidRPr="00DB2F85">
        <w:rPr>
          <w:i/>
        </w:rPr>
        <w:t>Neuropsychiatr Neuropsychol Behav Neurol</w:t>
      </w:r>
      <w:r w:rsidRPr="00DB2F85">
        <w:t xml:space="preserve"> 1988; </w:t>
      </w:r>
      <w:r w:rsidRPr="00DB2F85">
        <w:rPr>
          <w:b/>
        </w:rPr>
        <w:t>1</w:t>
      </w:r>
      <w:r w:rsidRPr="00DB2F85">
        <w:t>(2)</w:t>
      </w:r>
      <w:r w:rsidRPr="00DB2F85">
        <w:rPr>
          <w:b/>
        </w:rPr>
        <w:t xml:space="preserve">: </w:t>
      </w:r>
      <w:r w:rsidRPr="00DB2F85">
        <w:t>111-117.</w:t>
      </w:r>
    </w:p>
    <w:p w:rsidR="00DB2F85" w:rsidRPr="00DB2F85" w:rsidRDefault="00DB2F85" w:rsidP="00DB2F85">
      <w:pPr>
        <w:pStyle w:val="EndNoteBibliography"/>
      </w:pPr>
    </w:p>
    <w:p w:rsidR="00DB2F85" w:rsidRPr="00DB2F85" w:rsidRDefault="00DB2F85" w:rsidP="00DB2F85">
      <w:pPr>
        <w:pStyle w:val="EndNoteBibliography"/>
        <w:ind w:left="720" w:hanging="720"/>
      </w:pPr>
      <w:r w:rsidRPr="00DB2F85">
        <w:t>5.</w:t>
      </w:r>
      <w:r w:rsidRPr="00DB2F85">
        <w:tab/>
        <w:t>Ellis RJ, Jan K, Kawas C, Koller WC, Lyons KE, Jeste DV</w:t>
      </w:r>
      <w:r w:rsidRPr="00DB2F85">
        <w:rPr>
          <w:i/>
        </w:rPr>
        <w:t xml:space="preserve"> et al.</w:t>
      </w:r>
      <w:r w:rsidRPr="00DB2F85">
        <w:t xml:space="preserve"> Diagnostic validity of the dementia questionnaire for Alzheimer disease. </w:t>
      </w:r>
      <w:r w:rsidRPr="00DB2F85">
        <w:rPr>
          <w:i/>
        </w:rPr>
        <w:t>Arch Neurol</w:t>
      </w:r>
      <w:r w:rsidRPr="00DB2F85">
        <w:t xml:space="preserve"> 1998; </w:t>
      </w:r>
      <w:r w:rsidRPr="00DB2F85">
        <w:rPr>
          <w:b/>
        </w:rPr>
        <w:t>55</w:t>
      </w:r>
      <w:r w:rsidRPr="00DB2F85">
        <w:t>(3)</w:t>
      </w:r>
      <w:r w:rsidRPr="00DB2F85">
        <w:rPr>
          <w:b/>
        </w:rPr>
        <w:t xml:space="preserve">: </w:t>
      </w:r>
      <w:r w:rsidRPr="00DB2F85">
        <w:t>360-365.</w:t>
      </w:r>
    </w:p>
    <w:p w:rsidR="00DB2F85" w:rsidRPr="00DB2F85" w:rsidRDefault="00DB2F85" w:rsidP="00DB2F85">
      <w:pPr>
        <w:pStyle w:val="EndNoteBibliography"/>
      </w:pPr>
    </w:p>
    <w:p w:rsidR="00DB2F85" w:rsidRPr="00DB2F85" w:rsidRDefault="00DB2F85" w:rsidP="00DB2F85">
      <w:pPr>
        <w:pStyle w:val="EndNoteBibliography"/>
        <w:ind w:left="720" w:hanging="720"/>
      </w:pPr>
      <w:r w:rsidRPr="00DB2F85">
        <w:t>6.</w:t>
      </w:r>
      <w:r w:rsidRPr="00DB2F85">
        <w:tab/>
        <w:t xml:space="preserve">Hogervorst E, Bandelow S, Combrinck M, Irani SR, Smith AD. The validity and reliability of 6 sets of clinical criteria to classify Alzheimer's disease and vascular dementia in cases confirmed post-mortem: added value of a decision tree approach. </w:t>
      </w:r>
      <w:r w:rsidRPr="00DB2F85">
        <w:rPr>
          <w:i/>
        </w:rPr>
        <w:t>Dement Geriatr Cogn Disord</w:t>
      </w:r>
      <w:r w:rsidRPr="00DB2F85">
        <w:t xml:space="preserve"> 2003; </w:t>
      </w:r>
      <w:r w:rsidRPr="00DB2F85">
        <w:rPr>
          <w:b/>
        </w:rPr>
        <w:t>16</w:t>
      </w:r>
      <w:r w:rsidRPr="00DB2F85">
        <w:t>(3)</w:t>
      </w:r>
      <w:r w:rsidRPr="00DB2F85">
        <w:rPr>
          <w:b/>
        </w:rPr>
        <w:t xml:space="preserve">: </w:t>
      </w:r>
      <w:r w:rsidRPr="00DB2F85">
        <w:t>170-180.</w:t>
      </w:r>
    </w:p>
    <w:p w:rsidR="00DB2F85" w:rsidRPr="00DB2F85" w:rsidRDefault="00DB2F85" w:rsidP="00DB2F85">
      <w:pPr>
        <w:pStyle w:val="EndNoteBibliography"/>
      </w:pPr>
    </w:p>
    <w:p w:rsidR="00DB2F85" w:rsidRPr="00DB2F85" w:rsidRDefault="00DB2F85" w:rsidP="00DB2F85">
      <w:pPr>
        <w:pStyle w:val="EndNoteBibliography"/>
        <w:ind w:left="720" w:hanging="720"/>
      </w:pPr>
      <w:r w:rsidRPr="00DB2F85">
        <w:t>7.</w:t>
      </w:r>
      <w:r w:rsidRPr="00DB2F85">
        <w:tab/>
        <w:t xml:space="preserve">Howie B, Fuchsberger C, Stephens M, Marchini J, Abecasis GR. Fast and accurate genotype imputation in genome-wide association studies through pre-phasing. </w:t>
      </w:r>
      <w:r w:rsidRPr="00DB2F85">
        <w:rPr>
          <w:i/>
        </w:rPr>
        <w:t>Nat Genet</w:t>
      </w:r>
      <w:r w:rsidRPr="00DB2F85">
        <w:t xml:space="preserve"> 2012; </w:t>
      </w:r>
      <w:r w:rsidRPr="00DB2F85">
        <w:rPr>
          <w:b/>
        </w:rPr>
        <w:t>44</w:t>
      </w:r>
      <w:r w:rsidRPr="00DB2F85">
        <w:t>(8)</w:t>
      </w:r>
      <w:r w:rsidRPr="00DB2F85">
        <w:rPr>
          <w:b/>
        </w:rPr>
        <w:t xml:space="preserve">: </w:t>
      </w:r>
      <w:r w:rsidRPr="00DB2F85">
        <w:t>955-959.</w:t>
      </w:r>
    </w:p>
    <w:p w:rsidR="00DB2F85" w:rsidRPr="00DB2F85" w:rsidRDefault="00DB2F85" w:rsidP="00DB2F85">
      <w:pPr>
        <w:pStyle w:val="EndNoteBibliography"/>
      </w:pPr>
    </w:p>
    <w:p w:rsidR="00DB2F85" w:rsidRPr="00DB2F85" w:rsidRDefault="00DB2F85" w:rsidP="00DB2F85">
      <w:pPr>
        <w:pStyle w:val="EndNoteBibliography"/>
        <w:ind w:left="720" w:hanging="720"/>
      </w:pPr>
      <w:r w:rsidRPr="00DB2F85">
        <w:t>8.</w:t>
      </w:r>
      <w:r w:rsidRPr="00DB2F85">
        <w:tab/>
        <w:t xml:space="preserve">Whitsel EA, Rose KM, Wood JL, Henley AC, Liao D, Heiss G. Accuracy and repeatability of commercial geocoding. </w:t>
      </w:r>
      <w:r w:rsidRPr="00DB2F85">
        <w:rPr>
          <w:i/>
        </w:rPr>
        <w:t>Am J Epidemiol</w:t>
      </w:r>
      <w:r w:rsidRPr="00DB2F85">
        <w:t xml:space="preserve"> 2004; </w:t>
      </w:r>
      <w:r w:rsidRPr="00DB2F85">
        <w:rPr>
          <w:b/>
        </w:rPr>
        <w:t>160</w:t>
      </w:r>
      <w:r w:rsidRPr="00DB2F85">
        <w:t>(10)</w:t>
      </w:r>
      <w:r w:rsidRPr="00DB2F85">
        <w:rPr>
          <w:b/>
        </w:rPr>
        <w:t xml:space="preserve">: </w:t>
      </w:r>
      <w:r w:rsidRPr="00DB2F85">
        <w:t>1023-1029.</w:t>
      </w:r>
    </w:p>
    <w:p w:rsidR="00DB2F85" w:rsidRPr="00DB2F85" w:rsidRDefault="00DB2F85" w:rsidP="00DB2F85">
      <w:pPr>
        <w:pStyle w:val="EndNoteBibliography"/>
      </w:pPr>
    </w:p>
    <w:p w:rsidR="00DB2F85" w:rsidRPr="00DB2F85" w:rsidRDefault="00DB2F85" w:rsidP="00DB2F85">
      <w:pPr>
        <w:pStyle w:val="EndNoteBibliography"/>
        <w:ind w:left="720" w:hanging="720"/>
      </w:pPr>
      <w:r w:rsidRPr="00DB2F85">
        <w:lastRenderedPageBreak/>
        <w:t>9.</w:t>
      </w:r>
      <w:r w:rsidRPr="00DB2F85">
        <w:tab/>
        <w:t xml:space="preserve">Christakos G, Bogaert P, Serre ML. </w:t>
      </w:r>
      <w:r w:rsidRPr="00DB2F85">
        <w:rPr>
          <w:i/>
        </w:rPr>
        <w:t>Temporal GIS: advanced functions for field-based applications</w:t>
      </w:r>
      <w:r w:rsidRPr="00DB2F85">
        <w:t>. Springer: Berlin; New York, 2001, xii, 217 p. : ill. ; 224 cm. + 211 CD-ROM (214 213/214 in.)pp.</w:t>
      </w:r>
    </w:p>
    <w:p w:rsidR="00DB2F85" w:rsidRPr="00DB2F85" w:rsidRDefault="00DB2F85" w:rsidP="00DB2F85">
      <w:pPr>
        <w:pStyle w:val="EndNoteBibliography"/>
      </w:pPr>
    </w:p>
    <w:p w:rsidR="00DB2F85" w:rsidRPr="00DB2F85" w:rsidRDefault="00DB2F85" w:rsidP="00DB2F85">
      <w:pPr>
        <w:pStyle w:val="EndNoteBibliography"/>
        <w:ind w:left="720" w:hanging="720"/>
      </w:pPr>
      <w:r w:rsidRPr="00DB2F85">
        <w:t>10.</w:t>
      </w:r>
      <w:r w:rsidRPr="00DB2F85">
        <w:tab/>
        <w:t xml:space="preserve">Christakos G. </w:t>
      </w:r>
      <w:r w:rsidRPr="00DB2F85">
        <w:rPr>
          <w:i/>
        </w:rPr>
        <w:t>Modern spatiotemporal geostatistics</w:t>
      </w:r>
      <w:r w:rsidRPr="00DB2F85">
        <w:t>. Oxford University Press: Oxford; New York, 2000.</w:t>
      </w:r>
    </w:p>
    <w:p w:rsidR="00DB2F85" w:rsidRPr="00DB2F85" w:rsidRDefault="00DB2F85" w:rsidP="00DB2F85">
      <w:pPr>
        <w:pStyle w:val="EndNoteBibliography"/>
      </w:pPr>
    </w:p>
    <w:p w:rsidR="00DB2F85" w:rsidRPr="00DB2F85" w:rsidRDefault="00DB2F85" w:rsidP="00DB2F85">
      <w:pPr>
        <w:pStyle w:val="EndNoteBibliography"/>
        <w:ind w:left="720" w:hanging="720"/>
      </w:pPr>
      <w:r w:rsidRPr="00DB2F85">
        <w:t>11.</w:t>
      </w:r>
      <w:r w:rsidRPr="00DB2F85">
        <w:tab/>
        <w:t>EPA. National Ambient Air Quality Standards for Particulate Matter; Proposed Rule. In: (EPA) UEPA (ed). vol. Vol.77. Federal Register2012, pp 38890-39055.</w:t>
      </w:r>
    </w:p>
    <w:p w:rsidR="00DB2F85" w:rsidRPr="00DB2F85" w:rsidRDefault="00DB2F85" w:rsidP="00DB2F85">
      <w:pPr>
        <w:pStyle w:val="EndNoteBibliography"/>
      </w:pPr>
    </w:p>
    <w:p w:rsidR="00DB2F85" w:rsidRPr="00DB2F85" w:rsidRDefault="00DB2F85" w:rsidP="00DB2F85">
      <w:pPr>
        <w:pStyle w:val="EndNoteBibliography"/>
        <w:ind w:left="720" w:hanging="720"/>
      </w:pPr>
      <w:r w:rsidRPr="00DB2F85">
        <w:t>12.</w:t>
      </w:r>
      <w:r w:rsidRPr="00DB2F85">
        <w:tab/>
        <w:t xml:space="preserve">Goveas JS, Espeland MA, Woods NF, Wassertheil-Smoller S, Kotchen JM. Depressive symptoms and incidence of mild cognitive impairment and probable dementia in elderly women: the Women's Health Initiative Memory Study. </w:t>
      </w:r>
      <w:r w:rsidRPr="00DB2F85">
        <w:rPr>
          <w:i/>
        </w:rPr>
        <w:t>J Am Geriatr Soc</w:t>
      </w:r>
      <w:r w:rsidRPr="00DB2F85">
        <w:t xml:space="preserve"> 2011; </w:t>
      </w:r>
      <w:r w:rsidRPr="00DB2F85">
        <w:rPr>
          <w:b/>
        </w:rPr>
        <w:t>59</w:t>
      </w:r>
      <w:r w:rsidRPr="00DB2F85">
        <w:t>(1)</w:t>
      </w:r>
      <w:r w:rsidRPr="00DB2F85">
        <w:rPr>
          <w:b/>
        </w:rPr>
        <w:t xml:space="preserve">: </w:t>
      </w:r>
      <w:r w:rsidRPr="00DB2F85">
        <w:t>57-66.</w:t>
      </w:r>
    </w:p>
    <w:p w:rsidR="00DB2F85" w:rsidRPr="00DB2F85" w:rsidRDefault="00DB2F85" w:rsidP="00DB2F85">
      <w:pPr>
        <w:pStyle w:val="EndNoteBibliography"/>
      </w:pPr>
    </w:p>
    <w:p w:rsidR="00DB2F85" w:rsidRPr="00DB2F85" w:rsidRDefault="00DB2F85" w:rsidP="00DB2F85">
      <w:pPr>
        <w:pStyle w:val="EndNoteBibliography"/>
        <w:ind w:left="720" w:hanging="720"/>
      </w:pPr>
      <w:r w:rsidRPr="00DB2F85">
        <w:t>13.</w:t>
      </w:r>
      <w:r w:rsidRPr="00DB2F85">
        <w:tab/>
        <w:t>Heckbert SR, Kooperberg C, Safford MM, Psaty BM, Hsia J, McTiernan A</w:t>
      </w:r>
      <w:r w:rsidRPr="00DB2F85">
        <w:rPr>
          <w:i/>
        </w:rPr>
        <w:t xml:space="preserve"> et al.</w:t>
      </w:r>
      <w:r w:rsidRPr="00DB2F85">
        <w:t xml:space="preserve"> Comparison of self-report, hospital discharge codes, and adjudication of cardiovascular events in the Women's Health Initiative. </w:t>
      </w:r>
      <w:r w:rsidRPr="00DB2F85">
        <w:rPr>
          <w:i/>
        </w:rPr>
        <w:t>Am J Epidemiol</w:t>
      </w:r>
      <w:r w:rsidRPr="00DB2F85">
        <w:t xml:space="preserve"> 2004; </w:t>
      </w:r>
      <w:r w:rsidRPr="00DB2F85">
        <w:rPr>
          <w:b/>
        </w:rPr>
        <w:t>160</w:t>
      </w:r>
      <w:r w:rsidRPr="00DB2F85">
        <w:t>(12)</w:t>
      </w:r>
      <w:r w:rsidRPr="00DB2F85">
        <w:rPr>
          <w:b/>
        </w:rPr>
        <w:t xml:space="preserve">: </w:t>
      </w:r>
      <w:r w:rsidRPr="00DB2F85">
        <w:t>1152-1158.</w:t>
      </w:r>
    </w:p>
    <w:p w:rsidR="00DB2F85" w:rsidRPr="00DB2F85" w:rsidRDefault="00DB2F85" w:rsidP="00DB2F85">
      <w:pPr>
        <w:pStyle w:val="EndNoteBibliography"/>
      </w:pPr>
    </w:p>
    <w:p w:rsidR="00DB2F85" w:rsidRPr="00DB2F85" w:rsidRDefault="00DB2F85" w:rsidP="00DB2F85">
      <w:pPr>
        <w:pStyle w:val="EndNoteBibliography"/>
        <w:ind w:left="720" w:hanging="720"/>
      </w:pPr>
      <w:r w:rsidRPr="00DB2F85">
        <w:t>14.</w:t>
      </w:r>
      <w:r w:rsidRPr="00DB2F85">
        <w:tab/>
        <w:t>Block ML, Elder A, Auten RL, Bilbo SD, Chen H, Chen JC</w:t>
      </w:r>
      <w:r w:rsidRPr="00DB2F85">
        <w:rPr>
          <w:i/>
        </w:rPr>
        <w:t xml:space="preserve"> et al.</w:t>
      </w:r>
      <w:r w:rsidRPr="00DB2F85">
        <w:t xml:space="preserve"> The outdoor air pollution and brain health workshop. </w:t>
      </w:r>
      <w:r w:rsidRPr="00DB2F85">
        <w:rPr>
          <w:i/>
        </w:rPr>
        <w:t>Neurotoxicology</w:t>
      </w:r>
      <w:r w:rsidRPr="00DB2F85">
        <w:t xml:space="preserve"> 2012; </w:t>
      </w:r>
      <w:r w:rsidRPr="00DB2F85">
        <w:rPr>
          <w:b/>
        </w:rPr>
        <w:t>33</w:t>
      </w:r>
      <w:r w:rsidRPr="00DB2F85">
        <w:t>(5)</w:t>
      </w:r>
      <w:r w:rsidRPr="00DB2F85">
        <w:rPr>
          <w:b/>
        </w:rPr>
        <w:t xml:space="preserve">: </w:t>
      </w:r>
      <w:r w:rsidRPr="00DB2F85">
        <w:t>972-984.</w:t>
      </w:r>
    </w:p>
    <w:p w:rsidR="00DB2F85" w:rsidRPr="00DB2F85" w:rsidRDefault="00DB2F85" w:rsidP="00DB2F85">
      <w:pPr>
        <w:pStyle w:val="EndNoteBibliography"/>
      </w:pPr>
    </w:p>
    <w:p w:rsidR="00DB2F85" w:rsidRPr="00DB2F85" w:rsidRDefault="00DB2F85" w:rsidP="00DB2F85">
      <w:pPr>
        <w:pStyle w:val="EndNoteBibliography"/>
        <w:ind w:left="720" w:hanging="720"/>
      </w:pPr>
      <w:r w:rsidRPr="00DB2F85">
        <w:t>15.</w:t>
      </w:r>
      <w:r w:rsidRPr="00DB2F85">
        <w:tab/>
        <w:t xml:space="preserve">Russ TC, Batty GD, Hearnshaw GF, Fenton C, Starr JM. Geographical variation in dementia: systematic review with meta-analysis. </w:t>
      </w:r>
      <w:r w:rsidRPr="00DB2F85">
        <w:rPr>
          <w:i/>
        </w:rPr>
        <w:t>Int J Epidemiol</w:t>
      </w:r>
      <w:r w:rsidRPr="00DB2F85">
        <w:t xml:space="preserve"> 2012; </w:t>
      </w:r>
      <w:r w:rsidRPr="00DB2F85">
        <w:rPr>
          <w:b/>
        </w:rPr>
        <w:t>41</w:t>
      </w:r>
      <w:r w:rsidRPr="00DB2F85">
        <w:t>(4)</w:t>
      </w:r>
      <w:r w:rsidRPr="00DB2F85">
        <w:rPr>
          <w:b/>
        </w:rPr>
        <w:t xml:space="preserve">: </w:t>
      </w:r>
      <w:r w:rsidRPr="00DB2F85">
        <w:t>1012-1032.</w:t>
      </w:r>
    </w:p>
    <w:p w:rsidR="00DB2F85" w:rsidRPr="00DB2F85" w:rsidRDefault="00DB2F85" w:rsidP="00DB2F85">
      <w:pPr>
        <w:pStyle w:val="EndNoteBibliography"/>
      </w:pPr>
    </w:p>
    <w:p w:rsidR="00DB2F85" w:rsidRPr="00DB2F85" w:rsidRDefault="00DB2F85" w:rsidP="00DB2F85">
      <w:pPr>
        <w:pStyle w:val="EndNoteBibliography"/>
        <w:ind w:left="720" w:hanging="720"/>
      </w:pPr>
      <w:r w:rsidRPr="00DB2F85">
        <w:t>16.</w:t>
      </w:r>
      <w:r w:rsidRPr="00DB2F85">
        <w:tab/>
        <w:t xml:space="preserve">Ripatti S, Palmgren J. Estimation of multivariate frailty models using penalized partial likelihood. </w:t>
      </w:r>
      <w:r w:rsidRPr="00DB2F85">
        <w:rPr>
          <w:i/>
        </w:rPr>
        <w:t>Biometrics</w:t>
      </w:r>
      <w:r w:rsidRPr="00DB2F85">
        <w:t xml:space="preserve"> 2000; </w:t>
      </w:r>
      <w:r w:rsidRPr="00DB2F85">
        <w:rPr>
          <w:b/>
        </w:rPr>
        <w:t>56</w:t>
      </w:r>
      <w:r w:rsidRPr="00DB2F85">
        <w:t>(4)</w:t>
      </w:r>
      <w:r w:rsidRPr="00DB2F85">
        <w:rPr>
          <w:b/>
        </w:rPr>
        <w:t xml:space="preserve">: </w:t>
      </w:r>
      <w:r w:rsidRPr="00DB2F85">
        <w:t>1016-1022.</w:t>
      </w:r>
    </w:p>
    <w:p w:rsidR="00DB2F85" w:rsidRPr="00DB2F85" w:rsidRDefault="00DB2F85" w:rsidP="00DB2F85">
      <w:pPr>
        <w:pStyle w:val="EndNoteBibliography"/>
      </w:pPr>
    </w:p>
    <w:p w:rsidR="008A5CBE" w:rsidRDefault="00E32F7E" w:rsidP="00214B1A">
      <w:pPr>
        <w:pStyle w:val="Paragraph"/>
        <w:spacing w:before="0" w:line="480" w:lineRule="auto"/>
        <w:ind w:firstLine="0"/>
      </w:pPr>
      <w:r>
        <w:fldChar w:fldCharType="end"/>
      </w:r>
    </w:p>
    <w:sectPr w:rsidR="008A5CBE" w:rsidSect="00214B1A">
      <w:pgSz w:w="12240" w:h="15840" w:code="1"/>
      <w:pgMar w:top="1008" w:right="1008" w:bottom="1008" w:left="1008" w:header="432"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BlissRegular">
    <w:altName w:val="Arial"/>
    <w:panose1 w:val="00000000000000000000"/>
    <w:charset w:val="00"/>
    <w:family w:val="roman"/>
    <w:notTrueType/>
    <w:pitch w:val="variable"/>
    <w:sig w:usb0="00000003" w:usb1="00000000" w:usb2="00000000" w:usb3="00000000" w:csb0="00000001" w:csb1="00000000"/>
  </w:font>
  <w:font w:name="BlissMedium">
    <w:panose1 w:val="00000000000000000000"/>
    <w:charset w:val="00"/>
    <w:family w:val="roman"/>
    <w:notTrueType/>
    <w:pitch w:val="variable"/>
    <w:sig w:usb0="00000003" w:usb1="00000000" w:usb2="00000000" w:usb3="00000000" w:csb0="00000001" w:csb1="00000000"/>
  </w:font>
  <w:font w:name="BlissBold">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8306B6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2C0A9C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FF879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7B8AB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8FC95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C76FF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34C55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C06808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50088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C8A39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9D2FC0"/>
    <w:multiLevelType w:val="hybridMultilevel"/>
    <w:tmpl w:val="D0F49608"/>
    <w:lvl w:ilvl="0" w:tplc="2722CCF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67C7AA5"/>
    <w:multiLevelType w:val="hybridMultilevel"/>
    <w:tmpl w:val="BAF832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78067D"/>
    <w:multiLevelType w:val="hybridMultilevel"/>
    <w:tmpl w:val="9FB67F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FF11D22"/>
    <w:multiLevelType w:val="hybridMultilevel"/>
    <w:tmpl w:val="F42858AE"/>
    <w:lvl w:ilvl="0" w:tplc="F2D802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olecular Psychiatry.en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214B1A"/>
    <w:rsid w:val="000116AA"/>
    <w:rsid w:val="00035C61"/>
    <w:rsid w:val="000902DE"/>
    <w:rsid w:val="0009567D"/>
    <w:rsid w:val="000A1EDE"/>
    <w:rsid w:val="0014413C"/>
    <w:rsid w:val="00165B0C"/>
    <w:rsid w:val="00214B1A"/>
    <w:rsid w:val="002A268F"/>
    <w:rsid w:val="00323090"/>
    <w:rsid w:val="0034507D"/>
    <w:rsid w:val="00355BE2"/>
    <w:rsid w:val="003606F2"/>
    <w:rsid w:val="00447B06"/>
    <w:rsid w:val="004617E2"/>
    <w:rsid w:val="00577B62"/>
    <w:rsid w:val="005A2B77"/>
    <w:rsid w:val="005B6F5D"/>
    <w:rsid w:val="005C020C"/>
    <w:rsid w:val="006222B4"/>
    <w:rsid w:val="006A6770"/>
    <w:rsid w:val="006D1A74"/>
    <w:rsid w:val="007005F3"/>
    <w:rsid w:val="00745C45"/>
    <w:rsid w:val="0076746C"/>
    <w:rsid w:val="008113E6"/>
    <w:rsid w:val="00812EAF"/>
    <w:rsid w:val="00881B6F"/>
    <w:rsid w:val="008A26A7"/>
    <w:rsid w:val="008A5CBE"/>
    <w:rsid w:val="00932511"/>
    <w:rsid w:val="009B7424"/>
    <w:rsid w:val="00A1004C"/>
    <w:rsid w:val="00A162F8"/>
    <w:rsid w:val="00A21FA1"/>
    <w:rsid w:val="00A97C74"/>
    <w:rsid w:val="00B34C12"/>
    <w:rsid w:val="00B35E3B"/>
    <w:rsid w:val="00B91A64"/>
    <w:rsid w:val="00D21A38"/>
    <w:rsid w:val="00D27189"/>
    <w:rsid w:val="00D37CE4"/>
    <w:rsid w:val="00D73D89"/>
    <w:rsid w:val="00D964C0"/>
    <w:rsid w:val="00DB2F85"/>
    <w:rsid w:val="00DB6AE1"/>
    <w:rsid w:val="00E240C6"/>
    <w:rsid w:val="00E32F7E"/>
    <w:rsid w:val="00E76846"/>
    <w:rsid w:val="00EB6A6F"/>
    <w:rsid w:val="00F4453D"/>
    <w:rsid w:val="00FE7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8EDC63-13CA-4ADD-B970-CB210BEA9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4B1A"/>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Text">
    <w:name w:val="Base_Text"/>
    <w:rsid w:val="00214B1A"/>
    <w:pPr>
      <w:spacing w:before="120" w:after="0" w:line="240" w:lineRule="auto"/>
    </w:pPr>
    <w:rPr>
      <w:rFonts w:ascii="Times New Roman" w:eastAsia="Times New Roman" w:hAnsi="Times New Roman" w:cs="Times New Roman"/>
      <w:sz w:val="24"/>
      <w:szCs w:val="24"/>
    </w:rPr>
  </w:style>
  <w:style w:type="paragraph" w:customStyle="1" w:styleId="1stparatext">
    <w:name w:val="1st para text"/>
    <w:basedOn w:val="BaseText"/>
    <w:rsid w:val="00214B1A"/>
  </w:style>
  <w:style w:type="paragraph" w:customStyle="1" w:styleId="BaseHeading">
    <w:name w:val="Base_Heading"/>
    <w:rsid w:val="00214B1A"/>
    <w:pPr>
      <w:keepNext/>
      <w:spacing w:before="240" w:after="0" w:line="240" w:lineRule="auto"/>
      <w:outlineLvl w:val="0"/>
    </w:pPr>
    <w:rPr>
      <w:rFonts w:ascii="Times New Roman" w:eastAsia="Times New Roman" w:hAnsi="Times New Roman" w:cs="Times New Roman"/>
      <w:kern w:val="28"/>
      <w:sz w:val="28"/>
      <w:szCs w:val="28"/>
    </w:rPr>
  </w:style>
  <w:style w:type="paragraph" w:customStyle="1" w:styleId="AbstractHead">
    <w:name w:val="Abstract Head"/>
    <w:basedOn w:val="BaseHeading"/>
    <w:rsid w:val="00214B1A"/>
  </w:style>
  <w:style w:type="paragraph" w:customStyle="1" w:styleId="AbstractSummary">
    <w:name w:val="Abstract/Summary"/>
    <w:basedOn w:val="BaseText"/>
    <w:rsid w:val="00214B1A"/>
  </w:style>
  <w:style w:type="paragraph" w:customStyle="1" w:styleId="Referencesandnotes">
    <w:name w:val="References and notes"/>
    <w:basedOn w:val="BaseText"/>
    <w:rsid w:val="00214B1A"/>
    <w:pPr>
      <w:ind w:left="720" w:hanging="720"/>
    </w:pPr>
  </w:style>
  <w:style w:type="paragraph" w:customStyle="1" w:styleId="Acknowledgement">
    <w:name w:val="Acknowledgement"/>
    <w:basedOn w:val="Referencesandnotes"/>
    <w:rsid w:val="00214B1A"/>
  </w:style>
  <w:style w:type="paragraph" w:customStyle="1" w:styleId="Subhead">
    <w:name w:val="Subhead"/>
    <w:basedOn w:val="BaseHeading"/>
    <w:rsid w:val="00214B1A"/>
    <w:rPr>
      <w:b/>
      <w:bCs/>
      <w:sz w:val="24"/>
      <w:szCs w:val="24"/>
    </w:rPr>
  </w:style>
  <w:style w:type="paragraph" w:customStyle="1" w:styleId="AppendixHead">
    <w:name w:val="AppendixHead"/>
    <w:basedOn w:val="Subhead"/>
    <w:rsid w:val="00214B1A"/>
  </w:style>
  <w:style w:type="paragraph" w:customStyle="1" w:styleId="AppendixSubhead">
    <w:name w:val="AppendixSubhead"/>
    <w:basedOn w:val="Subhead"/>
    <w:rsid w:val="00214B1A"/>
  </w:style>
  <w:style w:type="paragraph" w:customStyle="1" w:styleId="Articletype">
    <w:name w:val="Article type"/>
    <w:basedOn w:val="BaseText"/>
    <w:rsid w:val="00214B1A"/>
  </w:style>
  <w:style w:type="character" w:customStyle="1" w:styleId="aubase">
    <w:name w:val="au_base"/>
    <w:rsid w:val="00214B1A"/>
    <w:rPr>
      <w:sz w:val="24"/>
    </w:rPr>
  </w:style>
  <w:style w:type="character" w:customStyle="1" w:styleId="aucollab">
    <w:name w:val="au_collab"/>
    <w:rsid w:val="00214B1A"/>
    <w:rPr>
      <w:sz w:val="24"/>
      <w:bdr w:val="none" w:sz="0" w:space="0" w:color="auto"/>
      <w:shd w:val="clear" w:color="auto" w:fill="C0C0C0"/>
    </w:rPr>
  </w:style>
  <w:style w:type="character" w:customStyle="1" w:styleId="audeg">
    <w:name w:val="au_deg"/>
    <w:rsid w:val="00214B1A"/>
    <w:rPr>
      <w:sz w:val="24"/>
      <w:bdr w:val="none" w:sz="0" w:space="0" w:color="auto"/>
      <w:shd w:val="clear" w:color="auto" w:fill="FFFF00"/>
    </w:rPr>
  </w:style>
  <w:style w:type="character" w:customStyle="1" w:styleId="aufname">
    <w:name w:val="au_fname"/>
    <w:rsid w:val="00214B1A"/>
    <w:rPr>
      <w:sz w:val="24"/>
      <w:bdr w:val="none" w:sz="0" w:space="0" w:color="auto"/>
      <w:shd w:val="clear" w:color="auto" w:fill="00FFFF"/>
    </w:rPr>
  </w:style>
  <w:style w:type="character" w:customStyle="1" w:styleId="aurole">
    <w:name w:val="au_role"/>
    <w:rsid w:val="00214B1A"/>
    <w:rPr>
      <w:sz w:val="24"/>
      <w:bdr w:val="none" w:sz="0" w:space="0" w:color="auto"/>
      <w:shd w:val="clear" w:color="auto" w:fill="808000"/>
    </w:rPr>
  </w:style>
  <w:style w:type="character" w:customStyle="1" w:styleId="ausuffix">
    <w:name w:val="au_suffix"/>
    <w:rsid w:val="00214B1A"/>
    <w:rPr>
      <w:sz w:val="24"/>
      <w:bdr w:val="none" w:sz="0" w:space="0" w:color="auto"/>
      <w:shd w:val="clear" w:color="auto" w:fill="FF00FF"/>
    </w:rPr>
  </w:style>
  <w:style w:type="character" w:customStyle="1" w:styleId="ausurname">
    <w:name w:val="au_surname"/>
    <w:rsid w:val="00214B1A"/>
    <w:rPr>
      <w:sz w:val="24"/>
      <w:bdr w:val="none" w:sz="0" w:space="0" w:color="auto"/>
      <w:shd w:val="clear" w:color="auto" w:fill="00FF00"/>
    </w:rPr>
  </w:style>
  <w:style w:type="paragraph" w:customStyle="1" w:styleId="AuthorAttribute">
    <w:name w:val="Author Attribute"/>
    <w:basedOn w:val="BaseText"/>
    <w:rsid w:val="00214B1A"/>
    <w:pPr>
      <w:spacing w:before="480"/>
    </w:pPr>
  </w:style>
  <w:style w:type="paragraph" w:customStyle="1" w:styleId="Footnote">
    <w:name w:val="Footnote"/>
    <w:basedOn w:val="BaseText"/>
    <w:rsid w:val="00214B1A"/>
  </w:style>
  <w:style w:type="paragraph" w:customStyle="1" w:styleId="AuthorFootnote">
    <w:name w:val="AuthorFootnote"/>
    <w:basedOn w:val="Footnote"/>
    <w:rsid w:val="00214B1A"/>
    <w:pPr>
      <w:autoSpaceDE w:val="0"/>
      <w:autoSpaceDN w:val="0"/>
      <w:adjustRightInd w:val="0"/>
    </w:pPr>
    <w:rPr>
      <w:lang w:bidi="he-IL"/>
    </w:rPr>
  </w:style>
  <w:style w:type="paragraph" w:customStyle="1" w:styleId="Authors">
    <w:name w:val="Authors"/>
    <w:basedOn w:val="BaseText"/>
    <w:rsid w:val="00214B1A"/>
    <w:pPr>
      <w:spacing w:after="360"/>
      <w:jc w:val="center"/>
    </w:pPr>
  </w:style>
  <w:style w:type="paragraph" w:styleId="BalloonText">
    <w:name w:val="Balloon Text"/>
    <w:basedOn w:val="Normal"/>
    <w:link w:val="BalloonTextChar"/>
    <w:semiHidden/>
    <w:rsid w:val="00214B1A"/>
    <w:rPr>
      <w:rFonts w:ascii="Lucida Grande" w:eastAsia="Times New Roman" w:hAnsi="Lucida Grande"/>
      <w:sz w:val="18"/>
      <w:szCs w:val="18"/>
    </w:rPr>
  </w:style>
  <w:style w:type="character" w:customStyle="1" w:styleId="BalloonTextChar">
    <w:name w:val="Balloon Text Char"/>
    <w:basedOn w:val="DefaultParagraphFont"/>
    <w:link w:val="BalloonText"/>
    <w:semiHidden/>
    <w:rsid w:val="00214B1A"/>
    <w:rPr>
      <w:rFonts w:ascii="Lucida Grande" w:eastAsia="Times New Roman" w:hAnsi="Lucida Grande" w:cs="Times New Roman"/>
      <w:sz w:val="18"/>
      <w:szCs w:val="18"/>
    </w:rPr>
  </w:style>
  <w:style w:type="character" w:customStyle="1" w:styleId="bibarticle">
    <w:name w:val="bib_article"/>
    <w:rsid w:val="00214B1A"/>
    <w:rPr>
      <w:sz w:val="24"/>
      <w:bdr w:val="none" w:sz="0" w:space="0" w:color="auto"/>
      <w:shd w:val="clear" w:color="auto" w:fill="00FFFF"/>
    </w:rPr>
  </w:style>
  <w:style w:type="character" w:customStyle="1" w:styleId="bibbase">
    <w:name w:val="bib_base"/>
    <w:rsid w:val="00214B1A"/>
    <w:rPr>
      <w:sz w:val="24"/>
    </w:rPr>
  </w:style>
  <w:style w:type="character" w:customStyle="1" w:styleId="bibcomment">
    <w:name w:val="bib_comment"/>
    <w:basedOn w:val="bibbase"/>
    <w:rsid w:val="00214B1A"/>
    <w:rPr>
      <w:sz w:val="24"/>
    </w:rPr>
  </w:style>
  <w:style w:type="character" w:customStyle="1" w:styleId="bibdeg">
    <w:name w:val="bib_deg"/>
    <w:basedOn w:val="bibbase"/>
    <w:rsid w:val="00214B1A"/>
    <w:rPr>
      <w:sz w:val="24"/>
    </w:rPr>
  </w:style>
  <w:style w:type="character" w:customStyle="1" w:styleId="bibdoi">
    <w:name w:val="bib_doi"/>
    <w:rsid w:val="00214B1A"/>
    <w:rPr>
      <w:sz w:val="24"/>
      <w:bdr w:val="none" w:sz="0" w:space="0" w:color="auto"/>
      <w:shd w:val="clear" w:color="auto" w:fill="00FF00"/>
    </w:rPr>
  </w:style>
  <w:style w:type="character" w:customStyle="1" w:styleId="bibetal">
    <w:name w:val="bib_etal"/>
    <w:rsid w:val="00214B1A"/>
    <w:rPr>
      <w:sz w:val="24"/>
      <w:bdr w:val="none" w:sz="0" w:space="0" w:color="auto"/>
      <w:shd w:val="clear" w:color="auto" w:fill="008080"/>
    </w:rPr>
  </w:style>
  <w:style w:type="character" w:customStyle="1" w:styleId="bibfname">
    <w:name w:val="bib_fname"/>
    <w:rsid w:val="00214B1A"/>
    <w:rPr>
      <w:sz w:val="24"/>
      <w:bdr w:val="none" w:sz="0" w:space="0" w:color="auto"/>
      <w:shd w:val="clear" w:color="auto" w:fill="FFFF00"/>
    </w:rPr>
  </w:style>
  <w:style w:type="character" w:customStyle="1" w:styleId="bibfpage">
    <w:name w:val="bib_fpage"/>
    <w:rsid w:val="00214B1A"/>
    <w:rPr>
      <w:sz w:val="24"/>
      <w:bdr w:val="none" w:sz="0" w:space="0" w:color="auto"/>
      <w:shd w:val="clear" w:color="auto" w:fill="808080"/>
    </w:rPr>
  </w:style>
  <w:style w:type="character" w:customStyle="1" w:styleId="bibissue">
    <w:name w:val="bib_issue"/>
    <w:rsid w:val="00214B1A"/>
    <w:rPr>
      <w:sz w:val="24"/>
      <w:bdr w:val="none" w:sz="0" w:space="0" w:color="auto"/>
      <w:shd w:val="clear" w:color="auto" w:fill="FFFF00"/>
    </w:rPr>
  </w:style>
  <w:style w:type="character" w:customStyle="1" w:styleId="bibjournal">
    <w:name w:val="bib_journal"/>
    <w:rsid w:val="00214B1A"/>
    <w:rPr>
      <w:sz w:val="24"/>
      <w:bdr w:val="none" w:sz="0" w:space="0" w:color="auto"/>
      <w:shd w:val="clear" w:color="auto" w:fill="808000"/>
    </w:rPr>
  </w:style>
  <w:style w:type="character" w:customStyle="1" w:styleId="biblpage">
    <w:name w:val="bib_lpage"/>
    <w:rsid w:val="00214B1A"/>
    <w:rPr>
      <w:sz w:val="24"/>
      <w:bdr w:val="none" w:sz="0" w:space="0" w:color="auto"/>
      <w:shd w:val="clear" w:color="auto" w:fill="808080"/>
    </w:rPr>
  </w:style>
  <w:style w:type="character" w:customStyle="1" w:styleId="bibmedline">
    <w:name w:val="bib_medline"/>
    <w:basedOn w:val="bibbase"/>
    <w:rsid w:val="00214B1A"/>
    <w:rPr>
      <w:sz w:val="24"/>
    </w:rPr>
  </w:style>
  <w:style w:type="character" w:customStyle="1" w:styleId="bibnumber">
    <w:name w:val="bib_number"/>
    <w:basedOn w:val="bibbase"/>
    <w:rsid w:val="00214B1A"/>
    <w:rPr>
      <w:sz w:val="24"/>
    </w:rPr>
  </w:style>
  <w:style w:type="character" w:customStyle="1" w:styleId="biborganization">
    <w:name w:val="bib_organization"/>
    <w:rsid w:val="00214B1A"/>
    <w:rPr>
      <w:sz w:val="24"/>
      <w:bdr w:val="none" w:sz="0" w:space="0" w:color="auto"/>
      <w:shd w:val="clear" w:color="auto" w:fill="808000"/>
    </w:rPr>
  </w:style>
  <w:style w:type="character" w:customStyle="1" w:styleId="bibsuffix">
    <w:name w:val="bib_suffix"/>
    <w:basedOn w:val="bibbase"/>
    <w:rsid w:val="00214B1A"/>
    <w:rPr>
      <w:sz w:val="24"/>
    </w:rPr>
  </w:style>
  <w:style w:type="character" w:customStyle="1" w:styleId="bibsuppl">
    <w:name w:val="bib_suppl"/>
    <w:rsid w:val="00214B1A"/>
    <w:rPr>
      <w:sz w:val="24"/>
      <w:bdr w:val="none" w:sz="0" w:space="0" w:color="auto"/>
      <w:shd w:val="clear" w:color="auto" w:fill="FFFF00"/>
    </w:rPr>
  </w:style>
  <w:style w:type="character" w:customStyle="1" w:styleId="bibsurname">
    <w:name w:val="bib_surname"/>
    <w:rsid w:val="00214B1A"/>
    <w:rPr>
      <w:sz w:val="24"/>
      <w:bdr w:val="none" w:sz="0" w:space="0" w:color="auto"/>
      <w:shd w:val="clear" w:color="auto" w:fill="FFFF00"/>
    </w:rPr>
  </w:style>
  <w:style w:type="character" w:customStyle="1" w:styleId="bibunpubl">
    <w:name w:val="bib_unpubl"/>
    <w:basedOn w:val="bibbase"/>
    <w:rsid w:val="00214B1A"/>
    <w:rPr>
      <w:sz w:val="24"/>
    </w:rPr>
  </w:style>
  <w:style w:type="character" w:customStyle="1" w:styleId="biburl">
    <w:name w:val="bib_url"/>
    <w:rsid w:val="00214B1A"/>
    <w:rPr>
      <w:sz w:val="24"/>
      <w:bdr w:val="none" w:sz="0" w:space="0" w:color="auto"/>
      <w:shd w:val="clear" w:color="auto" w:fill="00FF00"/>
    </w:rPr>
  </w:style>
  <w:style w:type="character" w:customStyle="1" w:styleId="bibvolume">
    <w:name w:val="bib_volume"/>
    <w:rsid w:val="00214B1A"/>
    <w:rPr>
      <w:sz w:val="24"/>
      <w:bdr w:val="none" w:sz="0" w:space="0" w:color="auto"/>
      <w:shd w:val="clear" w:color="auto" w:fill="00FF00"/>
    </w:rPr>
  </w:style>
  <w:style w:type="character" w:customStyle="1" w:styleId="bibyear">
    <w:name w:val="bib_year"/>
    <w:rsid w:val="00214B1A"/>
    <w:rPr>
      <w:sz w:val="24"/>
      <w:bdr w:val="none" w:sz="0" w:space="0" w:color="auto"/>
      <w:shd w:val="clear" w:color="auto" w:fill="FF00FF"/>
    </w:rPr>
  </w:style>
  <w:style w:type="paragraph" w:customStyle="1" w:styleId="BookorMeetingInformation">
    <w:name w:val="Book or Meeting Information"/>
    <w:basedOn w:val="BaseText"/>
    <w:rsid w:val="00214B1A"/>
  </w:style>
  <w:style w:type="paragraph" w:customStyle="1" w:styleId="BookInformation">
    <w:name w:val="BookInformation"/>
    <w:basedOn w:val="BaseText"/>
    <w:rsid w:val="00214B1A"/>
  </w:style>
  <w:style w:type="paragraph" w:customStyle="1" w:styleId="Level2Head">
    <w:name w:val="Level 2 Head"/>
    <w:basedOn w:val="BaseHeading"/>
    <w:rsid w:val="00214B1A"/>
    <w:pPr>
      <w:outlineLvl w:val="1"/>
    </w:pPr>
    <w:rPr>
      <w:i/>
      <w:iCs/>
      <w:sz w:val="24"/>
      <w:szCs w:val="24"/>
    </w:rPr>
  </w:style>
  <w:style w:type="paragraph" w:customStyle="1" w:styleId="BoxLevel2Head">
    <w:name w:val="BoxLevel 2 Head"/>
    <w:basedOn w:val="Level2Head"/>
    <w:rsid w:val="00214B1A"/>
    <w:pPr>
      <w:shd w:val="clear" w:color="auto" w:fill="E6E6E6"/>
    </w:pPr>
  </w:style>
  <w:style w:type="paragraph" w:customStyle="1" w:styleId="BoxListUnnumbered">
    <w:name w:val="BoxListUnnumbered"/>
    <w:basedOn w:val="BaseText"/>
    <w:rsid w:val="00214B1A"/>
    <w:pPr>
      <w:shd w:val="clear" w:color="auto" w:fill="E6E6E6"/>
      <w:ind w:left="1080" w:hanging="360"/>
    </w:pPr>
  </w:style>
  <w:style w:type="paragraph" w:customStyle="1" w:styleId="BoxList">
    <w:name w:val="BoxList"/>
    <w:basedOn w:val="BoxListUnnumbered"/>
    <w:rsid w:val="00214B1A"/>
  </w:style>
  <w:style w:type="paragraph" w:customStyle="1" w:styleId="BoxSubhead">
    <w:name w:val="BoxSubhead"/>
    <w:basedOn w:val="Subhead"/>
    <w:rsid w:val="00214B1A"/>
    <w:pPr>
      <w:shd w:val="clear" w:color="auto" w:fill="E6E6E6"/>
    </w:pPr>
  </w:style>
  <w:style w:type="paragraph" w:customStyle="1" w:styleId="Paragraph">
    <w:name w:val="Paragraph"/>
    <w:basedOn w:val="BaseText"/>
    <w:rsid w:val="00214B1A"/>
    <w:pPr>
      <w:ind w:firstLine="720"/>
    </w:pPr>
  </w:style>
  <w:style w:type="paragraph" w:customStyle="1" w:styleId="BoxText">
    <w:name w:val="BoxText"/>
    <w:basedOn w:val="Paragraph"/>
    <w:rsid w:val="00214B1A"/>
    <w:pPr>
      <w:shd w:val="clear" w:color="auto" w:fill="E6E6E6"/>
    </w:pPr>
  </w:style>
  <w:style w:type="paragraph" w:customStyle="1" w:styleId="BoxTitle">
    <w:name w:val="BoxTitle"/>
    <w:basedOn w:val="BaseHeading"/>
    <w:rsid w:val="00214B1A"/>
    <w:pPr>
      <w:shd w:val="clear" w:color="auto" w:fill="E6E6E6"/>
    </w:pPr>
    <w:rPr>
      <w:b/>
      <w:sz w:val="24"/>
      <w:szCs w:val="24"/>
    </w:rPr>
  </w:style>
  <w:style w:type="paragraph" w:customStyle="1" w:styleId="BulletedText">
    <w:name w:val="Bulleted Text"/>
    <w:basedOn w:val="BaseText"/>
    <w:rsid w:val="00214B1A"/>
    <w:pPr>
      <w:ind w:left="720" w:hanging="720"/>
    </w:pPr>
  </w:style>
  <w:style w:type="paragraph" w:customStyle="1" w:styleId="career-magazine">
    <w:name w:val="career-magazine"/>
    <w:basedOn w:val="BaseText"/>
    <w:rsid w:val="00214B1A"/>
    <w:pPr>
      <w:jc w:val="right"/>
    </w:pPr>
    <w:rPr>
      <w:color w:val="FF0000"/>
    </w:rPr>
  </w:style>
  <w:style w:type="paragraph" w:customStyle="1" w:styleId="career-stage">
    <w:name w:val="career-stage"/>
    <w:basedOn w:val="BaseText"/>
    <w:rsid w:val="00214B1A"/>
    <w:pPr>
      <w:jc w:val="right"/>
    </w:pPr>
    <w:rPr>
      <w:color w:val="339966"/>
    </w:rPr>
  </w:style>
  <w:style w:type="character" w:customStyle="1" w:styleId="citebase">
    <w:name w:val="cite_base"/>
    <w:rsid w:val="00214B1A"/>
    <w:rPr>
      <w:sz w:val="24"/>
    </w:rPr>
  </w:style>
  <w:style w:type="character" w:customStyle="1" w:styleId="citebib">
    <w:name w:val="cite_bib"/>
    <w:rsid w:val="00214B1A"/>
    <w:rPr>
      <w:sz w:val="24"/>
      <w:bdr w:val="none" w:sz="0" w:space="0" w:color="auto"/>
      <w:shd w:val="clear" w:color="auto" w:fill="00FFFF"/>
    </w:rPr>
  </w:style>
  <w:style w:type="character" w:customStyle="1" w:styleId="citebox">
    <w:name w:val="cite_box"/>
    <w:basedOn w:val="citebase"/>
    <w:rsid w:val="00214B1A"/>
    <w:rPr>
      <w:sz w:val="24"/>
    </w:rPr>
  </w:style>
  <w:style w:type="character" w:customStyle="1" w:styleId="citeen">
    <w:name w:val="cite_en"/>
    <w:rsid w:val="00214B1A"/>
    <w:rPr>
      <w:sz w:val="24"/>
      <w:shd w:val="clear" w:color="auto" w:fill="FFFF00"/>
      <w:vertAlign w:val="superscript"/>
    </w:rPr>
  </w:style>
  <w:style w:type="character" w:customStyle="1" w:styleId="citeeq">
    <w:name w:val="cite_eq"/>
    <w:rsid w:val="00214B1A"/>
    <w:rPr>
      <w:sz w:val="24"/>
      <w:bdr w:val="none" w:sz="0" w:space="0" w:color="auto"/>
      <w:shd w:val="clear" w:color="auto" w:fill="FF99CC"/>
    </w:rPr>
  </w:style>
  <w:style w:type="character" w:customStyle="1" w:styleId="citefig">
    <w:name w:val="cite_fig"/>
    <w:rsid w:val="00214B1A"/>
    <w:rPr>
      <w:color w:val="000000"/>
      <w:sz w:val="24"/>
      <w:bdr w:val="none" w:sz="0" w:space="0" w:color="auto"/>
      <w:shd w:val="clear" w:color="auto" w:fill="00FF00"/>
    </w:rPr>
  </w:style>
  <w:style w:type="character" w:customStyle="1" w:styleId="citefn">
    <w:name w:val="cite_fn"/>
    <w:rsid w:val="00214B1A"/>
    <w:rPr>
      <w:sz w:val="24"/>
      <w:bdr w:val="none" w:sz="0" w:space="0" w:color="auto"/>
      <w:shd w:val="clear" w:color="auto" w:fill="FF0000"/>
    </w:rPr>
  </w:style>
  <w:style w:type="character" w:customStyle="1" w:styleId="citetbl">
    <w:name w:val="cite_tbl"/>
    <w:rsid w:val="00214B1A"/>
    <w:rPr>
      <w:color w:val="000000"/>
      <w:sz w:val="24"/>
      <w:bdr w:val="none" w:sz="0" w:space="0" w:color="auto"/>
      <w:shd w:val="clear" w:color="auto" w:fill="FF00FF"/>
    </w:rPr>
  </w:style>
  <w:style w:type="character" w:styleId="CommentReference">
    <w:name w:val="annotation reference"/>
    <w:uiPriority w:val="99"/>
    <w:rsid w:val="00214B1A"/>
    <w:rPr>
      <w:sz w:val="18"/>
      <w:szCs w:val="18"/>
    </w:rPr>
  </w:style>
  <w:style w:type="paragraph" w:styleId="CommentText">
    <w:name w:val="annotation text"/>
    <w:basedOn w:val="Normal"/>
    <w:link w:val="CommentTextChar"/>
    <w:uiPriority w:val="99"/>
    <w:rsid w:val="00214B1A"/>
    <w:rPr>
      <w:rFonts w:eastAsia="Times New Roman"/>
    </w:rPr>
  </w:style>
  <w:style w:type="character" w:customStyle="1" w:styleId="CommentTextChar">
    <w:name w:val="Comment Text Char"/>
    <w:basedOn w:val="DefaultParagraphFont"/>
    <w:link w:val="CommentText"/>
    <w:uiPriority w:val="99"/>
    <w:rsid w:val="00214B1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14B1A"/>
    <w:rPr>
      <w:b/>
      <w:bCs/>
    </w:rPr>
  </w:style>
  <w:style w:type="character" w:customStyle="1" w:styleId="CommentSubjectChar">
    <w:name w:val="Comment Subject Char"/>
    <w:basedOn w:val="CommentTextChar"/>
    <w:link w:val="CommentSubject"/>
    <w:uiPriority w:val="99"/>
    <w:semiHidden/>
    <w:rsid w:val="00214B1A"/>
    <w:rPr>
      <w:rFonts w:ascii="Times New Roman" w:eastAsia="Times New Roman" w:hAnsi="Times New Roman" w:cs="Times New Roman"/>
      <w:b/>
      <w:bCs/>
      <w:sz w:val="20"/>
      <w:szCs w:val="20"/>
    </w:rPr>
  </w:style>
  <w:style w:type="paragraph" w:customStyle="1" w:styleId="ContinuedParagraph">
    <w:name w:val="ContinuedParagraph"/>
    <w:basedOn w:val="Paragraph"/>
    <w:rsid w:val="00214B1A"/>
    <w:pPr>
      <w:ind w:firstLine="0"/>
    </w:pPr>
  </w:style>
  <w:style w:type="character" w:customStyle="1" w:styleId="ContractNumber">
    <w:name w:val="Contract Number"/>
    <w:rsid w:val="00214B1A"/>
    <w:rPr>
      <w:sz w:val="24"/>
      <w:szCs w:val="24"/>
      <w:bdr w:val="none" w:sz="0" w:space="0" w:color="auto"/>
      <w:shd w:val="clear" w:color="auto" w:fill="CCFFCC"/>
    </w:rPr>
  </w:style>
  <w:style w:type="character" w:customStyle="1" w:styleId="ContractSponsor">
    <w:name w:val="Contract Sponsor"/>
    <w:rsid w:val="00214B1A"/>
    <w:rPr>
      <w:sz w:val="24"/>
      <w:szCs w:val="24"/>
      <w:bdr w:val="none" w:sz="0" w:space="0" w:color="auto"/>
      <w:shd w:val="clear" w:color="auto" w:fill="FFCC99"/>
    </w:rPr>
  </w:style>
  <w:style w:type="paragraph" w:customStyle="1" w:styleId="Correspondence">
    <w:name w:val="Correspondence"/>
    <w:basedOn w:val="BaseText"/>
    <w:rsid w:val="00214B1A"/>
    <w:pPr>
      <w:spacing w:before="0" w:after="240"/>
    </w:pPr>
  </w:style>
  <w:style w:type="paragraph" w:customStyle="1" w:styleId="DateAccepted">
    <w:name w:val="Date Accepted"/>
    <w:basedOn w:val="BaseText"/>
    <w:rsid w:val="00214B1A"/>
    <w:pPr>
      <w:spacing w:before="360"/>
    </w:pPr>
  </w:style>
  <w:style w:type="paragraph" w:customStyle="1" w:styleId="Deck">
    <w:name w:val="Deck"/>
    <w:basedOn w:val="BaseHeading"/>
    <w:rsid w:val="00214B1A"/>
    <w:pPr>
      <w:outlineLvl w:val="1"/>
    </w:pPr>
  </w:style>
  <w:style w:type="paragraph" w:customStyle="1" w:styleId="DefTerm">
    <w:name w:val="DefTerm"/>
    <w:basedOn w:val="BaseText"/>
    <w:rsid w:val="00214B1A"/>
    <w:pPr>
      <w:ind w:left="720"/>
    </w:pPr>
  </w:style>
  <w:style w:type="paragraph" w:customStyle="1" w:styleId="Definition">
    <w:name w:val="Definition"/>
    <w:basedOn w:val="DefTerm"/>
    <w:rsid w:val="00214B1A"/>
    <w:pPr>
      <w:ind w:left="1080" w:hanging="360"/>
    </w:pPr>
  </w:style>
  <w:style w:type="paragraph" w:customStyle="1" w:styleId="DefListTitle">
    <w:name w:val="DefListTitle"/>
    <w:basedOn w:val="BaseHeading"/>
    <w:rsid w:val="00214B1A"/>
  </w:style>
  <w:style w:type="paragraph" w:customStyle="1" w:styleId="discipline">
    <w:name w:val="discipline"/>
    <w:basedOn w:val="BaseText"/>
    <w:rsid w:val="00214B1A"/>
    <w:pPr>
      <w:jc w:val="right"/>
    </w:pPr>
    <w:rPr>
      <w:color w:val="993366"/>
    </w:rPr>
  </w:style>
  <w:style w:type="paragraph" w:customStyle="1" w:styleId="Editors">
    <w:name w:val="Editors"/>
    <w:basedOn w:val="Authors"/>
    <w:rsid w:val="00214B1A"/>
  </w:style>
  <w:style w:type="character" w:styleId="Emphasis">
    <w:name w:val="Emphasis"/>
    <w:uiPriority w:val="20"/>
    <w:qFormat/>
    <w:rsid w:val="00214B1A"/>
    <w:rPr>
      <w:i/>
      <w:iCs/>
    </w:rPr>
  </w:style>
  <w:style w:type="character" w:styleId="EndnoteReference">
    <w:name w:val="endnote reference"/>
    <w:semiHidden/>
    <w:rsid w:val="00214B1A"/>
    <w:rPr>
      <w:vertAlign w:val="superscript"/>
    </w:rPr>
  </w:style>
  <w:style w:type="paragraph" w:styleId="EndnoteText">
    <w:name w:val="endnote text"/>
    <w:basedOn w:val="Normal"/>
    <w:link w:val="EndnoteTextChar"/>
    <w:semiHidden/>
    <w:rsid w:val="00214B1A"/>
    <w:rPr>
      <w:rFonts w:ascii="Cambria" w:eastAsia="Cambria" w:hAnsi="Cambria"/>
    </w:rPr>
  </w:style>
  <w:style w:type="character" w:customStyle="1" w:styleId="EndnoteTextChar">
    <w:name w:val="Endnote Text Char"/>
    <w:basedOn w:val="DefaultParagraphFont"/>
    <w:link w:val="EndnoteText"/>
    <w:semiHidden/>
    <w:rsid w:val="00214B1A"/>
    <w:rPr>
      <w:rFonts w:ascii="Cambria" w:eastAsia="Cambria" w:hAnsi="Cambria" w:cs="Times New Roman"/>
      <w:sz w:val="20"/>
      <w:szCs w:val="20"/>
    </w:rPr>
  </w:style>
  <w:style w:type="character" w:customStyle="1" w:styleId="eqno">
    <w:name w:val="eq_no"/>
    <w:basedOn w:val="citebase"/>
    <w:rsid w:val="00214B1A"/>
    <w:rPr>
      <w:sz w:val="24"/>
    </w:rPr>
  </w:style>
  <w:style w:type="paragraph" w:customStyle="1" w:styleId="Equation">
    <w:name w:val="Equation"/>
    <w:basedOn w:val="BaseText"/>
    <w:rsid w:val="00214B1A"/>
    <w:pPr>
      <w:jc w:val="center"/>
    </w:pPr>
  </w:style>
  <w:style w:type="paragraph" w:customStyle="1" w:styleId="FieldCodes">
    <w:name w:val="FieldCodes"/>
    <w:basedOn w:val="BaseText"/>
    <w:rsid w:val="00214B1A"/>
  </w:style>
  <w:style w:type="paragraph" w:customStyle="1" w:styleId="Legend">
    <w:name w:val="Legend"/>
    <w:basedOn w:val="BaseHeading"/>
    <w:rsid w:val="00214B1A"/>
    <w:rPr>
      <w:sz w:val="24"/>
      <w:szCs w:val="24"/>
    </w:rPr>
  </w:style>
  <w:style w:type="paragraph" w:customStyle="1" w:styleId="FigureCopyright">
    <w:name w:val="FigureCopyright"/>
    <w:basedOn w:val="Legend"/>
    <w:rsid w:val="00214B1A"/>
    <w:pPr>
      <w:autoSpaceDE w:val="0"/>
      <w:autoSpaceDN w:val="0"/>
      <w:adjustRightInd w:val="0"/>
      <w:spacing w:before="80"/>
    </w:pPr>
    <w:rPr>
      <w:lang w:bidi="he-IL"/>
    </w:rPr>
  </w:style>
  <w:style w:type="paragraph" w:customStyle="1" w:styleId="FigureCredit">
    <w:name w:val="FigureCredit"/>
    <w:basedOn w:val="FigureCopyright"/>
    <w:rsid w:val="00214B1A"/>
  </w:style>
  <w:style w:type="character" w:styleId="FollowedHyperlink">
    <w:name w:val="FollowedHyperlink"/>
    <w:rsid w:val="00214B1A"/>
    <w:rPr>
      <w:color w:val="800080"/>
      <w:u w:val="single"/>
    </w:rPr>
  </w:style>
  <w:style w:type="paragraph" w:styleId="Footer">
    <w:name w:val="footer"/>
    <w:basedOn w:val="Normal"/>
    <w:link w:val="FooterChar"/>
    <w:uiPriority w:val="99"/>
    <w:rsid w:val="00214B1A"/>
    <w:pPr>
      <w:tabs>
        <w:tab w:val="center" w:pos="4320"/>
        <w:tab w:val="right" w:pos="8640"/>
      </w:tabs>
    </w:pPr>
    <w:rPr>
      <w:rFonts w:eastAsia="Times New Roman"/>
    </w:rPr>
  </w:style>
  <w:style w:type="character" w:customStyle="1" w:styleId="FooterChar">
    <w:name w:val="Footer Char"/>
    <w:basedOn w:val="DefaultParagraphFont"/>
    <w:link w:val="Footer"/>
    <w:uiPriority w:val="99"/>
    <w:rsid w:val="00214B1A"/>
    <w:rPr>
      <w:rFonts w:ascii="Times New Roman" w:eastAsia="Times New Roman" w:hAnsi="Times New Roman" w:cs="Times New Roman"/>
      <w:sz w:val="20"/>
      <w:szCs w:val="20"/>
    </w:rPr>
  </w:style>
  <w:style w:type="character" w:styleId="FootnoteReference">
    <w:name w:val="footnote reference"/>
    <w:semiHidden/>
    <w:rsid w:val="00214B1A"/>
    <w:rPr>
      <w:vertAlign w:val="superscript"/>
    </w:rPr>
  </w:style>
  <w:style w:type="paragraph" w:customStyle="1" w:styleId="Gloss">
    <w:name w:val="Gloss"/>
    <w:basedOn w:val="AbstractSummary"/>
    <w:rsid w:val="00214B1A"/>
  </w:style>
  <w:style w:type="paragraph" w:customStyle="1" w:styleId="Glossary">
    <w:name w:val="Glossary"/>
    <w:basedOn w:val="BaseText"/>
    <w:rsid w:val="00214B1A"/>
  </w:style>
  <w:style w:type="paragraph" w:customStyle="1" w:styleId="GlossHead">
    <w:name w:val="GlossHead"/>
    <w:basedOn w:val="AbstractHead"/>
    <w:rsid w:val="00214B1A"/>
  </w:style>
  <w:style w:type="paragraph" w:customStyle="1" w:styleId="GraphicAltText">
    <w:name w:val="GraphicAltText"/>
    <w:basedOn w:val="Legend"/>
    <w:rsid w:val="00214B1A"/>
    <w:pPr>
      <w:autoSpaceDE w:val="0"/>
      <w:autoSpaceDN w:val="0"/>
      <w:adjustRightInd w:val="0"/>
    </w:pPr>
  </w:style>
  <w:style w:type="paragraph" w:customStyle="1" w:styleId="GraphicCredit">
    <w:name w:val="GraphicCredit"/>
    <w:basedOn w:val="FigureCredit"/>
    <w:rsid w:val="00214B1A"/>
  </w:style>
  <w:style w:type="paragraph" w:customStyle="1" w:styleId="Head">
    <w:name w:val="Head"/>
    <w:basedOn w:val="BaseHeading"/>
    <w:rsid w:val="00214B1A"/>
    <w:pPr>
      <w:spacing w:before="120" w:after="120"/>
      <w:jc w:val="center"/>
    </w:pPr>
    <w:rPr>
      <w:b/>
      <w:bCs/>
    </w:rPr>
  </w:style>
  <w:style w:type="paragraph" w:styleId="Header">
    <w:name w:val="header"/>
    <w:basedOn w:val="Normal"/>
    <w:link w:val="HeaderChar"/>
    <w:rsid w:val="00214B1A"/>
    <w:pPr>
      <w:tabs>
        <w:tab w:val="center" w:pos="4320"/>
        <w:tab w:val="right" w:pos="8640"/>
      </w:tabs>
    </w:pPr>
    <w:rPr>
      <w:rFonts w:eastAsia="Times New Roman"/>
    </w:rPr>
  </w:style>
  <w:style w:type="character" w:customStyle="1" w:styleId="HeaderChar">
    <w:name w:val="Header Char"/>
    <w:basedOn w:val="DefaultParagraphFont"/>
    <w:link w:val="Header"/>
    <w:rsid w:val="00214B1A"/>
    <w:rPr>
      <w:rFonts w:ascii="Times New Roman" w:eastAsia="Times New Roman" w:hAnsi="Times New Roman" w:cs="Times New Roman"/>
      <w:sz w:val="20"/>
      <w:szCs w:val="20"/>
    </w:rPr>
  </w:style>
  <w:style w:type="character" w:styleId="HTMLAcronym">
    <w:name w:val="HTML Acronym"/>
    <w:basedOn w:val="DefaultParagraphFont"/>
    <w:rsid w:val="00214B1A"/>
  </w:style>
  <w:style w:type="character" w:styleId="HTMLCite">
    <w:name w:val="HTML Cite"/>
    <w:rsid w:val="00214B1A"/>
    <w:rPr>
      <w:i/>
      <w:iCs/>
    </w:rPr>
  </w:style>
  <w:style w:type="character" w:styleId="HTMLCode">
    <w:name w:val="HTML Code"/>
    <w:rsid w:val="00214B1A"/>
    <w:rPr>
      <w:rFonts w:ascii="Courier New" w:hAnsi="Courier New" w:cs="Courier New"/>
      <w:sz w:val="20"/>
      <w:szCs w:val="20"/>
    </w:rPr>
  </w:style>
  <w:style w:type="character" w:styleId="HTMLDefinition">
    <w:name w:val="HTML Definition"/>
    <w:rsid w:val="00214B1A"/>
    <w:rPr>
      <w:i/>
      <w:iCs/>
    </w:rPr>
  </w:style>
  <w:style w:type="character" w:styleId="HTMLKeyboard">
    <w:name w:val="HTML Keyboard"/>
    <w:rsid w:val="00214B1A"/>
    <w:rPr>
      <w:rFonts w:ascii="Courier New" w:hAnsi="Courier New" w:cs="Courier New"/>
      <w:sz w:val="20"/>
      <w:szCs w:val="20"/>
    </w:rPr>
  </w:style>
  <w:style w:type="paragraph" w:styleId="HTMLPreformatted">
    <w:name w:val="HTML Preformatted"/>
    <w:basedOn w:val="Normal"/>
    <w:link w:val="HTMLPreformattedChar"/>
    <w:rsid w:val="00214B1A"/>
    <w:rPr>
      <w:rFonts w:ascii="Consolas" w:eastAsia="Times New Roman" w:hAnsi="Consolas"/>
    </w:rPr>
  </w:style>
  <w:style w:type="character" w:customStyle="1" w:styleId="HTMLPreformattedChar">
    <w:name w:val="HTML Preformatted Char"/>
    <w:basedOn w:val="DefaultParagraphFont"/>
    <w:link w:val="HTMLPreformatted"/>
    <w:rsid w:val="00214B1A"/>
    <w:rPr>
      <w:rFonts w:ascii="Consolas" w:eastAsia="Times New Roman" w:hAnsi="Consolas" w:cs="Times New Roman"/>
      <w:sz w:val="20"/>
      <w:szCs w:val="20"/>
    </w:rPr>
  </w:style>
  <w:style w:type="character" w:styleId="HTMLSample">
    <w:name w:val="HTML Sample"/>
    <w:rsid w:val="00214B1A"/>
    <w:rPr>
      <w:rFonts w:ascii="Courier New" w:hAnsi="Courier New" w:cs="Courier New"/>
    </w:rPr>
  </w:style>
  <w:style w:type="character" w:styleId="HTMLTypewriter">
    <w:name w:val="HTML Typewriter"/>
    <w:rsid w:val="00214B1A"/>
    <w:rPr>
      <w:rFonts w:ascii="Courier New" w:hAnsi="Courier New" w:cs="Courier New"/>
      <w:sz w:val="20"/>
      <w:szCs w:val="20"/>
    </w:rPr>
  </w:style>
  <w:style w:type="character" w:styleId="HTMLVariable">
    <w:name w:val="HTML Variable"/>
    <w:rsid w:val="00214B1A"/>
    <w:rPr>
      <w:i/>
      <w:iCs/>
    </w:rPr>
  </w:style>
  <w:style w:type="character" w:styleId="Hyperlink">
    <w:name w:val="Hyperlink"/>
    <w:rsid w:val="00214B1A"/>
    <w:rPr>
      <w:color w:val="0000FF"/>
      <w:u w:val="single"/>
    </w:rPr>
  </w:style>
  <w:style w:type="paragraph" w:customStyle="1" w:styleId="InstructionsText">
    <w:name w:val="Instructions Text"/>
    <w:basedOn w:val="BaseText"/>
    <w:rsid w:val="00214B1A"/>
  </w:style>
  <w:style w:type="paragraph" w:customStyle="1" w:styleId="Overline">
    <w:name w:val="Overline"/>
    <w:basedOn w:val="BaseText"/>
    <w:rsid w:val="00214B1A"/>
  </w:style>
  <w:style w:type="paragraph" w:customStyle="1" w:styleId="IssueName">
    <w:name w:val="IssueName"/>
    <w:basedOn w:val="Overline"/>
    <w:rsid w:val="00214B1A"/>
  </w:style>
  <w:style w:type="paragraph" w:customStyle="1" w:styleId="Keywords">
    <w:name w:val="Keywords"/>
    <w:basedOn w:val="BaseText"/>
    <w:rsid w:val="00214B1A"/>
  </w:style>
  <w:style w:type="paragraph" w:customStyle="1" w:styleId="Level3Head">
    <w:name w:val="Level 3 Head"/>
    <w:basedOn w:val="BaseHeading"/>
    <w:rsid w:val="00214B1A"/>
    <w:pPr>
      <w:outlineLvl w:val="2"/>
    </w:pPr>
    <w:rPr>
      <w:sz w:val="24"/>
      <w:szCs w:val="24"/>
      <w:u w:val="single"/>
    </w:rPr>
  </w:style>
  <w:style w:type="paragraph" w:customStyle="1" w:styleId="Level4Head">
    <w:name w:val="Level 4 Head"/>
    <w:basedOn w:val="BaseHeading"/>
    <w:rsid w:val="00214B1A"/>
    <w:pPr>
      <w:ind w:left="346"/>
    </w:pPr>
    <w:rPr>
      <w:sz w:val="24"/>
      <w:szCs w:val="24"/>
    </w:rPr>
  </w:style>
  <w:style w:type="character" w:styleId="LineNumber">
    <w:name w:val="line number"/>
    <w:basedOn w:val="DefaultParagraphFont"/>
    <w:rsid w:val="00214B1A"/>
  </w:style>
  <w:style w:type="paragraph" w:customStyle="1" w:styleId="Literaryquote">
    <w:name w:val="Literary quote"/>
    <w:basedOn w:val="BaseText"/>
    <w:rsid w:val="00214B1A"/>
    <w:pPr>
      <w:ind w:left="1440" w:right="1440"/>
    </w:pPr>
  </w:style>
  <w:style w:type="paragraph" w:customStyle="1" w:styleId="MaterialsText">
    <w:name w:val="Materials Text"/>
    <w:basedOn w:val="BaseText"/>
    <w:rsid w:val="00214B1A"/>
  </w:style>
  <w:style w:type="paragraph" w:customStyle="1" w:styleId="NoteInProof">
    <w:name w:val="NoteInProof"/>
    <w:basedOn w:val="BaseText"/>
    <w:rsid w:val="00214B1A"/>
  </w:style>
  <w:style w:type="paragraph" w:customStyle="1" w:styleId="Notes">
    <w:name w:val="Notes"/>
    <w:basedOn w:val="BaseText"/>
    <w:rsid w:val="00214B1A"/>
    <w:rPr>
      <w:i/>
    </w:rPr>
  </w:style>
  <w:style w:type="paragraph" w:customStyle="1" w:styleId="Notes-Helvetica">
    <w:name w:val="Notes-Helvetica"/>
    <w:basedOn w:val="BaseText"/>
    <w:rsid w:val="00214B1A"/>
    <w:rPr>
      <w:i/>
    </w:rPr>
  </w:style>
  <w:style w:type="paragraph" w:customStyle="1" w:styleId="NumberedInstructions">
    <w:name w:val="Numbered Instructions"/>
    <w:basedOn w:val="BaseText"/>
    <w:rsid w:val="00214B1A"/>
  </w:style>
  <w:style w:type="paragraph" w:customStyle="1" w:styleId="OutlineLevel1">
    <w:name w:val="OutlineLevel1"/>
    <w:basedOn w:val="BaseHeading"/>
    <w:rsid w:val="00214B1A"/>
    <w:rPr>
      <w:b/>
      <w:bCs/>
    </w:rPr>
  </w:style>
  <w:style w:type="paragraph" w:customStyle="1" w:styleId="OutlineLevel2">
    <w:name w:val="OutlineLevel2"/>
    <w:basedOn w:val="BaseHeading"/>
    <w:rsid w:val="00214B1A"/>
    <w:pPr>
      <w:ind w:left="360"/>
      <w:outlineLvl w:val="1"/>
    </w:pPr>
    <w:rPr>
      <w:b/>
      <w:bCs/>
      <w:sz w:val="24"/>
      <w:szCs w:val="24"/>
    </w:rPr>
  </w:style>
  <w:style w:type="paragraph" w:customStyle="1" w:styleId="OutlineLevel3">
    <w:name w:val="OutlineLevel3"/>
    <w:basedOn w:val="BaseHeading"/>
    <w:rsid w:val="00214B1A"/>
    <w:pPr>
      <w:ind w:left="720"/>
      <w:outlineLvl w:val="2"/>
    </w:pPr>
    <w:rPr>
      <w:b/>
      <w:bCs/>
      <w:sz w:val="24"/>
      <w:szCs w:val="24"/>
    </w:rPr>
  </w:style>
  <w:style w:type="character" w:styleId="PageNumber">
    <w:name w:val="page number"/>
    <w:basedOn w:val="DefaultParagraphFont"/>
    <w:rsid w:val="00214B1A"/>
  </w:style>
  <w:style w:type="paragraph" w:customStyle="1" w:styleId="Preformat">
    <w:name w:val="Preformat"/>
    <w:basedOn w:val="BaseText"/>
    <w:rsid w:val="00214B1A"/>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214B1A"/>
  </w:style>
  <w:style w:type="paragraph" w:customStyle="1" w:styleId="ProductInformation">
    <w:name w:val="ProductInformation"/>
    <w:basedOn w:val="BaseText"/>
    <w:rsid w:val="00214B1A"/>
  </w:style>
  <w:style w:type="paragraph" w:customStyle="1" w:styleId="ProductTitle">
    <w:name w:val="ProductTitle"/>
    <w:basedOn w:val="BaseText"/>
    <w:rsid w:val="00214B1A"/>
    <w:rPr>
      <w:b/>
      <w:bCs/>
    </w:rPr>
  </w:style>
  <w:style w:type="paragraph" w:customStyle="1" w:styleId="PublishedOnline">
    <w:name w:val="Published Online"/>
    <w:basedOn w:val="DateAccepted"/>
    <w:rsid w:val="00214B1A"/>
  </w:style>
  <w:style w:type="paragraph" w:customStyle="1" w:styleId="RecipeMaterials">
    <w:name w:val="Recipe Materials"/>
    <w:basedOn w:val="BaseText"/>
    <w:rsid w:val="00214B1A"/>
  </w:style>
  <w:style w:type="paragraph" w:customStyle="1" w:styleId="Refhead">
    <w:name w:val="Ref head"/>
    <w:basedOn w:val="BaseHeading"/>
    <w:rsid w:val="00214B1A"/>
    <w:pPr>
      <w:spacing w:before="120" w:after="120"/>
    </w:pPr>
    <w:rPr>
      <w:b/>
      <w:bCs/>
      <w:sz w:val="24"/>
      <w:szCs w:val="24"/>
    </w:rPr>
  </w:style>
  <w:style w:type="paragraph" w:customStyle="1" w:styleId="ReferenceNote">
    <w:name w:val="Reference Note"/>
    <w:basedOn w:val="Referencesandnotes"/>
    <w:rsid w:val="00214B1A"/>
  </w:style>
  <w:style w:type="paragraph" w:customStyle="1" w:styleId="ReferencesandnotesLong">
    <w:name w:val="References and notes Long"/>
    <w:basedOn w:val="BaseText"/>
    <w:rsid w:val="00214B1A"/>
    <w:pPr>
      <w:ind w:left="720" w:hanging="720"/>
    </w:pPr>
  </w:style>
  <w:style w:type="paragraph" w:customStyle="1" w:styleId="region">
    <w:name w:val="region"/>
    <w:basedOn w:val="BaseText"/>
    <w:rsid w:val="00214B1A"/>
    <w:pPr>
      <w:jc w:val="right"/>
    </w:pPr>
    <w:rPr>
      <w:color w:val="0000FF"/>
    </w:rPr>
  </w:style>
  <w:style w:type="paragraph" w:customStyle="1" w:styleId="RelatedArticle">
    <w:name w:val="RelatedArticle"/>
    <w:basedOn w:val="Referencesandnotes"/>
    <w:rsid w:val="00214B1A"/>
  </w:style>
  <w:style w:type="paragraph" w:customStyle="1" w:styleId="RunHead">
    <w:name w:val="RunHead"/>
    <w:basedOn w:val="BaseText"/>
    <w:rsid w:val="00214B1A"/>
  </w:style>
  <w:style w:type="paragraph" w:customStyle="1" w:styleId="SOMContent">
    <w:name w:val="SOMContent"/>
    <w:basedOn w:val="1stparatext"/>
    <w:rsid w:val="00214B1A"/>
  </w:style>
  <w:style w:type="paragraph" w:customStyle="1" w:styleId="SOMHead">
    <w:name w:val="SOMHead"/>
    <w:basedOn w:val="BaseHeading"/>
    <w:rsid w:val="00214B1A"/>
    <w:rPr>
      <w:b/>
      <w:sz w:val="24"/>
      <w:szCs w:val="24"/>
    </w:rPr>
  </w:style>
  <w:style w:type="paragraph" w:customStyle="1" w:styleId="Speaker">
    <w:name w:val="Speaker"/>
    <w:basedOn w:val="Paragraph"/>
    <w:rsid w:val="00214B1A"/>
    <w:pPr>
      <w:autoSpaceDE w:val="0"/>
      <w:autoSpaceDN w:val="0"/>
      <w:adjustRightInd w:val="0"/>
    </w:pPr>
    <w:rPr>
      <w:b/>
      <w:lang w:bidi="he-IL"/>
    </w:rPr>
  </w:style>
  <w:style w:type="paragraph" w:customStyle="1" w:styleId="Speech">
    <w:name w:val="Speech"/>
    <w:basedOn w:val="Paragraph"/>
    <w:rsid w:val="00214B1A"/>
    <w:pPr>
      <w:autoSpaceDE w:val="0"/>
      <w:autoSpaceDN w:val="0"/>
      <w:adjustRightInd w:val="0"/>
    </w:pPr>
    <w:rPr>
      <w:lang w:bidi="he-IL"/>
    </w:rPr>
  </w:style>
  <w:style w:type="character" w:styleId="Strong">
    <w:name w:val="Strong"/>
    <w:uiPriority w:val="22"/>
    <w:qFormat/>
    <w:rsid w:val="00214B1A"/>
    <w:rPr>
      <w:b/>
      <w:bCs/>
    </w:rPr>
  </w:style>
  <w:style w:type="paragraph" w:customStyle="1" w:styleId="SX-Abstract">
    <w:name w:val="SX-Abstract"/>
    <w:basedOn w:val="Normal"/>
    <w:qFormat/>
    <w:rsid w:val="00214B1A"/>
    <w:pPr>
      <w:widowControl w:val="0"/>
      <w:spacing w:before="120" w:after="240" w:line="210" w:lineRule="exact"/>
      <w:ind w:left="700" w:right="700"/>
      <w:jc w:val="both"/>
    </w:pPr>
    <w:rPr>
      <w:rFonts w:ascii="BlissRegular" w:eastAsia="Times New Roman" w:hAnsi="BlissRegular"/>
      <w:b/>
    </w:rPr>
  </w:style>
  <w:style w:type="paragraph" w:customStyle="1" w:styleId="SX-Affiliation">
    <w:name w:val="SX-Affiliation"/>
    <w:basedOn w:val="Normal"/>
    <w:next w:val="Normal"/>
    <w:qFormat/>
    <w:rsid w:val="00214B1A"/>
    <w:pPr>
      <w:spacing w:after="160" w:line="190" w:lineRule="exact"/>
    </w:pPr>
    <w:rPr>
      <w:rFonts w:ascii="BlissRegular" w:eastAsia="Times New Roman" w:hAnsi="BlissRegular"/>
      <w:sz w:val="16"/>
    </w:rPr>
  </w:style>
  <w:style w:type="paragraph" w:customStyle="1" w:styleId="SX-Articlehead">
    <w:name w:val="SX-Article head"/>
    <w:basedOn w:val="Normal"/>
    <w:qFormat/>
    <w:rsid w:val="00214B1A"/>
    <w:pPr>
      <w:spacing w:before="210" w:line="210" w:lineRule="exact"/>
      <w:ind w:firstLine="288"/>
      <w:jc w:val="both"/>
    </w:pPr>
    <w:rPr>
      <w:rFonts w:eastAsia="Times New Roman"/>
      <w:b/>
      <w:sz w:val="18"/>
    </w:rPr>
  </w:style>
  <w:style w:type="paragraph" w:customStyle="1" w:styleId="SX-Authornames">
    <w:name w:val="SX-Author names"/>
    <w:basedOn w:val="Normal"/>
    <w:rsid w:val="00214B1A"/>
    <w:pPr>
      <w:spacing w:after="120" w:line="210" w:lineRule="exact"/>
    </w:pPr>
    <w:rPr>
      <w:rFonts w:ascii="BlissMedium" w:eastAsia="Times New Roman" w:hAnsi="BlissMedium"/>
    </w:rPr>
  </w:style>
  <w:style w:type="paragraph" w:customStyle="1" w:styleId="SX-Bodytext">
    <w:name w:val="SX-Body text"/>
    <w:basedOn w:val="Normal"/>
    <w:next w:val="Normal"/>
    <w:rsid w:val="00214B1A"/>
    <w:pPr>
      <w:spacing w:line="210" w:lineRule="exact"/>
      <w:ind w:firstLine="288"/>
      <w:jc w:val="both"/>
    </w:pPr>
    <w:rPr>
      <w:rFonts w:eastAsia="Times New Roman"/>
      <w:sz w:val="18"/>
    </w:rPr>
  </w:style>
  <w:style w:type="paragraph" w:customStyle="1" w:styleId="SX-Bodytextflush">
    <w:name w:val="SX-Body text flush"/>
    <w:basedOn w:val="SX-Bodytext"/>
    <w:next w:val="SX-Bodytext"/>
    <w:rsid w:val="00214B1A"/>
    <w:pPr>
      <w:ind w:firstLine="0"/>
    </w:pPr>
  </w:style>
  <w:style w:type="paragraph" w:customStyle="1" w:styleId="SX-Correspondence">
    <w:name w:val="SX-Correspondence"/>
    <w:basedOn w:val="SX-Affiliation"/>
    <w:qFormat/>
    <w:rsid w:val="00214B1A"/>
    <w:pPr>
      <w:spacing w:after="80"/>
    </w:pPr>
  </w:style>
  <w:style w:type="paragraph" w:customStyle="1" w:styleId="SX-Date">
    <w:name w:val="SX-Date"/>
    <w:basedOn w:val="Normal"/>
    <w:qFormat/>
    <w:rsid w:val="00214B1A"/>
    <w:pPr>
      <w:spacing w:before="180" w:line="190" w:lineRule="exact"/>
      <w:ind w:left="245" w:hanging="245"/>
      <w:jc w:val="both"/>
    </w:pPr>
    <w:rPr>
      <w:rFonts w:eastAsia="Times New Roman"/>
      <w:sz w:val="16"/>
    </w:rPr>
  </w:style>
  <w:style w:type="paragraph" w:customStyle="1" w:styleId="SX-Equation">
    <w:name w:val="SX-Equation"/>
    <w:basedOn w:val="SX-Bodytextflush"/>
    <w:next w:val="SX-Bodytext"/>
    <w:rsid w:val="00214B1A"/>
    <w:pPr>
      <w:autoSpaceDE w:val="0"/>
      <w:autoSpaceDN w:val="0"/>
      <w:adjustRightInd w:val="0"/>
      <w:spacing w:line="240" w:lineRule="auto"/>
      <w:jc w:val="center"/>
    </w:pPr>
  </w:style>
  <w:style w:type="paragraph" w:customStyle="1" w:styleId="SX-Legend">
    <w:name w:val="SX-Legend"/>
    <w:basedOn w:val="SX-Authornames"/>
    <w:rsid w:val="00214B1A"/>
    <w:pPr>
      <w:jc w:val="both"/>
    </w:pPr>
    <w:rPr>
      <w:sz w:val="18"/>
    </w:rPr>
  </w:style>
  <w:style w:type="paragraph" w:customStyle="1" w:styleId="SX-References">
    <w:name w:val="SX-References"/>
    <w:basedOn w:val="Normal"/>
    <w:rsid w:val="00214B1A"/>
    <w:pPr>
      <w:spacing w:line="190" w:lineRule="exact"/>
      <w:ind w:left="245" w:hanging="245"/>
      <w:jc w:val="both"/>
    </w:pPr>
    <w:rPr>
      <w:rFonts w:eastAsia="Times New Roman"/>
      <w:sz w:val="16"/>
    </w:rPr>
  </w:style>
  <w:style w:type="paragraph" w:customStyle="1" w:styleId="SX-RefHead">
    <w:name w:val="SX-RefHead"/>
    <w:basedOn w:val="Normal"/>
    <w:rsid w:val="00214B1A"/>
    <w:pPr>
      <w:spacing w:before="200" w:line="190" w:lineRule="exact"/>
    </w:pPr>
    <w:rPr>
      <w:rFonts w:eastAsia="Times New Roman"/>
      <w:b/>
      <w:sz w:val="16"/>
    </w:rPr>
  </w:style>
  <w:style w:type="character" w:customStyle="1" w:styleId="SX-reflink">
    <w:name w:val="SX-reflink"/>
    <w:uiPriority w:val="1"/>
    <w:qFormat/>
    <w:rsid w:val="00214B1A"/>
    <w:rPr>
      <w:color w:val="0000FF"/>
      <w:sz w:val="16"/>
      <w:u w:val="words"/>
      <w:bdr w:val="none" w:sz="0" w:space="0" w:color="auto"/>
      <w:shd w:val="clear" w:color="auto" w:fill="FFFFFF"/>
    </w:rPr>
  </w:style>
  <w:style w:type="paragraph" w:customStyle="1" w:styleId="SX-SOMHead">
    <w:name w:val="SX-SOMHead"/>
    <w:basedOn w:val="SX-RefHead"/>
    <w:rsid w:val="00214B1A"/>
  </w:style>
  <w:style w:type="paragraph" w:customStyle="1" w:styleId="SX-Tablehead">
    <w:name w:val="SX-Tablehead"/>
    <w:basedOn w:val="Normal"/>
    <w:qFormat/>
    <w:rsid w:val="00214B1A"/>
    <w:rPr>
      <w:rFonts w:eastAsia="Times New Roman"/>
      <w:szCs w:val="24"/>
    </w:rPr>
  </w:style>
  <w:style w:type="paragraph" w:customStyle="1" w:styleId="SX-Tablelegend">
    <w:name w:val="SX-Tablelegend"/>
    <w:basedOn w:val="Normal"/>
    <w:qFormat/>
    <w:rsid w:val="00214B1A"/>
    <w:pPr>
      <w:spacing w:line="190" w:lineRule="exact"/>
      <w:ind w:left="245" w:hanging="245"/>
      <w:jc w:val="both"/>
    </w:pPr>
    <w:rPr>
      <w:rFonts w:eastAsia="Times New Roman"/>
      <w:sz w:val="16"/>
    </w:rPr>
  </w:style>
  <w:style w:type="paragraph" w:customStyle="1" w:styleId="SX-Tabletext">
    <w:name w:val="SX-Tabletext"/>
    <w:basedOn w:val="Normal"/>
    <w:qFormat/>
    <w:rsid w:val="00214B1A"/>
    <w:pPr>
      <w:spacing w:line="210" w:lineRule="exact"/>
      <w:jc w:val="center"/>
    </w:pPr>
    <w:rPr>
      <w:rFonts w:eastAsia="Times New Roman"/>
      <w:sz w:val="18"/>
    </w:rPr>
  </w:style>
  <w:style w:type="paragraph" w:customStyle="1" w:styleId="SX-Tabletitle">
    <w:name w:val="SX-Tabletitle"/>
    <w:basedOn w:val="Normal"/>
    <w:qFormat/>
    <w:rsid w:val="00214B1A"/>
    <w:pPr>
      <w:spacing w:after="120" w:line="210" w:lineRule="exact"/>
      <w:jc w:val="both"/>
    </w:pPr>
    <w:rPr>
      <w:rFonts w:ascii="BlissMedium" w:eastAsia="Times New Roman" w:hAnsi="BlissMedium"/>
      <w:sz w:val="18"/>
    </w:rPr>
  </w:style>
  <w:style w:type="paragraph" w:customStyle="1" w:styleId="SX-Title">
    <w:name w:val="SX-Title"/>
    <w:basedOn w:val="Normal"/>
    <w:rsid w:val="00214B1A"/>
    <w:pPr>
      <w:spacing w:after="240" w:line="500" w:lineRule="exact"/>
    </w:pPr>
    <w:rPr>
      <w:rFonts w:ascii="BlissBold" w:eastAsia="Times New Roman" w:hAnsi="BlissBold"/>
      <w:b/>
      <w:sz w:val="44"/>
    </w:rPr>
  </w:style>
  <w:style w:type="paragraph" w:customStyle="1" w:styleId="Tablecolumnhead">
    <w:name w:val="Table column head"/>
    <w:basedOn w:val="BaseText"/>
    <w:rsid w:val="00214B1A"/>
    <w:pPr>
      <w:spacing w:before="0"/>
    </w:pPr>
  </w:style>
  <w:style w:type="paragraph" w:customStyle="1" w:styleId="Tabletext">
    <w:name w:val="Table text"/>
    <w:basedOn w:val="BaseText"/>
    <w:rsid w:val="00214B1A"/>
    <w:pPr>
      <w:spacing w:before="0"/>
    </w:pPr>
  </w:style>
  <w:style w:type="paragraph" w:customStyle="1" w:styleId="TableLegend">
    <w:name w:val="TableLegend"/>
    <w:basedOn w:val="BaseText"/>
    <w:rsid w:val="00214B1A"/>
    <w:pPr>
      <w:spacing w:before="0"/>
    </w:pPr>
  </w:style>
  <w:style w:type="paragraph" w:customStyle="1" w:styleId="TableTitle">
    <w:name w:val="TableTitle"/>
    <w:basedOn w:val="BaseHeading"/>
    <w:rsid w:val="00214B1A"/>
  </w:style>
  <w:style w:type="paragraph" w:customStyle="1" w:styleId="Teaser">
    <w:name w:val="Teaser"/>
    <w:basedOn w:val="BaseText"/>
    <w:rsid w:val="00214B1A"/>
  </w:style>
  <w:style w:type="paragraph" w:customStyle="1" w:styleId="TWIS">
    <w:name w:val="TWIS"/>
    <w:basedOn w:val="AbstractSummary"/>
    <w:rsid w:val="00214B1A"/>
    <w:pPr>
      <w:autoSpaceDE w:val="0"/>
      <w:autoSpaceDN w:val="0"/>
      <w:adjustRightInd w:val="0"/>
    </w:pPr>
  </w:style>
  <w:style w:type="paragraph" w:customStyle="1" w:styleId="TWISorEC">
    <w:name w:val="TWIS or EC"/>
    <w:basedOn w:val="Normal"/>
    <w:rsid w:val="00214B1A"/>
    <w:pPr>
      <w:spacing w:line="210" w:lineRule="exact"/>
    </w:pPr>
    <w:rPr>
      <w:rFonts w:ascii="BlissRegular" w:eastAsia="Times New Roman" w:hAnsi="BlissRegular"/>
      <w:sz w:val="19"/>
    </w:rPr>
  </w:style>
  <w:style w:type="paragraph" w:customStyle="1" w:styleId="work-sector">
    <w:name w:val="work-sector"/>
    <w:basedOn w:val="BaseText"/>
    <w:rsid w:val="00214B1A"/>
    <w:pPr>
      <w:jc w:val="right"/>
    </w:pPr>
    <w:rPr>
      <w:color w:val="003300"/>
    </w:rPr>
  </w:style>
  <w:style w:type="paragraph" w:customStyle="1" w:styleId="DOI">
    <w:name w:val="DOI"/>
    <w:basedOn w:val="DateAccepted"/>
    <w:qFormat/>
    <w:rsid w:val="00214B1A"/>
  </w:style>
  <w:style w:type="character" w:customStyle="1" w:styleId="custom-cit-author">
    <w:name w:val="custom-cit-author"/>
    <w:basedOn w:val="DefaultParagraphFont"/>
    <w:rsid w:val="00214B1A"/>
  </w:style>
  <w:style w:type="character" w:customStyle="1" w:styleId="custom-cit-title">
    <w:name w:val="custom-cit-title"/>
    <w:basedOn w:val="DefaultParagraphFont"/>
    <w:rsid w:val="00214B1A"/>
  </w:style>
  <w:style w:type="character" w:customStyle="1" w:styleId="custom-cit-jour-title">
    <w:name w:val="custom-cit-jour-title"/>
    <w:basedOn w:val="DefaultParagraphFont"/>
    <w:rsid w:val="00214B1A"/>
  </w:style>
  <w:style w:type="character" w:customStyle="1" w:styleId="custom-cit-volume">
    <w:name w:val="custom-cit-volume"/>
    <w:basedOn w:val="DefaultParagraphFont"/>
    <w:rsid w:val="00214B1A"/>
  </w:style>
  <w:style w:type="character" w:customStyle="1" w:styleId="custom-cit-volume-sep">
    <w:name w:val="custom-cit-volume-sep"/>
    <w:basedOn w:val="DefaultParagraphFont"/>
    <w:rsid w:val="00214B1A"/>
  </w:style>
  <w:style w:type="character" w:customStyle="1" w:styleId="custom-cit-fpage">
    <w:name w:val="custom-cit-fpage"/>
    <w:basedOn w:val="DefaultParagraphFont"/>
    <w:rsid w:val="00214B1A"/>
  </w:style>
  <w:style w:type="character" w:customStyle="1" w:styleId="custom-cit-date">
    <w:name w:val="custom-cit-date"/>
    <w:basedOn w:val="DefaultParagraphFont"/>
    <w:rsid w:val="00214B1A"/>
  </w:style>
  <w:style w:type="character" w:customStyle="1" w:styleId="apple-converted-space">
    <w:name w:val="apple-converted-space"/>
    <w:basedOn w:val="DefaultParagraphFont"/>
    <w:rsid w:val="00214B1A"/>
  </w:style>
  <w:style w:type="character" w:customStyle="1" w:styleId="paragraph0">
    <w:name w:val="paragraph"/>
    <w:basedOn w:val="DefaultParagraphFont"/>
    <w:rsid w:val="00214B1A"/>
  </w:style>
  <w:style w:type="paragraph" w:customStyle="1" w:styleId="EndNoteBibliographyTitle">
    <w:name w:val="EndNote Bibliography Title"/>
    <w:basedOn w:val="Normal"/>
    <w:link w:val="EndNoteBibliographyTitleChar"/>
    <w:rsid w:val="00214B1A"/>
    <w:pPr>
      <w:jc w:val="center"/>
    </w:pPr>
    <w:rPr>
      <w:noProof/>
      <w:sz w:val="24"/>
    </w:rPr>
  </w:style>
  <w:style w:type="character" w:customStyle="1" w:styleId="EndNoteBibliographyTitleChar">
    <w:name w:val="EndNote Bibliography Title Char"/>
    <w:basedOn w:val="DefaultParagraphFont"/>
    <w:link w:val="EndNoteBibliographyTitle"/>
    <w:rsid w:val="00214B1A"/>
    <w:rPr>
      <w:rFonts w:ascii="Times New Roman" w:eastAsia="Calibri" w:hAnsi="Times New Roman" w:cs="Times New Roman"/>
      <w:noProof/>
      <w:sz w:val="24"/>
      <w:szCs w:val="20"/>
    </w:rPr>
  </w:style>
  <w:style w:type="paragraph" w:customStyle="1" w:styleId="EndNoteBibliography">
    <w:name w:val="EndNote Bibliography"/>
    <w:basedOn w:val="Normal"/>
    <w:link w:val="EndNoteBibliographyChar"/>
    <w:rsid w:val="00214B1A"/>
    <w:rPr>
      <w:noProof/>
      <w:sz w:val="24"/>
    </w:rPr>
  </w:style>
  <w:style w:type="character" w:customStyle="1" w:styleId="EndNoteBibliographyChar">
    <w:name w:val="EndNote Bibliography Char"/>
    <w:basedOn w:val="DefaultParagraphFont"/>
    <w:link w:val="EndNoteBibliography"/>
    <w:rsid w:val="00214B1A"/>
    <w:rPr>
      <w:rFonts w:ascii="Times New Roman" w:eastAsia="Calibri" w:hAnsi="Times New Roman" w:cs="Times New Roman"/>
      <w:noProof/>
      <w:sz w:val="24"/>
      <w:szCs w:val="20"/>
    </w:rPr>
  </w:style>
  <w:style w:type="paragraph" w:customStyle="1" w:styleId="abstract">
    <w:name w:val="abstract"/>
    <w:basedOn w:val="Normal"/>
    <w:rsid w:val="00214B1A"/>
    <w:pPr>
      <w:spacing w:before="100" w:beforeAutospacing="1" w:after="100" w:afterAutospacing="1"/>
    </w:pPr>
    <w:rPr>
      <w:rFonts w:eastAsia="SimSun"/>
      <w:sz w:val="24"/>
      <w:szCs w:val="24"/>
      <w:lang w:eastAsia="zh-CN"/>
    </w:rPr>
  </w:style>
  <w:style w:type="paragraph" w:styleId="NormalWeb">
    <w:name w:val="Normal (Web)"/>
    <w:basedOn w:val="Normal"/>
    <w:rsid w:val="00214B1A"/>
    <w:pPr>
      <w:spacing w:before="100" w:beforeAutospacing="1" w:after="100" w:afterAutospacing="1"/>
    </w:pPr>
    <w:rPr>
      <w:rFonts w:eastAsia="PMingLiU"/>
      <w:sz w:val="24"/>
      <w:szCs w:val="24"/>
    </w:rPr>
  </w:style>
  <w:style w:type="character" w:customStyle="1" w:styleId="nbapihighlight">
    <w:name w:val="nbapihighlight"/>
    <w:basedOn w:val="DefaultParagraphFont"/>
    <w:rsid w:val="00214B1A"/>
  </w:style>
  <w:style w:type="character" w:customStyle="1" w:styleId="highlight">
    <w:name w:val="highlight"/>
    <w:basedOn w:val="DefaultParagraphFont"/>
    <w:rsid w:val="00214B1A"/>
  </w:style>
  <w:style w:type="table" w:styleId="TableGrid">
    <w:name w:val="Table Grid"/>
    <w:basedOn w:val="TableNormal"/>
    <w:uiPriority w:val="59"/>
    <w:rsid w:val="00214B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14B1A"/>
    <w:pPr>
      <w:spacing w:after="0" w:line="240" w:lineRule="auto"/>
    </w:pPr>
    <w:rPr>
      <w:rFonts w:eastAsiaTheme="minorEastAsia"/>
    </w:rPr>
  </w:style>
  <w:style w:type="paragraph" w:styleId="ListParagraph">
    <w:name w:val="List Paragraph"/>
    <w:basedOn w:val="Normal"/>
    <w:uiPriority w:val="34"/>
    <w:qFormat/>
    <w:rsid w:val="00214B1A"/>
    <w:pPr>
      <w:spacing w:after="200" w:line="276" w:lineRule="auto"/>
      <w:ind w:left="720"/>
      <w:contextualSpacing/>
    </w:pPr>
    <w:rPr>
      <w:rFonts w:asciiTheme="minorHAnsi" w:eastAsiaTheme="minorHAnsi" w:hAnsiTheme="minorHAnsi" w:cstheme="minorBidi"/>
      <w:sz w:val="22"/>
      <w:szCs w:val="22"/>
    </w:rPr>
  </w:style>
  <w:style w:type="paragraph" w:customStyle="1" w:styleId="Style1">
    <w:name w:val="Style1"/>
    <w:basedOn w:val="Normal"/>
    <w:qFormat/>
    <w:rsid w:val="00214B1A"/>
    <w:pPr>
      <w:tabs>
        <w:tab w:val="left" w:pos="1260"/>
        <w:tab w:val="left" w:pos="6840"/>
        <w:tab w:val="left" w:pos="7920"/>
        <w:tab w:val="left" w:pos="10440"/>
      </w:tabs>
      <w:spacing w:after="120"/>
    </w:pPr>
    <w:rPr>
      <w:rFonts w:ascii="Arial" w:eastAsia="Times New Roman" w:hAnsi="Arial" w:cs="Arial"/>
      <w:sz w:val="22"/>
      <w:szCs w:val="22"/>
    </w:rPr>
  </w:style>
  <w:style w:type="paragraph" w:customStyle="1" w:styleId="TAMainText">
    <w:name w:val="TA_Main_Text"/>
    <w:basedOn w:val="Normal"/>
    <w:uiPriority w:val="99"/>
    <w:rsid w:val="00214B1A"/>
    <w:pPr>
      <w:spacing w:line="480" w:lineRule="auto"/>
      <w:ind w:firstLine="202"/>
      <w:jc w:val="both"/>
    </w:pPr>
    <w:rPr>
      <w:rFonts w:ascii="Times" w:eastAsia="Times New Roman" w:hAnsi="Times"/>
      <w:sz w:val="24"/>
    </w:rPr>
  </w:style>
  <w:style w:type="paragraph" w:styleId="PlainText">
    <w:name w:val="Plain Text"/>
    <w:basedOn w:val="Normal"/>
    <w:link w:val="PlainTextChar"/>
    <w:uiPriority w:val="99"/>
    <w:semiHidden/>
    <w:unhideWhenUsed/>
    <w:rsid w:val="00214B1A"/>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214B1A"/>
    <w:rPr>
      <w:rFonts w:ascii="Calibri" w:hAnsi="Calibri"/>
      <w:szCs w:val="21"/>
    </w:rPr>
  </w:style>
  <w:style w:type="paragraph" w:styleId="Revision">
    <w:name w:val="Revision"/>
    <w:hidden/>
    <w:uiPriority w:val="99"/>
    <w:semiHidden/>
    <w:rsid w:val="00214B1A"/>
    <w:pPr>
      <w:spacing w:after="0" w:line="240" w:lineRule="auto"/>
    </w:pPr>
    <w:rPr>
      <w:rFonts w:ascii="Times New Roman" w:eastAsia="Calibri"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810127">
      <w:bodyDiv w:val="1"/>
      <w:marLeft w:val="0"/>
      <w:marRight w:val="0"/>
      <w:marTop w:val="0"/>
      <w:marBottom w:val="0"/>
      <w:divBdr>
        <w:top w:val="none" w:sz="0" w:space="0" w:color="auto"/>
        <w:left w:val="none" w:sz="0" w:space="0" w:color="auto"/>
        <w:bottom w:val="none" w:sz="0" w:space="0" w:color="auto"/>
        <w:right w:val="none" w:sz="0" w:space="0" w:color="auto"/>
      </w:divBdr>
    </w:div>
    <w:div w:id="454835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maq-model.or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2D06ED-D905-40ED-88F0-EE8DFA11E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6350</Words>
  <Characters>36199</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USC</Company>
  <LinksUpToDate>false</LinksUpToDate>
  <CharactersWithSpaces>42465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Finch Lab</dc:creator>
  <cp:lastModifiedBy>Mafalda Cacciottolo</cp:lastModifiedBy>
  <cp:revision>4</cp:revision>
  <dcterms:created xsi:type="dcterms:W3CDTF">2016-11-21T19:40:00Z</dcterms:created>
  <dcterms:modified xsi:type="dcterms:W3CDTF">2016-11-30T04:58:00Z</dcterms:modified>
</cp:coreProperties>
</file>