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37250" w14:textId="1BD6E258" w:rsidR="003C1333" w:rsidRPr="00212E0A" w:rsidRDefault="003C1333" w:rsidP="00286468">
      <w:pPr>
        <w:spacing w:after="0" w:line="360" w:lineRule="auto"/>
        <w:jc w:val="both"/>
        <w:rPr>
          <w:rFonts w:ascii="Arial" w:eastAsia="Arial" w:hAnsi="Arial" w:cs="Arial"/>
          <w:b/>
          <w:lang w:val="en-US"/>
        </w:rPr>
      </w:pPr>
      <w:r w:rsidRPr="00212E0A">
        <w:rPr>
          <w:rFonts w:ascii="Arial" w:eastAsia="Arial" w:hAnsi="Arial" w:cs="Arial"/>
          <w:b/>
          <w:lang w:val="en-US"/>
        </w:rPr>
        <w:t>Behavioral analyses</w:t>
      </w:r>
    </w:p>
    <w:p w14:paraId="45203959" w14:textId="77777777" w:rsidR="00E0153B" w:rsidRPr="00212E0A" w:rsidRDefault="00E0153B" w:rsidP="00286468">
      <w:pPr>
        <w:spacing w:after="0" w:line="360" w:lineRule="auto"/>
        <w:jc w:val="both"/>
        <w:rPr>
          <w:rFonts w:ascii="Arial" w:eastAsia="Arial" w:hAnsi="Arial" w:cs="Arial"/>
          <w:b/>
          <w:i/>
          <w:lang w:val="en-US"/>
        </w:rPr>
      </w:pPr>
      <w:r w:rsidRPr="00212E0A">
        <w:rPr>
          <w:rFonts w:ascii="Arial" w:eastAsia="Arial" w:hAnsi="Arial" w:cs="Arial"/>
          <w:b/>
          <w:i/>
          <w:lang w:val="en-US"/>
        </w:rPr>
        <w:t>Home cage activity</w:t>
      </w:r>
    </w:p>
    <w:p w14:paraId="01AACD37" w14:textId="406A91FD" w:rsidR="005617C7" w:rsidRPr="00212E0A" w:rsidRDefault="00D62485" w:rsidP="00286468">
      <w:pPr>
        <w:spacing w:after="0" w:line="360" w:lineRule="auto"/>
        <w:jc w:val="both"/>
        <w:rPr>
          <w:rFonts w:ascii="Arial" w:eastAsia="Arial" w:hAnsi="Arial" w:cs="Arial"/>
          <w:lang w:val="en-US"/>
        </w:rPr>
      </w:pPr>
      <w:r w:rsidRPr="00212E0A">
        <w:rPr>
          <w:rFonts w:ascii="Arial" w:eastAsia="Arial" w:hAnsi="Arial" w:cs="Arial"/>
          <w:lang w:val="en-US"/>
        </w:rPr>
        <w:t>To assess loc</w:t>
      </w:r>
      <w:r w:rsidR="00AA7351" w:rsidRPr="00212E0A">
        <w:rPr>
          <w:rFonts w:ascii="Arial" w:eastAsia="Arial" w:hAnsi="Arial" w:cs="Arial"/>
          <w:lang w:val="en-US"/>
        </w:rPr>
        <w:t>o</w:t>
      </w:r>
      <w:r w:rsidRPr="00212E0A">
        <w:rPr>
          <w:rFonts w:ascii="Arial" w:eastAsia="Arial" w:hAnsi="Arial" w:cs="Arial"/>
          <w:lang w:val="en-US"/>
        </w:rPr>
        <w:t xml:space="preserve">motor activity in </w:t>
      </w:r>
      <w:r w:rsidR="005617C7" w:rsidRPr="00212E0A">
        <w:rPr>
          <w:rFonts w:ascii="Arial" w:eastAsia="Arial" w:hAnsi="Arial" w:cs="Arial"/>
          <w:lang w:val="en-US"/>
        </w:rPr>
        <w:t>a familiar environment</w:t>
      </w:r>
      <w:r w:rsidRPr="00212E0A">
        <w:rPr>
          <w:rFonts w:ascii="Arial" w:eastAsia="Arial" w:hAnsi="Arial" w:cs="Arial"/>
          <w:lang w:val="en-US"/>
        </w:rPr>
        <w:t xml:space="preserve">, </w:t>
      </w:r>
      <w:r w:rsidR="0089480D" w:rsidRPr="00212E0A">
        <w:rPr>
          <w:rFonts w:ascii="Arial" w:eastAsia="Arial" w:hAnsi="Arial" w:cs="Arial"/>
          <w:lang w:val="en-US"/>
        </w:rPr>
        <w:t>mice were observed in their home cage</w:t>
      </w:r>
      <w:r w:rsidR="00A352E7" w:rsidRPr="00212E0A">
        <w:rPr>
          <w:rFonts w:ascii="Arial" w:eastAsia="Arial" w:hAnsi="Arial" w:cs="Arial"/>
          <w:lang w:val="en-US"/>
        </w:rPr>
        <w:t>s</w:t>
      </w:r>
      <w:r w:rsidR="0089480D" w:rsidRPr="00212E0A">
        <w:rPr>
          <w:rFonts w:ascii="Arial" w:eastAsia="Arial" w:hAnsi="Arial" w:cs="Arial"/>
          <w:lang w:val="en-US"/>
        </w:rPr>
        <w:t xml:space="preserve"> with lids and nesting material being removed. </w:t>
      </w:r>
      <w:r w:rsidR="00475911" w:rsidRPr="00212E0A">
        <w:rPr>
          <w:rFonts w:ascii="Arial" w:eastAsia="Arial" w:hAnsi="Arial" w:cs="Arial"/>
          <w:lang w:val="en-US"/>
        </w:rPr>
        <w:t xml:space="preserve">Cages were placed under a camera in a moderately illuminated room (100 lx) and </w:t>
      </w:r>
      <w:r w:rsidR="0032191C" w:rsidRPr="00212E0A">
        <w:rPr>
          <w:rFonts w:ascii="Arial" w:eastAsia="Arial" w:hAnsi="Arial" w:cs="Arial"/>
          <w:lang w:val="en-US"/>
        </w:rPr>
        <w:t>animals were</w:t>
      </w:r>
      <w:r w:rsidR="00475911" w:rsidRPr="00212E0A">
        <w:rPr>
          <w:rFonts w:ascii="Arial" w:eastAsia="Arial" w:hAnsi="Arial" w:cs="Arial"/>
          <w:lang w:val="en-US"/>
        </w:rPr>
        <w:t xml:space="preserve"> tracked for 30 min using VideoMot2 (TSE Systems, Bad Homburg, Germany). Variables measured included distance traveled, time spent moving and velocity.</w:t>
      </w:r>
    </w:p>
    <w:p w14:paraId="70EA1A31" w14:textId="77777777" w:rsidR="00D62485" w:rsidRPr="00212E0A" w:rsidRDefault="00D62485" w:rsidP="00286468">
      <w:pPr>
        <w:spacing w:after="0" w:line="360" w:lineRule="auto"/>
        <w:jc w:val="both"/>
        <w:rPr>
          <w:rFonts w:ascii="Arial" w:eastAsia="Arial" w:hAnsi="Arial" w:cs="Arial"/>
          <w:lang w:val="en-US"/>
        </w:rPr>
      </w:pPr>
    </w:p>
    <w:p w14:paraId="5FFBCAFA" w14:textId="77777777" w:rsidR="00890F50" w:rsidRPr="00212E0A" w:rsidRDefault="006B25E9" w:rsidP="00286468">
      <w:pPr>
        <w:spacing w:after="0" w:line="360" w:lineRule="auto"/>
        <w:jc w:val="both"/>
        <w:rPr>
          <w:rFonts w:ascii="Arial" w:eastAsia="Arial" w:hAnsi="Arial" w:cs="Arial"/>
          <w:b/>
          <w:i/>
          <w:lang w:val="en-US"/>
        </w:rPr>
      </w:pPr>
      <w:r w:rsidRPr="00212E0A">
        <w:rPr>
          <w:rFonts w:ascii="Arial" w:eastAsia="Arial" w:hAnsi="Arial" w:cs="Arial"/>
          <w:b/>
          <w:i/>
          <w:lang w:val="en-US"/>
        </w:rPr>
        <w:t>Light/</w:t>
      </w:r>
      <w:r w:rsidR="00890F50" w:rsidRPr="00212E0A">
        <w:rPr>
          <w:rFonts w:ascii="Arial" w:eastAsia="Arial" w:hAnsi="Arial" w:cs="Arial"/>
          <w:b/>
          <w:i/>
          <w:lang w:val="en-US"/>
        </w:rPr>
        <w:t>dark box</w:t>
      </w:r>
    </w:p>
    <w:p w14:paraId="59A6C6BD" w14:textId="77777777" w:rsidR="00890F50" w:rsidRPr="00212E0A" w:rsidRDefault="006B25E9" w:rsidP="00286468">
      <w:pPr>
        <w:spacing w:after="0" w:line="360" w:lineRule="auto"/>
        <w:jc w:val="both"/>
        <w:rPr>
          <w:rFonts w:ascii="Arial" w:eastAsia="Arial" w:hAnsi="Arial" w:cs="Arial"/>
          <w:lang w:val="en-US"/>
        </w:rPr>
      </w:pPr>
      <w:r w:rsidRPr="00212E0A">
        <w:rPr>
          <w:rFonts w:ascii="Arial" w:eastAsia="Arial" w:hAnsi="Arial" w:cs="Arial"/>
          <w:lang w:val="en-US"/>
        </w:rPr>
        <w:t>The light/</w:t>
      </w:r>
      <w:r w:rsidR="00890F50" w:rsidRPr="00212E0A">
        <w:rPr>
          <w:rFonts w:ascii="Arial" w:eastAsia="Arial" w:hAnsi="Arial" w:cs="Arial"/>
          <w:lang w:val="en-US"/>
        </w:rPr>
        <w:t xml:space="preserve">dark box (LDB) consisted of a </w:t>
      </w:r>
      <w:r w:rsidR="00ED2412" w:rsidRPr="00212E0A">
        <w:rPr>
          <w:rFonts w:ascii="Arial" w:eastAsia="Verdana" w:hAnsi="Arial" w:cs="Arial"/>
          <w:bCs/>
          <w:lang w:val="en-US"/>
        </w:rPr>
        <w:t xml:space="preserve">transparent Perspex ‘light’ compartment (40x40x27cm) and a black opaque Perspex ‘dark’ compartment (40x20x27cm). The dark chamber contained a small opening at floor level (5x5cm) and was covered by a removable lid. </w:t>
      </w:r>
      <w:r w:rsidR="00890F50" w:rsidRPr="00212E0A">
        <w:rPr>
          <w:rFonts w:ascii="Arial" w:eastAsia="Arial" w:hAnsi="Arial" w:cs="Arial"/>
          <w:lang w:val="en-US"/>
        </w:rPr>
        <w:t>The illumination in the dark</w:t>
      </w:r>
      <w:r w:rsidR="00ED2412" w:rsidRPr="00212E0A">
        <w:rPr>
          <w:rFonts w:ascii="Arial" w:eastAsia="Arial" w:hAnsi="Arial" w:cs="Arial"/>
          <w:lang w:val="en-US"/>
        </w:rPr>
        <w:t xml:space="preserve"> compartment was between 0 and 10</w:t>
      </w:r>
      <w:r w:rsidR="00890F50" w:rsidRPr="00212E0A">
        <w:rPr>
          <w:rFonts w:ascii="Arial" w:eastAsia="Arial" w:hAnsi="Arial" w:cs="Arial"/>
          <w:lang w:val="en-US"/>
        </w:rPr>
        <w:t xml:space="preserve"> lx, whereas illumination in the li</w:t>
      </w:r>
      <w:r w:rsidR="00ED2412" w:rsidRPr="00212E0A">
        <w:rPr>
          <w:rFonts w:ascii="Arial" w:eastAsia="Arial" w:hAnsi="Arial" w:cs="Arial"/>
          <w:lang w:val="en-US"/>
        </w:rPr>
        <w:t>ght</w:t>
      </w:r>
      <w:r w:rsidR="00890F50" w:rsidRPr="00212E0A">
        <w:rPr>
          <w:rFonts w:ascii="Arial" w:eastAsia="Arial" w:hAnsi="Arial" w:cs="Arial"/>
          <w:lang w:val="en-US"/>
        </w:rPr>
        <w:t xml:space="preserve"> compartment was approximately 100 lx. </w:t>
      </w:r>
      <w:r w:rsidR="00ED2412" w:rsidRPr="00212E0A">
        <w:rPr>
          <w:rFonts w:ascii="Arial" w:eastAsia="Arial" w:hAnsi="Arial" w:cs="Arial"/>
          <w:lang w:val="en-US"/>
        </w:rPr>
        <w:t>Mice were</w:t>
      </w:r>
      <w:r w:rsidR="00890F50" w:rsidRPr="00212E0A">
        <w:rPr>
          <w:rFonts w:ascii="Arial" w:eastAsia="Arial" w:hAnsi="Arial" w:cs="Arial"/>
          <w:lang w:val="en-US"/>
        </w:rPr>
        <w:t xml:space="preserve"> placed in the dark section of the box and behavior was automatically recorded with VideoMot2 (TSE Systems, Bad Homburg, Germany) for 10 min. </w:t>
      </w:r>
      <w:r w:rsidR="00EA30FD" w:rsidRPr="00212E0A">
        <w:rPr>
          <w:rFonts w:ascii="Arial" w:eastAsia="Arial" w:hAnsi="Arial" w:cs="Arial"/>
          <w:lang w:val="en-US"/>
        </w:rPr>
        <w:t>T</w:t>
      </w:r>
      <w:r w:rsidR="00CB2D38" w:rsidRPr="00212E0A">
        <w:rPr>
          <w:rFonts w:ascii="Arial" w:eastAsia="Arial" w:hAnsi="Arial" w:cs="Arial"/>
          <w:lang w:val="en-US"/>
        </w:rPr>
        <w:t xml:space="preserve">he </w:t>
      </w:r>
      <w:r w:rsidR="00EB2A68" w:rsidRPr="00212E0A">
        <w:rPr>
          <w:rFonts w:ascii="Arial" w:eastAsia="Arial" w:hAnsi="Arial" w:cs="Arial"/>
          <w:lang w:val="en-US"/>
        </w:rPr>
        <w:t>latency to enter</w:t>
      </w:r>
      <w:r w:rsidR="00EA30FD" w:rsidRPr="00212E0A">
        <w:rPr>
          <w:rFonts w:ascii="Arial" w:eastAsia="Arial" w:hAnsi="Arial" w:cs="Arial"/>
          <w:lang w:val="en-US"/>
        </w:rPr>
        <w:t xml:space="preserve"> the lit compartment as well as the distance traveled </w:t>
      </w:r>
      <w:r w:rsidR="00890F50" w:rsidRPr="00212E0A">
        <w:rPr>
          <w:rFonts w:ascii="Arial" w:eastAsia="Arial" w:hAnsi="Arial" w:cs="Arial"/>
          <w:lang w:val="en-US"/>
        </w:rPr>
        <w:t xml:space="preserve">and </w:t>
      </w:r>
      <w:r w:rsidR="00CB2D38" w:rsidRPr="00212E0A">
        <w:rPr>
          <w:rFonts w:ascii="Arial" w:eastAsia="Arial" w:hAnsi="Arial" w:cs="Arial"/>
          <w:lang w:val="en-US"/>
        </w:rPr>
        <w:t xml:space="preserve">the </w:t>
      </w:r>
      <w:r w:rsidR="00890F50" w:rsidRPr="00212E0A">
        <w:rPr>
          <w:rFonts w:ascii="Arial" w:eastAsia="Arial" w:hAnsi="Arial" w:cs="Arial"/>
          <w:lang w:val="en-US"/>
        </w:rPr>
        <w:t xml:space="preserve">time spent in the lit compartment </w:t>
      </w:r>
      <w:r w:rsidR="00CB2D38" w:rsidRPr="00212E0A">
        <w:rPr>
          <w:rFonts w:ascii="Arial" w:eastAsia="Arial" w:hAnsi="Arial" w:cs="Arial"/>
          <w:lang w:val="en-US"/>
        </w:rPr>
        <w:t xml:space="preserve">were measured to determine </w:t>
      </w:r>
      <w:r w:rsidR="00890F50" w:rsidRPr="00212E0A">
        <w:rPr>
          <w:rFonts w:ascii="Arial" w:eastAsia="Arial" w:hAnsi="Arial" w:cs="Arial"/>
          <w:lang w:val="en-US"/>
        </w:rPr>
        <w:t>anxiety-like behavior.</w:t>
      </w:r>
    </w:p>
    <w:p w14:paraId="6E232C68" w14:textId="77777777" w:rsidR="00890F50" w:rsidRPr="00212E0A" w:rsidRDefault="00890F50" w:rsidP="00286468">
      <w:pPr>
        <w:spacing w:after="0" w:line="360" w:lineRule="auto"/>
        <w:jc w:val="both"/>
        <w:rPr>
          <w:rFonts w:ascii="Arial" w:eastAsia="Arial" w:hAnsi="Arial" w:cs="Arial"/>
          <w:lang w:val="en-US"/>
        </w:rPr>
      </w:pPr>
    </w:p>
    <w:p w14:paraId="566B7343" w14:textId="36F85DAF" w:rsidR="00890F50" w:rsidRPr="00212E0A" w:rsidRDefault="00890F50" w:rsidP="00286468">
      <w:pPr>
        <w:spacing w:after="0" w:line="360" w:lineRule="auto"/>
        <w:jc w:val="both"/>
        <w:rPr>
          <w:rFonts w:ascii="Arial" w:eastAsia="Arial" w:hAnsi="Arial" w:cs="Arial"/>
          <w:b/>
          <w:i/>
          <w:lang w:val="en-US"/>
        </w:rPr>
      </w:pPr>
      <w:r w:rsidRPr="00212E0A">
        <w:rPr>
          <w:rFonts w:ascii="Arial" w:eastAsia="Arial" w:hAnsi="Arial" w:cs="Arial"/>
          <w:b/>
          <w:i/>
          <w:lang w:val="en-US"/>
        </w:rPr>
        <w:t>Open</w:t>
      </w:r>
      <w:r w:rsidR="009509C1" w:rsidRPr="00212E0A">
        <w:rPr>
          <w:rFonts w:ascii="Arial" w:eastAsia="Arial" w:hAnsi="Arial" w:cs="Arial"/>
          <w:b/>
          <w:i/>
          <w:lang w:val="en-US"/>
        </w:rPr>
        <w:t>-</w:t>
      </w:r>
      <w:r w:rsidRPr="00212E0A">
        <w:rPr>
          <w:rFonts w:ascii="Arial" w:eastAsia="Arial" w:hAnsi="Arial" w:cs="Arial"/>
          <w:b/>
          <w:i/>
          <w:lang w:val="en-US"/>
        </w:rPr>
        <w:t>field</w:t>
      </w:r>
      <w:r w:rsidR="009509C1" w:rsidRPr="00212E0A">
        <w:rPr>
          <w:rFonts w:ascii="Arial" w:eastAsia="Arial" w:hAnsi="Arial" w:cs="Arial"/>
          <w:b/>
          <w:i/>
          <w:lang w:val="en-US"/>
        </w:rPr>
        <w:t xml:space="preserve"> test</w:t>
      </w:r>
    </w:p>
    <w:p w14:paraId="7331B750" w14:textId="7C80A6BA" w:rsidR="00D36D0E" w:rsidRPr="00212E0A" w:rsidRDefault="00890F50" w:rsidP="00286468">
      <w:pPr>
        <w:spacing w:after="0" w:line="360" w:lineRule="auto"/>
        <w:jc w:val="both"/>
        <w:rPr>
          <w:rFonts w:ascii="Arial" w:eastAsia="Arial" w:hAnsi="Arial" w:cs="Arial"/>
          <w:lang w:val="en-US"/>
        </w:rPr>
      </w:pPr>
      <w:r w:rsidRPr="00212E0A">
        <w:rPr>
          <w:rFonts w:ascii="Arial" w:eastAsia="Arial" w:hAnsi="Arial" w:cs="Arial"/>
          <w:lang w:val="en-US"/>
        </w:rPr>
        <w:t>The</w:t>
      </w:r>
      <w:r w:rsidR="00E4684A" w:rsidRPr="00212E0A">
        <w:rPr>
          <w:rFonts w:ascii="Arial" w:eastAsia="Arial" w:hAnsi="Arial" w:cs="Arial"/>
          <w:lang w:val="en-US"/>
        </w:rPr>
        <w:t xml:space="preserve"> open</w:t>
      </w:r>
      <w:r w:rsidR="009509C1" w:rsidRPr="00212E0A">
        <w:rPr>
          <w:rFonts w:ascii="Arial" w:eastAsia="Arial" w:hAnsi="Arial" w:cs="Arial"/>
          <w:lang w:val="en-US"/>
        </w:rPr>
        <w:t>-</w:t>
      </w:r>
      <w:r w:rsidR="00E4684A" w:rsidRPr="00212E0A">
        <w:rPr>
          <w:rFonts w:ascii="Arial" w:eastAsia="Arial" w:hAnsi="Arial" w:cs="Arial"/>
          <w:lang w:val="en-US"/>
        </w:rPr>
        <w:t>field (OF) consisted of a black</w:t>
      </w:r>
      <w:r w:rsidRPr="00212E0A">
        <w:rPr>
          <w:rFonts w:ascii="Arial" w:eastAsia="Arial" w:hAnsi="Arial" w:cs="Arial"/>
          <w:lang w:val="en-US"/>
        </w:rPr>
        <w:t xml:space="preserve"> quadratic box (50x50x40 cm) se</w:t>
      </w:r>
      <w:r w:rsidR="00E31623" w:rsidRPr="00212E0A">
        <w:rPr>
          <w:rFonts w:ascii="Arial" w:eastAsia="Arial" w:hAnsi="Arial" w:cs="Arial"/>
          <w:lang w:val="en-US"/>
        </w:rPr>
        <w:t xml:space="preserve">mi-permeable to infrared light </w:t>
      </w:r>
      <w:r w:rsidR="00C956CC" w:rsidRPr="00212E0A">
        <w:rPr>
          <w:rFonts w:ascii="Arial" w:eastAsia="Arial" w:hAnsi="Arial" w:cs="Arial"/>
          <w:lang w:val="en-US"/>
        </w:rPr>
        <w:t xml:space="preserve">(Post et al., 2011). Illumination at floor level was </w:t>
      </w:r>
      <w:r w:rsidRPr="00212E0A">
        <w:rPr>
          <w:rFonts w:ascii="Arial" w:eastAsia="Arial" w:hAnsi="Arial" w:cs="Arial"/>
          <w:lang w:val="en-US"/>
        </w:rPr>
        <w:t xml:space="preserve">between 50 and 100 lx </w:t>
      </w:r>
      <w:r w:rsidR="00C956CC" w:rsidRPr="00212E0A">
        <w:rPr>
          <w:rFonts w:ascii="Arial" w:eastAsia="Arial" w:hAnsi="Arial" w:cs="Arial"/>
          <w:lang w:val="en-US"/>
        </w:rPr>
        <w:t>(</w:t>
      </w:r>
      <w:r w:rsidRPr="00212E0A">
        <w:rPr>
          <w:rFonts w:ascii="Arial" w:eastAsia="Arial" w:hAnsi="Arial" w:cs="Arial"/>
          <w:lang w:val="en-US"/>
        </w:rPr>
        <w:t xml:space="preserve">from the walls to the center of the arena). </w:t>
      </w:r>
      <w:r w:rsidR="00CD2372" w:rsidRPr="00212E0A">
        <w:rPr>
          <w:rFonts w:ascii="Arial" w:eastAsia="Arial" w:hAnsi="Arial" w:cs="Arial"/>
          <w:lang w:val="en-US"/>
        </w:rPr>
        <w:t xml:space="preserve">The arena was divided into a </w:t>
      </w:r>
      <w:r w:rsidR="00062B0B" w:rsidRPr="00212E0A">
        <w:rPr>
          <w:rFonts w:ascii="Arial" w:eastAsia="Arial" w:hAnsi="Arial" w:cs="Arial"/>
          <w:lang w:val="en-US"/>
        </w:rPr>
        <w:t>30x30</w:t>
      </w:r>
      <w:r w:rsidR="00CD2372" w:rsidRPr="00212E0A">
        <w:rPr>
          <w:rFonts w:ascii="Arial" w:eastAsia="Arial" w:hAnsi="Arial" w:cs="Arial"/>
          <w:lang w:val="en-US"/>
        </w:rPr>
        <w:t xml:space="preserve"> cm center zone and the surrounding periphery. </w:t>
      </w:r>
      <w:r w:rsidRPr="00212E0A">
        <w:rPr>
          <w:rFonts w:ascii="Arial" w:eastAsia="Arial" w:hAnsi="Arial" w:cs="Arial"/>
          <w:lang w:val="en-US"/>
        </w:rPr>
        <w:t xml:space="preserve">Mice were individually placed in one corner of the arena and automatically recorded </w:t>
      </w:r>
      <w:r w:rsidR="00E31623" w:rsidRPr="00212E0A">
        <w:rPr>
          <w:rFonts w:ascii="Arial" w:eastAsia="Arial" w:hAnsi="Arial" w:cs="Arial"/>
          <w:lang w:val="en-US"/>
        </w:rPr>
        <w:t>for</w:t>
      </w:r>
      <w:r w:rsidRPr="00212E0A">
        <w:rPr>
          <w:rFonts w:ascii="Arial" w:eastAsia="Arial" w:hAnsi="Arial" w:cs="Arial"/>
          <w:lang w:val="en-US"/>
        </w:rPr>
        <w:t xml:space="preserve"> 30</w:t>
      </w:r>
      <w:r w:rsidR="00E31623" w:rsidRPr="00212E0A">
        <w:rPr>
          <w:rFonts w:ascii="Arial" w:eastAsia="Arial" w:hAnsi="Arial" w:cs="Arial"/>
          <w:lang w:val="en-US"/>
        </w:rPr>
        <w:t xml:space="preserve"> </w:t>
      </w:r>
      <w:r w:rsidRPr="00212E0A">
        <w:rPr>
          <w:rFonts w:ascii="Arial" w:eastAsia="Arial" w:hAnsi="Arial" w:cs="Arial"/>
          <w:lang w:val="en-US"/>
        </w:rPr>
        <w:t xml:space="preserve">min </w:t>
      </w:r>
      <w:r w:rsidR="00E31623" w:rsidRPr="00212E0A">
        <w:rPr>
          <w:rFonts w:ascii="Arial" w:eastAsia="Arial" w:hAnsi="Arial" w:cs="Arial"/>
          <w:lang w:val="en-US"/>
        </w:rPr>
        <w:t>using</w:t>
      </w:r>
      <w:r w:rsidRPr="00212E0A">
        <w:rPr>
          <w:rFonts w:ascii="Arial" w:eastAsia="Arial" w:hAnsi="Arial" w:cs="Arial"/>
          <w:lang w:val="en-US"/>
        </w:rPr>
        <w:t xml:space="preserve"> VideoMot2 (TSE Systems, Bad Homburg, Germany). </w:t>
      </w:r>
      <w:r w:rsidR="00D36D0E" w:rsidRPr="00212E0A">
        <w:rPr>
          <w:rFonts w:ascii="Arial" w:eastAsia="Arial" w:hAnsi="Arial" w:cs="Arial"/>
          <w:lang w:val="en-US"/>
        </w:rPr>
        <w:t>The distance traveled, time spent moving and velocity were used to evaluate locomotor activity; the number of center crossings and the time spent in the center of the arena were measured to determine anxiety-like behavior.</w:t>
      </w:r>
    </w:p>
    <w:p w14:paraId="5552806E" w14:textId="77777777" w:rsidR="00890F50" w:rsidRPr="00212E0A" w:rsidRDefault="00890F50" w:rsidP="00286468">
      <w:pPr>
        <w:spacing w:after="0" w:line="360" w:lineRule="auto"/>
        <w:jc w:val="both"/>
        <w:rPr>
          <w:rFonts w:ascii="Arial" w:eastAsia="Arial" w:hAnsi="Arial" w:cs="Arial"/>
          <w:lang w:val="en-US"/>
        </w:rPr>
      </w:pPr>
    </w:p>
    <w:p w14:paraId="5915EC47" w14:textId="77777777" w:rsidR="00890F50" w:rsidRPr="00212E0A" w:rsidRDefault="00890F50" w:rsidP="00286468">
      <w:pPr>
        <w:spacing w:after="0" w:line="360" w:lineRule="auto"/>
        <w:jc w:val="both"/>
        <w:rPr>
          <w:rFonts w:ascii="Arial" w:eastAsia="Arial" w:hAnsi="Arial" w:cs="Arial"/>
          <w:b/>
          <w:i/>
          <w:lang w:val="en-US"/>
        </w:rPr>
      </w:pPr>
      <w:r w:rsidRPr="00212E0A">
        <w:rPr>
          <w:rFonts w:ascii="Arial" w:eastAsia="Arial" w:hAnsi="Arial" w:cs="Arial"/>
          <w:b/>
          <w:i/>
          <w:lang w:val="en-US"/>
        </w:rPr>
        <w:t>Sociability and preference for social novelty</w:t>
      </w:r>
    </w:p>
    <w:p w14:paraId="39164459" w14:textId="18BD80D3" w:rsidR="00890F50" w:rsidRPr="00212E0A" w:rsidRDefault="00890F50" w:rsidP="00286468">
      <w:pPr>
        <w:spacing w:after="0" w:line="360" w:lineRule="auto"/>
        <w:jc w:val="both"/>
        <w:rPr>
          <w:rFonts w:ascii="Arial" w:eastAsia="Arial" w:hAnsi="Arial" w:cs="Arial"/>
          <w:lang w:val="en-US"/>
        </w:rPr>
      </w:pPr>
      <w:r w:rsidRPr="00212E0A">
        <w:rPr>
          <w:rFonts w:ascii="Arial" w:eastAsia="Arial" w:hAnsi="Arial" w:cs="Arial"/>
          <w:lang w:val="en-US"/>
        </w:rPr>
        <w:t>The test apparatus was a black quadratic open</w:t>
      </w:r>
      <w:r w:rsidR="00212E0A" w:rsidRPr="00212E0A">
        <w:rPr>
          <w:rFonts w:ascii="Arial" w:eastAsia="Arial" w:hAnsi="Arial" w:cs="Arial"/>
          <w:lang w:val="en-US"/>
        </w:rPr>
        <w:t>-</w:t>
      </w:r>
      <w:r w:rsidRPr="00212E0A">
        <w:rPr>
          <w:rFonts w:ascii="Arial" w:eastAsia="Arial" w:hAnsi="Arial" w:cs="Arial"/>
          <w:lang w:val="en-US"/>
        </w:rPr>
        <w:t>field (50x50x40 cm) semi-permeable to infrared light. Mice were habituated to th</w:t>
      </w:r>
      <w:r w:rsidR="00573E92" w:rsidRPr="00212E0A">
        <w:rPr>
          <w:rFonts w:ascii="Arial" w:eastAsia="Arial" w:hAnsi="Arial" w:cs="Arial"/>
          <w:lang w:val="en-US"/>
        </w:rPr>
        <w:t xml:space="preserve">e chamber during the 30 </w:t>
      </w:r>
      <w:r w:rsidRPr="00212E0A">
        <w:rPr>
          <w:rFonts w:ascii="Arial" w:eastAsia="Arial" w:hAnsi="Arial" w:cs="Arial"/>
          <w:lang w:val="en-US"/>
        </w:rPr>
        <w:t xml:space="preserve">min OF test, which was performed </w:t>
      </w:r>
      <w:r w:rsidR="00573E92" w:rsidRPr="00212E0A">
        <w:rPr>
          <w:rFonts w:ascii="Arial" w:eastAsia="Arial" w:hAnsi="Arial" w:cs="Arial"/>
          <w:lang w:val="en-US"/>
        </w:rPr>
        <w:t>three days before the two</w:t>
      </w:r>
      <w:r w:rsidRPr="00212E0A">
        <w:rPr>
          <w:rFonts w:ascii="Arial" w:eastAsia="Arial" w:hAnsi="Arial" w:cs="Arial"/>
          <w:lang w:val="en-US"/>
        </w:rPr>
        <w:t>-trial social interaction test. In the first trial (sociability test), mice were giv</w:t>
      </w:r>
      <w:r w:rsidR="0084283B" w:rsidRPr="00212E0A">
        <w:rPr>
          <w:rFonts w:ascii="Arial" w:eastAsia="Arial" w:hAnsi="Arial" w:cs="Arial"/>
          <w:lang w:val="en-US"/>
        </w:rPr>
        <w:t>en a choice between exploring a small empty wire cage or an identical enclosure containing an unfamiliar mouse.</w:t>
      </w:r>
      <w:r w:rsidRPr="00212E0A">
        <w:rPr>
          <w:rFonts w:ascii="Arial" w:eastAsia="Arial" w:hAnsi="Arial" w:cs="Arial"/>
          <w:lang w:val="en-US"/>
        </w:rPr>
        <w:t xml:space="preserve"> The small cages were located in the upper left and upper right corner of the OF and the position of the cage containing the stranger mouse vs. the empty cage was randomly alternated between animals to prevent possible effects of </w:t>
      </w:r>
      <w:r w:rsidRPr="00212E0A">
        <w:rPr>
          <w:rFonts w:ascii="Arial" w:eastAsia="Arial" w:hAnsi="Arial" w:cs="Arial"/>
          <w:lang w:val="en-US"/>
        </w:rPr>
        <w:lastRenderedPageBreak/>
        <w:t>side preference. In the second trial (preference for social novelty</w:t>
      </w:r>
      <w:r w:rsidR="009B418A" w:rsidRPr="00212E0A">
        <w:rPr>
          <w:rFonts w:ascii="Arial" w:eastAsia="Arial" w:hAnsi="Arial" w:cs="Arial"/>
          <w:lang w:val="en-US"/>
        </w:rPr>
        <w:t xml:space="preserve"> test</w:t>
      </w:r>
      <w:r w:rsidRPr="00212E0A">
        <w:rPr>
          <w:rFonts w:ascii="Arial" w:eastAsia="Arial" w:hAnsi="Arial" w:cs="Arial"/>
          <w:lang w:val="en-US"/>
        </w:rPr>
        <w:t xml:space="preserve">), mice were given a choice between exploring the first, now familiar mouse or a novel, unfamiliar mouse. </w:t>
      </w:r>
      <w:r w:rsidR="001C38B8" w:rsidRPr="00212E0A">
        <w:rPr>
          <w:rFonts w:ascii="Arial" w:eastAsia="Arial" w:hAnsi="Arial" w:cs="Arial"/>
          <w:lang w:val="en-US"/>
        </w:rPr>
        <w:t>The b</w:t>
      </w:r>
      <w:r w:rsidRPr="00212E0A">
        <w:rPr>
          <w:rFonts w:ascii="Arial" w:eastAsia="Arial" w:hAnsi="Arial" w:cs="Arial"/>
          <w:lang w:val="en-US"/>
        </w:rPr>
        <w:t xml:space="preserve">ehavior </w:t>
      </w:r>
      <w:r w:rsidR="001C38B8" w:rsidRPr="00212E0A">
        <w:rPr>
          <w:rFonts w:ascii="Arial" w:eastAsia="Arial" w:hAnsi="Arial" w:cs="Arial"/>
          <w:lang w:val="en-US"/>
        </w:rPr>
        <w:t xml:space="preserve">in both 10 min trials </w:t>
      </w:r>
      <w:r w:rsidRPr="00212E0A">
        <w:rPr>
          <w:rFonts w:ascii="Arial" w:eastAsia="Arial" w:hAnsi="Arial" w:cs="Arial"/>
          <w:lang w:val="en-US"/>
        </w:rPr>
        <w:t xml:space="preserve">was recorded </w:t>
      </w:r>
      <w:r w:rsidR="001C38B8" w:rsidRPr="00212E0A">
        <w:rPr>
          <w:rFonts w:ascii="Arial" w:eastAsia="Arial" w:hAnsi="Arial" w:cs="Arial"/>
          <w:lang w:val="en-US"/>
        </w:rPr>
        <w:t>using</w:t>
      </w:r>
      <w:r w:rsidRPr="00212E0A">
        <w:rPr>
          <w:rFonts w:ascii="Arial" w:eastAsia="Arial" w:hAnsi="Arial" w:cs="Arial"/>
          <w:lang w:val="en-US"/>
        </w:rPr>
        <w:t xml:space="preserve"> VideoMot2 (TSE Systems, Bad Homburg, Germany). </w:t>
      </w:r>
      <w:r w:rsidR="001C38B8" w:rsidRPr="00212E0A">
        <w:rPr>
          <w:rFonts w:ascii="Arial" w:eastAsia="Arial" w:hAnsi="Arial" w:cs="Arial"/>
          <w:lang w:val="en-US"/>
        </w:rPr>
        <w:t>The d</w:t>
      </w:r>
      <w:r w:rsidRPr="00212E0A">
        <w:rPr>
          <w:rFonts w:ascii="Arial" w:eastAsia="Arial" w:hAnsi="Arial" w:cs="Arial"/>
          <w:lang w:val="en-US"/>
        </w:rPr>
        <w:t xml:space="preserve">istance </w:t>
      </w:r>
      <w:r w:rsidR="001C38B8" w:rsidRPr="00212E0A">
        <w:rPr>
          <w:rFonts w:ascii="Arial" w:eastAsia="Arial" w:hAnsi="Arial" w:cs="Arial"/>
          <w:lang w:val="en-US"/>
        </w:rPr>
        <w:t xml:space="preserve">traveled, </w:t>
      </w:r>
      <w:r w:rsidRPr="00212E0A">
        <w:rPr>
          <w:rFonts w:ascii="Arial" w:eastAsia="Arial" w:hAnsi="Arial" w:cs="Arial"/>
          <w:lang w:val="en-US"/>
        </w:rPr>
        <w:t>number of visits and time spent in each interaction zone (empty vs. mouse and familiar vs. novel, respectively)</w:t>
      </w:r>
      <w:r w:rsidR="0084283B" w:rsidRPr="00212E0A">
        <w:rPr>
          <w:rFonts w:ascii="Arial" w:eastAsia="Arial" w:hAnsi="Arial" w:cs="Arial"/>
          <w:lang w:val="en-US"/>
        </w:rPr>
        <w:t xml:space="preserve"> were measured to evaluate social interaction and social memory.</w:t>
      </w:r>
    </w:p>
    <w:p w14:paraId="2648DB08" w14:textId="77777777" w:rsidR="00C50CF1" w:rsidRPr="00212E0A" w:rsidRDefault="00C50CF1" w:rsidP="00286468">
      <w:pPr>
        <w:spacing w:after="0" w:line="360" w:lineRule="auto"/>
        <w:jc w:val="both"/>
        <w:rPr>
          <w:rFonts w:ascii="Arial" w:eastAsia="Arial" w:hAnsi="Arial" w:cs="Arial"/>
          <w:lang w:val="en-US"/>
        </w:rPr>
      </w:pPr>
    </w:p>
    <w:p w14:paraId="54078D6F" w14:textId="77777777" w:rsidR="00C50CF1" w:rsidRPr="00212E0A" w:rsidRDefault="00C50CF1" w:rsidP="00286468">
      <w:pPr>
        <w:spacing w:after="0" w:line="360" w:lineRule="auto"/>
        <w:jc w:val="both"/>
        <w:rPr>
          <w:rFonts w:ascii="Arial" w:eastAsia="Arial" w:hAnsi="Arial" w:cs="Arial"/>
          <w:b/>
          <w:i/>
          <w:lang w:val="en-US"/>
        </w:rPr>
      </w:pPr>
      <w:r w:rsidRPr="00212E0A">
        <w:rPr>
          <w:rFonts w:ascii="Arial" w:eastAsia="Arial" w:hAnsi="Arial" w:cs="Arial"/>
          <w:b/>
          <w:i/>
          <w:lang w:val="en-US"/>
        </w:rPr>
        <w:t>Marble burying</w:t>
      </w:r>
    </w:p>
    <w:p w14:paraId="40C9B8C3" w14:textId="77777777" w:rsidR="00C50CF1" w:rsidRPr="00212E0A" w:rsidRDefault="00C50CF1" w:rsidP="00286468">
      <w:pPr>
        <w:spacing w:after="0" w:line="360" w:lineRule="auto"/>
        <w:jc w:val="both"/>
        <w:rPr>
          <w:rFonts w:ascii="Arial" w:eastAsia="Arial" w:hAnsi="Arial" w:cs="Arial"/>
          <w:lang w:val="en-US"/>
        </w:rPr>
      </w:pPr>
      <w:r w:rsidRPr="00212E0A">
        <w:rPr>
          <w:rFonts w:ascii="Arial" w:eastAsia="Arial" w:hAnsi="Arial" w:cs="Arial"/>
          <w:lang w:val="en-US"/>
        </w:rPr>
        <w:t xml:space="preserve">The marble burying test is a common test to assess anxiety- and compulsive-like behaviors. Mice were individually placed into </w:t>
      </w:r>
      <w:proofErr w:type="spellStart"/>
      <w:r w:rsidR="00F708B1" w:rsidRPr="00212E0A">
        <w:rPr>
          <w:rFonts w:ascii="Arial" w:eastAsia="Arial" w:hAnsi="Arial" w:cs="Arial"/>
          <w:lang w:val="en-US"/>
        </w:rPr>
        <w:t>Makrolon</w:t>
      </w:r>
      <w:proofErr w:type="spellEnd"/>
      <w:r w:rsidR="00F708B1" w:rsidRPr="00212E0A">
        <w:rPr>
          <w:rFonts w:ascii="Arial" w:eastAsia="Arial" w:hAnsi="Arial" w:cs="Arial"/>
          <w:lang w:val="en-US"/>
        </w:rPr>
        <w:t xml:space="preserve"> type III </w:t>
      </w:r>
      <w:r w:rsidRPr="00212E0A">
        <w:rPr>
          <w:rFonts w:ascii="Arial" w:eastAsia="Arial" w:hAnsi="Arial" w:cs="Arial"/>
          <w:lang w:val="en-US"/>
        </w:rPr>
        <w:t xml:space="preserve">cages (42.5x26.6x15.5 cm) filled with clean bedding to a depth of </w:t>
      </w:r>
      <w:r w:rsidR="006B0C09" w:rsidRPr="00212E0A">
        <w:rPr>
          <w:rFonts w:ascii="Arial" w:eastAsia="Arial" w:hAnsi="Arial" w:cs="Arial"/>
          <w:lang w:val="en-US"/>
        </w:rPr>
        <w:t>3</w:t>
      </w:r>
      <w:r w:rsidR="003A1480" w:rsidRPr="00212E0A">
        <w:rPr>
          <w:rFonts w:ascii="Arial" w:eastAsia="Arial" w:hAnsi="Arial" w:cs="Arial"/>
          <w:lang w:val="en-US"/>
        </w:rPr>
        <w:t xml:space="preserve"> </w:t>
      </w:r>
      <w:r w:rsidRPr="00212E0A">
        <w:rPr>
          <w:rFonts w:ascii="Arial" w:eastAsia="Arial" w:hAnsi="Arial" w:cs="Arial"/>
          <w:lang w:val="en-US"/>
        </w:rPr>
        <w:t>cm and 15 identical glass marbles that were evenly spaced across the bedding surface. After 30 min,</w:t>
      </w:r>
      <w:r w:rsidR="00F708B1" w:rsidRPr="00212E0A">
        <w:rPr>
          <w:rFonts w:ascii="Arial" w:eastAsia="Arial" w:hAnsi="Arial" w:cs="Arial"/>
          <w:lang w:val="en-US"/>
        </w:rPr>
        <w:t xml:space="preserve"> mice were returned to the home </w:t>
      </w:r>
      <w:r w:rsidRPr="00212E0A">
        <w:rPr>
          <w:rFonts w:ascii="Arial" w:eastAsia="Arial" w:hAnsi="Arial" w:cs="Arial"/>
          <w:lang w:val="en-US"/>
        </w:rPr>
        <w:t xml:space="preserve">cage and all marbles covered </w:t>
      </w:r>
      <w:r w:rsidR="00F708B1" w:rsidRPr="00212E0A">
        <w:rPr>
          <w:rFonts w:ascii="Arial" w:eastAsia="Arial" w:hAnsi="Arial" w:cs="Arial"/>
          <w:lang w:val="en-US"/>
        </w:rPr>
        <w:t>with</w:t>
      </w:r>
      <w:r w:rsidRPr="00212E0A">
        <w:rPr>
          <w:rFonts w:ascii="Arial" w:eastAsia="Arial" w:hAnsi="Arial" w:cs="Arial"/>
          <w:lang w:val="en-US"/>
        </w:rPr>
        <w:t xml:space="preserve"> bedding to two-thirds or more were scored as buried.</w:t>
      </w:r>
    </w:p>
    <w:p w14:paraId="15C1D7BA" w14:textId="77777777" w:rsidR="00C50CF1" w:rsidRPr="00212E0A" w:rsidRDefault="00C50CF1" w:rsidP="00286468">
      <w:pPr>
        <w:spacing w:after="0" w:line="360" w:lineRule="auto"/>
        <w:jc w:val="both"/>
        <w:rPr>
          <w:rFonts w:ascii="Arial" w:eastAsia="Arial" w:hAnsi="Arial" w:cs="Arial"/>
          <w:i/>
          <w:lang w:val="en-US"/>
        </w:rPr>
      </w:pPr>
    </w:p>
    <w:p w14:paraId="487DA79A" w14:textId="77777777" w:rsidR="00C50CF1" w:rsidRPr="00212E0A" w:rsidRDefault="00C50CF1" w:rsidP="00286468">
      <w:pPr>
        <w:spacing w:after="0" w:line="360" w:lineRule="auto"/>
        <w:jc w:val="both"/>
        <w:rPr>
          <w:rFonts w:ascii="Arial" w:eastAsia="Arial" w:hAnsi="Arial" w:cs="Arial"/>
          <w:b/>
          <w:i/>
          <w:lang w:val="en-US"/>
        </w:rPr>
      </w:pPr>
      <w:r w:rsidRPr="00212E0A">
        <w:rPr>
          <w:rFonts w:ascii="Arial" w:eastAsia="Arial" w:hAnsi="Arial" w:cs="Arial"/>
          <w:b/>
          <w:i/>
          <w:lang w:val="en-US"/>
        </w:rPr>
        <w:t>Novelty-suppressed feeding</w:t>
      </w:r>
    </w:p>
    <w:p w14:paraId="17939F28" w14:textId="5E27E218" w:rsidR="00C50CF1" w:rsidRPr="00212E0A" w:rsidRDefault="00C50CF1" w:rsidP="00286468">
      <w:pPr>
        <w:spacing w:after="0" w:line="360" w:lineRule="auto"/>
        <w:jc w:val="both"/>
        <w:rPr>
          <w:rFonts w:ascii="Arial" w:eastAsia="Arial" w:hAnsi="Arial" w:cs="Arial"/>
          <w:lang w:val="en-US"/>
        </w:rPr>
      </w:pPr>
      <w:r w:rsidRPr="00212E0A">
        <w:rPr>
          <w:rFonts w:ascii="Arial" w:eastAsia="Arial" w:hAnsi="Arial" w:cs="Arial"/>
          <w:lang w:val="en-US"/>
        </w:rPr>
        <w:t>The novelty-suppressed feeding (NSF) test is based on a conflict between food-seeking induced by hunger and the aversion to explore a novel, brightly illuminated environment (</w:t>
      </w:r>
      <w:proofErr w:type="spellStart"/>
      <w:r w:rsidRPr="00212E0A">
        <w:rPr>
          <w:rFonts w:ascii="Arial" w:eastAsia="Arial" w:hAnsi="Arial" w:cs="Arial"/>
          <w:lang w:val="en-US"/>
        </w:rPr>
        <w:t>Dulawa</w:t>
      </w:r>
      <w:proofErr w:type="spellEnd"/>
      <w:r w:rsidRPr="00212E0A">
        <w:rPr>
          <w:rFonts w:ascii="Arial" w:eastAsia="Arial" w:hAnsi="Arial" w:cs="Arial"/>
          <w:lang w:val="en-US"/>
        </w:rPr>
        <w:t xml:space="preserve"> and Hen, 2005). Food-deprived mice were placed in a corner of a </w:t>
      </w:r>
      <w:r w:rsidR="0054564A" w:rsidRPr="00212E0A">
        <w:rPr>
          <w:rFonts w:ascii="Arial" w:eastAsia="Arial" w:hAnsi="Arial" w:cs="Arial"/>
          <w:lang w:val="en-US"/>
        </w:rPr>
        <w:t xml:space="preserve">white quadratic </w:t>
      </w:r>
      <w:r w:rsidRPr="00212E0A">
        <w:rPr>
          <w:rFonts w:ascii="Arial" w:eastAsia="Arial" w:hAnsi="Arial" w:cs="Arial"/>
          <w:lang w:val="en-US"/>
        </w:rPr>
        <w:t>arena (50x50x40 cm</w:t>
      </w:r>
      <w:r w:rsidR="0054564A" w:rsidRPr="00212E0A">
        <w:rPr>
          <w:rFonts w:ascii="Arial" w:eastAsia="Arial" w:hAnsi="Arial" w:cs="Arial"/>
          <w:lang w:val="en-US"/>
        </w:rPr>
        <w:t>; ~100 lx</w:t>
      </w:r>
      <w:r w:rsidRPr="00212E0A">
        <w:rPr>
          <w:rFonts w:ascii="Arial" w:eastAsia="Arial" w:hAnsi="Arial" w:cs="Arial"/>
          <w:lang w:val="en-US"/>
        </w:rPr>
        <w:t xml:space="preserve">) </w:t>
      </w:r>
      <w:r w:rsidR="0054564A" w:rsidRPr="00212E0A">
        <w:rPr>
          <w:rFonts w:ascii="Arial" w:eastAsia="Arial" w:hAnsi="Arial" w:cs="Arial"/>
          <w:lang w:val="en-US"/>
        </w:rPr>
        <w:t>containing</w:t>
      </w:r>
      <w:r w:rsidRPr="00212E0A">
        <w:rPr>
          <w:rFonts w:ascii="Arial" w:eastAsia="Arial" w:hAnsi="Arial" w:cs="Arial"/>
          <w:lang w:val="en-US"/>
        </w:rPr>
        <w:t xml:space="preserve"> a single food pellet (~2.5 g)</w:t>
      </w:r>
      <w:r w:rsidR="0054564A" w:rsidRPr="00212E0A">
        <w:rPr>
          <w:rFonts w:ascii="Arial" w:eastAsia="Arial" w:hAnsi="Arial" w:cs="Arial"/>
          <w:lang w:val="en-US"/>
        </w:rPr>
        <w:t xml:space="preserve"> on a petri dish</w:t>
      </w:r>
      <w:r w:rsidRPr="00212E0A">
        <w:rPr>
          <w:rFonts w:ascii="Arial" w:eastAsia="Arial" w:hAnsi="Arial" w:cs="Arial"/>
          <w:lang w:val="en-US"/>
        </w:rPr>
        <w:t xml:space="preserve"> located in the center of the box. </w:t>
      </w:r>
      <w:r w:rsidR="006D1DED" w:rsidRPr="00212E0A">
        <w:rPr>
          <w:rFonts w:ascii="Arial" w:eastAsia="Arial" w:hAnsi="Arial" w:cs="Arial"/>
          <w:lang w:val="en-US"/>
        </w:rPr>
        <w:t xml:space="preserve">After a test duration of 5 min, </w:t>
      </w:r>
      <w:r w:rsidRPr="00212E0A">
        <w:rPr>
          <w:rFonts w:ascii="Arial" w:eastAsia="Arial" w:hAnsi="Arial" w:cs="Arial"/>
          <w:lang w:val="en-US"/>
        </w:rPr>
        <w:t xml:space="preserve">mice </w:t>
      </w:r>
      <w:proofErr w:type="gramStart"/>
      <w:r w:rsidRPr="00212E0A">
        <w:rPr>
          <w:rFonts w:ascii="Arial" w:eastAsia="Arial" w:hAnsi="Arial" w:cs="Arial"/>
          <w:lang w:val="en-US"/>
        </w:rPr>
        <w:t xml:space="preserve">were </w:t>
      </w:r>
      <w:r w:rsidR="006D1DED" w:rsidRPr="00212E0A">
        <w:rPr>
          <w:rFonts w:ascii="Arial" w:eastAsia="Arial" w:hAnsi="Arial" w:cs="Arial"/>
          <w:lang w:val="en-US"/>
        </w:rPr>
        <w:t>returned to their home cage</w:t>
      </w:r>
      <w:r w:rsidRPr="00212E0A">
        <w:rPr>
          <w:rFonts w:ascii="Arial" w:eastAsia="Arial" w:hAnsi="Arial" w:cs="Arial"/>
          <w:lang w:val="en-US"/>
        </w:rPr>
        <w:t xml:space="preserve"> and allowed to eat a pre-weighed food pellet</w:t>
      </w:r>
      <w:r w:rsidR="006D1DED" w:rsidRPr="00212E0A">
        <w:rPr>
          <w:rFonts w:ascii="Arial" w:eastAsia="Arial" w:hAnsi="Arial" w:cs="Arial"/>
          <w:lang w:val="en-US"/>
        </w:rPr>
        <w:t xml:space="preserve"> for 5 min</w:t>
      </w:r>
      <w:proofErr w:type="gramEnd"/>
      <w:r w:rsidRPr="00212E0A">
        <w:rPr>
          <w:rFonts w:ascii="Arial" w:eastAsia="Arial" w:hAnsi="Arial" w:cs="Arial"/>
          <w:lang w:val="en-US"/>
        </w:rPr>
        <w:t xml:space="preserve">. The latency to feed </w:t>
      </w:r>
      <w:r w:rsidR="006D1DED" w:rsidRPr="00212E0A">
        <w:rPr>
          <w:rFonts w:ascii="Arial" w:eastAsia="Arial" w:hAnsi="Arial" w:cs="Arial"/>
          <w:lang w:val="en-US"/>
        </w:rPr>
        <w:t xml:space="preserve">and the total feeding time </w:t>
      </w:r>
      <w:r w:rsidR="0054564A" w:rsidRPr="00212E0A">
        <w:rPr>
          <w:rFonts w:ascii="Arial" w:eastAsia="Arial" w:hAnsi="Arial" w:cs="Arial"/>
          <w:lang w:val="en-US"/>
        </w:rPr>
        <w:t xml:space="preserve">in the novel environment </w:t>
      </w:r>
      <w:r w:rsidR="006D1DED" w:rsidRPr="00212E0A">
        <w:rPr>
          <w:rFonts w:ascii="Arial" w:eastAsia="Arial" w:hAnsi="Arial" w:cs="Arial"/>
          <w:lang w:val="en-US"/>
        </w:rPr>
        <w:t xml:space="preserve">were </w:t>
      </w:r>
      <w:r w:rsidRPr="00212E0A">
        <w:rPr>
          <w:rFonts w:ascii="Arial" w:eastAsia="Arial" w:hAnsi="Arial" w:cs="Arial"/>
          <w:lang w:val="en-US"/>
        </w:rPr>
        <w:t>recorded as measure</w:t>
      </w:r>
      <w:r w:rsidR="006D1DED" w:rsidRPr="00212E0A">
        <w:rPr>
          <w:rFonts w:ascii="Arial" w:eastAsia="Arial" w:hAnsi="Arial" w:cs="Arial"/>
          <w:lang w:val="en-US"/>
        </w:rPr>
        <w:t>s</w:t>
      </w:r>
      <w:r w:rsidRPr="00212E0A">
        <w:rPr>
          <w:rFonts w:ascii="Arial" w:eastAsia="Arial" w:hAnsi="Arial" w:cs="Arial"/>
          <w:lang w:val="en-US"/>
        </w:rPr>
        <w:t xml:space="preserve"> of anxiety-like behavior. The </w:t>
      </w:r>
      <w:r w:rsidR="00146909" w:rsidRPr="00212E0A">
        <w:rPr>
          <w:rFonts w:ascii="Arial" w:eastAsia="Arial" w:hAnsi="Arial" w:cs="Arial"/>
          <w:lang w:val="en-US"/>
        </w:rPr>
        <w:t xml:space="preserve">amount of food consumed in the home cage and the body weight loss during the food deprivation period (~14 h) </w:t>
      </w:r>
      <w:proofErr w:type="gramStart"/>
      <w:r w:rsidR="00F00279" w:rsidRPr="00212E0A">
        <w:rPr>
          <w:rFonts w:ascii="Arial" w:eastAsia="Arial" w:hAnsi="Arial" w:cs="Arial"/>
          <w:lang w:val="en-US"/>
        </w:rPr>
        <w:t xml:space="preserve">were </w:t>
      </w:r>
      <w:r w:rsidRPr="00212E0A">
        <w:rPr>
          <w:rFonts w:ascii="Arial" w:eastAsia="Arial" w:hAnsi="Arial" w:cs="Arial"/>
          <w:lang w:val="en-US"/>
        </w:rPr>
        <w:t>calculated</w:t>
      </w:r>
      <w:proofErr w:type="gramEnd"/>
      <w:r w:rsidRPr="00212E0A">
        <w:rPr>
          <w:rFonts w:ascii="Arial" w:eastAsia="Arial" w:hAnsi="Arial" w:cs="Arial"/>
          <w:lang w:val="en-US"/>
        </w:rPr>
        <w:t xml:space="preserve"> to determine the animal’s appetitive drive.</w:t>
      </w:r>
    </w:p>
    <w:p w14:paraId="154D7DB4" w14:textId="77777777" w:rsidR="00E0153B" w:rsidRPr="00212E0A" w:rsidRDefault="00E0153B" w:rsidP="00286468">
      <w:pPr>
        <w:spacing w:after="0" w:line="360" w:lineRule="auto"/>
        <w:jc w:val="both"/>
        <w:rPr>
          <w:rFonts w:ascii="Arial" w:eastAsia="Arial" w:hAnsi="Arial" w:cs="Arial"/>
          <w:lang w:val="en-US"/>
        </w:rPr>
      </w:pPr>
    </w:p>
    <w:p w14:paraId="4FB11101" w14:textId="05160784" w:rsidR="00AD4645" w:rsidRPr="00212E0A" w:rsidRDefault="003003DC" w:rsidP="00286468">
      <w:pPr>
        <w:spacing w:after="0" w:line="360" w:lineRule="auto"/>
        <w:jc w:val="both"/>
        <w:rPr>
          <w:rFonts w:ascii="Arial" w:eastAsia="Arial" w:hAnsi="Arial" w:cs="Arial"/>
          <w:b/>
          <w:lang w:val="en-US"/>
        </w:rPr>
      </w:pPr>
      <w:proofErr w:type="spellStart"/>
      <w:r w:rsidRPr="00212E0A">
        <w:rPr>
          <w:rFonts w:ascii="Arial" w:eastAsia="Arial" w:hAnsi="Arial" w:cs="Arial"/>
          <w:b/>
          <w:lang w:val="en-US"/>
        </w:rPr>
        <w:t>Immunhistochemical</w:t>
      </w:r>
      <w:proofErr w:type="spellEnd"/>
      <w:r w:rsidRPr="00212E0A">
        <w:rPr>
          <w:rFonts w:ascii="Arial" w:eastAsia="Arial" w:hAnsi="Arial" w:cs="Arial"/>
          <w:b/>
          <w:lang w:val="en-US"/>
        </w:rPr>
        <w:t xml:space="preserve"> analysis </w:t>
      </w:r>
    </w:p>
    <w:p w14:paraId="177DCD1C" w14:textId="522EA779" w:rsidR="00127549" w:rsidRPr="00212E0A" w:rsidRDefault="00127549" w:rsidP="00127549">
      <w:pPr>
        <w:pStyle w:val="Kopfzeile"/>
        <w:spacing w:line="360" w:lineRule="auto"/>
        <w:jc w:val="both"/>
        <w:rPr>
          <w:rFonts w:ascii="Arial" w:hAnsi="Arial" w:cs="Arial"/>
          <w:lang w:val="en-US"/>
        </w:rPr>
      </w:pPr>
      <w:r w:rsidRPr="00212E0A">
        <w:rPr>
          <w:rFonts w:ascii="Arial" w:hAnsi="Arial" w:cs="Arial"/>
          <w:lang w:val="en-US"/>
        </w:rPr>
        <w:t xml:space="preserve">Two hours after fear conditioning training brains were fixed by direct transcardial perfusion with ice-cold fixative I (4% paraformaldehyde (PFA); </w:t>
      </w:r>
      <w:r w:rsidR="00FB0DA2" w:rsidRPr="00212E0A">
        <w:rPr>
          <w:rFonts w:ascii="Arial" w:hAnsi="Arial" w:cs="Arial"/>
          <w:lang w:val="en-US"/>
        </w:rPr>
        <w:t>2</w:t>
      </w:r>
      <w:r w:rsidRPr="00212E0A">
        <w:rPr>
          <w:rFonts w:ascii="Arial" w:hAnsi="Arial" w:cs="Arial"/>
          <w:lang w:val="en-US"/>
        </w:rPr>
        <w:t xml:space="preserve">% sodium acetate (NaAc); pH 6.5) for 10 min followed by a second ice-cold fixative (fixative solution II: 4% PFA; </w:t>
      </w:r>
      <w:r w:rsidR="00FB0DA2" w:rsidRPr="00212E0A">
        <w:rPr>
          <w:rFonts w:ascii="Arial" w:hAnsi="Arial" w:cs="Arial"/>
          <w:lang w:val="en-US"/>
        </w:rPr>
        <w:t>1</w:t>
      </w:r>
      <w:r w:rsidRPr="00212E0A">
        <w:rPr>
          <w:rFonts w:ascii="Arial" w:hAnsi="Arial" w:cs="Arial"/>
          <w:lang w:val="en-US"/>
        </w:rPr>
        <w:t>.</w:t>
      </w:r>
      <w:r w:rsidR="00FB0DA2" w:rsidRPr="00212E0A">
        <w:rPr>
          <w:rFonts w:ascii="Arial" w:hAnsi="Arial" w:cs="Arial"/>
          <w:lang w:val="en-US"/>
        </w:rPr>
        <w:t>3</w:t>
      </w:r>
      <w:r w:rsidRPr="00212E0A">
        <w:rPr>
          <w:rFonts w:ascii="Arial" w:hAnsi="Arial" w:cs="Arial"/>
          <w:lang w:val="en-US"/>
        </w:rPr>
        <w:t>% sodium carbonate (Na</w:t>
      </w:r>
      <w:r w:rsidRPr="00212E0A">
        <w:rPr>
          <w:rFonts w:ascii="Arial" w:hAnsi="Arial" w:cs="Arial"/>
          <w:vertAlign w:val="subscript"/>
          <w:lang w:val="en-US"/>
        </w:rPr>
        <w:t>2</w:t>
      </w:r>
      <w:r w:rsidRPr="00212E0A">
        <w:rPr>
          <w:rFonts w:ascii="Arial" w:hAnsi="Arial" w:cs="Arial"/>
          <w:lang w:val="en-US"/>
        </w:rPr>
        <w:t>CO</w:t>
      </w:r>
      <w:r w:rsidRPr="00212E0A">
        <w:rPr>
          <w:rFonts w:ascii="Arial" w:hAnsi="Arial" w:cs="Arial"/>
          <w:vertAlign w:val="subscript"/>
          <w:lang w:val="en-US"/>
        </w:rPr>
        <w:t>3</w:t>
      </w:r>
      <w:r w:rsidRPr="00212E0A">
        <w:rPr>
          <w:rFonts w:ascii="Arial" w:hAnsi="Arial" w:cs="Arial"/>
          <w:lang w:val="en-US"/>
        </w:rPr>
        <w:t xml:space="preserve">), </w:t>
      </w:r>
      <w:r w:rsidR="00FB0DA2" w:rsidRPr="00212E0A">
        <w:rPr>
          <w:rFonts w:ascii="Arial" w:hAnsi="Arial" w:cs="Arial"/>
          <w:lang w:val="en-US"/>
        </w:rPr>
        <w:t>1</w:t>
      </w:r>
      <w:r w:rsidRPr="00212E0A">
        <w:rPr>
          <w:rFonts w:ascii="Arial" w:hAnsi="Arial" w:cs="Arial"/>
          <w:lang w:val="en-US"/>
        </w:rPr>
        <w:t>.</w:t>
      </w:r>
      <w:r w:rsidR="00FB0DA2" w:rsidRPr="00212E0A">
        <w:rPr>
          <w:rFonts w:ascii="Arial" w:hAnsi="Arial" w:cs="Arial"/>
          <w:lang w:val="en-US"/>
        </w:rPr>
        <w:t>35</w:t>
      </w:r>
      <w:r w:rsidRPr="00212E0A">
        <w:rPr>
          <w:rFonts w:ascii="Arial" w:hAnsi="Arial" w:cs="Arial"/>
          <w:lang w:val="en-US"/>
        </w:rPr>
        <w:t>% sodium bicarbonate (NaHCO</w:t>
      </w:r>
      <w:r w:rsidRPr="00212E0A">
        <w:rPr>
          <w:rFonts w:ascii="Arial" w:hAnsi="Arial" w:cs="Arial"/>
          <w:vertAlign w:val="subscript"/>
          <w:lang w:val="en-US"/>
        </w:rPr>
        <w:t>3</w:t>
      </w:r>
      <w:r w:rsidRPr="00212E0A">
        <w:rPr>
          <w:rFonts w:ascii="Arial" w:hAnsi="Arial" w:cs="Arial"/>
          <w:lang w:val="en-US"/>
        </w:rPr>
        <w:t xml:space="preserve">); 0.02% glutaraldehyde, pH 11) for 10 minutes. Post-fixation was conducted for 48 h in fixative solution II without </w:t>
      </w:r>
      <w:r w:rsidRPr="00212E0A">
        <w:rPr>
          <w:rFonts w:ascii="Arial" w:hAnsi="Arial" w:cs="Arial"/>
          <w:color w:val="000000"/>
          <w:lang w:val="en-US"/>
        </w:rPr>
        <w:t>glutaraldehyde</w:t>
      </w:r>
      <w:r w:rsidRPr="00212E0A">
        <w:rPr>
          <w:rFonts w:ascii="Arial" w:hAnsi="Arial" w:cs="Arial"/>
          <w:lang w:val="en-US"/>
        </w:rPr>
        <w:t xml:space="preserve"> and cryopreserved in 20% sucrose, then frozen in isopentane cooled with dry ice. Serially cut 30 µm cryostat sections spaced 180 µm apart were air-dried for 30 minutes at room temperature (RT) before heat-induced epitope retrieval in 10 mM citrate buffer (pH 6.0) containing 0.05% Tween-20</w:t>
      </w:r>
      <w:r w:rsidRPr="00212E0A" w:rsidDel="001626BD">
        <w:rPr>
          <w:rFonts w:ascii="Arial" w:hAnsi="Arial" w:cs="Arial"/>
          <w:lang w:val="en-US"/>
        </w:rPr>
        <w:t xml:space="preserve"> </w:t>
      </w:r>
      <w:r w:rsidRPr="00212E0A">
        <w:rPr>
          <w:rFonts w:ascii="Arial" w:hAnsi="Arial" w:cs="Arial"/>
          <w:lang w:val="en-US"/>
        </w:rPr>
        <w:t>(pH 6)</w:t>
      </w:r>
      <w:r w:rsidR="00D90590" w:rsidRPr="00212E0A">
        <w:rPr>
          <w:rFonts w:ascii="Arial" w:hAnsi="Arial" w:cs="Arial"/>
          <w:lang w:val="en-US"/>
        </w:rPr>
        <w:t xml:space="preserve">. </w:t>
      </w:r>
      <w:r w:rsidRPr="00212E0A">
        <w:rPr>
          <w:rFonts w:ascii="Arial" w:hAnsi="Arial" w:cs="Arial"/>
          <w:lang w:val="en-US"/>
        </w:rPr>
        <w:t xml:space="preserve">Nonspecific binding sites were saturated with a blocking solution (BS) containing 5% normal goat serum (NGS), 2% fetal bovine serum (FBS) and 0.25% Triton X-100 in </w:t>
      </w:r>
      <w:proofErr w:type="spellStart"/>
      <w:r w:rsidRPr="00212E0A">
        <w:rPr>
          <w:rFonts w:ascii="Arial" w:hAnsi="Arial" w:cs="Arial"/>
          <w:lang w:val="en-US"/>
        </w:rPr>
        <w:t>Tris</w:t>
      </w:r>
      <w:proofErr w:type="spellEnd"/>
      <w:r w:rsidRPr="00212E0A">
        <w:rPr>
          <w:rFonts w:ascii="Arial" w:hAnsi="Arial" w:cs="Arial"/>
          <w:lang w:val="en-US"/>
        </w:rPr>
        <w:t xml:space="preserve">-buffered saline (TBS), incubated at 80 °C for 10 min. </w:t>
      </w:r>
      <w:r w:rsidRPr="00212E0A">
        <w:rPr>
          <w:rFonts w:ascii="Arial" w:hAnsi="Arial" w:cs="Arial"/>
          <w:lang w:val="en-US"/>
        </w:rPr>
        <w:lastRenderedPageBreak/>
        <w:t xml:space="preserve">After cooling for 20 min and 3 x 5 min washes with TBS the sections were incubated in BS at RT for one hour. Primary antibodies were mouse anti-pyramidal (pyr) marker (1:200, Cat. No. 345, Swant, Marly, Switzerland), mouse anti-parvalbumin (PV) (1:200, Cat. No. 235, Swant, Marly, Switzerland) and rabbit anti-c-Fos (1:400, Cat. No. SC-52; Santa Cruz Biotechnology, Dallas, Texas, USA) diluted in BS and incubated over two nights at 4 °C in a humidified box. After washing away primary antibodies (3 x 5 min) with TBS, sections were incubated in 1:400 diluted secondary </w:t>
      </w:r>
      <w:proofErr w:type="gramStart"/>
      <w:r w:rsidRPr="00212E0A">
        <w:rPr>
          <w:rFonts w:ascii="Arial" w:hAnsi="Arial" w:cs="Arial"/>
          <w:lang w:val="en-US"/>
        </w:rPr>
        <w:t>antibodies,</w:t>
      </w:r>
      <w:proofErr w:type="gramEnd"/>
      <w:r w:rsidRPr="00212E0A">
        <w:rPr>
          <w:rFonts w:ascii="Arial" w:hAnsi="Arial" w:cs="Arial"/>
          <w:lang w:val="en-US"/>
        </w:rPr>
        <w:t xml:space="preserve"> goat anti-rabbit 555 (Cat. No. A21429, Invitrogen, Carlsbad, California, USA) and goat anti-mouse 488 (</w:t>
      </w:r>
      <w:proofErr w:type="spellStart"/>
      <w:r w:rsidRPr="00212E0A">
        <w:rPr>
          <w:rFonts w:ascii="Arial" w:hAnsi="Arial" w:cs="Arial"/>
          <w:lang w:val="en-US"/>
        </w:rPr>
        <w:t>Cat.No</w:t>
      </w:r>
      <w:proofErr w:type="spellEnd"/>
      <w:r w:rsidRPr="00212E0A">
        <w:rPr>
          <w:rFonts w:ascii="Arial" w:hAnsi="Arial" w:cs="Arial"/>
          <w:lang w:val="en-US"/>
        </w:rPr>
        <w:t>. A11029, Invitrogen) diluted in BS for 1.5 hours at RT. After another (3 x 5 min) washing, the slides were treated with 300 nM DAPI (4', 6-diamidino-2-phenylindole) for 5 minutes and washed again. Finally the slides were washed in ddH</w:t>
      </w:r>
      <w:r w:rsidRPr="00212E0A">
        <w:rPr>
          <w:rFonts w:ascii="Arial" w:hAnsi="Arial" w:cs="Arial"/>
          <w:vertAlign w:val="subscript"/>
          <w:lang w:val="en-US"/>
        </w:rPr>
        <w:t>2</w:t>
      </w:r>
      <w:r w:rsidRPr="00212E0A">
        <w:rPr>
          <w:rFonts w:ascii="Arial" w:hAnsi="Arial" w:cs="Arial"/>
          <w:lang w:val="en-US"/>
        </w:rPr>
        <w:t>O to remove solutes, embedded with Fluoro-Gel (Cat. No.17985-10, EMS, Hatfield, PA, USA) and sealed with nail polish for long-term storage.</w:t>
      </w:r>
    </w:p>
    <w:p w14:paraId="50326085" w14:textId="77777777" w:rsidR="00127549" w:rsidRPr="00212E0A" w:rsidRDefault="00127549" w:rsidP="00127549">
      <w:pPr>
        <w:spacing w:after="0" w:line="360" w:lineRule="auto"/>
        <w:jc w:val="both"/>
        <w:rPr>
          <w:rFonts w:ascii="Arial" w:hAnsi="Arial" w:cs="Arial"/>
          <w:lang w:val="en-US"/>
        </w:rPr>
      </w:pPr>
    </w:p>
    <w:p w14:paraId="059A135D" w14:textId="2BCAD9C4" w:rsidR="00127549" w:rsidRPr="00212E0A" w:rsidRDefault="00127549" w:rsidP="003003DC">
      <w:pPr>
        <w:pStyle w:val="Kopfzeile"/>
        <w:spacing w:line="360" w:lineRule="auto"/>
        <w:rPr>
          <w:rFonts w:ascii="Arial" w:hAnsi="Arial" w:cs="Arial"/>
          <w:lang w:val="en-US"/>
        </w:rPr>
      </w:pPr>
      <w:r w:rsidRPr="00212E0A">
        <w:rPr>
          <w:rFonts w:ascii="Arial" w:hAnsi="Arial" w:cs="Arial"/>
          <w:lang w:val="en-US"/>
        </w:rPr>
        <w:t>For the amygdala BLA and LA</w:t>
      </w:r>
      <w:r w:rsidR="00E460B0" w:rsidRPr="00212E0A">
        <w:rPr>
          <w:rFonts w:ascii="Arial" w:hAnsi="Arial" w:cs="Arial"/>
          <w:lang w:val="en-US"/>
        </w:rPr>
        <w:t xml:space="preserve"> 3-4 consecutive sections from -</w:t>
      </w:r>
      <w:r w:rsidR="00DF53F5" w:rsidRPr="00212E0A">
        <w:rPr>
          <w:rFonts w:ascii="Arial" w:hAnsi="Arial" w:cs="Arial"/>
          <w:lang w:val="en-US"/>
        </w:rPr>
        <w:t>1</w:t>
      </w:r>
      <w:r w:rsidR="00C008E4" w:rsidRPr="00212E0A">
        <w:rPr>
          <w:rFonts w:ascii="Arial" w:hAnsi="Arial" w:cs="Arial"/>
          <w:lang w:val="en-US"/>
        </w:rPr>
        <w:t>.</w:t>
      </w:r>
      <w:r w:rsidR="00430368" w:rsidRPr="00212E0A">
        <w:rPr>
          <w:rFonts w:ascii="Arial" w:hAnsi="Arial" w:cs="Arial"/>
          <w:lang w:val="en-US"/>
        </w:rPr>
        <w:t>22</w:t>
      </w:r>
      <w:r w:rsidR="00E460B0" w:rsidRPr="00212E0A">
        <w:rPr>
          <w:rFonts w:ascii="Arial" w:hAnsi="Arial" w:cs="Arial"/>
          <w:lang w:val="en-US"/>
        </w:rPr>
        <w:t xml:space="preserve"> </w:t>
      </w:r>
      <w:r w:rsidR="00C008E4" w:rsidRPr="00212E0A">
        <w:rPr>
          <w:rFonts w:ascii="Arial" w:hAnsi="Arial" w:cs="Arial"/>
          <w:lang w:val="en-US"/>
        </w:rPr>
        <w:t>mm bregma</w:t>
      </w:r>
      <w:r w:rsidR="00E460B0" w:rsidRPr="00212E0A">
        <w:rPr>
          <w:rFonts w:ascii="Arial" w:hAnsi="Arial" w:cs="Arial"/>
          <w:lang w:val="en-US"/>
        </w:rPr>
        <w:t xml:space="preserve"> to -1</w:t>
      </w:r>
      <w:r w:rsidR="00C008E4" w:rsidRPr="00212E0A">
        <w:rPr>
          <w:rFonts w:ascii="Arial" w:hAnsi="Arial" w:cs="Arial"/>
          <w:lang w:val="en-US"/>
        </w:rPr>
        <w:t>.</w:t>
      </w:r>
      <w:r w:rsidR="00430368" w:rsidRPr="00212E0A">
        <w:rPr>
          <w:rFonts w:ascii="Arial" w:hAnsi="Arial" w:cs="Arial"/>
          <w:lang w:val="en-US"/>
        </w:rPr>
        <w:t>82</w:t>
      </w:r>
      <w:r w:rsidR="00E460B0" w:rsidRPr="00212E0A">
        <w:rPr>
          <w:rFonts w:ascii="Arial" w:hAnsi="Arial" w:cs="Arial"/>
          <w:lang w:val="en-US"/>
        </w:rPr>
        <w:t xml:space="preserve"> </w:t>
      </w:r>
      <w:r w:rsidR="00C008E4" w:rsidRPr="00212E0A">
        <w:rPr>
          <w:rFonts w:ascii="Arial" w:hAnsi="Arial" w:cs="Arial"/>
          <w:lang w:val="en-US"/>
        </w:rPr>
        <w:t>mm bregma,</w:t>
      </w:r>
      <w:r w:rsidR="00E460B0" w:rsidRPr="00212E0A">
        <w:rPr>
          <w:rFonts w:ascii="Arial" w:hAnsi="Arial" w:cs="Arial"/>
          <w:lang w:val="en-US"/>
        </w:rPr>
        <w:t xml:space="preserve"> spaced 180</w:t>
      </w:r>
      <w:r w:rsidR="00E460B0" w:rsidRPr="00212E0A">
        <w:rPr>
          <w:rFonts w:ascii="Arial" w:hAnsi="Arial" w:cs="Arial"/>
          <w:lang w:val="en-US"/>
        </w:rPr>
        <w:sym w:font="Symbol" w:char="F06D"/>
      </w:r>
      <w:r w:rsidR="00E460B0" w:rsidRPr="00212E0A">
        <w:rPr>
          <w:rFonts w:ascii="Arial" w:hAnsi="Arial" w:cs="Arial"/>
          <w:lang w:val="en-US"/>
        </w:rPr>
        <w:t>m</w:t>
      </w:r>
      <w:r w:rsidRPr="00212E0A">
        <w:rPr>
          <w:rFonts w:ascii="Arial" w:hAnsi="Arial" w:cs="Arial"/>
          <w:lang w:val="en-US"/>
        </w:rPr>
        <w:t xml:space="preserve"> </w:t>
      </w:r>
      <w:r w:rsidR="00C008E4" w:rsidRPr="00212E0A">
        <w:rPr>
          <w:rFonts w:ascii="Arial" w:hAnsi="Arial" w:cs="Arial"/>
          <w:lang w:val="en-US"/>
        </w:rPr>
        <w:t xml:space="preserve">apart, </w:t>
      </w:r>
      <w:r w:rsidRPr="00212E0A">
        <w:rPr>
          <w:rFonts w:ascii="Arial" w:hAnsi="Arial" w:cs="Arial"/>
          <w:lang w:val="en-US"/>
        </w:rPr>
        <w:t xml:space="preserve">were delineated with contours according to the mouse brain atlas (Franklin and </w:t>
      </w:r>
      <w:proofErr w:type="spellStart"/>
      <w:r w:rsidRPr="00212E0A">
        <w:rPr>
          <w:rFonts w:ascii="Arial" w:hAnsi="Arial" w:cs="Arial"/>
          <w:lang w:val="en-US"/>
        </w:rPr>
        <w:t>Paxinos</w:t>
      </w:r>
      <w:proofErr w:type="spellEnd"/>
      <w:r w:rsidRPr="00212E0A">
        <w:rPr>
          <w:rFonts w:ascii="Arial" w:hAnsi="Arial" w:cs="Arial"/>
          <w:lang w:val="en-US"/>
        </w:rPr>
        <w:t>, 1997).</w:t>
      </w:r>
    </w:p>
    <w:p w14:paraId="0C39D38C" w14:textId="5D0C8089" w:rsidR="009B54E1" w:rsidRPr="00212E0A" w:rsidRDefault="00127549" w:rsidP="00127549">
      <w:pPr>
        <w:pStyle w:val="Kopfzeile"/>
        <w:spacing w:line="360" w:lineRule="auto"/>
        <w:rPr>
          <w:rFonts w:ascii="Arial" w:hAnsi="Arial" w:cs="Arial"/>
          <w:lang w:val="en-US"/>
        </w:rPr>
      </w:pPr>
      <w:r w:rsidRPr="00212E0A">
        <w:rPr>
          <w:rFonts w:ascii="Arial" w:hAnsi="Arial" w:cs="Arial"/>
          <w:lang w:val="en-US"/>
        </w:rPr>
        <w:t>For the dorsal hippocampus</w:t>
      </w:r>
      <w:r w:rsidR="009B54E1" w:rsidRPr="00212E0A">
        <w:rPr>
          <w:rFonts w:ascii="Arial" w:hAnsi="Arial" w:cs="Arial"/>
          <w:lang w:val="en-US"/>
        </w:rPr>
        <w:t>, the</w:t>
      </w:r>
      <w:r w:rsidRPr="00212E0A">
        <w:rPr>
          <w:rFonts w:ascii="Arial" w:hAnsi="Arial" w:cs="Arial"/>
          <w:lang w:val="en-US"/>
        </w:rPr>
        <w:t xml:space="preserve"> dentate gyrus (DG), Cornu Ammonis area 1 (CA1) as well as Cornu Ammonis area 3 (CA3)</w:t>
      </w:r>
      <w:r w:rsidR="009B54E1" w:rsidRPr="00212E0A">
        <w:rPr>
          <w:rFonts w:ascii="Arial" w:hAnsi="Arial" w:cs="Arial"/>
          <w:lang w:val="en-US"/>
        </w:rPr>
        <w:t>,</w:t>
      </w:r>
      <w:r w:rsidR="00DF53F5" w:rsidRPr="00212E0A">
        <w:rPr>
          <w:rFonts w:ascii="Arial" w:hAnsi="Arial" w:cs="Arial"/>
          <w:lang w:val="en-US"/>
        </w:rPr>
        <w:t xml:space="preserve"> 4-5 consecutive sections from -1</w:t>
      </w:r>
      <w:r w:rsidR="009B54E1" w:rsidRPr="00212E0A">
        <w:rPr>
          <w:rFonts w:ascii="Arial" w:hAnsi="Arial" w:cs="Arial"/>
          <w:lang w:val="en-US"/>
        </w:rPr>
        <w:t>.</w:t>
      </w:r>
      <w:r w:rsidR="00DF53F5" w:rsidRPr="00212E0A">
        <w:rPr>
          <w:rFonts w:ascii="Arial" w:hAnsi="Arial" w:cs="Arial"/>
          <w:lang w:val="en-US"/>
        </w:rPr>
        <w:t>0</w:t>
      </w:r>
      <w:r w:rsidR="00430368" w:rsidRPr="00212E0A">
        <w:rPr>
          <w:rFonts w:ascii="Arial" w:hAnsi="Arial" w:cs="Arial"/>
          <w:lang w:val="en-US"/>
        </w:rPr>
        <w:t>6</w:t>
      </w:r>
      <w:r w:rsidR="00DF53F5" w:rsidRPr="00212E0A">
        <w:rPr>
          <w:rFonts w:ascii="Arial" w:hAnsi="Arial" w:cs="Arial"/>
          <w:lang w:val="en-US"/>
        </w:rPr>
        <w:t xml:space="preserve"> </w:t>
      </w:r>
      <w:r w:rsidR="009B54E1" w:rsidRPr="00212E0A">
        <w:rPr>
          <w:rFonts w:ascii="Arial" w:hAnsi="Arial" w:cs="Arial"/>
          <w:lang w:val="en-US"/>
        </w:rPr>
        <w:t xml:space="preserve">mm bregma </w:t>
      </w:r>
      <w:r w:rsidR="00DF53F5" w:rsidRPr="00212E0A">
        <w:rPr>
          <w:rFonts w:ascii="Arial" w:hAnsi="Arial" w:cs="Arial"/>
          <w:lang w:val="en-US"/>
        </w:rPr>
        <w:t>to -2</w:t>
      </w:r>
      <w:r w:rsidR="009B54E1" w:rsidRPr="00212E0A">
        <w:rPr>
          <w:rFonts w:ascii="Arial" w:hAnsi="Arial" w:cs="Arial"/>
          <w:lang w:val="en-US"/>
        </w:rPr>
        <w:t>.</w:t>
      </w:r>
      <w:r w:rsidR="00430368" w:rsidRPr="00212E0A">
        <w:rPr>
          <w:rFonts w:ascii="Arial" w:hAnsi="Arial" w:cs="Arial"/>
          <w:lang w:val="en-US"/>
        </w:rPr>
        <w:t>06</w:t>
      </w:r>
      <w:r w:rsidR="00DF53F5" w:rsidRPr="00212E0A">
        <w:rPr>
          <w:rFonts w:ascii="Arial" w:hAnsi="Arial" w:cs="Arial"/>
          <w:lang w:val="en-US"/>
        </w:rPr>
        <w:t xml:space="preserve"> </w:t>
      </w:r>
      <w:r w:rsidR="009B54E1" w:rsidRPr="00212E0A">
        <w:rPr>
          <w:rFonts w:ascii="Arial" w:hAnsi="Arial" w:cs="Arial"/>
          <w:lang w:val="en-US"/>
        </w:rPr>
        <w:t>mm bregma,</w:t>
      </w:r>
      <w:r w:rsidR="00DF53F5" w:rsidRPr="00212E0A">
        <w:rPr>
          <w:rFonts w:ascii="Arial" w:hAnsi="Arial" w:cs="Arial"/>
          <w:lang w:val="en-US"/>
        </w:rPr>
        <w:t xml:space="preserve"> spaced 180</w:t>
      </w:r>
      <w:r w:rsidR="00DF53F5" w:rsidRPr="00212E0A">
        <w:rPr>
          <w:rFonts w:ascii="Arial" w:hAnsi="Arial" w:cs="Arial"/>
          <w:lang w:val="en-US"/>
        </w:rPr>
        <w:sym w:font="Symbol" w:char="F06D"/>
      </w:r>
      <w:r w:rsidR="00DF53F5" w:rsidRPr="00212E0A">
        <w:rPr>
          <w:rFonts w:ascii="Arial" w:hAnsi="Arial" w:cs="Arial"/>
          <w:lang w:val="en-US"/>
        </w:rPr>
        <w:t>m</w:t>
      </w:r>
      <w:r w:rsidRPr="00212E0A">
        <w:rPr>
          <w:rFonts w:ascii="Arial" w:hAnsi="Arial" w:cs="Arial"/>
          <w:lang w:val="en-US"/>
        </w:rPr>
        <w:t xml:space="preserve"> </w:t>
      </w:r>
      <w:r w:rsidR="009B54E1" w:rsidRPr="00212E0A">
        <w:rPr>
          <w:rFonts w:ascii="Arial" w:hAnsi="Arial" w:cs="Arial"/>
          <w:lang w:val="en-US"/>
        </w:rPr>
        <w:t xml:space="preserve">apart, </w:t>
      </w:r>
      <w:r w:rsidRPr="00212E0A">
        <w:rPr>
          <w:rFonts w:ascii="Arial" w:hAnsi="Arial" w:cs="Arial"/>
          <w:lang w:val="en-US"/>
        </w:rPr>
        <w:t xml:space="preserve">were delineated with contours according to the mouse brain atlas (Franklin and </w:t>
      </w:r>
      <w:proofErr w:type="spellStart"/>
      <w:r w:rsidRPr="00212E0A">
        <w:rPr>
          <w:rFonts w:ascii="Arial" w:hAnsi="Arial" w:cs="Arial"/>
          <w:lang w:val="en-US"/>
        </w:rPr>
        <w:t>Paxinos</w:t>
      </w:r>
      <w:proofErr w:type="spellEnd"/>
      <w:r w:rsidRPr="00212E0A">
        <w:rPr>
          <w:rFonts w:ascii="Arial" w:hAnsi="Arial" w:cs="Arial"/>
          <w:lang w:val="en-US"/>
        </w:rPr>
        <w:t>, 1997).</w:t>
      </w:r>
      <w:r w:rsidR="001F081F" w:rsidRPr="00212E0A">
        <w:rPr>
          <w:rFonts w:ascii="Arial" w:hAnsi="Arial" w:cs="Arial"/>
          <w:lang w:val="en-US"/>
        </w:rPr>
        <w:t xml:space="preserve"> </w:t>
      </w:r>
    </w:p>
    <w:p w14:paraId="400A7982" w14:textId="2254F6FE" w:rsidR="003003DC" w:rsidRPr="00212E0A" w:rsidRDefault="00430368" w:rsidP="00286468">
      <w:pPr>
        <w:spacing w:after="0" w:line="360" w:lineRule="auto"/>
        <w:jc w:val="both"/>
        <w:rPr>
          <w:rFonts w:ascii="Arial" w:hAnsi="Arial" w:cs="Arial"/>
          <w:lang w:val="en-US"/>
        </w:rPr>
      </w:pPr>
      <w:r w:rsidRPr="00212E0A">
        <w:rPr>
          <w:rFonts w:ascii="Arial" w:eastAsia="Arial" w:hAnsi="Arial" w:cs="Arial"/>
          <w:lang w:val="en-US"/>
        </w:rPr>
        <w:t xml:space="preserve">Cells </w:t>
      </w:r>
      <w:proofErr w:type="gramStart"/>
      <w:r w:rsidRPr="00212E0A">
        <w:rPr>
          <w:rFonts w:ascii="Arial" w:eastAsia="Arial" w:hAnsi="Arial" w:cs="Arial"/>
          <w:lang w:val="en-US"/>
        </w:rPr>
        <w:t>were counted</w:t>
      </w:r>
      <w:proofErr w:type="gramEnd"/>
      <w:r w:rsidRPr="00212E0A">
        <w:rPr>
          <w:rFonts w:ascii="Arial" w:eastAsia="Arial" w:hAnsi="Arial" w:cs="Arial"/>
          <w:lang w:val="en-US"/>
        </w:rPr>
        <w:t xml:space="preserve"> as c-Fos-ir only when the nucleus showed complete fluorescent signal</w:t>
      </w:r>
      <w:r w:rsidR="001D07FE">
        <w:rPr>
          <w:rFonts w:ascii="Arial" w:eastAsia="Arial" w:hAnsi="Arial" w:cs="Arial"/>
          <w:lang w:val="en-US"/>
        </w:rPr>
        <w:t xml:space="preserve"> </w:t>
      </w:r>
      <w:r w:rsidR="001D07FE">
        <w:rPr>
          <w:rFonts w:ascii="Arial" w:eastAsia="Times New Roman" w:hAnsi="Arial" w:cs="Arial"/>
          <w:lang w:val="en-US"/>
        </w:rPr>
        <w:t>by a blinded researcher</w:t>
      </w:r>
      <w:r w:rsidRPr="00212E0A">
        <w:rPr>
          <w:rFonts w:ascii="Arial" w:eastAsia="Arial" w:hAnsi="Arial" w:cs="Arial"/>
          <w:lang w:val="en-US"/>
        </w:rPr>
        <w:t>.</w:t>
      </w:r>
      <w:r w:rsidR="001D07FE">
        <w:rPr>
          <w:rFonts w:ascii="Arial" w:eastAsia="Arial" w:hAnsi="Arial" w:cs="Arial"/>
          <w:lang w:val="en-US"/>
        </w:rPr>
        <w:t xml:space="preserve"> </w:t>
      </w:r>
      <w:r w:rsidRPr="00212E0A">
        <w:rPr>
          <w:rFonts w:ascii="Arial" w:eastAsia="Arial" w:hAnsi="Arial" w:cs="Arial"/>
          <w:lang w:val="en-US"/>
        </w:rPr>
        <w:t xml:space="preserve">The sum of counted cells of all sections per mouse </w:t>
      </w:r>
      <w:proofErr w:type="gramStart"/>
      <w:r w:rsidRPr="00212E0A">
        <w:rPr>
          <w:rFonts w:ascii="Arial" w:eastAsia="Arial" w:hAnsi="Arial" w:cs="Arial"/>
          <w:lang w:val="en-US"/>
        </w:rPr>
        <w:t>were divided</w:t>
      </w:r>
      <w:proofErr w:type="gramEnd"/>
      <w:r w:rsidRPr="00212E0A">
        <w:rPr>
          <w:rFonts w:ascii="Arial" w:eastAsia="Arial" w:hAnsi="Arial" w:cs="Arial"/>
          <w:lang w:val="en-US"/>
        </w:rPr>
        <w:t xml:space="preserve"> by the total contour area to calculate the cell densities per region of interest.</w:t>
      </w:r>
      <w:r w:rsidR="00E91E18" w:rsidRPr="00212E0A">
        <w:rPr>
          <w:rFonts w:ascii="Arial" w:eastAsia="Arial" w:hAnsi="Arial" w:cs="Arial"/>
          <w:lang w:val="en-US"/>
        </w:rPr>
        <w:t xml:space="preserve"> </w:t>
      </w:r>
      <w:r w:rsidR="00E91E18" w:rsidRPr="00212E0A">
        <w:rPr>
          <w:rFonts w:ascii="Arial" w:hAnsi="Arial" w:cs="Arial"/>
          <w:lang w:val="en-US"/>
        </w:rPr>
        <w:t>Outliers were identified using the Grubbs’ test (Grubbs, 1969) and removed.</w:t>
      </w:r>
      <w:r w:rsidR="00E91E18" w:rsidRPr="00212E0A">
        <w:rPr>
          <w:rFonts w:ascii="Arial" w:eastAsia="SimSun" w:hAnsi="Arial" w:cs="Arial"/>
          <w:lang w:val="en-US"/>
        </w:rPr>
        <w:t xml:space="preserve"> For analysis of </w:t>
      </w:r>
      <w:proofErr w:type="gramStart"/>
      <w:r w:rsidR="00E91E18" w:rsidRPr="00212E0A">
        <w:rPr>
          <w:rFonts w:ascii="Arial" w:eastAsia="SimSun" w:hAnsi="Arial" w:cs="Arial"/>
          <w:lang w:val="en-US"/>
        </w:rPr>
        <w:t>immunohistochemical</w:t>
      </w:r>
      <w:proofErr w:type="gramEnd"/>
      <w:r w:rsidR="00E91E18" w:rsidRPr="00212E0A">
        <w:rPr>
          <w:rFonts w:ascii="Arial" w:eastAsia="SimSun" w:hAnsi="Arial" w:cs="Arial"/>
          <w:lang w:val="en-US"/>
        </w:rPr>
        <w:t xml:space="preserve"> staining, t</w:t>
      </w:r>
      <w:r w:rsidR="00E91E18" w:rsidRPr="00212E0A">
        <w:rPr>
          <w:rFonts w:ascii="Arial" w:eastAsia="Times New Roman" w:hAnsi="Arial" w:cs="Arial"/>
          <w:lang w:val="en-US"/>
        </w:rPr>
        <w:t>otal cell densities were evaluated</w:t>
      </w:r>
      <w:r w:rsidR="008600A6">
        <w:rPr>
          <w:rFonts w:ascii="Arial" w:eastAsia="Times New Roman" w:hAnsi="Arial" w:cs="Arial"/>
          <w:lang w:val="en-US"/>
        </w:rPr>
        <w:t xml:space="preserve"> </w:t>
      </w:r>
      <w:r w:rsidR="00E91E18" w:rsidRPr="00212E0A">
        <w:rPr>
          <w:rFonts w:ascii="Arial" w:eastAsia="SimSun" w:hAnsi="Arial" w:cs="Arial"/>
          <w:bCs/>
          <w:lang w:val="en-US"/>
        </w:rPr>
        <w:t xml:space="preserve">using </w:t>
      </w:r>
      <w:r w:rsidR="00E91E18" w:rsidRPr="00212E0A">
        <w:rPr>
          <w:rFonts w:ascii="Arial" w:eastAsia="Times New Roman" w:hAnsi="Arial" w:cs="Arial"/>
          <w:lang w:val="en-US"/>
        </w:rPr>
        <w:t>GraphPad Prism version 6.00 (GraphPad Software, San Diego, California, USA)</w:t>
      </w:r>
      <w:r w:rsidR="002D1096" w:rsidRPr="00212E0A">
        <w:rPr>
          <w:rFonts w:ascii="Arial" w:eastAsia="Times New Roman" w:hAnsi="Arial" w:cs="Arial"/>
          <w:lang w:val="en-US"/>
        </w:rPr>
        <w:t>.</w:t>
      </w:r>
    </w:p>
    <w:p w14:paraId="6ED96A3D" w14:textId="77777777" w:rsidR="00E91E18" w:rsidRPr="00212E0A" w:rsidRDefault="00E91E18" w:rsidP="00286468">
      <w:pPr>
        <w:spacing w:after="0" w:line="360" w:lineRule="auto"/>
        <w:jc w:val="both"/>
        <w:rPr>
          <w:rFonts w:ascii="Arial" w:eastAsia="Arial" w:hAnsi="Arial" w:cs="Arial"/>
          <w:b/>
          <w:lang w:val="en-US"/>
        </w:rPr>
      </w:pPr>
    </w:p>
    <w:p w14:paraId="56E6275C" w14:textId="77777777" w:rsidR="00AD4645" w:rsidRPr="00212E0A" w:rsidRDefault="00AD4645" w:rsidP="00AD4645">
      <w:pPr>
        <w:spacing w:after="0" w:line="360" w:lineRule="auto"/>
        <w:jc w:val="both"/>
        <w:rPr>
          <w:rFonts w:ascii="Arial" w:eastAsia="Times New Roman" w:hAnsi="Arial" w:cs="Arial"/>
          <w:b/>
          <w:bCs/>
          <w:lang w:val="en-US"/>
        </w:rPr>
      </w:pPr>
      <w:r w:rsidRPr="00212E0A">
        <w:rPr>
          <w:rFonts w:ascii="Arial" w:eastAsia="Times New Roman" w:hAnsi="Arial" w:cs="Arial"/>
          <w:b/>
          <w:bCs/>
          <w:lang w:val="en-US"/>
        </w:rPr>
        <w:t>Electrophysiology in amygdala</w:t>
      </w:r>
    </w:p>
    <w:p w14:paraId="311E6F55" w14:textId="164F31D3" w:rsidR="005F5C3D" w:rsidRPr="00212E0A" w:rsidRDefault="005F5C3D" w:rsidP="005F5C3D">
      <w:pPr>
        <w:spacing w:after="0" w:line="360" w:lineRule="auto"/>
        <w:jc w:val="both"/>
        <w:rPr>
          <w:rFonts w:ascii="Arial" w:eastAsia="Times New Roman" w:hAnsi="Arial" w:cs="Arial"/>
          <w:noProof/>
          <w:lang w:val="en-US"/>
        </w:rPr>
      </w:pPr>
      <w:r w:rsidRPr="00212E0A">
        <w:rPr>
          <w:rFonts w:ascii="Arial" w:eastAsia="Times New Roman" w:hAnsi="Arial" w:cs="Arial"/>
          <w:lang w:val="en-US"/>
        </w:rPr>
        <w:t xml:space="preserve">Five to six month old </w:t>
      </w:r>
      <w:r w:rsidRPr="00212E0A">
        <w:rPr>
          <w:rFonts w:ascii="Arial" w:eastAsia="Times New Roman" w:hAnsi="Arial" w:cs="Arial"/>
          <w:i/>
          <w:lang w:val="en-US"/>
        </w:rPr>
        <w:t>Tph2</w:t>
      </w:r>
      <w:r w:rsidRPr="00212E0A">
        <w:rPr>
          <w:rFonts w:ascii="Arial" w:eastAsia="Times New Roman" w:hAnsi="Arial" w:cs="Arial"/>
          <w:vertAlign w:val="superscript"/>
          <w:lang w:val="en-US"/>
        </w:rPr>
        <w:t>-/-</w:t>
      </w:r>
      <w:r w:rsidRPr="00212E0A">
        <w:rPr>
          <w:rFonts w:ascii="Arial" w:eastAsia="Times New Roman" w:hAnsi="Arial" w:cs="Arial"/>
          <w:lang w:val="en-US"/>
        </w:rPr>
        <w:t xml:space="preserve">, </w:t>
      </w:r>
      <w:r w:rsidRPr="00212E0A">
        <w:rPr>
          <w:rFonts w:ascii="Arial" w:eastAsia="Times New Roman" w:hAnsi="Arial" w:cs="Arial"/>
          <w:i/>
          <w:lang w:val="en-US"/>
        </w:rPr>
        <w:t>Tph2</w:t>
      </w:r>
      <w:r w:rsidRPr="00212E0A">
        <w:rPr>
          <w:rFonts w:ascii="Arial" w:eastAsia="Times New Roman" w:hAnsi="Arial" w:cs="Arial"/>
          <w:noProof/>
          <w:vertAlign w:val="superscript"/>
          <w:lang w:val="en-US"/>
        </w:rPr>
        <w:t>+/-</w:t>
      </w:r>
      <w:r w:rsidRPr="00212E0A">
        <w:rPr>
          <w:rFonts w:ascii="Arial" w:eastAsia="Times New Roman" w:hAnsi="Arial" w:cs="Arial"/>
          <w:noProof/>
          <w:lang w:val="en-US"/>
        </w:rPr>
        <w:t xml:space="preserve"> or </w:t>
      </w:r>
      <w:r w:rsidRPr="00212E0A">
        <w:rPr>
          <w:rFonts w:ascii="Arial" w:eastAsia="Times New Roman" w:hAnsi="Arial" w:cs="Arial"/>
          <w:i/>
          <w:noProof/>
          <w:lang w:val="en-US"/>
        </w:rPr>
        <w:t>Tph2</w:t>
      </w:r>
      <w:r w:rsidRPr="00212E0A">
        <w:rPr>
          <w:rFonts w:ascii="Arial" w:eastAsia="Times New Roman" w:hAnsi="Arial" w:cs="Arial"/>
          <w:noProof/>
          <w:vertAlign w:val="superscript"/>
          <w:lang w:val="en-US"/>
        </w:rPr>
        <w:t>+/+</w:t>
      </w:r>
      <w:r w:rsidRPr="00212E0A">
        <w:rPr>
          <w:rFonts w:ascii="Arial" w:eastAsia="Times New Roman" w:hAnsi="Arial" w:cs="Arial"/>
          <w:noProof/>
          <w:lang w:val="en-US"/>
        </w:rPr>
        <w:t xml:space="preserve"> mice were anaesthetized with Isoflurane (1-Chloro-2,2,2-trifluoroethyl-difluoromethylether; 2.5% in O</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 xml:space="preserve">; Abbot GmbH &amp; Co. KG, Germany) and decapitated. Coronal slices (300 µm thickness) containing the amygdala were prepared on a vibratome (Leica VT1200S), </w:t>
      </w:r>
      <w:r w:rsidRPr="00212E0A">
        <w:rPr>
          <w:rFonts w:ascii="Arial" w:eastAsia="Times New Roman" w:hAnsi="Arial" w:cs="Arial"/>
          <w:lang w:val="en-US"/>
        </w:rPr>
        <w:t xml:space="preserve">incubated at 32°C for 20 min and stored thereafter at room temperature (RT). </w:t>
      </w:r>
      <w:r w:rsidRPr="00212E0A">
        <w:rPr>
          <w:rFonts w:ascii="Arial" w:eastAsia="Times New Roman" w:hAnsi="Arial" w:cs="Arial"/>
          <w:noProof/>
          <w:lang w:val="en-US"/>
        </w:rPr>
        <w:t>Single slices were placed at RT</w:t>
      </w:r>
      <w:r w:rsidRPr="00212E0A">
        <w:rPr>
          <w:rFonts w:ascii="Arial" w:eastAsia="Times New Roman" w:hAnsi="Arial" w:cs="Arial"/>
          <w:lang w:val="en-US"/>
        </w:rPr>
        <w:t xml:space="preserve"> </w:t>
      </w:r>
      <w:r w:rsidRPr="00212E0A">
        <w:rPr>
          <w:rFonts w:ascii="Arial" w:eastAsia="Times New Roman" w:hAnsi="Arial" w:cs="Arial"/>
          <w:noProof/>
          <w:lang w:val="en-US"/>
        </w:rPr>
        <w:t>in a submersion chamber and were perfused with artificial-cerebrospinal fluid (ACSF) containing [in mM]: NaCl 120, KCl 2.5, NaH</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PO</w:t>
      </w:r>
      <w:r w:rsidRPr="00212E0A">
        <w:rPr>
          <w:rFonts w:ascii="Arial" w:eastAsia="Times New Roman" w:hAnsi="Arial" w:cs="Arial"/>
          <w:noProof/>
          <w:vertAlign w:val="subscript"/>
          <w:lang w:val="en-US"/>
        </w:rPr>
        <w:t>4</w:t>
      </w:r>
      <w:r w:rsidRPr="00212E0A">
        <w:rPr>
          <w:rFonts w:ascii="Arial" w:eastAsia="Times New Roman" w:hAnsi="Arial" w:cs="Arial"/>
          <w:noProof/>
          <w:lang w:val="en-US"/>
        </w:rPr>
        <w:t xml:space="preserve"> 1.25, MgSO</w:t>
      </w:r>
      <w:r w:rsidRPr="00212E0A">
        <w:rPr>
          <w:rFonts w:ascii="Arial" w:eastAsia="Times New Roman" w:hAnsi="Arial" w:cs="Arial"/>
          <w:noProof/>
          <w:vertAlign w:val="subscript"/>
          <w:lang w:val="en-US"/>
        </w:rPr>
        <w:t>4</w:t>
      </w:r>
      <w:r w:rsidRPr="00212E0A">
        <w:rPr>
          <w:rFonts w:ascii="Arial" w:eastAsia="Times New Roman" w:hAnsi="Arial" w:cs="Arial"/>
          <w:noProof/>
          <w:lang w:val="en-US"/>
        </w:rPr>
        <w:t xml:space="preserve"> 2, CaCl</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 xml:space="preserve"> 2, NaHCO</w:t>
      </w:r>
      <w:r w:rsidRPr="00212E0A">
        <w:rPr>
          <w:rFonts w:ascii="Arial" w:eastAsia="Times New Roman" w:hAnsi="Arial" w:cs="Arial"/>
          <w:noProof/>
          <w:vertAlign w:val="subscript"/>
          <w:lang w:val="en-US"/>
        </w:rPr>
        <w:t>3</w:t>
      </w:r>
      <w:r w:rsidRPr="00212E0A">
        <w:rPr>
          <w:rFonts w:ascii="Arial" w:eastAsia="Times New Roman" w:hAnsi="Arial" w:cs="Arial"/>
          <w:noProof/>
          <w:lang w:val="en-US"/>
        </w:rPr>
        <w:t xml:space="preserve"> 22 and glucose 20. The pH was set to 7.35 by gassing with carbogen (95% O</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 5%CO</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w:t>
      </w:r>
    </w:p>
    <w:p w14:paraId="77A1EA17" w14:textId="0EA1ACB5" w:rsidR="005F5C3D" w:rsidRPr="00212E0A" w:rsidRDefault="005F5C3D" w:rsidP="005F5C3D">
      <w:pPr>
        <w:spacing w:after="0" w:line="360" w:lineRule="auto"/>
        <w:jc w:val="both"/>
        <w:rPr>
          <w:rFonts w:ascii="Arial" w:eastAsia="Times New Roman" w:hAnsi="Arial" w:cs="Arial"/>
          <w:noProof/>
          <w:lang w:val="en-US"/>
        </w:rPr>
      </w:pPr>
      <w:r w:rsidRPr="00212E0A">
        <w:rPr>
          <w:rFonts w:ascii="Arial" w:eastAsia="Times New Roman" w:hAnsi="Arial" w:cs="Arial"/>
          <w:noProof/>
          <w:lang w:val="en-US"/>
        </w:rPr>
        <w:lastRenderedPageBreak/>
        <w:t xml:space="preserve">Whole-cell patch clamp recordings were performed using an EPC-10 patch-clamp amplifier (HEKA, Germany) at a sampling rate of 10 kHz. The recordings were done on principal-neurons in the LA, which were morphologically and electrophysiologically identified as previously described (Lange et al., 2014). </w:t>
      </w:r>
    </w:p>
    <w:p w14:paraId="6D29F7DE" w14:textId="30F3EA4C" w:rsidR="005F5C3D" w:rsidRPr="00212E0A" w:rsidRDefault="005F5C3D" w:rsidP="005F5C3D">
      <w:pPr>
        <w:spacing w:after="0" w:line="360" w:lineRule="auto"/>
        <w:jc w:val="both"/>
        <w:rPr>
          <w:rFonts w:ascii="Arial" w:eastAsia="Times New Roman" w:hAnsi="Arial" w:cs="Arial"/>
          <w:noProof/>
          <w:lang w:val="en-US"/>
        </w:rPr>
      </w:pPr>
      <w:r w:rsidRPr="00212E0A">
        <w:rPr>
          <w:rFonts w:ascii="Arial" w:eastAsia="Times New Roman" w:hAnsi="Arial" w:cs="Arial"/>
          <w:i/>
          <w:noProof/>
          <w:lang w:val="en-US"/>
        </w:rPr>
        <w:t>Miniature (m), spontan</w:t>
      </w:r>
      <w:r w:rsidR="00DF5755">
        <w:rPr>
          <w:rFonts w:ascii="Arial" w:eastAsia="Times New Roman" w:hAnsi="Arial" w:cs="Arial"/>
          <w:i/>
          <w:noProof/>
          <w:lang w:val="en-US"/>
        </w:rPr>
        <w:t>eo</w:t>
      </w:r>
      <w:r w:rsidRPr="00212E0A">
        <w:rPr>
          <w:rFonts w:ascii="Arial" w:eastAsia="Times New Roman" w:hAnsi="Arial" w:cs="Arial"/>
          <w:i/>
          <w:noProof/>
          <w:lang w:val="en-US"/>
        </w:rPr>
        <w:t>use (s) and evoked (e) inhibitory postsynaptic currents (IPSCs)</w:t>
      </w:r>
      <w:r w:rsidR="00867510" w:rsidRPr="00212E0A">
        <w:rPr>
          <w:rFonts w:ascii="Arial" w:eastAsia="Times New Roman" w:hAnsi="Arial" w:cs="Arial"/>
          <w:i/>
          <w:noProof/>
          <w:lang w:val="en-US"/>
        </w:rPr>
        <w:t>:</w:t>
      </w:r>
      <w:r w:rsidRPr="00212E0A">
        <w:rPr>
          <w:rFonts w:ascii="Arial" w:eastAsia="Times New Roman" w:hAnsi="Arial" w:cs="Arial"/>
          <w:noProof/>
          <w:lang w:val="en-US"/>
        </w:rPr>
        <w:t xml:space="preserve"> </w:t>
      </w:r>
      <w:r w:rsidR="00867510" w:rsidRPr="00212E0A">
        <w:rPr>
          <w:rFonts w:ascii="Arial" w:eastAsia="Times New Roman" w:hAnsi="Arial" w:cs="Arial"/>
          <w:noProof/>
          <w:lang w:val="en-US"/>
        </w:rPr>
        <w:t xml:space="preserve">Patch-pipettes (2.2-2,5 MΩ; borosilicate glass; Clark Electromedical Instruments, UK) were filled as follows </w:t>
      </w:r>
      <w:r w:rsidRPr="00212E0A">
        <w:rPr>
          <w:rFonts w:ascii="Arial" w:eastAsia="Times New Roman" w:hAnsi="Arial" w:cs="Arial"/>
          <w:noProof/>
          <w:lang w:val="en-US"/>
        </w:rPr>
        <w:t>[in mM]: NaCl 10, KCl 110, EDTA 11, HEPES 10, MgCl</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 xml:space="preserve"> 1, CaCl</w:t>
      </w:r>
      <w:r w:rsidRPr="00212E0A">
        <w:rPr>
          <w:rFonts w:ascii="Arial" w:eastAsia="Times New Roman" w:hAnsi="Arial" w:cs="Arial"/>
          <w:noProof/>
          <w:vertAlign w:val="subscript"/>
          <w:lang w:val="en-US"/>
        </w:rPr>
        <w:t>2</w:t>
      </w:r>
      <w:r w:rsidRPr="00212E0A">
        <w:rPr>
          <w:rFonts w:ascii="Arial" w:eastAsia="Times New Roman" w:hAnsi="Arial" w:cs="Arial"/>
          <w:noProof/>
          <w:lang w:val="en-US"/>
        </w:rPr>
        <w:t xml:space="preserve"> 0,5, Phosphocreatin 15, MgATP 3, and NaGTP 0.5. The pH was set to 7.25. The isolated IPSCs were recorded in voltage-clamp mode at a membran potential of -70 mV in the presence of AP-5 (D-(-)-2-Amino-5-phosphonopentanoic acid; 50 µM; Abcam) and DNQX (6,7-Dinitroquinoxaline-2,3-dione disodium salt; 10 µM; Abcam) to block NMDA- and AMPA-receptors; mIPSCs</w:t>
      </w:r>
      <w:r w:rsidR="00867510" w:rsidRPr="00212E0A">
        <w:rPr>
          <w:rFonts w:ascii="Arial" w:eastAsia="Times New Roman" w:hAnsi="Arial" w:cs="Arial"/>
          <w:noProof/>
          <w:lang w:val="en-US"/>
        </w:rPr>
        <w:t xml:space="preserve"> </w:t>
      </w:r>
      <w:r w:rsidRPr="00212E0A">
        <w:rPr>
          <w:rFonts w:ascii="Arial" w:eastAsia="Times New Roman" w:hAnsi="Arial" w:cs="Arial"/>
          <w:noProof/>
          <w:lang w:val="en-US"/>
        </w:rPr>
        <w:t>were recorded in the presence of tetrodotoxin (TTX 1 µM).</w:t>
      </w:r>
    </w:p>
    <w:p w14:paraId="7E16FD13" w14:textId="77777777" w:rsidR="005F5C3D" w:rsidRPr="00212E0A" w:rsidRDefault="005F5C3D" w:rsidP="005F5C3D">
      <w:pPr>
        <w:shd w:val="clear" w:color="auto" w:fill="FFFFFF"/>
        <w:spacing w:after="0" w:line="360" w:lineRule="auto"/>
        <w:jc w:val="both"/>
        <w:rPr>
          <w:rFonts w:ascii="Arial" w:eastAsia="Times New Roman" w:hAnsi="Arial" w:cs="Arial"/>
          <w:noProof/>
          <w:lang w:val="en-US"/>
        </w:rPr>
      </w:pPr>
      <w:r w:rsidRPr="00212E0A">
        <w:rPr>
          <w:rFonts w:ascii="Arial" w:eastAsia="Times New Roman" w:hAnsi="Arial" w:cs="Arial"/>
          <w:noProof/>
          <w:lang w:val="en-US"/>
        </w:rPr>
        <w:t xml:space="preserve">The resting membrane potential was obtained immediately after accessing the whole-cell configuration. The passive and active membrane properties were recorded in the current-clamp mode at a membrane potential of -70 mV. Hyper- and depolarizing currents were injected (1000 ms duration; -60 pA first step; Δ+10 pA) to analyse passive and active membran properties. The input resistance was calculated from the steady-state voltage deflection in response to a hyperpolarizing current injection of -40 pA. </w:t>
      </w:r>
    </w:p>
    <w:p w14:paraId="52F7C4A7" w14:textId="63DFB1F5" w:rsidR="005F5C3D" w:rsidRPr="00212E0A" w:rsidRDefault="005F5C3D" w:rsidP="005F5C3D">
      <w:pPr>
        <w:autoSpaceDE w:val="0"/>
        <w:autoSpaceDN w:val="0"/>
        <w:adjustRightInd w:val="0"/>
        <w:spacing w:after="0" w:line="360" w:lineRule="auto"/>
        <w:jc w:val="both"/>
        <w:rPr>
          <w:rFonts w:ascii="Arial" w:eastAsia="Calibri" w:hAnsi="Arial" w:cs="Arial"/>
          <w:lang w:val="en-US"/>
        </w:rPr>
      </w:pPr>
      <w:r w:rsidRPr="00212E0A">
        <w:rPr>
          <w:rFonts w:ascii="Arial" w:eastAsia="Times New Roman" w:hAnsi="Arial" w:cs="Arial"/>
          <w:lang w:val="en-US"/>
        </w:rPr>
        <w:t xml:space="preserve">Amplitudes of eIPSCs were measured and averaged from 5 consecutive PSCs with an interval of 15 s. Obtained values were averaged from different neurons and are presented as the mean amplitude (in pA). The paired-pulse ratio of eIPSCs was calculated by dividing the amplitude of the second response by the amplitude of the ﬁrst responses at a paired-pulse interval of 50 ms. The mIPSCs and sIPSCs were recorded over a time period of 300 s (60 traces with 5 s duration) to determine amplitudes and frequencies of GABAergic </w:t>
      </w:r>
      <w:r w:rsidR="00E111ED" w:rsidRPr="00212E0A">
        <w:rPr>
          <w:rFonts w:ascii="Arial" w:eastAsia="Times New Roman" w:hAnsi="Arial" w:cs="Arial"/>
          <w:lang w:val="en-US"/>
        </w:rPr>
        <w:t xml:space="preserve">postsynaptic </w:t>
      </w:r>
      <w:r w:rsidRPr="00212E0A">
        <w:rPr>
          <w:rFonts w:ascii="Arial" w:eastAsia="Times New Roman" w:hAnsi="Arial" w:cs="Arial"/>
          <w:lang w:val="en-US"/>
        </w:rPr>
        <w:t xml:space="preserve">currents. </w:t>
      </w:r>
    </w:p>
    <w:p w14:paraId="1B68287A" w14:textId="77777777" w:rsidR="00E42DDF" w:rsidRPr="00212E0A" w:rsidRDefault="004335CE" w:rsidP="00E42DDF">
      <w:pPr>
        <w:rPr>
          <w:rFonts w:ascii="Arial" w:eastAsia="Times New Roman" w:hAnsi="Arial" w:cs="Arial"/>
          <w:lang w:val="en-US"/>
        </w:rPr>
      </w:pPr>
      <w:r w:rsidRPr="00212E0A">
        <w:rPr>
          <w:rFonts w:ascii="Arial" w:eastAsia="Times New Roman" w:hAnsi="Arial" w:cs="Arial"/>
          <w:lang w:val="en-US"/>
        </w:rPr>
        <w:br w:type="page"/>
      </w:r>
    </w:p>
    <w:p w14:paraId="7D3A6F98" w14:textId="3C651899" w:rsidR="004335CE" w:rsidRPr="00212E0A" w:rsidRDefault="004335CE" w:rsidP="00A55DF8">
      <w:pPr>
        <w:spacing w:after="0" w:line="360" w:lineRule="auto"/>
        <w:jc w:val="both"/>
        <w:rPr>
          <w:rFonts w:ascii="Arial" w:hAnsi="Arial" w:cs="Arial"/>
          <w:b/>
          <w:lang w:val="en-US"/>
        </w:rPr>
      </w:pPr>
      <w:r w:rsidRPr="00212E0A">
        <w:rPr>
          <w:rFonts w:ascii="Arial" w:hAnsi="Arial" w:cs="Arial"/>
          <w:b/>
          <w:lang w:val="en-US"/>
        </w:rPr>
        <w:lastRenderedPageBreak/>
        <w:t xml:space="preserve">Slc6a4 </w:t>
      </w:r>
      <w:r w:rsidRPr="00067C0F">
        <w:rPr>
          <w:rFonts w:ascii="Arial" w:hAnsi="Arial" w:cs="Arial"/>
          <w:b/>
          <w:i/>
          <w:lang w:val="en-US"/>
        </w:rPr>
        <w:t>in situ</w:t>
      </w:r>
      <w:r w:rsidRPr="00212E0A">
        <w:rPr>
          <w:rFonts w:ascii="Arial" w:hAnsi="Arial" w:cs="Arial"/>
          <w:b/>
          <w:lang w:val="en-US"/>
        </w:rPr>
        <w:t xml:space="preserve"> hybridization histochemistry</w:t>
      </w:r>
    </w:p>
    <w:p w14:paraId="5CD82E50" w14:textId="45CEF094" w:rsidR="00F723FB" w:rsidRPr="00212E0A" w:rsidRDefault="00EA01C9" w:rsidP="00A55DF8">
      <w:pPr>
        <w:spacing w:after="0" w:line="360" w:lineRule="auto"/>
        <w:jc w:val="both"/>
        <w:rPr>
          <w:rFonts w:ascii="Arial" w:hAnsi="Arial" w:cs="Arial"/>
          <w:lang w:val="en-US"/>
        </w:rPr>
      </w:pPr>
      <w:r w:rsidRPr="00212E0A">
        <w:rPr>
          <w:rFonts w:ascii="Arial" w:hAnsi="Arial" w:cs="Arial"/>
          <w:lang w:val="en-US"/>
        </w:rPr>
        <w:t>Brains were sectioned throughout the midbrain and pons using a Leica 1900 cryostat (North Central Instruments, Plymouth, MN, USA; 5 alternate sets of 12 µm sections). Brain tissue sections were mounted onto 75 mm x 25 mm x</w:t>
      </w:r>
      <w:r w:rsidR="00F03408" w:rsidRPr="00212E0A">
        <w:rPr>
          <w:rFonts w:ascii="Arial" w:hAnsi="Arial" w:cs="Arial"/>
          <w:lang w:val="en-US"/>
        </w:rPr>
        <w:t xml:space="preserve"> 1</w:t>
      </w:r>
      <w:r w:rsidRPr="00212E0A">
        <w:rPr>
          <w:rFonts w:ascii="Arial" w:hAnsi="Arial" w:cs="Arial"/>
          <w:lang w:val="en-US"/>
        </w:rPr>
        <w:t xml:space="preserve"> mm, positively-charged VWR Vistavision</w:t>
      </w:r>
      <w:r w:rsidRPr="00212E0A">
        <w:rPr>
          <w:rFonts w:ascii="Arial" w:hAnsi="Arial" w:cs="Arial"/>
          <w:lang w:val="en-US"/>
        </w:rPr>
        <w:sym w:font="Symbol" w:char="F0E4"/>
      </w:r>
      <w:r w:rsidRPr="00212E0A">
        <w:rPr>
          <w:rFonts w:ascii="Arial" w:hAnsi="Arial" w:cs="Arial"/>
          <w:lang w:val="en-US"/>
        </w:rPr>
        <w:t xml:space="preserve"> Histobond</w:t>
      </w:r>
      <w:r w:rsidRPr="00212E0A">
        <w:rPr>
          <w:rFonts w:ascii="Arial" w:hAnsi="Arial" w:cs="Arial"/>
          <w:lang w:val="en-US"/>
        </w:rPr>
        <w:sym w:font="Symbol" w:char="F0E2"/>
      </w:r>
      <w:r w:rsidRPr="00212E0A">
        <w:rPr>
          <w:rFonts w:ascii="Arial" w:hAnsi="Arial" w:cs="Arial"/>
          <w:lang w:val="en-US"/>
        </w:rPr>
        <w:t xml:space="preserve"> microscope slides (16004-406, VWR International, Radnor, PA, USA) and stored at ‒80 °C.</w:t>
      </w:r>
      <w:r w:rsidRPr="00212E0A" w:rsidDel="00A0229E">
        <w:rPr>
          <w:rFonts w:ascii="Arial" w:hAnsi="Arial" w:cs="Arial"/>
          <w:lang w:val="en-US"/>
        </w:rPr>
        <w:t xml:space="preserve"> </w:t>
      </w:r>
      <w:r w:rsidRPr="00212E0A">
        <w:rPr>
          <w:rFonts w:ascii="Arial" w:hAnsi="Arial" w:cs="Arial"/>
          <w:lang w:val="en-US"/>
        </w:rPr>
        <w:t xml:space="preserve">For semi-quantitative analysis of </w:t>
      </w:r>
      <w:r w:rsidRPr="00212E0A">
        <w:rPr>
          <w:rFonts w:ascii="Arial" w:hAnsi="Arial" w:cs="Arial"/>
          <w:i/>
          <w:lang w:val="en-US"/>
        </w:rPr>
        <w:t>Slc6a4</w:t>
      </w:r>
      <w:r w:rsidRPr="00212E0A">
        <w:rPr>
          <w:rFonts w:ascii="Arial" w:hAnsi="Arial" w:cs="Arial"/>
          <w:lang w:val="en-US"/>
        </w:rPr>
        <w:t xml:space="preserve"> mRNA expression, gr</w:t>
      </w:r>
      <w:r w:rsidR="006648FC" w:rsidRPr="00212E0A">
        <w:rPr>
          <w:rFonts w:ascii="Arial" w:hAnsi="Arial" w:cs="Arial"/>
          <w:lang w:val="en-US"/>
        </w:rPr>
        <w:t>a</w:t>
      </w:r>
      <w:r w:rsidRPr="00212E0A">
        <w:rPr>
          <w:rFonts w:ascii="Arial" w:hAnsi="Arial" w:cs="Arial"/>
          <w:lang w:val="en-US"/>
        </w:rPr>
        <w:t xml:space="preserve">y values of digital autoradiography images </w:t>
      </w:r>
      <w:proofErr w:type="gramStart"/>
      <w:r w:rsidRPr="00212E0A">
        <w:rPr>
          <w:rFonts w:ascii="Arial" w:hAnsi="Arial" w:cs="Arial"/>
          <w:lang w:val="en-US"/>
        </w:rPr>
        <w:t>were analyzed</w:t>
      </w:r>
      <w:proofErr w:type="gramEnd"/>
      <w:r w:rsidRPr="00212E0A">
        <w:rPr>
          <w:rFonts w:ascii="Arial" w:hAnsi="Arial" w:cs="Arial"/>
          <w:lang w:val="en-US"/>
        </w:rPr>
        <w:t xml:space="preserve"> with ImageJ (NIH, Bethesda, MD, USA)</w:t>
      </w:r>
      <w:r w:rsidR="00F03408" w:rsidRPr="00212E0A">
        <w:rPr>
          <w:rFonts w:ascii="Arial" w:hAnsi="Arial" w:cs="Arial"/>
          <w:lang w:val="en-US"/>
        </w:rPr>
        <w:t>.</w:t>
      </w:r>
    </w:p>
    <w:p w14:paraId="04577DDD" w14:textId="39FD513B" w:rsidR="004335CE" w:rsidRPr="00212E0A" w:rsidRDefault="004335CE" w:rsidP="00A55DF8">
      <w:pPr>
        <w:spacing w:after="0" w:line="360" w:lineRule="auto"/>
        <w:jc w:val="both"/>
        <w:rPr>
          <w:rFonts w:ascii="Arial" w:hAnsi="Arial" w:cs="Arial"/>
          <w:lang w:val="en-US"/>
        </w:rPr>
      </w:pPr>
      <w:r w:rsidRPr="00212E0A">
        <w:rPr>
          <w:rFonts w:ascii="Arial" w:hAnsi="Arial" w:cs="Arial"/>
          <w:lang w:val="en-US"/>
        </w:rPr>
        <w:t xml:space="preserve">For </w:t>
      </w:r>
      <w:r w:rsidRPr="00212E0A">
        <w:rPr>
          <w:rFonts w:ascii="Arial" w:hAnsi="Arial" w:cs="Arial"/>
          <w:i/>
          <w:lang w:val="en-US"/>
        </w:rPr>
        <w:t>in situ</w:t>
      </w:r>
      <w:r w:rsidRPr="00212E0A">
        <w:rPr>
          <w:rFonts w:ascii="Arial" w:hAnsi="Arial" w:cs="Arial"/>
          <w:lang w:val="en-US"/>
        </w:rPr>
        <w:t xml:space="preserve"> hybridization histochemical analysis of </w:t>
      </w:r>
      <w:r w:rsidR="00F03408" w:rsidRPr="00212E0A">
        <w:rPr>
          <w:rFonts w:ascii="Arial" w:hAnsi="Arial" w:cs="Arial"/>
          <w:i/>
          <w:lang w:val="en-US"/>
        </w:rPr>
        <w:t>S</w:t>
      </w:r>
      <w:r w:rsidRPr="00212E0A">
        <w:rPr>
          <w:rFonts w:ascii="Arial" w:hAnsi="Arial" w:cs="Arial"/>
          <w:i/>
          <w:lang w:val="en-US"/>
        </w:rPr>
        <w:t>lc6a4</w:t>
      </w:r>
      <w:r w:rsidRPr="00212E0A">
        <w:rPr>
          <w:rFonts w:ascii="Arial" w:hAnsi="Arial" w:cs="Arial"/>
          <w:lang w:val="en-US"/>
        </w:rPr>
        <w:t xml:space="preserve"> mRNA expression</w:t>
      </w:r>
      <w:r w:rsidRPr="00212E0A" w:rsidDel="00FA2724">
        <w:rPr>
          <w:rFonts w:ascii="Arial" w:hAnsi="Arial" w:cs="Arial"/>
          <w:lang w:val="en-US"/>
        </w:rPr>
        <w:t xml:space="preserve"> </w:t>
      </w:r>
      <w:r w:rsidRPr="00212E0A">
        <w:rPr>
          <w:rFonts w:ascii="Arial" w:hAnsi="Arial" w:cs="Arial"/>
          <w:lang w:val="en-US"/>
        </w:rPr>
        <w:t xml:space="preserve">in the dorsal and median raphe nuclei, one oligonucleotide probe complementary and specific to </w:t>
      </w:r>
      <w:r w:rsidR="00F03408" w:rsidRPr="00212E0A">
        <w:rPr>
          <w:rFonts w:ascii="Arial" w:hAnsi="Arial" w:cs="Arial"/>
          <w:i/>
          <w:lang w:val="en-US"/>
        </w:rPr>
        <w:t>S</w:t>
      </w:r>
      <w:r w:rsidRPr="00212E0A">
        <w:rPr>
          <w:rFonts w:ascii="Arial" w:hAnsi="Arial" w:cs="Arial"/>
          <w:i/>
          <w:lang w:val="en-US"/>
        </w:rPr>
        <w:t>lc6a4</w:t>
      </w:r>
      <w:r w:rsidRPr="00212E0A">
        <w:rPr>
          <w:rFonts w:ascii="Arial" w:hAnsi="Arial" w:cs="Arial"/>
          <w:lang w:val="en-US"/>
        </w:rPr>
        <w:t xml:space="preserve"> mRNA (5’- ACTGCAGAGTACCCATTGGATATTTGGCTAGGCTCTGCCCTGTCCGCTGT-3’) was transcribed (Integrated DNA Technologies). Following transcription, probe was radiolabeled with [35-S]-deoxyadenosine-5’-(alpha-</w:t>
      </w:r>
      <w:proofErr w:type="spellStart"/>
      <w:r w:rsidRPr="00212E0A">
        <w:rPr>
          <w:rFonts w:ascii="Arial" w:hAnsi="Arial" w:cs="Arial"/>
          <w:lang w:val="en-US"/>
        </w:rPr>
        <w:t>thio</w:t>
      </w:r>
      <w:proofErr w:type="spellEnd"/>
      <w:r w:rsidRPr="00212E0A">
        <w:rPr>
          <w:rFonts w:ascii="Arial" w:hAnsi="Arial" w:cs="Arial"/>
          <w:lang w:val="en-US"/>
        </w:rPr>
        <w:t>)-triphosphate (</w:t>
      </w:r>
      <w:proofErr w:type="spellStart"/>
      <w:r w:rsidRPr="00212E0A">
        <w:rPr>
          <w:rFonts w:ascii="Arial" w:hAnsi="Arial" w:cs="Arial"/>
          <w:lang w:val="en-US"/>
        </w:rPr>
        <w:t>dATP</w:t>
      </w:r>
      <w:proofErr w:type="spellEnd"/>
      <w:r w:rsidRPr="00212E0A">
        <w:rPr>
          <w:rFonts w:ascii="Arial" w:hAnsi="Arial" w:cs="Arial"/>
          <w:lang w:val="en-US"/>
        </w:rPr>
        <w:t>, Cat. No. NEG034H001MC, PerkinElmer) using the enzyme terminal transferase (</w:t>
      </w:r>
      <w:proofErr w:type="spellStart"/>
      <w:r w:rsidRPr="00212E0A">
        <w:rPr>
          <w:rFonts w:ascii="Arial" w:hAnsi="Arial" w:cs="Arial"/>
          <w:lang w:val="en-US"/>
        </w:rPr>
        <w:t>Promega</w:t>
      </w:r>
      <w:proofErr w:type="spellEnd"/>
      <w:r w:rsidRPr="00212E0A">
        <w:rPr>
          <w:rFonts w:ascii="Arial" w:hAnsi="Arial" w:cs="Arial"/>
          <w:lang w:val="en-US"/>
        </w:rPr>
        <w:t xml:space="preserve">) for 1 </w:t>
      </w:r>
      <w:proofErr w:type="spellStart"/>
      <w:r w:rsidRPr="00212E0A">
        <w:rPr>
          <w:rFonts w:ascii="Arial" w:hAnsi="Arial" w:cs="Arial"/>
          <w:lang w:val="en-US"/>
        </w:rPr>
        <w:t>hr</w:t>
      </w:r>
      <w:proofErr w:type="spellEnd"/>
      <w:r w:rsidRPr="00212E0A">
        <w:rPr>
          <w:rFonts w:ascii="Arial" w:hAnsi="Arial" w:cs="Arial"/>
          <w:lang w:val="en-US"/>
        </w:rPr>
        <w:t xml:space="preserve"> at 37 °C in a water bath to create a DNA oligonucleotide probe complementary to bases 207-256 of murine </w:t>
      </w:r>
      <w:r w:rsidR="00F03408" w:rsidRPr="00212E0A">
        <w:rPr>
          <w:rFonts w:ascii="Arial" w:hAnsi="Arial" w:cs="Arial"/>
          <w:i/>
          <w:lang w:val="en-US"/>
        </w:rPr>
        <w:t>S</w:t>
      </w:r>
      <w:r w:rsidRPr="00212E0A">
        <w:rPr>
          <w:rFonts w:ascii="Arial" w:hAnsi="Arial" w:cs="Arial"/>
          <w:i/>
          <w:lang w:val="en-US"/>
        </w:rPr>
        <w:t>lc6a4</w:t>
      </w:r>
      <w:r w:rsidRPr="00212E0A">
        <w:rPr>
          <w:rFonts w:ascii="Arial" w:hAnsi="Arial" w:cs="Arial"/>
          <w:lang w:val="en-US"/>
        </w:rPr>
        <w:t xml:space="preserve"> mRNA (Hansen and </w:t>
      </w:r>
      <w:proofErr w:type="spellStart"/>
      <w:r w:rsidRPr="00212E0A">
        <w:rPr>
          <w:rFonts w:ascii="Arial" w:hAnsi="Arial" w:cs="Arial"/>
          <w:lang w:val="en-US"/>
        </w:rPr>
        <w:t>Mikkelson</w:t>
      </w:r>
      <w:proofErr w:type="spellEnd"/>
      <w:r w:rsidRPr="00212E0A">
        <w:rPr>
          <w:rFonts w:ascii="Arial" w:hAnsi="Arial" w:cs="Arial"/>
          <w:lang w:val="en-US"/>
        </w:rPr>
        <w:t xml:space="preserve">, 1998). </w:t>
      </w:r>
    </w:p>
    <w:p w14:paraId="44FC1A3C" w14:textId="77777777" w:rsidR="004335CE" w:rsidRPr="00212E0A" w:rsidRDefault="004335CE" w:rsidP="00A55DF8">
      <w:pPr>
        <w:spacing w:after="0" w:line="360" w:lineRule="auto"/>
        <w:jc w:val="both"/>
        <w:rPr>
          <w:rFonts w:ascii="Arial" w:hAnsi="Arial" w:cs="Arial"/>
          <w:lang w:val="en-US"/>
        </w:rPr>
      </w:pPr>
    </w:p>
    <w:p w14:paraId="16875A93" w14:textId="77777777" w:rsidR="004335CE" w:rsidRPr="00212E0A" w:rsidRDefault="004335CE" w:rsidP="00A55DF8">
      <w:pPr>
        <w:spacing w:after="0" w:line="360" w:lineRule="auto"/>
        <w:jc w:val="both"/>
        <w:rPr>
          <w:rFonts w:ascii="Arial" w:hAnsi="Arial" w:cs="Arial"/>
          <w:lang w:val="en-US"/>
        </w:rPr>
      </w:pPr>
      <w:r w:rsidRPr="00212E0A">
        <w:rPr>
          <w:rFonts w:ascii="Arial" w:hAnsi="Arial" w:cs="Arial"/>
          <w:lang w:val="en-US"/>
        </w:rPr>
        <w:t>The oligonucleotide probes were then cleaned (</w:t>
      </w:r>
      <w:proofErr w:type="spellStart"/>
      <w:r w:rsidRPr="00212E0A">
        <w:rPr>
          <w:rFonts w:ascii="Arial" w:hAnsi="Arial" w:cs="Arial"/>
          <w:lang w:val="en-US"/>
        </w:rPr>
        <w:t>QIAquick</w:t>
      </w:r>
      <w:proofErr w:type="spellEnd"/>
      <w:r w:rsidRPr="00212E0A">
        <w:rPr>
          <w:rFonts w:ascii="Arial" w:hAnsi="Arial" w:cs="Arial"/>
          <w:lang w:val="en-US"/>
        </w:rPr>
        <w:t xml:space="preserve"> Nucleotide Removal® kit, Cat. No. 28304, </w:t>
      </w:r>
      <w:proofErr w:type="spellStart"/>
      <w:r w:rsidRPr="00212E0A">
        <w:rPr>
          <w:rFonts w:ascii="Arial" w:hAnsi="Arial" w:cs="Arial"/>
          <w:lang w:val="en-US"/>
        </w:rPr>
        <w:t>Qiagen</w:t>
      </w:r>
      <w:proofErr w:type="spellEnd"/>
      <w:r w:rsidRPr="00212E0A">
        <w:rPr>
          <w:rFonts w:ascii="Arial" w:hAnsi="Arial" w:cs="Arial"/>
          <w:lang w:val="en-US"/>
        </w:rPr>
        <w:t xml:space="preserve">, Valencia, CA, USA), and </w:t>
      </w:r>
      <w:r w:rsidRPr="00212E0A">
        <w:rPr>
          <w:rFonts w:ascii="Arial" w:hAnsi="Arial" w:cs="Arial"/>
          <w:i/>
          <w:lang w:val="en-US"/>
        </w:rPr>
        <w:t>in situ</w:t>
      </w:r>
      <w:r w:rsidRPr="00212E0A">
        <w:rPr>
          <w:rFonts w:ascii="Arial" w:hAnsi="Arial" w:cs="Arial"/>
          <w:lang w:val="en-US"/>
        </w:rPr>
        <w:t xml:space="preserve"> hybridization histochemistry was performed as previously described (Gardner et al., 2009). Briefly, slides were equilibrated to room temperature and then immersed in 4% paraformaldehyde in 0.05 M phosphate buffered saline (PBS) for 10 min. Following two washes in 0.05 M PBS, slides were placed into freshly prepared 0.25% acetic anhydride in 0.9% NaCl containing 0.1 M </w:t>
      </w:r>
      <w:proofErr w:type="spellStart"/>
      <w:r w:rsidRPr="00212E0A">
        <w:rPr>
          <w:rFonts w:ascii="Arial" w:hAnsi="Arial" w:cs="Arial"/>
          <w:lang w:val="en-US"/>
        </w:rPr>
        <w:t>triethanolamine</w:t>
      </w:r>
      <w:proofErr w:type="spellEnd"/>
      <w:r w:rsidRPr="00212E0A">
        <w:rPr>
          <w:rFonts w:ascii="Arial" w:hAnsi="Arial" w:cs="Arial"/>
          <w:lang w:val="en-US"/>
        </w:rPr>
        <w:t xml:space="preserve"> (TEA) for 10 min. Sections were then dehydrated through a graded series of alcohol washes, </w:t>
      </w:r>
      <w:proofErr w:type="spellStart"/>
      <w:r w:rsidRPr="00212E0A">
        <w:rPr>
          <w:rFonts w:ascii="Arial" w:hAnsi="Arial" w:cs="Arial"/>
          <w:lang w:val="en-US"/>
        </w:rPr>
        <w:t>delipidated</w:t>
      </w:r>
      <w:proofErr w:type="spellEnd"/>
      <w:r w:rsidRPr="00212E0A">
        <w:rPr>
          <w:rFonts w:ascii="Arial" w:hAnsi="Arial" w:cs="Arial"/>
          <w:lang w:val="en-US"/>
        </w:rPr>
        <w:t xml:space="preserve"> in chloroform, rehydrated through a second series of alcohol washes, and then allowed to air dry.</w:t>
      </w:r>
    </w:p>
    <w:p w14:paraId="61AA66A8" w14:textId="77777777" w:rsidR="004335CE" w:rsidRPr="00212E0A" w:rsidRDefault="004335CE" w:rsidP="00A55DF8">
      <w:pPr>
        <w:spacing w:after="0" w:line="360" w:lineRule="auto"/>
        <w:jc w:val="both"/>
        <w:rPr>
          <w:rFonts w:ascii="Arial" w:hAnsi="Arial" w:cs="Arial"/>
          <w:lang w:val="en-US"/>
        </w:rPr>
      </w:pPr>
    </w:p>
    <w:p w14:paraId="61313024" w14:textId="5A5A2934" w:rsidR="004335CE" w:rsidRPr="00212E0A" w:rsidRDefault="004335CE" w:rsidP="00A55DF8">
      <w:pPr>
        <w:spacing w:after="0" w:line="360" w:lineRule="auto"/>
        <w:jc w:val="both"/>
        <w:rPr>
          <w:rFonts w:ascii="Arial" w:hAnsi="Arial" w:cs="Arial"/>
          <w:lang w:val="en-US"/>
        </w:rPr>
      </w:pPr>
      <w:r w:rsidRPr="00212E0A">
        <w:rPr>
          <w:rFonts w:ascii="Arial" w:hAnsi="Arial" w:cs="Arial"/>
          <w:lang w:val="en-US"/>
        </w:rPr>
        <w:t xml:space="preserve">Oligonucleotide probe hybridization solution (50% </w:t>
      </w:r>
      <w:proofErr w:type="spellStart"/>
      <w:r w:rsidRPr="00212E0A">
        <w:rPr>
          <w:rFonts w:ascii="Arial" w:hAnsi="Arial" w:cs="Arial"/>
          <w:lang w:val="en-US"/>
        </w:rPr>
        <w:t>formamide</w:t>
      </w:r>
      <w:proofErr w:type="spellEnd"/>
      <w:r w:rsidRPr="00212E0A">
        <w:rPr>
          <w:rFonts w:ascii="Arial" w:hAnsi="Arial" w:cs="Arial"/>
          <w:lang w:val="en-US"/>
        </w:rPr>
        <w:t xml:space="preserve">, 20 × standard saline citrate (SSC), 25 mg/ml yeast </w:t>
      </w:r>
      <w:proofErr w:type="spellStart"/>
      <w:r w:rsidRPr="00212E0A">
        <w:rPr>
          <w:rFonts w:ascii="Arial" w:hAnsi="Arial" w:cs="Arial"/>
          <w:lang w:val="en-US"/>
        </w:rPr>
        <w:t>tRNA</w:t>
      </w:r>
      <w:proofErr w:type="spellEnd"/>
      <w:r w:rsidRPr="00212E0A">
        <w:rPr>
          <w:rFonts w:ascii="Arial" w:hAnsi="Arial" w:cs="Arial"/>
          <w:lang w:val="en-US"/>
        </w:rPr>
        <w:t xml:space="preserve">, 10 mg/ml sheared salmon sperm DNA, 50X </w:t>
      </w:r>
      <w:proofErr w:type="spellStart"/>
      <w:r w:rsidRPr="00212E0A">
        <w:rPr>
          <w:rFonts w:ascii="Arial" w:hAnsi="Arial" w:cs="Arial"/>
          <w:lang w:val="en-US"/>
        </w:rPr>
        <w:t>Denhardt’s</w:t>
      </w:r>
      <w:proofErr w:type="spellEnd"/>
      <w:r w:rsidRPr="00212E0A">
        <w:rPr>
          <w:rFonts w:ascii="Arial" w:hAnsi="Arial" w:cs="Arial"/>
          <w:lang w:val="en-US"/>
        </w:rPr>
        <w:t xml:space="preserve"> solution, 50% dextran </w:t>
      </w:r>
      <w:proofErr w:type="spellStart"/>
      <w:r w:rsidRPr="00212E0A">
        <w:rPr>
          <w:rFonts w:ascii="Arial" w:hAnsi="Arial" w:cs="Arial"/>
          <w:lang w:val="en-US"/>
        </w:rPr>
        <w:t>sulphate</w:t>
      </w:r>
      <w:proofErr w:type="spellEnd"/>
      <w:r w:rsidRPr="00212E0A">
        <w:rPr>
          <w:rFonts w:ascii="Arial" w:hAnsi="Arial" w:cs="Arial"/>
          <w:lang w:val="en-US"/>
        </w:rPr>
        <w:t xml:space="preserve">, 10 mM </w:t>
      </w:r>
      <w:proofErr w:type="spellStart"/>
      <w:r w:rsidRPr="00212E0A">
        <w:rPr>
          <w:rFonts w:ascii="Arial" w:hAnsi="Arial" w:cs="Arial"/>
          <w:lang w:val="en-US"/>
        </w:rPr>
        <w:t>dithiothreitol</w:t>
      </w:r>
      <w:proofErr w:type="spellEnd"/>
      <w:r w:rsidRPr="00212E0A">
        <w:rPr>
          <w:rFonts w:ascii="Arial" w:hAnsi="Arial" w:cs="Arial"/>
          <w:lang w:val="en-US"/>
        </w:rPr>
        <w:t xml:space="preserve"> (DTT) and 1 × 10</w:t>
      </w:r>
      <w:r w:rsidRPr="00212E0A">
        <w:rPr>
          <w:rFonts w:ascii="Arial" w:hAnsi="Arial" w:cs="Arial"/>
          <w:vertAlign w:val="superscript"/>
          <w:lang w:val="en-US"/>
        </w:rPr>
        <w:t>6</w:t>
      </w:r>
      <w:r w:rsidRPr="00212E0A">
        <w:rPr>
          <w:rFonts w:ascii="Arial" w:hAnsi="Arial" w:cs="Arial"/>
          <w:lang w:val="en-US"/>
        </w:rPr>
        <w:t xml:space="preserve"> </w:t>
      </w:r>
      <w:proofErr w:type="spellStart"/>
      <w:r w:rsidRPr="00212E0A">
        <w:rPr>
          <w:rFonts w:ascii="Arial" w:hAnsi="Arial" w:cs="Arial"/>
          <w:lang w:val="en-US"/>
        </w:rPr>
        <w:t>cpm</w:t>
      </w:r>
      <w:proofErr w:type="spellEnd"/>
      <w:r w:rsidRPr="00212E0A">
        <w:rPr>
          <w:rFonts w:ascii="Arial" w:hAnsi="Arial" w:cs="Arial"/>
          <w:lang w:val="en-US"/>
        </w:rPr>
        <w:t xml:space="preserve"> total radiolabeled probe) was placed on each slide (90 μl), covered with </w:t>
      </w:r>
      <w:proofErr w:type="spellStart"/>
      <w:r w:rsidRPr="00212E0A">
        <w:rPr>
          <w:rFonts w:ascii="Arial" w:hAnsi="Arial" w:cs="Arial"/>
          <w:lang w:val="en-US"/>
        </w:rPr>
        <w:t>Parafilm</w:t>
      </w:r>
      <w:proofErr w:type="spellEnd"/>
      <w:r w:rsidRPr="00212E0A">
        <w:rPr>
          <w:rFonts w:ascii="Arial" w:hAnsi="Arial" w:cs="Arial"/>
          <w:lang w:val="en-US"/>
        </w:rPr>
        <w:t xml:space="preserve"> M® coverslips, and incubated overnight in a humidified 37 °C chamber. The next day coverslips were removed in 1X SSC and each slide was washed with agitation 4 × 15 sec in 1X SSC. Slides were then put through 4 × 15 min washes in 1X SSC at 55 °C in a shaking water bath, 1X SSC at room temperature for 2 × 30 min and then briefly (1–2 sec) in distilled water at room temperature. Slides were then air-dried, and apposed onto a BioMax MR </w:t>
      </w:r>
      <w:proofErr w:type="gramStart"/>
      <w:r w:rsidRPr="00212E0A">
        <w:rPr>
          <w:rFonts w:ascii="Arial" w:hAnsi="Arial" w:cs="Arial"/>
          <w:lang w:val="en-US"/>
        </w:rPr>
        <w:t>autoradiography</w:t>
      </w:r>
      <w:proofErr w:type="gramEnd"/>
      <w:r w:rsidRPr="00212E0A">
        <w:rPr>
          <w:rFonts w:ascii="Arial" w:hAnsi="Arial" w:cs="Arial"/>
          <w:lang w:val="en-US"/>
        </w:rPr>
        <w:t xml:space="preserve"> film (Cat. No. 871 5187, </w:t>
      </w:r>
      <w:proofErr w:type="spellStart"/>
      <w:r w:rsidRPr="00212E0A">
        <w:rPr>
          <w:rFonts w:ascii="Arial" w:hAnsi="Arial" w:cs="Arial"/>
          <w:lang w:val="en-US"/>
        </w:rPr>
        <w:t>Carestream</w:t>
      </w:r>
      <w:proofErr w:type="spellEnd"/>
      <w:r w:rsidRPr="00212E0A">
        <w:rPr>
          <w:rFonts w:ascii="Arial" w:hAnsi="Arial" w:cs="Arial"/>
          <w:lang w:val="en-US"/>
        </w:rPr>
        <w:t xml:space="preserve"> Health, Rochester, NY, USA) along with </w:t>
      </w:r>
      <w:r w:rsidRPr="00212E0A">
        <w:rPr>
          <w:rFonts w:ascii="Arial" w:hAnsi="Arial" w:cs="Arial"/>
          <w:vertAlign w:val="superscript"/>
          <w:lang w:val="en-US"/>
        </w:rPr>
        <w:t>14</w:t>
      </w:r>
      <w:r w:rsidRPr="00212E0A">
        <w:rPr>
          <w:rFonts w:ascii="Arial" w:hAnsi="Arial" w:cs="Arial"/>
          <w:lang w:val="en-US"/>
        </w:rPr>
        <w:t xml:space="preserve">C standards </w:t>
      </w:r>
      <w:r w:rsidRPr="00212E0A">
        <w:rPr>
          <w:rFonts w:ascii="Arial" w:hAnsi="Arial" w:cs="Arial"/>
          <w:lang w:val="en-US"/>
        </w:rPr>
        <w:lastRenderedPageBreak/>
        <w:t xml:space="preserve">(Cat. No. ARC0146C, American Radiolabeled Chemicals, Inc., St. Louis, MO, USA) for a period </w:t>
      </w:r>
      <w:r w:rsidR="00EA01C9" w:rsidRPr="00212E0A">
        <w:rPr>
          <w:rFonts w:ascii="Arial" w:hAnsi="Arial" w:cs="Arial"/>
          <w:lang w:val="en-US"/>
        </w:rPr>
        <w:t>36 days (</w:t>
      </w:r>
      <w:r w:rsidR="00EA01C9" w:rsidRPr="00212E0A">
        <w:rPr>
          <w:rFonts w:ascii="Arial" w:hAnsi="Arial" w:cs="Arial"/>
          <w:i/>
          <w:lang w:val="en-US"/>
        </w:rPr>
        <w:t>Slc6a4</w:t>
      </w:r>
      <w:r w:rsidR="008E11B9">
        <w:rPr>
          <w:rFonts w:ascii="Arial" w:hAnsi="Arial" w:cs="Arial"/>
          <w:lang w:val="en-US"/>
        </w:rPr>
        <w:t>)</w:t>
      </w:r>
      <w:bookmarkStart w:id="0" w:name="_GoBack"/>
      <w:bookmarkEnd w:id="0"/>
      <w:r w:rsidR="00EA01C9" w:rsidRPr="00212E0A">
        <w:rPr>
          <w:lang w:val="en-US"/>
        </w:rPr>
        <w:t>.</w:t>
      </w:r>
    </w:p>
    <w:p w14:paraId="3710D19C" w14:textId="77777777" w:rsidR="004335CE" w:rsidRPr="00212E0A" w:rsidRDefault="004335CE" w:rsidP="00A55DF8">
      <w:pPr>
        <w:spacing w:after="0" w:line="360" w:lineRule="auto"/>
        <w:jc w:val="both"/>
        <w:rPr>
          <w:rFonts w:ascii="Arial" w:hAnsi="Arial" w:cs="Arial"/>
          <w:i/>
          <w:lang w:val="en-US"/>
        </w:rPr>
      </w:pPr>
    </w:p>
    <w:p w14:paraId="1B46232B" w14:textId="5DA31A23" w:rsidR="004335CE" w:rsidRPr="00212E0A" w:rsidRDefault="004335CE" w:rsidP="00A55DF8">
      <w:pPr>
        <w:spacing w:after="0" w:line="360" w:lineRule="auto"/>
        <w:jc w:val="both"/>
        <w:rPr>
          <w:rFonts w:ascii="Arial" w:hAnsi="Arial" w:cs="Arial"/>
          <w:b/>
          <w:lang w:val="en-US"/>
        </w:rPr>
      </w:pPr>
      <w:r w:rsidRPr="00212E0A">
        <w:rPr>
          <w:rFonts w:ascii="Arial" w:hAnsi="Arial" w:cs="Arial"/>
          <w:b/>
          <w:lang w:val="en-US"/>
        </w:rPr>
        <w:t xml:space="preserve">Semi-quantitative analysis of </w:t>
      </w:r>
      <w:r w:rsidR="006648FC" w:rsidRPr="00212E0A">
        <w:rPr>
          <w:rFonts w:ascii="Arial" w:hAnsi="Arial" w:cs="Arial"/>
          <w:b/>
          <w:lang w:val="en-US"/>
        </w:rPr>
        <w:t>S</w:t>
      </w:r>
      <w:r w:rsidRPr="00212E0A">
        <w:rPr>
          <w:rFonts w:ascii="Arial" w:hAnsi="Arial" w:cs="Arial"/>
          <w:b/>
          <w:lang w:val="en-US"/>
        </w:rPr>
        <w:t>lc6a4 mRNA expression</w:t>
      </w:r>
    </w:p>
    <w:p w14:paraId="18DE4C13" w14:textId="13A7B06B" w:rsidR="004335CE" w:rsidRPr="00212E0A" w:rsidRDefault="004335CE" w:rsidP="00A55DF8">
      <w:pPr>
        <w:spacing w:after="0" w:line="360" w:lineRule="auto"/>
        <w:jc w:val="both"/>
        <w:rPr>
          <w:rFonts w:ascii="Arial" w:hAnsi="Arial" w:cs="Arial"/>
          <w:u w:val="single"/>
          <w:lang w:val="en-US"/>
        </w:rPr>
      </w:pPr>
      <w:r w:rsidRPr="00212E0A">
        <w:rPr>
          <w:rFonts w:ascii="Arial" w:hAnsi="Arial" w:cs="Arial"/>
          <w:lang w:val="en-US"/>
        </w:rPr>
        <w:t xml:space="preserve">For semi-quantitative analysis of </w:t>
      </w:r>
      <w:r w:rsidR="006648FC" w:rsidRPr="00212E0A">
        <w:rPr>
          <w:rFonts w:ascii="Arial" w:hAnsi="Arial" w:cs="Arial"/>
          <w:i/>
          <w:lang w:val="en-US"/>
        </w:rPr>
        <w:t>S</w:t>
      </w:r>
      <w:r w:rsidRPr="00212E0A">
        <w:rPr>
          <w:rFonts w:ascii="Arial" w:hAnsi="Arial" w:cs="Arial"/>
          <w:i/>
          <w:lang w:val="en-US"/>
        </w:rPr>
        <w:t>lc6a4</w:t>
      </w:r>
      <w:r w:rsidRPr="00212E0A">
        <w:rPr>
          <w:rFonts w:ascii="Arial" w:hAnsi="Arial" w:cs="Arial"/>
          <w:lang w:val="en-US"/>
        </w:rPr>
        <w:t xml:space="preserve"> mRNA expression, digital autoradiography images were analyzed with ImageJ (NIH, Bethesda, MD, USA), while the researcher was blinded to the treatment groups to measure gray value x area (as a measure of mRNA expression) using matrices in the shape of each subdivision of the brainstem DR or MnR. Area (mm</w:t>
      </w:r>
      <w:r w:rsidRPr="00212E0A">
        <w:rPr>
          <w:rFonts w:ascii="Arial" w:hAnsi="Arial" w:cs="Arial"/>
          <w:vertAlign w:val="superscript"/>
          <w:lang w:val="en-US"/>
        </w:rPr>
        <w:t>2</w:t>
      </w:r>
      <w:r w:rsidRPr="00212E0A">
        <w:rPr>
          <w:rFonts w:ascii="Arial" w:hAnsi="Arial" w:cs="Arial"/>
          <w:lang w:val="en-US"/>
        </w:rPr>
        <w:t>) was defined as the area (within each matrix) that fell above a gray value threshold that was kept consistent throughout analysis. Based on Gardner et al 2009, a total of 12 rostrocaudal sections, designated levels +6 to −5, containing 7 major subdivisions of the DR were analyzed (dorsal raphe nucleus, dorsal part, DRD, −4.244 to −4.644 mm bregma; dorsal raphe nucleus, ventral part, DRV, −4.244 to −4.724 mm bregma; dorsal raphe nucleus, ventrolateral part/ventrolateral periaqueductal gray region, DRVL/VLPAG, −4.544 to −4.724 mm bregma; dorsal raphe nucleus, caudal part, DRC, −4.724 to −4.904 mm bregma; dorsal raphe nucleus, interfascicular part, DRI, −4.784 to −4.904 mm bregma) (</w:t>
      </w:r>
      <w:proofErr w:type="spellStart"/>
      <w:r w:rsidRPr="00212E0A">
        <w:rPr>
          <w:rFonts w:ascii="Arial" w:hAnsi="Arial" w:cs="Arial"/>
          <w:lang w:val="en-US"/>
        </w:rPr>
        <w:t>Paxinos</w:t>
      </w:r>
      <w:proofErr w:type="spellEnd"/>
      <w:r w:rsidRPr="00212E0A">
        <w:rPr>
          <w:rFonts w:ascii="Arial" w:hAnsi="Arial" w:cs="Arial"/>
          <w:lang w:val="en-US"/>
        </w:rPr>
        <w:t xml:space="preserve"> &amp; Franklin, 2003). An average value was computed for the DRVL/VLPAG using values from both the left and right hemisphere. The MnR was examined from −4.544 mm −4.644 mm bregma. </w:t>
      </w:r>
      <w:r w:rsidR="0070385D">
        <w:rPr>
          <w:rFonts w:ascii="Arial" w:hAnsi="Arial" w:cs="Arial"/>
          <w:lang w:val="en-US"/>
        </w:rPr>
        <w:t>B</w:t>
      </w:r>
      <w:r w:rsidRPr="00212E0A">
        <w:rPr>
          <w:rFonts w:ascii="Arial" w:hAnsi="Arial" w:cs="Arial"/>
          <w:lang w:val="en-US"/>
        </w:rPr>
        <w:t xml:space="preserve">ackground measurements </w:t>
      </w:r>
      <w:proofErr w:type="gramStart"/>
      <w:r w:rsidRPr="00212E0A">
        <w:rPr>
          <w:rFonts w:ascii="Arial" w:hAnsi="Arial" w:cs="Arial"/>
          <w:lang w:val="en-US"/>
        </w:rPr>
        <w:t>were taken</w:t>
      </w:r>
      <w:proofErr w:type="gramEnd"/>
      <w:r w:rsidRPr="00212E0A">
        <w:rPr>
          <w:rFonts w:ascii="Arial" w:hAnsi="Arial" w:cs="Arial"/>
          <w:lang w:val="en-US"/>
        </w:rPr>
        <w:t xml:space="preserve"> in the lateral periaqueductal gray. The average background gray value for each section was subtracted from the mean gray value for the above threshold pixels for each subregion; the resulting number was then multiplied by the </w:t>
      </w:r>
      <w:r w:rsidR="00A63841" w:rsidRPr="00212E0A">
        <w:rPr>
          <w:rFonts w:ascii="Arial" w:hAnsi="Arial" w:cs="Arial"/>
          <w:lang w:val="en-US"/>
        </w:rPr>
        <w:t xml:space="preserve">above-threshold </w:t>
      </w:r>
      <w:r w:rsidRPr="00212E0A">
        <w:rPr>
          <w:rFonts w:ascii="Arial" w:hAnsi="Arial" w:cs="Arial"/>
          <w:lang w:val="en-US"/>
        </w:rPr>
        <w:t>area of the subregion (in mm</w:t>
      </w:r>
      <w:r w:rsidR="00A63841" w:rsidRPr="00212E0A">
        <w:rPr>
          <w:rFonts w:ascii="Arial" w:hAnsi="Arial" w:cs="Arial"/>
          <w:vertAlign w:val="superscript"/>
          <w:lang w:val="en-US"/>
        </w:rPr>
        <w:t>2</w:t>
      </w:r>
      <w:r w:rsidRPr="00212E0A">
        <w:rPr>
          <w:rFonts w:ascii="Arial" w:hAnsi="Arial" w:cs="Arial"/>
          <w:lang w:val="en-US"/>
        </w:rPr>
        <w:t>) to generate a semi-quantitative measurement of gene expression within that region. A</w:t>
      </w:r>
      <w:r w:rsidR="0070385D">
        <w:rPr>
          <w:rFonts w:ascii="Arial" w:hAnsi="Arial" w:cs="Arial"/>
          <w:lang w:val="en-US"/>
        </w:rPr>
        <w:t>n a</w:t>
      </w:r>
      <w:r w:rsidRPr="00212E0A">
        <w:rPr>
          <w:rFonts w:ascii="Arial" w:hAnsi="Arial" w:cs="Arial"/>
          <w:lang w:val="en-US"/>
        </w:rPr>
        <w:t xml:space="preserve">tlas of </w:t>
      </w:r>
      <w:r w:rsidR="00A03198" w:rsidRPr="00212E0A">
        <w:rPr>
          <w:rFonts w:ascii="Arial" w:hAnsi="Arial" w:cs="Arial"/>
          <w:i/>
          <w:lang w:val="en-US"/>
        </w:rPr>
        <w:t>S</w:t>
      </w:r>
      <w:r w:rsidRPr="00212E0A">
        <w:rPr>
          <w:rFonts w:ascii="Arial" w:hAnsi="Arial" w:cs="Arial"/>
          <w:i/>
          <w:lang w:val="en-US"/>
        </w:rPr>
        <w:t>lc6a4</w:t>
      </w:r>
      <w:r w:rsidR="0054087B" w:rsidRPr="00212E0A">
        <w:rPr>
          <w:rFonts w:ascii="Arial" w:hAnsi="Arial" w:cs="Arial"/>
          <w:i/>
          <w:lang w:val="en-US"/>
        </w:rPr>
        <w:t xml:space="preserve"> </w:t>
      </w:r>
      <w:r w:rsidR="0054087B" w:rsidRPr="00212E0A">
        <w:rPr>
          <w:rFonts w:ascii="Arial" w:hAnsi="Arial" w:cs="Arial"/>
          <w:lang w:val="en-US"/>
        </w:rPr>
        <w:t>(Fig.</w:t>
      </w:r>
      <w:r w:rsidR="00A03198" w:rsidRPr="00212E0A">
        <w:rPr>
          <w:rFonts w:ascii="Arial" w:hAnsi="Arial" w:cs="Arial"/>
          <w:lang w:val="en-US"/>
        </w:rPr>
        <w:t xml:space="preserve"> </w:t>
      </w:r>
      <w:r w:rsidR="0054087B" w:rsidRPr="00212E0A">
        <w:rPr>
          <w:rFonts w:ascii="Arial" w:hAnsi="Arial" w:cs="Arial"/>
          <w:lang w:val="en-US"/>
        </w:rPr>
        <w:t>S3)</w:t>
      </w:r>
      <w:r w:rsidRPr="00212E0A">
        <w:rPr>
          <w:rFonts w:ascii="Arial" w:hAnsi="Arial" w:cs="Arial"/>
          <w:i/>
          <w:lang w:val="en-US"/>
        </w:rPr>
        <w:t xml:space="preserve"> </w:t>
      </w:r>
      <w:r w:rsidRPr="00212E0A">
        <w:rPr>
          <w:rFonts w:ascii="Arial" w:hAnsi="Arial" w:cs="Arial"/>
          <w:lang w:val="en-US"/>
        </w:rPr>
        <w:t>mRNA expression w</w:t>
      </w:r>
      <w:r w:rsidR="0070385D">
        <w:rPr>
          <w:rFonts w:ascii="Arial" w:hAnsi="Arial" w:cs="Arial"/>
          <w:lang w:val="en-US"/>
        </w:rPr>
        <w:t>as</w:t>
      </w:r>
      <w:r w:rsidRPr="00212E0A">
        <w:rPr>
          <w:rFonts w:ascii="Arial" w:hAnsi="Arial" w:cs="Arial"/>
          <w:lang w:val="en-US"/>
        </w:rPr>
        <w:t xml:space="preserve"> used to aid in keeping the analysis consistent</w:t>
      </w:r>
      <w:r w:rsidR="0054087B" w:rsidRPr="00212E0A">
        <w:rPr>
          <w:rFonts w:ascii="Arial" w:hAnsi="Arial" w:cs="Arial"/>
          <w:lang w:val="en-US"/>
        </w:rPr>
        <w:t>.</w:t>
      </w:r>
    </w:p>
    <w:p w14:paraId="4777FE99" w14:textId="77777777" w:rsidR="004335CE" w:rsidRPr="00212E0A" w:rsidRDefault="004335CE" w:rsidP="00A55DF8">
      <w:pPr>
        <w:spacing w:after="0" w:line="360" w:lineRule="auto"/>
        <w:jc w:val="both"/>
        <w:rPr>
          <w:rFonts w:ascii="Arial" w:hAnsi="Arial" w:cs="Arial"/>
          <w:lang w:val="en-US"/>
        </w:rPr>
      </w:pPr>
    </w:p>
    <w:p w14:paraId="616F1B48" w14:textId="3F081469" w:rsidR="004335CE" w:rsidRPr="00212E0A" w:rsidRDefault="004335CE" w:rsidP="00A55DF8">
      <w:pPr>
        <w:spacing w:after="0" w:line="360" w:lineRule="auto"/>
        <w:jc w:val="both"/>
        <w:rPr>
          <w:rFonts w:ascii="Arial" w:hAnsi="Arial" w:cs="Arial"/>
          <w:u w:val="single"/>
          <w:lang w:val="en-US"/>
        </w:rPr>
      </w:pPr>
      <w:r w:rsidRPr="00212E0A">
        <w:rPr>
          <w:rFonts w:ascii="Arial" w:hAnsi="Arial" w:cs="Arial"/>
          <w:lang w:val="en-US"/>
        </w:rPr>
        <w:t xml:space="preserve">For statistical comparisons, the software package SPSS (version 22.0, SPSS Inc., Chicago, IL, USA) was used. Average levels of gene expression for each DR subdivision at each rostrocaudal level of the DR in each treatment group were generated. Outliers were identified using the Grubbs’ test (Grubbs, 1969) and removed. Following outlier removal, an overall linear mixed model (LMM) with repeated measures (subregion and rostrocaudal level, with rostrocaudal level nested within subregion)  was used to detect overall fixed effects of genotype, raphe subregion, rostrocaudal level and interactions among these factors (Tables </w:t>
      </w:r>
      <w:r w:rsidR="00C734DA" w:rsidRPr="00212E0A">
        <w:rPr>
          <w:rFonts w:ascii="Arial" w:hAnsi="Arial" w:cs="Arial"/>
          <w:lang w:val="en-US"/>
        </w:rPr>
        <w:t xml:space="preserve">S1 </w:t>
      </w:r>
      <w:r w:rsidRPr="00212E0A">
        <w:rPr>
          <w:rFonts w:ascii="Arial" w:hAnsi="Arial" w:cs="Arial"/>
          <w:lang w:val="en-US"/>
        </w:rPr>
        <w:t xml:space="preserve">and </w:t>
      </w:r>
      <w:r w:rsidR="00C734DA" w:rsidRPr="00212E0A">
        <w:rPr>
          <w:rFonts w:ascii="Arial" w:hAnsi="Arial" w:cs="Arial"/>
          <w:lang w:val="en-US"/>
        </w:rPr>
        <w:t>S2</w:t>
      </w:r>
      <w:r w:rsidRPr="00212E0A">
        <w:rPr>
          <w:rFonts w:ascii="Arial" w:hAnsi="Arial" w:cs="Arial"/>
          <w:lang w:val="en-US"/>
        </w:rPr>
        <w:t xml:space="preserve">). Following this, additional LMMs were conducted on subsets of the data containing only data from individual DR subdivisions to determine the locations of effects identified in the overall model. An autoregressive heterogeneous covariance structure was specified for all LMMs. </w:t>
      </w:r>
      <w:r w:rsidRPr="00212E0A" w:rsidDel="009833EC">
        <w:rPr>
          <w:rFonts w:ascii="Arial" w:hAnsi="Arial" w:cs="Arial"/>
          <w:lang w:val="en-US"/>
        </w:rPr>
        <w:t>Individual pairwise comparisons between genotypes were made using Fisher’s protected least significant difference tests, the significance was set at</w:t>
      </w:r>
      <w:r w:rsidRPr="00212E0A" w:rsidDel="009833EC">
        <w:rPr>
          <w:rFonts w:ascii="Arial" w:hAnsi="Arial" w:cs="Arial"/>
          <w:i/>
          <w:lang w:val="en-US"/>
        </w:rPr>
        <w:t xml:space="preserve"> p</w:t>
      </w:r>
      <w:r w:rsidRPr="00212E0A" w:rsidDel="009833EC">
        <w:rPr>
          <w:rFonts w:ascii="Arial" w:hAnsi="Arial" w:cs="Arial"/>
          <w:lang w:val="en-US"/>
        </w:rPr>
        <w:t xml:space="preserve"> &lt; 0.05.</w:t>
      </w:r>
    </w:p>
    <w:p w14:paraId="5DDCE2B4" w14:textId="77777777" w:rsidR="00074C3B" w:rsidRPr="00212E0A" w:rsidRDefault="00074C3B" w:rsidP="00A55DF8">
      <w:pPr>
        <w:spacing w:after="0" w:line="360" w:lineRule="auto"/>
        <w:jc w:val="both"/>
        <w:rPr>
          <w:rFonts w:ascii="Arial" w:hAnsi="Arial" w:cs="Arial"/>
          <w:lang w:val="en-US"/>
        </w:rPr>
      </w:pPr>
    </w:p>
    <w:sectPr w:rsidR="00074C3B" w:rsidRPr="00212E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0"/>
    <w:rsid w:val="00004316"/>
    <w:rsid w:val="0001536E"/>
    <w:rsid w:val="00022892"/>
    <w:rsid w:val="00062B0B"/>
    <w:rsid w:val="00067C0F"/>
    <w:rsid w:val="00074C3B"/>
    <w:rsid w:val="00081376"/>
    <w:rsid w:val="000D36BD"/>
    <w:rsid w:val="000D7000"/>
    <w:rsid w:val="001144DE"/>
    <w:rsid w:val="00122876"/>
    <w:rsid w:val="00127549"/>
    <w:rsid w:val="00146909"/>
    <w:rsid w:val="00181F84"/>
    <w:rsid w:val="00195877"/>
    <w:rsid w:val="001961D1"/>
    <w:rsid w:val="001A0525"/>
    <w:rsid w:val="001C38B8"/>
    <w:rsid w:val="001D07FE"/>
    <w:rsid w:val="001D2DDE"/>
    <w:rsid w:val="001E68AC"/>
    <w:rsid w:val="001F081F"/>
    <w:rsid w:val="001F1EBC"/>
    <w:rsid w:val="00212E0A"/>
    <w:rsid w:val="00242D64"/>
    <w:rsid w:val="00267ECA"/>
    <w:rsid w:val="00275299"/>
    <w:rsid w:val="00277027"/>
    <w:rsid w:val="00286468"/>
    <w:rsid w:val="002D1096"/>
    <w:rsid w:val="002D75A7"/>
    <w:rsid w:val="002F123C"/>
    <w:rsid w:val="003003DC"/>
    <w:rsid w:val="00315F6B"/>
    <w:rsid w:val="0032191C"/>
    <w:rsid w:val="003353E1"/>
    <w:rsid w:val="00336F02"/>
    <w:rsid w:val="00341610"/>
    <w:rsid w:val="0035650E"/>
    <w:rsid w:val="003579A1"/>
    <w:rsid w:val="003A1480"/>
    <w:rsid w:val="003C1333"/>
    <w:rsid w:val="003D7315"/>
    <w:rsid w:val="003E6676"/>
    <w:rsid w:val="003F52F1"/>
    <w:rsid w:val="00405505"/>
    <w:rsid w:val="00413000"/>
    <w:rsid w:val="00430368"/>
    <w:rsid w:val="004335CE"/>
    <w:rsid w:val="004407E4"/>
    <w:rsid w:val="00441212"/>
    <w:rsid w:val="00467BD7"/>
    <w:rsid w:val="00475911"/>
    <w:rsid w:val="0048221C"/>
    <w:rsid w:val="0049633C"/>
    <w:rsid w:val="004B59ED"/>
    <w:rsid w:val="004E09CB"/>
    <w:rsid w:val="004F6FD9"/>
    <w:rsid w:val="0054087B"/>
    <w:rsid w:val="0054564A"/>
    <w:rsid w:val="005617C7"/>
    <w:rsid w:val="00573E92"/>
    <w:rsid w:val="005A20F7"/>
    <w:rsid w:val="005F58F9"/>
    <w:rsid w:val="005F5C3D"/>
    <w:rsid w:val="00600A65"/>
    <w:rsid w:val="00605B5A"/>
    <w:rsid w:val="006648FC"/>
    <w:rsid w:val="006B0C09"/>
    <w:rsid w:val="006B25E9"/>
    <w:rsid w:val="006C23A3"/>
    <w:rsid w:val="006D1DED"/>
    <w:rsid w:val="0070385D"/>
    <w:rsid w:val="00704ECB"/>
    <w:rsid w:val="00716DC4"/>
    <w:rsid w:val="00755CDA"/>
    <w:rsid w:val="00764CE1"/>
    <w:rsid w:val="0077363E"/>
    <w:rsid w:val="007761E8"/>
    <w:rsid w:val="007D01B1"/>
    <w:rsid w:val="007E169C"/>
    <w:rsid w:val="00820115"/>
    <w:rsid w:val="0084283B"/>
    <w:rsid w:val="008474F7"/>
    <w:rsid w:val="008511EC"/>
    <w:rsid w:val="008600A6"/>
    <w:rsid w:val="00867510"/>
    <w:rsid w:val="00876D1B"/>
    <w:rsid w:val="0088234C"/>
    <w:rsid w:val="00890F50"/>
    <w:rsid w:val="0089480D"/>
    <w:rsid w:val="008B4DEC"/>
    <w:rsid w:val="008E11B9"/>
    <w:rsid w:val="008F374E"/>
    <w:rsid w:val="009074FB"/>
    <w:rsid w:val="009133EC"/>
    <w:rsid w:val="0093440B"/>
    <w:rsid w:val="009509C1"/>
    <w:rsid w:val="0095466F"/>
    <w:rsid w:val="00965C32"/>
    <w:rsid w:val="00982D2D"/>
    <w:rsid w:val="009B418A"/>
    <w:rsid w:val="009B54E1"/>
    <w:rsid w:val="00A03198"/>
    <w:rsid w:val="00A352E7"/>
    <w:rsid w:val="00A406E2"/>
    <w:rsid w:val="00A55DF8"/>
    <w:rsid w:val="00A563ED"/>
    <w:rsid w:val="00A63841"/>
    <w:rsid w:val="00A811D0"/>
    <w:rsid w:val="00AA7351"/>
    <w:rsid w:val="00AB45C7"/>
    <w:rsid w:val="00AC635A"/>
    <w:rsid w:val="00AD4645"/>
    <w:rsid w:val="00B11E53"/>
    <w:rsid w:val="00B27865"/>
    <w:rsid w:val="00B321B4"/>
    <w:rsid w:val="00B36C8A"/>
    <w:rsid w:val="00B42FBB"/>
    <w:rsid w:val="00B449F0"/>
    <w:rsid w:val="00B70E5B"/>
    <w:rsid w:val="00B72E13"/>
    <w:rsid w:val="00C008E4"/>
    <w:rsid w:val="00C32B36"/>
    <w:rsid w:val="00C50CF1"/>
    <w:rsid w:val="00C5157C"/>
    <w:rsid w:val="00C734DA"/>
    <w:rsid w:val="00C74103"/>
    <w:rsid w:val="00C956CC"/>
    <w:rsid w:val="00CB2D38"/>
    <w:rsid w:val="00CD2372"/>
    <w:rsid w:val="00CD2F5F"/>
    <w:rsid w:val="00CE40DF"/>
    <w:rsid w:val="00D0259D"/>
    <w:rsid w:val="00D03AF2"/>
    <w:rsid w:val="00D25587"/>
    <w:rsid w:val="00D36D0E"/>
    <w:rsid w:val="00D43E03"/>
    <w:rsid w:val="00D538F1"/>
    <w:rsid w:val="00D62485"/>
    <w:rsid w:val="00D66E53"/>
    <w:rsid w:val="00D8685E"/>
    <w:rsid w:val="00D87C4E"/>
    <w:rsid w:val="00D90590"/>
    <w:rsid w:val="00DF53F5"/>
    <w:rsid w:val="00DF5755"/>
    <w:rsid w:val="00E0153B"/>
    <w:rsid w:val="00E111ED"/>
    <w:rsid w:val="00E12A9A"/>
    <w:rsid w:val="00E2139E"/>
    <w:rsid w:val="00E26403"/>
    <w:rsid w:val="00E31623"/>
    <w:rsid w:val="00E42D75"/>
    <w:rsid w:val="00E42DDF"/>
    <w:rsid w:val="00E460B0"/>
    <w:rsid w:val="00E4684A"/>
    <w:rsid w:val="00E63AF0"/>
    <w:rsid w:val="00E76648"/>
    <w:rsid w:val="00E91E18"/>
    <w:rsid w:val="00EA01C9"/>
    <w:rsid w:val="00EA06EF"/>
    <w:rsid w:val="00EA30FD"/>
    <w:rsid w:val="00EB2A68"/>
    <w:rsid w:val="00EB2D62"/>
    <w:rsid w:val="00ED2412"/>
    <w:rsid w:val="00F00279"/>
    <w:rsid w:val="00F03408"/>
    <w:rsid w:val="00F26912"/>
    <w:rsid w:val="00F519E1"/>
    <w:rsid w:val="00F708B1"/>
    <w:rsid w:val="00F723FB"/>
    <w:rsid w:val="00FB0DA2"/>
    <w:rsid w:val="00FC6619"/>
    <w:rsid w:val="00FE5DFD"/>
    <w:rsid w:val="00FF00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05677"/>
  <w15:docId w15:val="{A7D30EFB-58A3-4028-8D38-968BF628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90F50"/>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unhideWhenUsed/>
    <w:rsid w:val="00890F50"/>
    <w:rPr>
      <w:sz w:val="16"/>
      <w:szCs w:val="16"/>
    </w:rPr>
  </w:style>
  <w:style w:type="paragraph" w:styleId="Kommentartext">
    <w:name w:val="annotation text"/>
    <w:basedOn w:val="Standard"/>
    <w:link w:val="KommentartextZchn"/>
    <w:uiPriority w:val="99"/>
    <w:unhideWhenUsed/>
    <w:rsid w:val="00890F50"/>
    <w:pPr>
      <w:spacing w:line="240" w:lineRule="auto"/>
    </w:pPr>
    <w:rPr>
      <w:sz w:val="20"/>
      <w:szCs w:val="20"/>
    </w:rPr>
  </w:style>
  <w:style w:type="character" w:customStyle="1" w:styleId="KommentartextZchn">
    <w:name w:val="Kommentartext Zchn"/>
    <w:basedOn w:val="Absatz-Standardschriftart"/>
    <w:link w:val="Kommentartext"/>
    <w:uiPriority w:val="99"/>
    <w:rsid w:val="00890F50"/>
    <w:rPr>
      <w:rFonts w:eastAsiaTheme="minorEastAsia"/>
      <w:sz w:val="20"/>
      <w:szCs w:val="20"/>
      <w:lang w:eastAsia="de-DE"/>
    </w:rPr>
  </w:style>
  <w:style w:type="paragraph" w:styleId="Sprechblasentext">
    <w:name w:val="Balloon Text"/>
    <w:basedOn w:val="Standard"/>
    <w:link w:val="SprechblasentextZchn"/>
    <w:uiPriority w:val="99"/>
    <w:semiHidden/>
    <w:unhideWhenUsed/>
    <w:rsid w:val="00890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0F50"/>
    <w:rPr>
      <w:rFonts w:ascii="Tahoma" w:eastAsiaTheme="minorEastAsia" w:hAnsi="Tahoma" w:cs="Tahoma"/>
      <w:sz w:val="16"/>
      <w:szCs w:val="16"/>
      <w:lang w:eastAsia="de-DE"/>
    </w:rPr>
  </w:style>
  <w:style w:type="paragraph" w:styleId="Kommentarthema">
    <w:name w:val="annotation subject"/>
    <w:basedOn w:val="Kommentartext"/>
    <w:next w:val="Kommentartext"/>
    <w:link w:val="KommentarthemaZchn"/>
    <w:uiPriority w:val="99"/>
    <w:semiHidden/>
    <w:unhideWhenUsed/>
    <w:rsid w:val="00876D1B"/>
    <w:rPr>
      <w:b/>
      <w:bCs/>
    </w:rPr>
  </w:style>
  <w:style w:type="character" w:customStyle="1" w:styleId="KommentarthemaZchn">
    <w:name w:val="Kommentarthema Zchn"/>
    <w:basedOn w:val="KommentartextZchn"/>
    <w:link w:val="Kommentarthema"/>
    <w:uiPriority w:val="99"/>
    <w:semiHidden/>
    <w:rsid w:val="00876D1B"/>
    <w:rPr>
      <w:rFonts w:eastAsiaTheme="minorEastAsia"/>
      <w:b/>
      <w:bCs/>
      <w:sz w:val="20"/>
      <w:szCs w:val="20"/>
      <w:lang w:eastAsia="de-DE"/>
    </w:rPr>
  </w:style>
  <w:style w:type="paragraph" w:styleId="Kopfzeile">
    <w:name w:val="header"/>
    <w:basedOn w:val="Standard"/>
    <w:link w:val="KopfzeileZchn"/>
    <w:uiPriority w:val="99"/>
    <w:unhideWhenUsed/>
    <w:rsid w:val="0077363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773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2166</Words>
  <Characters>13653</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Thousand Suns</dc:creator>
  <cp:lastModifiedBy>Jonas Waider</cp:lastModifiedBy>
  <cp:revision>4</cp:revision>
  <dcterms:created xsi:type="dcterms:W3CDTF">2017-06-06T14:42:00Z</dcterms:created>
  <dcterms:modified xsi:type="dcterms:W3CDTF">2017-06-23T10:15:00Z</dcterms:modified>
</cp:coreProperties>
</file>