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E9B" w:rsidRDefault="00034E9B" w:rsidP="00034E9B">
      <w:pPr>
        <w:pStyle w:val="berschrift1"/>
      </w:pPr>
      <w:r>
        <w:t>Detailed description of data a</w:t>
      </w:r>
      <w:r w:rsidRPr="007B194A">
        <w:t>nalysis</w:t>
      </w:r>
    </w:p>
    <w:p w:rsidR="00852BAF" w:rsidRDefault="00852BAF" w:rsidP="00852BAF">
      <w:r>
        <w:t xml:space="preserve">In lack of functional information about the whole exomic genetics of the human opioid receptors, the power calculation for the present assessments was based the </w:t>
      </w:r>
      <w:r w:rsidRPr="00B564AC">
        <w:rPr>
          <w:i/>
        </w:rPr>
        <w:t>OPRM1</w:t>
      </w:r>
      <w:r>
        <w:t xml:space="preserve"> 118A&gt;G SNP of the </w:t>
      </w:r>
      <w:r>
        <w:rPr>
          <w:rFonts w:cs="Calibri"/>
        </w:rPr>
        <w:t>µ</w:t>
      </w:r>
      <w:r>
        <w:t xml:space="preserve">-opioid receptor as one of the best studied functional human variants </w:t>
      </w:r>
      <w:r>
        <w:fldChar w:fldCharType="begin"/>
      </w:r>
      <w:r w:rsidR="009A5BC4">
        <w:instrText xml:space="preserve"> ADDIN EN.CITE &lt;EndNote&gt;&lt;Cite&gt;&lt;Author&gt;Walter&lt;/Author&gt;&lt;Year&gt;2013&lt;/Year&gt;&lt;RecNum&gt;11354&lt;/RecNum&gt;&lt;DisplayText&gt;[1]&lt;/DisplayText&gt;&lt;record&gt;&lt;rec-number&gt;11354&lt;/rec-number&gt;&lt;foreign-keys&gt;&lt;key app="EN" db-id="asfzetfvyt5z2oe2af8p9aehfprpvtt2rv22" timestamp="1385576118"&gt;11354&lt;/key&gt;&lt;/foreign-keys&gt;&lt;ref-type name="Journal Article"&gt;17&lt;/ref-type&gt;&lt;contributors&gt;&lt;authors&gt;&lt;author&gt;Walter, Carmen&lt;/author&gt;&lt;author&gt;Doehring, Alexandra&lt;/author&gt;&lt;author&gt;Oertel, Bruno G&lt;/author&gt;&lt;author&gt;Lötsch, Jörn&lt;/author&gt;&lt;/authors&gt;&lt;/contributors&gt;&lt;titles&gt;&lt;title&gt;µ-opioid receptor gene variant OPRM1 118 A&amp;gt;G: a summary of its molecular and clinical consequences for pain&lt;/title&gt;&lt;secondary-title&gt;Pharmacogenomics&lt;/secondary-title&gt;&lt;/titles&gt;&lt;periodical&gt;&lt;full-title&gt;Pharmacogenomics&lt;/full-title&gt;&lt;/periodical&gt;&lt;pages&gt;1915-25&lt;/pages&gt;&lt;volume&gt;14&lt;/volume&gt;&lt;number&gt;15&lt;/number&gt;&lt;dates&gt;&lt;year&gt;2013&lt;/year&gt;&lt;/dates&gt;&lt;isbn&gt;1744-8042&lt;/isbn&gt;&lt;accession-num&gt;24236490&lt;/accession-num&gt;&lt;label&gt;eng&lt;/label&gt;&lt;urls&gt;&lt;related-urls&gt;&lt;url&gt;http://dx.doi.org/10.2217/pgs.13.187&lt;/url&gt;&lt;/related-urls&gt;&lt;/urls&gt;&lt;custom2&gt;24236490&lt;/custom2&gt;&lt;electronic-resource-num&gt;10.2217/pgs.13.187&lt;/electronic-resource-num&gt;&lt;remote-database-name&gt;PubMed&lt;/remote-database-name&gt;&lt;remote-database-provider&gt;Pubmed2Endnote by Riadh Hammami&lt;/remote-database-provider&gt;&lt;/record&gt;&lt;/Cite&gt;&lt;/EndNote&gt;</w:instrText>
      </w:r>
      <w:r>
        <w:fldChar w:fldCharType="separate"/>
      </w:r>
      <w:r w:rsidR="009A5BC4">
        <w:rPr>
          <w:noProof/>
        </w:rPr>
        <w:t>[1]</w:t>
      </w:r>
      <w:r>
        <w:fldChar w:fldCharType="end"/>
      </w:r>
      <w:r>
        <w:t xml:space="preserve">, which also had been proposed to be a genetic cause of high opioid demands </w:t>
      </w:r>
      <w:r>
        <w:fldChar w:fldCharType="begin"/>
      </w:r>
      <w:r w:rsidR="009A5BC4">
        <w:instrText xml:space="preserve"> ADDIN EN.CITE &lt;EndNote&gt;&lt;Cite&gt;&lt;Author&gt;Hirota&lt;/Author&gt;&lt;Year&gt;2003&lt;/Year&gt;&lt;RecNum&gt;3175&lt;/RecNum&gt;&lt;DisplayText&gt;[2]&lt;/DisplayText&gt;&lt;record&gt;&lt;rec-number&gt;3175&lt;/rec-number&gt;&lt;foreign-keys&gt;&lt;key app="EN" db-id="asfzetfvyt5z2oe2af8p9aehfprpvtt2rv22" timestamp="1241093024"&gt;3175&lt;/key&gt;&lt;key app="ENWeb" db-id="TixPFwrtqggAAHUXxtc"&gt;3069&lt;/key&gt;&lt;/foreign-keys&gt;&lt;ref-type name="Journal Article"&gt;17&lt;/ref-type&gt;&lt;contributors&gt;&lt;authors&gt;&lt;author&gt;Hirota, T.&lt;/author&gt;&lt;author&gt;Ieiri, I.&lt;/author&gt;&lt;author&gt;Takane, H.&lt;/author&gt;&lt;author&gt;Sano, H.&lt;/author&gt;&lt;author&gt;Kawamoto, K.&lt;/author&gt;&lt;author&gt;Aono, H.&lt;/author&gt;&lt;author&gt;Yamasaki, A.&lt;/author&gt;&lt;author&gt;Takeuchi, H.&lt;/author&gt;&lt;author&gt;Masada, M.&lt;/author&gt;&lt;author&gt;Shimizu, E.&lt;/author&gt;&lt;author&gt;Higuchi, S.&lt;/author&gt;&lt;author&gt;Otsubo, K.&lt;/author&gt;&lt;/authors&gt;&lt;/contributors&gt;&lt;auth-address&gt;Department of Clinical Pharmacokinetics, Division of Pharmaceutical Sciences, Graduate School, Kyushu University, Fukuoka, Japan.&lt;/auth-address&gt;&lt;titles&gt;&lt;title&gt;Sequence variability and candidate gene analysis in two cancer patients with complex clinical outcomes during morphine therapy&lt;/title&gt;&lt;secondary-title&gt;Drug Metab Dispos&lt;/secondary-title&gt;&lt;/titles&gt;&lt;periodical&gt;&lt;full-title&gt;Drug Metab Dispos&lt;/full-title&gt;&lt;/periodical&gt;&lt;pages&gt;677-80&lt;/pages&gt;&lt;volume&gt;31&lt;/volume&gt;&lt;number&gt;5&lt;/number&gt;&lt;dates&gt;&lt;year&gt;2003&lt;/year&gt;&lt;pub-dates&gt;&lt;date&gt;May&lt;/date&gt;&lt;/pub-dates&gt;&lt;/dates&gt;&lt;accession-num&gt;12695358&lt;/accession-num&gt;&lt;urls&gt;&lt;/urls&gt;&lt;/record&gt;&lt;/Cite&gt;&lt;/EndNote&gt;</w:instrText>
      </w:r>
      <w:r>
        <w:fldChar w:fldCharType="separate"/>
      </w:r>
      <w:r w:rsidR="009A5BC4">
        <w:rPr>
          <w:noProof/>
        </w:rPr>
        <w:t>[2]</w:t>
      </w:r>
      <w:r>
        <w:fldChar w:fldCharType="end"/>
      </w:r>
      <w:r>
        <w:t xml:space="preserve">. With an observed frequency of the variant G allele of 14 % in </w:t>
      </w:r>
      <w:r w:rsidRPr="00B51868">
        <w:t xml:space="preserve">pain patients </w:t>
      </w:r>
      <w:r>
        <w:t xml:space="preserve">not requiring high opioid doses, obtained for this purpose from available data </w:t>
      </w:r>
      <w:r>
        <w:fldChar w:fldCharType="begin"/>
      </w:r>
      <w:r w:rsidR="009A5BC4">
        <w:instrText xml:space="preserve"> ADDIN EN.CITE &lt;EndNote&gt;&lt;Cite&gt;&lt;Author&gt;Lötsch&lt;/Author&gt;&lt;Year&gt;2009&lt;/Year&gt;&lt;RecNum&gt;8265&lt;/RecNum&gt;&lt;DisplayText&gt;[3]&lt;/DisplayText&gt;&lt;record&gt;&lt;rec-number&gt;8265&lt;/rec-number&gt;&lt;foreign-keys&gt;&lt;key app="EN" db-id="asfzetfvyt5z2oe2af8p9aehfprpvtt2rv22" timestamp="1245961014"&gt;8265&lt;/key&gt;&lt;key app="ENWeb" db-id="TixPFwrtqggAAHUXxtc"&gt;7712&lt;/key&gt;&lt;/foreign-keys&gt;&lt;ref-type name="Journal Article"&gt;17&lt;/ref-type&gt;&lt;contributors&gt;&lt;authors&gt;&lt;author&gt;Lötsch, J.&lt;/author&gt;&lt;author&gt;von Hentig, N.&lt;/author&gt;&lt;author&gt;Freynhagen, R.&lt;/author&gt;&lt;author&gt;Griessinger, N.&lt;/author&gt;&lt;author&gt;Zimmermann, M.&lt;/author&gt;&lt;author&gt;Doehring, A.&lt;/author&gt;&lt;author&gt;Rohrbacher, M.&lt;/author&gt;&lt;author&gt;Sittl, R.&lt;/author&gt;&lt;author&gt;Geisslinger, G.&lt;/author&gt;&lt;/authors&gt;&lt;/contributors&gt;&lt;auth-address&gt;pharmazentrum frankfurt/ZAFES, Institute of Clinical Pharmacology, Johann Wolfgang Goethe-University, Frankfurt am Main, Germany. j.loetsch@em.uni-frankfurt.de&lt;/auth-address&gt;&lt;titles&gt;&lt;title&gt;Cross-sectional analysis of the influence of currently known pharmacogenetic modulators on opioid therapy in outpatient pain centers&lt;/title&gt;&lt;secondary-title&gt;Pharmacogenet Genomics&lt;/secondary-title&gt;&lt;/titles&gt;&lt;periodical&gt;&lt;full-title&gt;Pharmacogenet Genomics&lt;/full-title&gt;&lt;/periodical&gt;&lt;pages&gt;429-36&lt;/pages&gt;&lt;volume&gt;19&lt;/volume&gt;&lt;number&gt;6&lt;/number&gt;&lt;edition&gt;2009/06/11&lt;/edition&gt;&lt;dates&gt;&lt;year&gt;2009&lt;/year&gt;&lt;pub-dates&gt;&lt;date&gt;Jun&lt;/date&gt;&lt;/pub-dates&gt;&lt;/dates&gt;&lt;isbn&gt;1744-6872 (Print)&lt;/isbn&gt;&lt;accession-num&gt;19514130&lt;/accession-num&gt;&lt;urls&gt;&lt;/urls&gt;&lt;remote-database-provider&gt;Nlm&lt;/remote-database-provider&gt;&lt;language&gt;eng&lt;/language&gt;&lt;/record&gt;&lt;/Cite&gt;&lt;/EndNote&gt;</w:instrText>
      </w:r>
      <w:r>
        <w:fldChar w:fldCharType="separate"/>
      </w:r>
      <w:r w:rsidR="009A5BC4">
        <w:rPr>
          <w:noProof/>
        </w:rPr>
        <w:t>[3]</w:t>
      </w:r>
      <w:r>
        <w:fldChar w:fldCharType="end"/>
      </w:r>
      <w:r>
        <w:t xml:space="preserve">, observing a duplication in this allelic frequency at an a level of 0.05 with a statistical power of </w:t>
      </w:r>
      <w:r w:rsidRPr="00B51868">
        <w:t>80</w:t>
      </w:r>
      <w:r>
        <w:t xml:space="preserve"> </w:t>
      </w:r>
      <w:r w:rsidRPr="00B51868">
        <w:t xml:space="preserve">% </w:t>
      </w:r>
      <w:r>
        <w:t>requires the observation of at minimum 36 alleles, i.e., a group size of 18, which was accommodated by the present group size.</w:t>
      </w:r>
    </w:p>
    <w:p w:rsidR="00034E9B" w:rsidRDefault="00034E9B" w:rsidP="00034E9B">
      <w:r>
        <w:t xml:space="preserve">Opioid receptor genotype differences between patients with high opioid dosage and controls were analyzed using the SNP and variation suite </w:t>
      </w:r>
      <w:r w:rsidRPr="00E255C3">
        <w:t>software (</w:t>
      </w:r>
      <w:r>
        <w:t xml:space="preserve">SVS </w:t>
      </w:r>
      <w:r w:rsidRPr="00E255C3">
        <w:t xml:space="preserve">version </w:t>
      </w:r>
      <w:r>
        <w:t>8</w:t>
      </w:r>
      <w:r w:rsidRPr="00E255C3">
        <w:t>.</w:t>
      </w:r>
      <w:r>
        <w:t>3</w:t>
      </w:r>
      <w:r w:rsidRPr="00E255C3">
        <w:t>.</w:t>
      </w:r>
      <w:r>
        <w:t>3</w:t>
      </w:r>
      <w:r w:rsidRPr="00E255C3">
        <w:t xml:space="preserve"> for Linux</w:t>
      </w:r>
      <w:r>
        <w:t xml:space="preserve"> 64-bit</w:t>
      </w:r>
      <w:r w:rsidRPr="00E255C3">
        <w:t>, Golden Helix, Inc., Bozeman, USA)</w:t>
      </w:r>
      <w:r>
        <w:t xml:space="preserve">, the </w:t>
      </w:r>
      <w:r w:rsidRPr="00862EFC">
        <w:rPr>
          <w:lang w:eastAsia="en-GB"/>
        </w:rPr>
        <w:t xml:space="preserve">R </w:t>
      </w:r>
      <w:r>
        <w:rPr>
          <w:lang w:eastAsia="en-GB"/>
        </w:rPr>
        <w:t xml:space="preserve">software package </w:t>
      </w:r>
      <w:r w:rsidRPr="00862EFC">
        <w:rPr>
          <w:lang w:eastAsia="en-GB"/>
        </w:rPr>
        <w:t xml:space="preserve">(version 3.0.2 for Linux; </w:t>
      </w:r>
      <w:hyperlink r:id="rId7" w:history="1">
        <w:r w:rsidRPr="00862EFC">
          <w:rPr>
            <w:rStyle w:val="Hyperlink"/>
            <w:lang w:eastAsia="en-GB"/>
          </w:rPr>
          <w:t>http://CRAN.R-project.org/</w:t>
        </w:r>
      </w:hyperlink>
      <w:r w:rsidRPr="00862EFC">
        <w:rPr>
          <w:lang w:eastAsia="en-GB"/>
        </w:rPr>
        <w:t>)</w:t>
      </w:r>
      <w:r>
        <w:rPr>
          <w:lang w:eastAsia="en-GB"/>
        </w:rPr>
        <w:t xml:space="preserve"> </w:t>
      </w:r>
      <w:r>
        <w:t xml:space="preserve">and the </w:t>
      </w:r>
      <w:r w:rsidRPr="00425BB4">
        <w:t xml:space="preserve">Matlab </w:t>
      </w:r>
      <w:r w:rsidRPr="00A34A92">
        <w:t xml:space="preserve">numerical computing environment </w:t>
      </w:r>
      <w:r w:rsidRPr="00425BB4">
        <w:t>(version 8.3.0.532</w:t>
      </w:r>
      <w:r>
        <w:t>,</w:t>
      </w:r>
      <w:r w:rsidRPr="00425BB4">
        <w:t xml:space="preserve"> MathWorks, Natick, MS, USA)</w:t>
      </w:r>
      <w:r>
        <w:t>.</w:t>
      </w:r>
    </w:p>
    <w:p w:rsidR="00034E9B" w:rsidRDefault="00034E9B" w:rsidP="00034E9B">
      <w:pPr>
        <w:pStyle w:val="berschrift3"/>
      </w:pPr>
      <w:r>
        <w:t>Assessment of g</w:t>
      </w:r>
      <w:r w:rsidRPr="00FF0078">
        <w:t xml:space="preserve">roup differences in </w:t>
      </w:r>
      <w:r>
        <w:t xml:space="preserve">single </w:t>
      </w:r>
      <w:r w:rsidRPr="00FF0078">
        <w:t>o</w:t>
      </w:r>
      <w:r>
        <w:t>pioid receptor variant or haplotype frequencies</w:t>
      </w:r>
    </w:p>
    <w:p w:rsidR="00034E9B" w:rsidRDefault="00034E9B" w:rsidP="00034E9B">
      <w:r>
        <w:t xml:space="preserve">A first analysis employed the classical approach to pharmacogenetic analyses consisting of </w:t>
      </w:r>
      <w:r w:rsidRPr="00E255C3">
        <w:rPr>
          <w:rFonts w:ascii="Symbol" w:hAnsi="Symbol"/>
        </w:rPr>
        <w:t></w:t>
      </w:r>
      <w:r w:rsidRPr="00E255C3">
        <w:rPr>
          <w:vertAlign w:val="superscript"/>
        </w:rPr>
        <w:t>2</w:t>
      </w:r>
      <w:r w:rsidRPr="00E255C3">
        <w:t xml:space="preserve"> statistics</w:t>
      </w:r>
      <w:r>
        <w:t xml:space="preserve"> with an α-level of 0.05 corrected for multiple testing according to the conservative criterion of Bonferroni </w:t>
      </w:r>
      <w:r>
        <w:fldChar w:fldCharType="begin"/>
      </w:r>
      <w:r w:rsidR="009A5BC4">
        <w:instrText xml:space="preserve"> ADDIN EN.CITE &lt;EndNote&gt;&lt;Cite&gt;&lt;Author&gt;Hochberg&lt;/Author&gt;&lt;Year&gt;1988&lt;/Year&gt;&lt;RecNum&gt;11370&lt;/RecNum&gt;&lt;DisplayText&gt;[4]&lt;/DisplayText&gt;&lt;record&gt;&lt;rec-number&gt;11370&lt;/rec-number&gt;&lt;foreign-keys&gt;&lt;key app="EN" db-id="asfzetfvyt5z2oe2af8p9aehfprpvtt2rv22" timestamp="1385895592"&gt;11370&lt;/key&gt;&lt;/foreign-keys&gt;&lt;ref-type name="Journal Article"&gt;17&lt;/ref-type&gt;&lt;contributors&gt;&lt;authors&gt;&lt;author&gt;Hochberg, Y.&lt;/author&gt;&lt;/authors&gt;&lt;/contributors&gt;&lt;titles&gt;&lt;title&gt;A Sharper Bonferroni Procedure for Multiple Tests of Significance&lt;/title&gt;&lt;secondary-title&gt;Biometrika&lt;/secondary-title&gt;&lt;/titles&gt;&lt;periodical&gt;&lt;full-title&gt;Biometrika&lt;/full-title&gt;&lt;/periodical&gt;&lt;pages&gt;800-802&lt;/pages&gt;&lt;volume&gt;75&lt;/volume&gt;&lt;number&gt;4&lt;/number&gt;&lt;dates&gt;&lt;year&gt;1988&lt;/year&gt;&lt;/dates&gt;&lt;urls&gt;&lt;/urls&gt;&lt;/record&gt;&lt;/Cite&gt;&lt;/EndNote&gt;</w:instrText>
      </w:r>
      <w:r>
        <w:fldChar w:fldCharType="separate"/>
      </w:r>
      <w:r w:rsidR="009A5BC4">
        <w:rPr>
          <w:noProof/>
        </w:rPr>
        <w:t>[4]</w:t>
      </w:r>
      <w:r>
        <w:fldChar w:fldCharType="end"/>
      </w:r>
      <w:r>
        <w:t xml:space="preserve">. The dominant hereditary model (DD, Dd versus dd, where D denotes the minor allele and d the wild-type allele) was applied. This analyzed the occurrence of carriers versus non-carriers of the minor alleles at each DNA position where a variant allele had been found by means of sequencing. Alternatives such as the recessive (DD versus Dd, dd) or additive (dd &gt; Dd &gt; DD) hereditary models provided no significant results. In addition, they had to be abandoned due to insufficient homozygously </w:t>
      </w:r>
      <w:r>
        <w:lastRenderedPageBreak/>
        <w:t xml:space="preserve">mutated cases, making an adequately powered analysis impossible. Furthermore, haplotypes identified </w:t>
      </w:r>
      <w:r w:rsidRPr="00743F27">
        <w:rPr>
          <w:i/>
        </w:rPr>
        <w:t>in-silico</w:t>
      </w:r>
      <w:r>
        <w:t xml:space="preserve"> via the minimizing historical recombination algorithm </w:t>
      </w:r>
      <w:r>
        <w:fldChar w:fldCharType="begin">
          <w:fldData xml:space="preserve">PEVuZE5vdGU+PENpdGU+PEF1dGhvcj5HYWJyaWVsPC9BdXRob3I+PFllYXI+MjAwMjwvWWVhcj48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</w:fldData>
        </w:fldChar>
      </w:r>
      <w:r w:rsidR="009A5BC4">
        <w:instrText xml:space="preserve"> ADDIN EN.CITE </w:instrText>
      </w:r>
      <w:r w:rsidR="009A5BC4">
        <w:fldChar w:fldCharType="begin">
          <w:fldData xml:space="preserve">PEVuZE5vdGU+PENpdGU+PEF1dGhvcj5HYWJyaWVsPC9BdXRob3I+PFllYXI+MjAwMjwvWWVhcj48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</w:fldData>
        </w:fldChar>
      </w:r>
      <w:r w:rsidR="009A5BC4">
        <w:instrText xml:space="preserve"> ADDIN EN.CITE.DATA </w:instrText>
      </w:r>
      <w:r w:rsidR="009A5BC4">
        <w:fldChar w:fldCharType="end"/>
      </w:r>
      <w:r>
        <w:fldChar w:fldCharType="separate"/>
      </w:r>
      <w:r w:rsidR="009A5BC4">
        <w:rPr>
          <w:noProof/>
        </w:rPr>
        <w:t>[5]</w:t>
      </w:r>
      <w:r>
        <w:fldChar w:fldCharType="end"/>
      </w:r>
      <w:r>
        <w:t xml:space="preserve">, as implemented in SVS software, were analogously assessed for group differences. To employ reasonable statistical power, the analyses included only variants found at a frequency of &gt; 10 % in the cohort as a default setting in the SVS software following previous proposals </w:t>
      </w:r>
      <w:r>
        <w:fldChar w:fldCharType="begin"/>
      </w:r>
      <w:r w:rsidR="009A5BC4">
        <w:instrText xml:space="preserve"> ADDIN EN.CITE &lt;EndNote&gt;&lt;Cite&gt;&lt;Author&gt;Daly&lt;/Author&gt;&lt;Year&gt;2001&lt;/Year&gt;&lt;RecNum&gt;11809&lt;/RecNum&gt;&lt;DisplayText&gt;[6]&lt;/DisplayText&gt;&lt;record&gt;&lt;rec-number&gt;11809&lt;/rec-number&gt;&lt;foreign-keys&gt;&lt;key app="EN" db-id="asfzetfvyt5z2oe2af8p9aehfprpvtt2rv22" timestamp="1430243752"&gt;11809&lt;/key&gt;&lt;/foreign-keys&gt;&lt;ref-type name="Journal Article"&gt;17&lt;/ref-type&gt;&lt;contributors&gt;&lt;authors&gt;&lt;author&gt;Daly, M J&lt;/author&gt;&lt;author&gt;Rioux, J D&lt;/author&gt;&lt;author&gt;Schaffner, S F&lt;/author&gt;&lt;author&gt;Hudson, T J&lt;/author&gt;&lt;author&gt;Lander, E S&lt;/author&gt;&lt;/authors&gt;&lt;/contributors&gt;&lt;titles&gt;&lt;title&gt;High-resolution haplotype structure in the human genome&lt;/title&gt;&lt;secondary-title&gt;Nat Genet&lt;/secondary-title&gt;&lt;/titles&gt;&lt;periodical&gt;&lt;full-title&gt;Nat Genet&lt;/full-title&gt;&lt;/periodical&gt;&lt;pages&gt;229-32&lt;/pages&gt;&lt;volume&gt;29&lt;/volume&gt;&lt;number&gt;2&lt;/number&gt;&lt;dates&gt;&lt;year&gt;2001&lt;/year&gt;&lt;/dates&gt;&lt;isbn&gt;1061-4036&lt;/isbn&gt;&lt;accession-num&gt;11586305&lt;/accession-num&gt;&lt;label&gt;eng&lt;/label&gt;&lt;urls&gt;&lt;related-urls&gt;&lt;url&gt;http://dx.doi.org/10.1038/ng1001-229&lt;/url&gt;&lt;/related-urls&gt;&lt;/urls&gt;&lt;electronic-resource-num&gt;10.1038/ng1001-229&lt;/electronic-resource-num&gt;&lt;remote-database-name&gt;PubMed&lt;/remote-database-name&gt;&lt;remote-database-provider&gt;Pubmed2Endnote by Riadh Hammami&lt;/remote-database-provider&gt;&lt;/record&gt;&lt;/Cite&gt;&lt;/EndNote&gt;</w:instrText>
      </w:r>
      <w:r>
        <w:fldChar w:fldCharType="separate"/>
      </w:r>
      <w:r w:rsidR="009A5BC4">
        <w:rPr>
          <w:noProof/>
        </w:rPr>
        <w:t>[6]</w:t>
      </w:r>
      <w:r>
        <w:fldChar w:fldCharType="end"/>
      </w:r>
      <w:r>
        <w:t>.</w:t>
      </w:r>
    </w:p>
    <w:p w:rsidR="00034E9B" w:rsidRDefault="00034E9B" w:rsidP="00034E9B">
      <w:pPr>
        <w:pStyle w:val="berschrift3"/>
      </w:pPr>
      <w:r>
        <w:t>Assessment of combined genotypic group classifiers</w:t>
      </w:r>
    </w:p>
    <w:p w:rsidR="00034E9B" w:rsidRDefault="00034E9B" w:rsidP="00034E9B">
      <w:r>
        <w:t xml:space="preserve">A second analysis addressed combinations of genetic variants employing two classical and commonly used methods comprising (i) stepwise regression analysis and (ii) classification and regression tree (CART) analysis. Stepwise regression aims at the identification of a subset of variables that can be used for a regression model </w:t>
      </w:r>
      <w:r>
        <w:fldChar w:fldCharType="begin"/>
      </w:r>
      <w:r w:rsidR="009A5BC4">
        <w:instrText xml:space="preserve"> ADDIN EN.CITE &lt;EndNote&gt;&lt;Cite&gt;&lt;Author&gt;Greenland&lt;/Author&gt;&lt;Year&gt;1989&lt;/Year&gt;&lt;RecNum&gt;11805&lt;/RecNum&gt;&lt;DisplayText&gt;[7]&lt;/DisplayText&gt;&lt;record&gt;&lt;rec-number&gt;11805&lt;/rec-number&gt;&lt;foreign-keys&gt;&lt;key app="EN" db-id="asfzetfvyt5z2oe2af8p9aehfprpvtt2rv22" timestamp="1430234022"&gt;11805&lt;/key&gt;&lt;/foreign-keys&gt;&lt;ref-type name="Journal Article"&gt;17&lt;/ref-type&gt;&lt;contributors&gt;&lt;authors&gt;&lt;author&gt;Greenland, S.&lt;/author&gt;&lt;/authors&gt;&lt;/contributors&gt;&lt;auth-address&gt;Division of Epidemiology, University of California, School of Public Health, Los Angeles 90024.&lt;/auth-address&gt;&lt;titles&gt;&lt;title&gt;Modeling and variable selection in epidemiologic analysis&lt;/title&gt;&lt;secondary-title&gt;Am J Public Health&lt;/secondary-title&gt;&lt;/titles&gt;&lt;periodical&gt;&lt;full-title&gt;Am J Public Health&lt;/full-title&gt;&lt;abbr-1&gt;American journal of public health&lt;/abbr-1&gt;&lt;/periodical&gt;&lt;pages&gt;340-9&lt;/pages&gt;&lt;volume&gt;79&lt;/volume&gt;&lt;number&gt;3&lt;/number&gt;&lt;edition&gt;1989/03/01&lt;/edition&gt;&lt;keywords&gt;&lt;keyword&gt;Algorithms&lt;/keyword&gt;&lt;keyword&gt;Data Interpretation, Statistical&lt;/keyword&gt;&lt;keyword&gt;Epidemiologic Methods&lt;/keyword&gt;&lt;keyword&gt;Humans&lt;/keyword&gt;&lt;keyword&gt;Models, Theoretical&lt;/keyword&gt;&lt;keyword&gt;Regression Analysis&lt;/keyword&gt;&lt;keyword&gt;Sampling Studies&lt;/keyword&gt;&lt;keyword&gt;Statistics as Topic&lt;/keyword&gt;&lt;/keywords&gt;&lt;dates&gt;&lt;year&gt;1989&lt;/year&gt;&lt;pub-dates&gt;&lt;date&gt;Mar&lt;/date&gt;&lt;/pub-dates&gt;&lt;/dates&gt;&lt;isbn&gt;0090-0036 (Print)&amp;#xD;0090-0036 (Linking)&lt;/isbn&gt;&lt;accession-num&gt;2916724&lt;/accession-num&gt;&lt;urls&gt;&lt;related-urls&gt;&lt;url&gt;http://www.ncbi.nlm.nih.gov/pmc/articles/PMC1349563/pdf/amjph00229-0086.pdf&lt;/url&gt;&lt;/related-urls&gt;&lt;/urls&gt;&lt;custom2&gt;PMC1349563&lt;/custom2&gt;&lt;remote-database-provider&gt;NLM&lt;/remote-database-provider&gt;&lt;language&gt;eng&lt;/language&gt;&lt;/record&gt;&lt;/Cite&gt;&lt;/EndNote&gt;</w:instrText>
      </w:r>
      <w:r>
        <w:fldChar w:fldCharType="separate"/>
      </w:r>
      <w:r w:rsidR="009A5BC4">
        <w:rPr>
          <w:noProof/>
        </w:rPr>
        <w:t>[7]</w:t>
      </w:r>
      <w:r>
        <w:fldChar w:fldCharType="end"/>
      </w:r>
      <w:r>
        <w:t>. Genotypes were encoded as 0, 1 or 2 for the wild-type, the heterozygous and the homozygous variants, respectively, and patient groups were encoded as 0 or 1 for the controls or high opioid dosage patients, respectively.</w:t>
      </w:r>
      <w:r w:rsidRPr="00A753CE">
        <w:t xml:space="preserve"> </w:t>
      </w:r>
      <w:r>
        <w:t xml:space="preserve">Variables were included “stepwise forward” into the regression, and F-statistics with an α-level of 0.05 for inclusion and of 0.1 for rejection was used to select the variables for the final linear </w:t>
      </w:r>
      <w:r w:rsidRPr="00E838BA">
        <w:t xml:space="preserve">model. This was built from the identified genetic markers by subsequent linear regression that calculated the </w:t>
      </w:r>
      <w:r w:rsidRPr="00C97C3A">
        <w:t>weights β</w:t>
      </w:r>
      <w:r w:rsidRPr="00C97C3A">
        <w:rPr>
          <w:vertAlign w:val="subscript"/>
        </w:rPr>
        <w:t>i</w:t>
      </w:r>
      <w:r>
        <w:t xml:space="preserve"> (i = 1 .. n), with </w:t>
      </w:r>
      <w:r w:rsidRPr="005C16E2">
        <w:rPr>
          <w:i/>
        </w:rPr>
        <w:t>n</w:t>
      </w:r>
      <w:r>
        <w:t xml:space="preserve"> denoting the number of genetic identified markers, </w:t>
      </w:r>
      <w:r w:rsidRPr="00E838BA">
        <w:t>on these markers</w:t>
      </w:r>
      <w:r>
        <w:t xml:space="preserve"> such that the weighted sum of the selected markers resulted in a combined biomarker used to distinguish between the two cohorts. As an alternative approach at a combined biomarker, </w:t>
      </w:r>
      <w:r w:rsidRPr="00862EFC">
        <w:rPr>
          <w:lang w:eastAsia="en-GB"/>
        </w:rPr>
        <w:t xml:space="preserve">CART analysis </w:t>
      </w:r>
      <w:r w:rsidRPr="00862EFC">
        <w:rPr>
          <w:lang w:eastAsia="en-GB"/>
        </w:rPr>
        <w:fldChar w:fldCharType="begin"/>
      </w:r>
      <w:r w:rsidR="009A5BC4">
        <w:rPr>
          <w:lang w:eastAsia="en-GB"/>
        </w:rPr>
        <w:instrText xml:space="preserve"> ADDIN EN.CITE &lt;EndNote&gt;&lt;Cite&gt;&lt;Author&gt;Breimann&lt;/Author&gt;&lt;Year&gt;1993&lt;/Year&gt;&lt;RecNum&gt;9505&lt;/RecNum&gt;&lt;DisplayText&gt;[8]&lt;/DisplayText&gt;&lt;record&gt;&lt;rec-number&gt;9505&lt;/rec-number&gt;&lt;foreign-keys&gt;&lt;key app="EN" db-id="asfzetfvyt5z2oe2af8p9aehfprpvtt2rv22" timestamp="1300288969"&gt;9505&lt;/key&gt;&lt;key app="ENWeb" db-id="TixPFwrtqggAAHUXxtc"&gt;8862&lt;/key&gt;&lt;/foreign-keys&gt;&lt;ref-type name="Book"&gt;6&lt;/ref-type&gt;&lt;contributors&gt;&lt;authors&gt;&lt;author&gt;Breimann, L.&lt;/author&gt;&lt;author&gt;Friedman, J.H.&lt;/author&gt;&lt;author&gt;Olshen, R.A.&lt;/author&gt;&lt;author&gt;Stone, C.J.&lt;/author&gt;&lt;/authors&gt;&lt;/contributors&gt;&lt;titles&gt;&lt;title&gt;Classification and Regression Trees&lt;/title&gt;&lt;/titles&gt;&lt;dates&gt;&lt;year&gt;1993&lt;/year&gt;&lt;/dates&gt;&lt;pub-location&gt;Boca Raton&lt;/pub-location&gt;&lt;publisher&gt;Chapman and Hall&lt;/publisher&gt;&lt;urls&gt;&lt;/urls&gt;&lt;/record&gt;&lt;/Cite&gt;&lt;/EndNote&gt;</w:instrText>
      </w:r>
      <w:r w:rsidRPr="00862EFC">
        <w:rPr>
          <w:lang w:eastAsia="en-GB"/>
        </w:rPr>
        <w:fldChar w:fldCharType="separate"/>
      </w:r>
      <w:r w:rsidR="009A5BC4">
        <w:rPr>
          <w:noProof/>
          <w:lang w:eastAsia="en-GB"/>
        </w:rPr>
        <w:t>[8]</w:t>
      </w:r>
      <w:r w:rsidRPr="00862EFC">
        <w:rPr>
          <w:lang w:eastAsia="en-GB"/>
        </w:rPr>
        <w:fldChar w:fldCharType="end"/>
      </w:r>
      <w:r>
        <w:rPr>
          <w:lang w:eastAsia="en-GB"/>
        </w:rPr>
        <w:t xml:space="preserve"> was applied to construct a decision tree for prediction of the membership of a case to one of </w:t>
      </w:r>
      <w:r>
        <w:t xml:space="preserve">the two cohorts. CART analysis used the Gini index </w:t>
      </w:r>
      <w:r>
        <w:fldChar w:fldCharType="begin"/>
      </w:r>
      <w:r w:rsidR="009A5BC4">
        <w:instrText xml:space="preserve"> ADDIN EN.CITE &lt;EndNote&gt;&lt;Cite&gt;&lt;Author&gt;Gini&lt;/Author&gt;&lt;Year&gt;1912&lt;/Year&gt;&lt;RecNum&gt;11806&lt;/RecNum&gt;&lt;DisplayText&gt;[9]&lt;/DisplayText&gt;&lt;record&gt;&lt;rec-number&gt;11806&lt;/rec-number&gt;&lt;foreign-keys&gt;&lt;key app="EN" db-id="asfzetfvyt5z2oe2af8p9aehfprpvtt2rv22" timestamp="1430235125"&gt;11806&lt;/key&gt;&lt;/foreign-keys&gt;&lt;ref-type name="Book"&gt;6&lt;/ref-type&gt;&lt;contributors&gt;&lt;authors&gt;&lt;author&gt;Gini, C.&lt;/author&gt;&lt;/authors&gt;&lt;/contributors&gt;&lt;titles&gt;&lt;title&gt;Variabilità e mutabilità&lt;/title&gt;&lt;/titles&gt;&lt;dates&gt;&lt;year&gt;1912&lt;/year&gt;&lt;/dates&gt;&lt;pub-location&gt;Bologna&lt;/pub-location&gt;&lt;publisher&gt;C. Cuppini&lt;/publisher&gt;&lt;urls&gt;&lt;/urls&gt;&lt;/record&gt;&lt;/Cite&gt;&lt;/EndNote&gt;</w:instrText>
      </w:r>
      <w:r>
        <w:fldChar w:fldCharType="separate"/>
      </w:r>
      <w:r w:rsidR="009A5BC4">
        <w:rPr>
          <w:noProof/>
        </w:rPr>
        <w:t>[9]</w:t>
      </w:r>
      <w:r>
        <w:fldChar w:fldCharType="end"/>
      </w:r>
      <w:r>
        <w:t xml:space="preserve"> as a so-called impurity measure to construct a hierarchical structured set of conditions, i.e., a decision tree, for assignment to either one of the two cohorts.</w:t>
      </w:r>
    </w:p>
    <w:p w:rsidR="00034E9B" w:rsidRDefault="00034E9B" w:rsidP="00034E9B">
      <w:pPr>
        <w:pStyle w:val="berschrift3"/>
        <w:rPr>
          <w:lang w:eastAsia="en-GB"/>
        </w:rPr>
      </w:pPr>
      <w:r>
        <w:rPr>
          <w:lang w:eastAsia="en-GB"/>
        </w:rPr>
        <w:lastRenderedPageBreak/>
        <w:t xml:space="preserve">Advanced approaches at complex genetic </w:t>
      </w:r>
      <w:r>
        <w:t>group classifiers</w:t>
      </w:r>
    </w:p>
    <w:p w:rsidR="00034E9B" w:rsidRDefault="00034E9B" w:rsidP="00034E9B">
      <w:r>
        <w:rPr>
          <w:lang w:eastAsia="en-GB"/>
        </w:rPr>
        <w:t xml:space="preserve">The above described approaches implicitly assumed homogeneity within the two patient cohorts, an assumption that was unlikely to hold, as discussed later. Therefore, cluster analysis was used to reveal subgroups within each cohort. For this analysis, data was preprocessed to obtain the genotypes at each locus that could be expected by chance, which were obtained as the group-size weighted means across all patients, separately for each variant. Subsequently, </w:t>
      </w:r>
      <w:r>
        <w:t>for each variant and patient the directed deviations were calculated as the difference between the actual observation and the above calculated expectation.</w:t>
      </w:r>
      <w:r w:rsidRPr="002B72FF">
        <w:t xml:space="preserve"> </w:t>
      </w:r>
      <w:r>
        <w:t xml:space="preserve">These deviations were submitted to cluster analysis. </w:t>
      </w:r>
      <w:r>
        <w:rPr>
          <w:lang w:eastAsia="en-GB"/>
        </w:rPr>
        <w:t xml:space="preserve">An </w:t>
      </w:r>
      <w:r w:rsidRPr="00534B4A">
        <w:rPr>
          <w:lang w:eastAsia="en-GB"/>
        </w:rPr>
        <w:t>indispensable</w:t>
      </w:r>
      <w:r>
        <w:rPr>
          <w:lang w:eastAsia="en-GB"/>
        </w:rPr>
        <w:t xml:space="preserve"> prerequisite for clustering is the definition of a valid distance, respectively similarity, measure among the cases. Besides the Euclidian distance often taken </w:t>
      </w:r>
      <w:r w:rsidRPr="00A279F1">
        <w:t xml:space="preserve">as a standard implementation of statistical software, employed for example in pain research </w:t>
      </w:r>
      <w:r>
        <w:fldChar w:fldCharType="begin">
          <w:fldData xml:space="preserve">PEVuZE5vdGU+PENpdGU+PEF1dGhvcj5CYXJvbjwvQXV0aG9yPjxZZWFyPjIwMDk8L1llYXI+PFJl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</w:fldData>
        </w:fldChar>
      </w:r>
      <w:r w:rsidR="009A5BC4">
        <w:instrText xml:space="preserve"> ADDIN EN.CITE </w:instrText>
      </w:r>
      <w:r w:rsidR="009A5BC4">
        <w:fldChar w:fldCharType="begin">
          <w:fldData xml:space="preserve">PEVuZE5vdGU+PENpdGU+PEF1dGhvcj5CYXJvbjwvQXV0aG9yPjxZZWFyPjIwMDk8L1llYXI+PFJl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</w:fldData>
        </w:fldChar>
      </w:r>
      <w:r w:rsidR="009A5BC4">
        <w:instrText xml:space="preserve"> ADDIN EN.CITE.DATA </w:instrText>
      </w:r>
      <w:r w:rsidR="009A5BC4">
        <w:fldChar w:fldCharType="end"/>
      </w:r>
      <w:r>
        <w:fldChar w:fldCharType="separate"/>
      </w:r>
      <w:r w:rsidR="009A5BC4">
        <w:rPr>
          <w:noProof/>
        </w:rPr>
        <w:t>[10]</w:t>
      </w:r>
      <w:r>
        <w:fldChar w:fldCharType="end"/>
      </w:r>
      <w:r w:rsidRPr="00A279F1">
        <w:t xml:space="preserve">, the Manhattan (Cityblock) distance, the Hamming distance and the Jaccard distance were evaluated. </w:t>
      </w:r>
      <w:r>
        <w:t xml:space="preserve">The selection of the best distance measure was based on </w:t>
      </w:r>
      <w:r w:rsidRPr="00A279F1">
        <w:t>Silhouette-plot</w:t>
      </w:r>
      <w:r>
        <w:t>s that provide</w:t>
      </w:r>
      <w:r w:rsidRPr="00A279F1">
        <w:t xml:space="preserve"> a</w:t>
      </w:r>
      <w:r>
        <w:t xml:space="preserve"> graphical </w:t>
      </w:r>
      <w:r w:rsidRPr="00A279F1">
        <w:t xml:space="preserve">interpretation and validation of </w:t>
      </w:r>
      <w:r>
        <w:t xml:space="preserve">data </w:t>
      </w:r>
      <w:r w:rsidRPr="00A279F1">
        <w:t>clusters</w:t>
      </w:r>
      <w:r>
        <w:t xml:space="preserve"> </w:t>
      </w:r>
      <w:r>
        <w:fldChar w:fldCharType="begin"/>
      </w:r>
      <w:r w:rsidR="009A5BC4">
        <w:instrText xml:space="preserve"> ADDIN EN.CITE &lt;EndNote&gt;&lt;Cite&gt;&lt;Author&gt;Rousseeuw&lt;/Author&gt;&lt;Year&gt;1987&lt;/Year&gt;&lt;RecNum&gt;11807&lt;/RecNum&gt;&lt;DisplayText&gt;[11]&lt;/DisplayText&gt;&lt;record&gt;&lt;rec-number&gt;11807&lt;/rec-number&gt;&lt;foreign-keys&gt;&lt;key app="EN" db-id="asfzetfvyt5z2oe2af8p9aehfprpvtt2rv22" timestamp="1430236115"&gt;11807&lt;/key&gt;&lt;/foreign-keys&gt;&lt;ref-type name="Journal Article"&gt;17&lt;/ref-type&gt;&lt;contributors&gt;&lt;authors&gt;&lt;author&gt;Rousseeuw, P. J.&lt;/author&gt;&lt;/authors&gt;&lt;/contributors&gt;&lt;titles&gt;&lt;title&gt;Silhouettes: a Graphical Aid to the Interpretation and Validation of Cluster Analysis&lt;/title&gt;&lt;secondary-title&gt;Comp Appl Math&lt;/secondary-title&gt;&lt;/titles&gt;&lt;periodical&gt;&lt;full-title&gt;Comp Appl Math&lt;/full-title&gt;&lt;/periodical&gt;&lt;pages&gt;53–65&lt;/pages&gt;&lt;volume&gt;20&lt;/volume&gt;&lt;dates&gt;&lt;year&gt;1987&lt;/year&gt;&lt;/dates&gt;&lt;urls&gt;&lt;/urls&gt;&lt;/record&gt;&lt;/Cite&gt;&lt;/EndNote&gt;</w:instrText>
      </w:r>
      <w:r>
        <w:fldChar w:fldCharType="separate"/>
      </w:r>
      <w:r w:rsidR="009A5BC4">
        <w:rPr>
          <w:noProof/>
        </w:rPr>
        <w:t>[11]</w:t>
      </w:r>
      <w:r>
        <w:fldChar w:fldCharType="end"/>
      </w:r>
      <w:r w:rsidRPr="00A279F1">
        <w:t xml:space="preserve">. </w:t>
      </w:r>
      <w:r>
        <w:t xml:space="preserve">This </w:t>
      </w:r>
      <w:r w:rsidRPr="00A279F1">
        <w:t xml:space="preserve">technique provides a graphical representation of the distances of each case to its own cluster center, which should ideally be small, versus to the centers of neighbored clusters, which </w:t>
      </w:r>
      <w:r w:rsidRPr="00032A5A">
        <w:t>should be large</w:t>
      </w:r>
      <w:r>
        <w:t>. T</w:t>
      </w:r>
      <w:r w:rsidRPr="00032A5A">
        <w:t xml:space="preserve">he </w:t>
      </w:r>
      <w:r>
        <w:t>Silhouette method</w:t>
      </w:r>
      <w:r w:rsidRPr="00032A5A">
        <w:t xml:space="preserve"> identified the Jaccard distance as the </w:t>
      </w:r>
      <w:r>
        <w:t xml:space="preserve">most </w:t>
      </w:r>
      <w:r w:rsidRPr="00032A5A">
        <w:t xml:space="preserve">suitable for the present purpose of genotype based clustering of patients. The Jaccard distance was calculated as </w:t>
      </w:r>
      <w:r w:rsidRPr="00E96BA8">
        <w:rPr>
          <w:i/>
        </w:rPr>
        <w:t>1</w:t>
      </w:r>
      <w:r>
        <w:rPr>
          <w:i/>
        </w:rPr>
        <w:t> </w:t>
      </w:r>
      <w:r>
        <w:rPr>
          <w:i/>
        </w:rPr>
        <w:noBreakHyphen/>
        <w:t> </w:t>
      </w:r>
      <w:r w:rsidRPr="00E96BA8">
        <w:rPr>
          <w:i/>
        </w:rPr>
        <w:t>Jaccard coefficient</w:t>
      </w:r>
      <w:r w:rsidRPr="00032A5A">
        <w:t xml:space="preserve">, the latter being identical to the percentage of nonzero values that differ. </w:t>
      </w:r>
      <w:r>
        <w:t>P</w:t>
      </w:r>
      <w:r w:rsidRPr="00032A5A">
        <w:t xml:space="preserve">atients were clustered using the Ward hierarchical clustering method </w:t>
      </w:r>
      <w:r>
        <w:fldChar w:fldCharType="begin"/>
      </w:r>
      <w:r w:rsidR="009A5BC4">
        <w:instrText xml:space="preserve"> ADDIN EN.CITE &lt;EndNote&gt;&lt;Cite&gt;&lt;Author&gt;Everitt&lt;/Author&gt;&lt;Year&gt;2001&lt;/Year&gt;&lt;RecNum&gt;11092&lt;/RecNum&gt;&lt;DisplayText&gt;[12]&lt;/DisplayText&gt;&lt;record&gt;&lt;rec-number&gt;11092&lt;/rec-number&gt;&lt;foreign-keys&gt;&lt;key app="EN" db-id="asfzetfvyt5z2oe2af8p9aehfprpvtt2rv22" timestamp="1369134070"&gt;11092&lt;/key&gt;&lt;/foreign-keys&gt;&lt;ref-type name="Book"&gt;6&lt;/ref-type&gt;&lt;contributors&gt;&lt;authors&gt;&lt;author&gt;Everitt, B. S.&lt;/author&gt;&lt;author&gt;Landau, S.&lt;/author&gt;&lt;author&gt;Leese, M.&lt;/author&gt;&lt;/authors&gt;&lt;/contributors&gt;&lt;titles&gt;&lt;title&gt;Cluster analysis&lt;/title&gt;&lt;/titles&gt;&lt;edition&gt;4&lt;/edition&gt;&lt;dates&gt;&lt;year&gt;2001&lt;/year&gt;&lt;/dates&gt;&lt;pub-location&gt;New York&lt;/pub-location&gt;&lt;publisher&gt;Oxford University Press&lt;/publisher&gt;&lt;urls&gt;&lt;/urls&gt;&lt;/record&gt;&lt;/Cite&gt;&lt;/EndNote&gt;</w:instrText>
      </w:r>
      <w:r>
        <w:fldChar w:fldCharType="separate"/>
      </w:r>
      <w:r w:rsidR="009A5BC4">
        <w:rPr>
          <w:noProof/>
        </w:rPr>
        <w:t>[12]</w:t>
      </w:r>
      <w:r>
        <w:fldChar w:fldCharType="end"/>
      </w:r>
      <w:r w:rsidRPr="00032A5A">
        <w:t xml:space="preserve"> as implemented in Matlab, separately for high opioid dos</w:t>
      </w:r>
      <w:r>
        <w:t>age</w:t>
      </w:r>
      <w:r w:rsidRPr="00032A5A">
        <w:t xml:space="preserve"> patients and controls.</w:t>
      </w:r>
    </w:p>
    <w:p w:rsidR="00034E9B" w:rsidRDefault="00034E9B" w:rsidP="00034E9B">
      <w:r w:rsidRPr="00032A5A">
        <w:t xml:space="preserve">In </w:t>
      </w:r>
      <w:r>
        <w:t xml:space="preserve">a </w:t>
      </w:r>
      <w:r w:rsidRPr="00032A5A">
        <w:t xml:space="preserve">final step, these clusters served for the </w:t>
      </w:r>
      <w:r w:rsidRPr="00996B76">
        <w:t>training of a</w:t>
      </w:r>
      <w:r>
        <w:t xml:space="preserve"> </w:t>
      </w:r>
      <w:r w:rsidRPr="00996B76">
        <w:t>k-Nearest Neighbor (kNN)</w:t>
      </w:r>
      <w:r w:rsidR="001D0E07">
        <w:t xml:space="preserve"> </w:t>
      </w:r>
      <w:r>
        <w:fldChar w:fldCharType="begin"/>
      </w:r>
      <w:r w:rsidR="009A5BC4">
        <w:instrText xml:space="preserve"> ADDIN EN.CITE &lt;EndNote&gt;&lt;Cite&gt;&lt;Author&gt;Cover&lt;/Author&gt;&lt;Year&gt;1967&lt;/Year&gt;&lt;RecNum&gt;11808&lt;/RecNum&gt;&lt;DisplayText&gt;[13]&lt;/DisplayText&gt;&lt;record&gt;&lt;rec-number&gt;11808&lt;/rec-number&gt;&lt;foreign-keys&gt;&lt;key app="EN" db-id="asfzetfvyt5z2oe2af8p9aehfprpvtt2rv22" timestamp="1430237254"&gt;11808&lt;/key&gt;&lt;/foreign-keys&gt;&lt;ref-type name="Journal Article"&gt;17&lt;/ref-type&gt;&lt;contributors&gt;&lt;authors&gt;&lt;author&gt;Cover, T. M.&lt;/author&gt;&lt;author&gt;Hart, P. E.&lt;/author&gt;&lt;/authors&gt;&lt;/contributors&gt;&lt;titles&gt;&lt;title&gt;Nearest neighbor pattern classification&lt;/title&gt;&lt;secondary-title&gt;IEEE Transactions on Information Theory &lt;/secondary-title&gt;&lt;/titles&gt;&lt;periodical&gt;&lt;full-title&gt;IEEE Transactions on Information Theory&lt;/full-title&gt;&lt;/periodical&gt;&lt;pages&gt;21-27&lt;/pages&gt;&lt;volume&gt;13&lt;/volume&gt;&lt;number&gt;1&lt;/number&gt;&lt;dates&gt;&lt;year&gt;1967&lt;/year&gt;&lt;/dates&gt;&lt;urls&gt;&lt;/urls&gt;&lt;/record&gt;&lt;/Cite&gt;&lt;/EndNote&gt;</w:instrText>
      </w:r>
      <w:r>
        <w:fldChar w:fldCharType="separate"/>
      </w:r>
      <w:r w:rsidR="009A5BC4">
        <w:rPr>
          <w:noProof/>
        </w:rPr>
        <w:t>[13]</w:t>
      </w:r>
      <w:r>
        <w:fldChar w:fldCharType="end"/>
      </w:r>
      <w:r>
        <w:t xml:space="preserve"> </w:t>
      </w:r>
      <w:r w:rsidRPr="00996B76">
        <w:t xml:space="preserve">with k = </w:t>
      </w:r>
      <w:r>
        <w:t>3</w:t>
      </w:r>
      <w:r w:rsidRPr="00996B76">
        <w:t xml:space="preserve">. </w:t>
      </w:r>
      <w:r>
        <w:t xml:space="preserve">The classifier was trained with the pattern of each cluster per group, which resulted in a number of typical </w:t>
      </w:r>
      <w:r>
        <w:lastRenderedPageBreak/>
        <w:t>patterns given by the number of clusters per patient group. T</w:t>
      </w:r>
      <w:r w:rsidRPr="00996B76">
        <w:t>o classify a patient on the basis of the opioid receptor genetic pattern</w:t>
      </w:r>
      <w:r>
        <w:t xml:space="preserve"> with respect to the 152 varying loci identified here</w:t>
      </w:r>
      <w:r w:rsidRPr="00996B76">
        <w:t xml:space="preserve">, the </w:t>
      </w:r>
      <w:r>
        <w:t>three</w:t>
      </w:r>
      <w:r w:rsidRPr="00996B76">
        <w:t xml:space="preserve"> nearest neighbors</w:t>
      </w:r>
      <w:r>
        <w:t xml:space="preserve"> </w:t>
      </w:r>
      <w:r w:rsidRPr="00996B76">
        <w:t xml:space="preserve">were </w:t>
      </w:r>
      <w:r>
        <w:t>determined. T</w:t>
      </w:r>
      <w:r w:rsidRPr="00996B76">
        <w:t>he patient was assigned to th</w:t>
      </w:r>
      <w:r>
        <w:t>e</w:t>
      </w:r>
      <w:r w:rsidRPr="00996B76">
        <w:t xml:space="preserve"> class to which the majority of these neighbor</w:t>
      </w:r>
      <w:r>
        <w:t>s</w:t>
      </w:r>
      <w:r w:rsidRPr="00996B76">
        <w:t xml:space="preserve"> belonged.</w:t>
      </w:r>
    </w:p>
    <w:p w:rsidR="00034E9B" w:rsidRDefault="00034E9B" w:rsidP="00034E9B">
      <w:r>
        <w:t xml:space="preserve">The </w:t>
      </w:r>
      <w:r>
        <w:rPr>
          <w:lang w:eastAsia="en-GB"/>
        </w:rPr>
        <w:t xml:space="preserve">distance function can be optimized using modern approaches </w:t>
      </w:r>
      <w:r>
        <w:t>of statistically valid selections of</w:t>
      </w:r>
      <w:r w:rsidRPr="00865105">
        <w:t xml:space="preserve"> most informative variables in multivariate data</w:t>
      </w:r>
      <w:r>
        <w:t xml:space="preserve"> such as the computed ABC analysis</w:t>
      </w:r>
      <w:r w:rsidRPr="00865105">
        <w:t xml:space="preserve"> </w:t>
      </w:r>
      <w:r>
        <w:fldChar w:fldCharType="begin"/>
      </w:r>
      <w:r w:rsidR="009A5BC4">
        <w:instrText xml:space="preserve"> ADDIN EN.CITE &lt;EndNote&gt;&lt;Cite&gt;&lt;Author&gt;Ultsch&lt;/Author&gt;&lt;Year&gt;2015&lt;/Year&gt;&lt;RecNum&gt;11723&lt;/RecNum&gt;&lt;DisplayText&gt;[14]&lt;/DisplayText&gt;&lt;record&gt;&lt;rec-number&gt;11723&lt;/rec-number&gt;&lt;foreign-keys&gt;&lt;key app="EN" db-id="xw050t0sn0drt2e0f5bxx5asxpvztp02zswf"&gt;11723&lt;/key&gt;&lt;/foreign-keys&gt;&lt;ref-type name="Journal Article"&gt;17&lt;/ref-type&gt;&lt;contributors&gt;&lt;authors&gt;&lt;author&gt;Ultsch, A.&lt;/author&gt;&lt;author&gt;Lotsch, J.&lt;/author&gt;&lt;/authors&gt;&lt;/contributors&gt;&lt;auth-address&gt;DataBionics Research Group, University of Marburg, Hans-Meerwein-Strasse, 35032, Marburg, Germany.&amp;#xD;Institute of Clinical Pharmacology, Goethe-University, Theodor-Stern-Kai 7, 60590, Frankfurt am Main, Germany; Fraunhofer Institute for Molecular Biology and Applied Ecology IME, Project Group Translational Medicine and Pharmacology TMP, Theodor-Stern-Kai 7, 60596, Frankfurt am Main, Germany.&lt;/auth-address&gt;&lt;titles&gt;&lt;title&gt;Computed ABC Analysis for Rational Selection of Most Informative Variables in Multivariate Data&lt;/title&gt;&lt;secondary-title&gt;PLoS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one&lt;/abbr-1&gt;&lt;/alt-periodical&gt;&lt;pages&gt;e0129767&lt;/pages&gt;&lt;volume&gt;10&lt;/volume&gt;&lt;number&gt;6&lt;/number&gt;&lt;dates&gt;&lt;year&gt;2015&lt;/year&gt;&lt;/dates&gt;&lt;isbn&gt;1932-6203 (Electronic)&amp;#xD;1932-6203 (Linking)&lt;/isbn&gt;&lt;accession-num&gt;26061064&lt;/accession-num&gt;&lt;urls&gt;&lt;related-urls&gt;&lt;url&gt;http://www.ncbi.nlm.nih.gov/pubmed/26061064&lt;/url&gt;&lt;/related-urls&gt;&lt;/urls&gt;&lt;custom2&gt;4465645&lt;/custom2&gt;&lt;electronic-resource-num&gt;10.1371/journal.pone.0129767&lt;/electronic-resource-num&gt;&lt;/record&gt;&lt;/Cite&gt;&lt;/EndNote&gt;</w:instrText>
      </w:r>
      <w:r>
        <w:fldChar w:fldCharType="separate"/>
      </w:r>
      <w:r w:rsidR="009A5BC4">
        <w:rPr>
          <w:noProof/>
        </w:rPr>
        <w:t>[14]</w:t>
      </w:r>
      <w:r>
        <w:fldChar w:fldCharType="end"/>
      </w:r>
      <w:r>
        <w:t>. To this end, those genetic variants had to be identified that promised to provide the best distinction between the two patient groups. As a distinction criterion, the difference in absolute group means of the number of rare type alleles for each variant was chosen, with a higher value promising more useful information for group classification. The informative subset of genetic variants, among all variants, was identified using a computed ABC analysis, which has been introduced recently as a method for a statistically valid selection of</w:t>
      </w:r>
      <w:r w:rsidRPr="00865105">
        <w:t xml:space="preserve"> most informative variables in multivariate data </w:t>
      </w:r>
      <w:r>
        <w:fldChar w:fldCharType="begin"/>
      </w:r>
      <w:r w:rsidR="009A5BC4">
        <w:instrText xml:space="preserve"> ADDIN EN.CITE &lt;EndNote&gt;&lt;Cite&gt;&lt;Author&gt;Ultsch&lt;/Author&gt;&lt;Year&gt;2015&lt;/Year&gt;&lt;RecNum&gt;11723&lt;/RecNum&gt;&lt;DisplayText&gt;[14]&lt;/DisplayText&gt;&lt;record&gt;&lt;rec-number&gt;11723&lt;/rec-number&gt;&lt;foreign-keys&gt;&lt;key app="EN" db-id="xw050t0sn0drt2e0f5bxx5asxpvztp02zswf"&gt;11723&lt;/key&gt;&lt;/foreign-keys&gt;&lt;ref-type name="Journal Article"&gt;17&lt;/ref-type&gt;&lt;contributors&gt;&lt;authors&gt;&lt;author&gt;Ultsch, A.&lt;/author&gt;&lt;author&gt;Lotsch, J.&lt;/author&gt;&lt;/authors&gt;&lt;/contributors&gt;&lt;auth-address&gt;DataBionics Research Group, University of Marburg, Hans-Meerwein-Strasse, 35032, Marburg, Germany.&amp;#xD;Institute of Clinical Pharmacology, Goethe-University, Theodor-Stern-Kai 7, 60590, Frankfurt am Main, Germany; Fraunhofer Institute for Molecular Biology and Applied Ecology IME, Project Group Translational Medicine and Pharmacology TMP, Theodor-Stern-Kai 7, 60596, Frankfurt am Main, Germany.&lt;/auth-address&gt;&lt;titles&gt;&lt;title&gt;Computed ABC Analysis for Rational Selection of Most Informative Variables in Multivariate Data&lt;/title&gt;&lt;secondary-title&gt;PLoS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one&lt;/abbr-1&gt;&lt;/alt-periodical&gt;&lt;pages&gt;e0129767&lt;/pages&gt;&lt;volume&gt;10&lt;/volume&gt;&lt;number&gt;6&lt;/number&gt;&lt;dates&gt;&lt;year&gt;2015&lt;/year&gt;&lt;/dates&gt;&lt;isbn&gt;1932-6203 (Electronic)&amp;#xD;1932-6203 (Linking)&lt;/isbn&gt;&lt;accession-num&gt;26061064&lt;/accession-num&gt;&lt;urls&gt;&lt;related-urls&gt;&lt;url&gt;http://www.ncbi.nlm.nih.gov/pubmed/26061064&lt;/url&gt;&lt;/related-urls&gt;&lt;/urls&gt;&lt;custom2&gt;4465645&lt;/custom2&gt;&lt;electronic-resource-num&gt;10.1371/journal.pone.0129767&lt;/electronic-resource-num&gt;&lt;/record&gt;&lt;/Cite&gt;&lt;/EndNote&gt;</w:instrText>
      </w:r>
      <w:r>
        <w:fldChar w:fldCharType="separate"/>
      </w:r>
      <w:r w:rsidR="009A5BC4">
        <w:rPr>
          <w:noProof/>
        </w:rPr>
        <w:t>[14]</w:t>
      </w:r>
      <w:r>
        <w:fldChar w:fldCharType="end"/>
      </w:r>
      <w:r>
        <w:t xml:space="preserve">. The concept was originally developed in economical sciences to search for the minimum possible effort that gives the maximum yield </w:t>
      </w:r>
      <w:r>
        <w:fldChar w:fldCharType="begin"/>
      </w:r>
      <w:r w:rsidR="009A5BC4">
        <w:instrText xml:space="preserve"> ADDIN EN.CITE &lt;EndNote&gt;&lt;Cite&gt;&lt;Author&gt;Pareto&lt;/Author&gt;&lt;Year&gt;1909&lt;/Year&gt;&lt;RecNum&gt;11732&lt;/RecNum&gt;&lt;DisplayText&gt;[15, 16]&lt;/DisplayText&gt;&lt;record&gt;&lt;rec-number&gt;11732&lt;/rec-number&gt;&lt;foreign-keys&gt;&lt;key app="EN" db-id="asfzetfvyt5z2oe2af8p9aehfprpvtt2rv22" timestamp="1422809695"&gt;11732&lt;/key&gt;&lt;/foreign-keys&gt;&lt;ref-type name="Classical Work"&gt;49&lt;/ref-type&gt;&lt;contributors&gt;&lt;authors&gt;&lt;author&gt;Pareto, V.&lt;/author&gt;&lt;/authors&gt;&lt;/contributors&gt;&lt;titles&gt;&lt;title&gt;Manuale di economia politica, Milan: Società editrice libraria, revised and translated into French as Manuel d’économie politique&lt;/title&gt;&lt;/titles&gt;&lt;dates&gt;&lt;year&gt;1909&lt;/year&gt;&lt;/dates&gt;&lt;pub-location&gt;Paris&lt;/pub-location&gt;&lt;publisher&gt;Giard et Briére&lt;/publisher&gt;&lt;urls&gt;&lt;/urls&gt;&lt;/record&gt;&lt;/Cite&gt;&lt;Cite&gt;&lt;Author&gt;Juran&lt;/Author&gt;&lt;Year&gt;1975&lt;/Year&gt;&lt;RecNum&gt;11710&lt;/RecNum&gt;&lt;record&gt;&lt;rec-number&gt;11710&lt;/rec-number&gt;&lt;foreign-keys&gt;&lt;key app="EN" db-id="asfzetfvyt5z2oe2af8p9aehfprpvtt2rv22" timestamp="1420735950"&gt;11710&lt;/key&gt;&lt;/foreign-keys&gt;&lt;ref-type name="Journal Article"&gt;17&lt;/ref-type&gt;&lt;contributors&gt;&lt;authors&gt;&lt;author&gt;Juran, J. M.&lt;/author&gt;&lt;/authors&gt;&lt;/contributors&gt;&lt;titles&gt;&lt;title&gt;The non-Pareto principle; Mea culpa.&lt;/title&gt;&lt;secondary-title&gt;Quality Progress&lt;/secondary-title&gt;&lt;/titles&gt;&lt;periodical&gt;&lt;full-title&gt;Quality Progress&lt;/full-title&gt;&lt;/periodical&gt;&lt;pages&gt;8-9&lt;/pages&gt;&lt;volume&gt;8&lt;/volume&gt;&lt;number&gt;5&lt;/number&gt;&lt;dates&gt;&lt;year&gt;1975&lt;/year&gt;&lt;/dates&gt;&lt;urls&gt;&lt;/urls&gt;&lt;/record&gt;&lt;/Cite&gt;&lt;/EndNote&gt;</w:instrText>
      </w:r>
      <w:r>
        <w:fldChar w:fldCharType="separate"/>
      </w:r>
      <w:r w:rsidR="009A5BC4">
        <w:rPr>
          <w:noProof/>
        </w:rPr>
        <w:t>[15, 16]</w:t>
      </w:r>
      <w:r>
        <w:fldChar w:fldCharType="end"/>
      </w:r>
      <w:r>
        <w:t xml:space="preserve"> by </w:t>
      </w:r>
      <w:r w:rsidRPr="006C07DB">
        <w:t>divid</w:t>
      </w:r>
      <w:r>
        <w:t>ing a set of positive data</w:t>
      </w:r>
      <w:r w:rsidRPr="006C07DB">
        <w:t xml:space="preserve"> into three disjoint subsets </w:t>
      </w:r>
      <w:r>
        <w:t>called “</w:t>
      </w:r>
      <w:r w:rsidRPr="006C07DB">
        <w:t>A</w:t>
      </w:r>
      <w:r>
        <w:t>”</w:t>
      </w:r>
      <w:r w:rsidRPr="006C07DB">
        <w:t xml:space="preserve">, </w:t>
      </w:r>
      <w:r>
        <w:t>“</w:t>
      </w:r>
      <w:r w:rsidRPr="006C07DB">
        <w:t>B</w:t>
      </w:r>
      <w:r>
        <w:t>”</w:t>
      </w:r>
      <w:r w:rsidRPr="006C07DB">
        <w:t xml:space="preserve"> and </w:t>
      </w:r>
      <w:r>
        <w:t>“</w:t>
      </w:r>
      <w:r w:rsidRPr="006C07DB">
        <w:t>C</w:t>
      </w:r>
      <w:r>
        <w:t>”. S</w:t>
      </w:r>
      <w:r w:rsidRPr="006C07DB">
        <w:t>ubset A compris</w:t>
      </w:r>
      <w:r>
        <w:t>es</w:t>
      </w:r>
      <w:r w:rsidRPr="006C07DB">
        <w:t xml:space="preserve"> very profitable values ("the important few")</w:t>
      </w:r>
      <w:r>
        <w:t>, s</w:t>
      </w:r>
      <w:r w:rsidRPr="006C07DB">
        <w:t>ubset B compris</w:t>
      </w:r>
      <w:r>
        <w:t>es</w:t>
      </w:r>
      <w:r w:rsidRPr="006C07DB">
        <w:t xml:space="preserve"> values where the profit equals the effort, and subset C compris</w:t>
      </w:r>
      <w:r>
        <w:t>es</w:t>
      </w:r>
      <w:r w:rsidRPr="006C07DB">
        <w:t xml:space="preserve"> non-profitable values, i.e., </w:t>
      </w:r>
      <w:r>
        <w:t xml:space="preserve">"the trivial many". In the present case, variants belonging to set A, i.e., those in which patients displayed large differences to the expectation, were selected as meriting inclusion in a complex biomarker identifying patients with high opioid dosage. Calculations were done using the R package “ABCanalysis” (M. Thrun, Marburg, Germany; freely available at </w:t>
      </w:r>
      <w:hyperlink r:id="rId8" w:history="1">
        <w:r w:rsidRPr="00AE4E63">
          <w:rPr>
            <w:rStyle w:val="Hyperlink"/>
          </w:rPr>
          <w:t>http://cran.r-project.org/web/packages/ABCanalysis/index.html</w:t>
        </w:r>
      </w:hyperlink>
      <w:r>
        <w:t>).</w:t>
      </w:r>
    </w:p>
    <w:p w:rsidR="00034E9B" w:rsidRDefault="00034E9B" w:rsidP="00034E9B">
      <w:pPr>
        <w:pStyle w:val="berschrift3"/>
      </w:pPr>
      <w:r>
        <w:lastRenderedPageBreak/>
        <w:t>Classification performance analyses</w:t>
      </w:r>
    </w:p>
    <w:p w:rsidR="00034E9B" w:rsidRDefault="00034E9B" w:rsidP="00034E9B">
      <w:r w:rsidRPr="00BC4CFA">
        <w:rPr>
          <w:lang w:eastAsia="en-GB"/>
        </w:rPr>
        <w:t>For all classifiers, i.e., single variants or more complex classifiers composed of two to several variants, which were all obtained, the utility as a biomarker for high opioid d</w:t>
      </w:r>
      <w:r>
        <w:rPr>
          <w:lang w:eastAsia="en-GB"/>
        </w:rPr>
        <w:t>osage</w:t>
      </w:r>
      <w:r w:rsidRPr="00BC4CFA">
        <w:rPr>
          <w:lang w:eastAsia="en-GB"/>
        </w:rPr>
        <w:t xml:space="preserve"> was assessed by calculating cross-validated prediction performances.</w:t>
      </w:r>
      <w:r>
        <w:rPr>
          <w:lang w:eastAsia="en-GB"/>
        </w:rPr>
        <w:t xml:space="preserve"> </w:t>
      </w:r>
      <w:r>
        <w:t>For this assessment, test data sets (sample size n = 20) were drawn from the study cohort that always included (i) seven additional patients with high opioid dosage, and expanded by (ii) further three patients randomly chosen from the already analyzed group with high opioid dosage to obtain a sufficiently large number for accur</w:t>
      </w:r>
      <w:bookmarkStart w:id="0" w:name="_GoBack"/>
      <w:bookmarkEnd w:id="0"/>
      <w:r>
        <w:t xml:space="preserve">acy calculations, and (iii) 10 patients randomly chosen from the control group. This was to account for the possibility that the biomarker tended to predict high opioid dosage, which would appear as correct when including only such patients but a wrong prediction for normal opioid dosage would remain undiscovered. Testing was 100 times repeated. The accuracy of a genetic variant significantly more frequent in the high opioid than in the control group was obtained as the mean of the observed accuracies in each run, which additionally provided a standard deviation of the accuracy. In addition, </w:t>
      </w:r>
      <w:r>
        <w:rPr>
          <w:lang w:eastAsia="en-GB"/>
        </w:rPr>
        <w:t xml:space="preserve">test </w:t>
      </w:r>
      <w:r w:rsidRPr="00BC1F87">
        <w:t>sensitivity</w:t>
      </w:r>
      <w:r>
        <w:t>,</w:t>
      </w:r>
      <w:r w:rsidRPr="00BC1F87">
        <w:t xml:space="preserve"> specificity</w:t>
      </w:r>
      <w:r>
        <w:t xml:space="preserve"> and positive predictive value were calculated using standard equations </w:t>
      </w:r>
      <w:r>
        <w:fldChar w:fldCharType="begin"/>
      </w:r>
      <w:r w:rsidR="009A5BC4">
        <w:instrText xml:space="preserve"> ADDIN EN.CITE &lt;EndNote&gt;&lt;Cite&gt;&lt;Author&gt;Altman&lt;/Author&gt;&lt;Year&gt;1994&lt;/Year&gt;&lt;RecNum&gt;9029&lt;/RecNum&gt;&lt;DisplayText&gt;[17]&lt;/DisplayText&gt;&lt;record&gt;&lt;rec-number&gt;9029&lt;/rec-number&gt;&lt;foreign-keys&gt;&lt;key app="EN" db-id="asfzetfvyt5z2oe2af8p9aehfprpvtt2rv22" timestamp="1252665816"&gt;9029&lt;/key&gt;&lt;key app="ENWeb" db-id="TixPFwrtqggAAHUXxtc"&gt;8421&lt;/key&gt;&lt;/foreign-keys&gt;&lt;ref-type name="Journal Article"&gt;17&lt;/ref-type&gt;&lt;contributors&gt;&lt;authors&gt;&lt;author&gt;Altman, D. G.&lt;/author&gt;&lt;author&gt;Bland, J. M.&lt;/author&gt;&lt;/authors&gt;&lt;/contributors&gt;&lt;auth-address&gt;Medical Statistics Laboratory, Imperial Cancer Research Fund, London.&lt;/auth-address&gt;&lt;titles&gt;&lt;title&gt;Diagnostic tests 2: Predictive values&lt;/title&gt;&lt;secondary-title&gt;BMJ&lt;/secondary-title&gt;&lt;/titles&gt;&lt;periodical&gt;&lt;full-title&gt;BMJ&lt;/full-title&gt;&lt;/periodical&gt;&lt;pages&gt;102&lt;/pages&gt;&lt;volume&gt;309&lt;/volume&gt;&lt;number&gt;6947&lt;/number&gt;&lt;edition&gt;1994/07/09&lt;/edition&gt;&lt;keywords&gt;&lt;keyword&gt;Diagnostic Tests, Routine/ standards&lt;/keyword&gt;&lt;keyword&gt;Humans&lt;/keyword&gt;&lt;keyword&gt;Predictive Value of Tests&lt;/keyword&gt;&lt;/keywords&gt;&lt;dates&gt;&lt;year&gt;1994&lt;/year&gt;&lt;pub-dates&gt;&lt;date&gt;Jul 9&lt;/date&gt;&lt;/pub-dates&gt;&lt;/dates&gt;&lt;isbn&gt;0959-8138 (Print)&lt;/isbn&gt;&lt;accession-num&gt;8038641&lt;/accession-num&gt;&lt;urls&gt;&lt;/urls&gt;&lt;custom2&gt;2540558&lt;/custom2&gt;&lt;remote-database-provider&gt;Nlm&lt;/remote-database-provider&gt;&lt;language&gt;eng&lt;/language&gt;&lt;/record&gt;&lt;/Cite&gt;&lt;/EndNote&gt;</w:instrText>
      </w:r>
      <w:r>
        <w:fldChar w:fldCharType="separate"/>
      </w:r>
      <w:r w:rsidR="009A5BC4">
        <w:rPr>
          <w:noProof/>
        </w:rPr>
        <w:t>[17]</w:t>
      </w:r>
      <w:r>
        <w:fldChar w:fldCharType="end"/>
      </w:r>
      <w:r>
        <w:t>.</w:t>
      </w:r>
    </w:p>
    <w:p w:rsidR="00B31E5F" w:rsidRDefault="00034E9B" w:rsidP="00965C65">
      <w:pPr>
        <w:pStyle w:val="berschrift1"/>
      </w:pPr>
      <w:r>
        <w:t>References</w:t>
      </w:r>
    </w:p>
    <w:p w:rsidR="009A5BC4" w:rsidRPr="009A5BC4" w:rsidRDefault="0079510E" w:rsidP="009A5BC4">
      <w:pPr>
        <w:pStyle w:val="EndNoteBibliography"/>
        <w:spacing w:after="0"/>
        <w:ind w:left="720" w:hanging="720"/>
      </w:pPr>
      <w:r>
        <w:fldChar w:fldCharType="begin"/>
      </w:r>
      <w:r>
        <w:instrText xml:space="preserve"> ADDIN EN.REFLIST </w:instrText>
      </w:r>
      <w:r>
        <w:fldChar w:fldCharType="separate"/>
      </w:r>
      <w:r w:rsidR="009A5BC4" w:rsidRPr="009A5BC4">
        <w:t>1.</w:t>
      </w:r>
      <w:r w:rsidR="009A5BC4" w:rsidRPr="009A5BC4">
        <w:tab/>
        <w:t>Walter C, Doehring A, Oertel BG, Lötsch J. µ-opioid receptor gene variant OPRM1 118 A&gt;G: a summary of its molecular and clinical consequences for pain. Pharmacogenomics. 2013;14(15):1915-25.</w:t>
      </w:r>
    </w:p>
    <w:p w:rsidR="009A5BC4" w:rsidRPr="009A5BC4" w:rsidRDefault="009A5BC4" w:rsidP="009A5BC4">
      <w:pPr>
        <w:pStyle w:val="EndNoteBibliography"/>
        <w:spacing w:after="0"/>
        <w:ind w:left="720" w:hanging="720"/>
      </w:pPr>
      <w:r w:rsidRPr="009A5BC4">
        <w:t>2.</w:t>
      </w:r>
      <w:r w:rsidRPr="009A5BC4">
        <w:tab/>
        <w:t>Hirota T, Ieiri I, Takane H, Sano H, Kawamoto K, Aono H, et al. Sequence variability and candidate gene analysis in two cancer patients with complex clinical outcomes during morphine therapy. Drug Metab Dispos. 2003;31(5):677-80.</w:t>
      </w:r>
    </w:p>
    <w:p w:rsidR="009A5BC4" w:rsidRPr="009A5BC4" w:rsidRDefault="009A5BC4" w:rsidP="009A5BC4">
      <w:pPr>
        <w:pStyle w:val="EndNoteBibliography"/>
        <w:spacing w:after="0"/>
        <w:ind w:left="720" w:hanging="720"/>
      </w:pPr>
      <w:r w:rsidRPr="009A5BC4">
        <w:t>3.</w:t>
      </w:r>
      <w:r w:rsidRPr="009A5BC4">
        <w:tab/>
        <w:t>Lötsch J, von Hentig N, Freynhagen R, Griessinger N, Zimmermann M, Doehring A, et al. Cross-sectional analysis of the influence of currently known pharmacogenetic modulators on opioid therapy in outpatient pain centers. Pharmacogenet Genomics. 2009;19(6):429-36.</w:t>
      </w:r>
    </w:p>
    <w:p w:rsidR="009A5BC4" w:rsidRPr="009A5BC4" w:rsidRDefault="009A5BC4" w:rsidP="009A5BC4">
      <w:pPr>
        <w:pStyle w:val="EndNoteBibliography"/>
        <w:spacing w:after="0"/>
        <w:ind w:left="720" w:hanging="720"/>
      </w:pPr>
      <w:r w:rsidRPr="009A5BC4">
        <w:lastRenderedPageBreak/>
        <w:t>4.</w:t>
      </w:r>
      <w:r w:rsidRPr="009A5BC4">
        <w:tab/>
        <w:t>Hochberg Y. A Sharper Bonferroni Procedure for Multiple Tests of Significance. Biometrika. 1988;75(4):800-2.</w:t>
      </w:r>
    </w:p>
    <w:p w:rsidR="009A5BC4" w:rsidRPr="009A5BC4" w:rsidRDefault="009A5BC4" w:rsidP="009A5BC4">
      <w:pPr>
        <w:pStyle w:val="EndNoteBibliography"/>
        <w:spacing w:after="0"/>
        <w:ind w:left="720" w:hanging="720"/>
      </w:pPr>
      <w:r w:rsidRPr="009A5BC4">
        <w:t>5.</w:t>
      </w:r>
      <w:r w:rsidRPr="009A5BC4">
        <w:tab/>
        <w:t>Gabriel SB, Schaffner SF, Nguyen H, Moore JM, Roy J, Blumenstiel B, et al. The structure of haplotype blocks in the human genome. Science. 2002;296(5576):2225-9.</w:t>
      </w:r>
    </w:p>
    <w:p w:rsidR="009A5BC4" w:rsidRPr="009A5BC4" w:rsidRDefault="009A5BC4" w:rsidP="009A5BC4">
      <w:pPr>
        <w:pStyle w:val="EndNoteBibliography"/>
        <w:spacing w:after="0"/>
        <w:ind w:left="720" w:hanging="720"/>
      </w:pPr>
      <w:r w:rsidRPr="009A5BC4">
        <w:t>6.</w:t>
      </w:r>
      <w:r w:rsidRPr="009A5BC4">
        <w:tab/>
        <w:t>Daly MJ, Rioux JD, Schaffner SF, Hudson TJ, Lander ES. High-resolution haplotype structure in the human genome. Nat Genet. 2001;29(2):229-32.</w:t>
      </w:r>
    </w:p>
    <w:p w:rsidR="009A5BC4" w:rsidRPr="009A5BC4" w:rsidRDefault="009A5BC4" w:rsidP="009A5BC4">
      <w:pPr>
        <w:pStyle w:val="EndNoteBibliography"/>
        <w:spacing w:after="0"/>
        <w:ind w:left="720" w:hanging="720"/>
      </w:pPr>
      <w:r w:rsidRPr="009A5BC4">
        <w:t>7.</w:t>
      </w:r>
      <w:r w:rsidRPr="009A5BC4">
        <w:tab/>
        <w:t>Greenland S. Modeling and variable selection in epidemiologic analysis. American journal of public health. 1989;79(3):340-9.</w:t>
      </w:r>
    </w:p>
    <w:p w:rsidR="009A5BC4" w:rsidRPr="009A5BC4" w:rsidRDefault="009A5BC4" w:rsidP="009A5BC4">
      <w:pPr>
        <w:pStyle w:val="EndNoteBibliography"/>
        <w:spacing w:after="0"/>
        <w:ind w:left="720" w:hanging="720"/>
      </w:pPr>
      <w:r w:rsidRPr="009A5BC4">
        <w:t>8.</w:t>
      </w:r>
      <w:r w:rsidRPr="009A5BC4">
        <w:tab/>
        <w:t>Breimann L, Friedman JH, Olshen RA, Stone CJ. Classification and Regression Trees. Boca Raton: Chapman and Hall; 1993.</w:t>
      </w:r>
    </w:p>
    <w:p w:rsidR="009A5BC4" w:rsidRPr="009A5BC4" w:rsidRDefault="009A5BC4" w:rsidP="009A5BC4">
      <w:pPr>
        <w:pStyle w:val="EndNoteBibliography"/>
        <w:spacing w:after="0"/>
        <w:ind w:left="720" w:hanging="720"/>
      </w:pPr>
      <w:r w:rsidRPr="009A5BC4">
        <w:t>9.</w:t>
      </w:r>
      <w:r w:rsidRPr="009A5BC4">
        <w:tab/>
        <w:t>Gini C. Variabilità e mutabilità. Bologna: C. Cuppini; 1912.</w:t>
      </w:r>
    </w:p>
    <w:p w:rsidR="009A5BC4" w:rsidRPr="009A5BC4" w:rsidRDefault="009A5BC4" w:rsidP="009A5BC4">
      <w:pPr>
        <w:pStyle w:val="EndNoteBibliography"/>
        <w:spacing w:after="0"/>
        <w:ind w:left="720" w:hanging="720"/>
      </w:pPr>
      <w:r w:rsidRPr="009A5BC4">
        <w:t>10.</w:t>
      </w:r>
      <w:r w:rsidRPr="009A5BC4">
        <w:tab/>
        <w:t>Baron R, Tölle TR, Gockel U, Brosz M, Freynhagen R. A cross-sectional cohort survey in 2100 patients with painful diabetic neuropathy and postherpetic neuralgia: Differences in demographic data and sensory symptoms. Pain. 2009;146(1-2):34-40.</w:t>
      </w:r>
    </w:p>
    <w:p w:rsidR="009A5BC4" w:rsidRPr="009A5BC4" w:rsidRDefault="009A5BC4" w:rsidP="009A5BC4">
      <w:pPr>
        <w:pStyle w:val="EndNoteBibliography"/>
        <w:spacing w:after="0"/>
        <w:ind w:left="720" w:hanging="720"/>
      </w:pPr>
      <w:r w:rsidRPr="009A5BC4">
        <w:t>11.</w:t>
      </w:r>
      <w:r w:rsidRPr="009A5BC4">
        <w:tab/>
        <w:t>Rousseeuw PJ. Silhouettes: a Graphical Aid to the Interpretation and Validation of Cluster Analysis. Comp Appl Math. 1987;20:53–65.</w:t>
      </w:r>
    </w:p>
    <w:p w:rsidR="009A5BC4" w:rsidRPr="009A5BC4" w:rsidRDefault="009A5BC4" w:rsidP="009A5BC4">
      <w:pPr>
        <w:pStyle w:val="EndNoteBibliography"/>
        <w:spacing w:after="0"/>
        <w:ind w:left="720" w:hanging="720"/>
      </w:pPr>
      <w:r w:rsidRPr="009A5BC4">
        <w:t>12.</w:t>
      </w:r>
      <w:r w:rsidRPr="009A5BC4">
        <w:tab/>
        <w:t>Everitt BS, Landau S, Leese M. Cluster analysis. 4 ed. New York: Oxford University Press; 2001.</w:t>
      </w:r>
    </w:p>
    <w:p w:rsidR="009A5BC4" w:rsidRPr="009A5BC4" w:rsidRDefault="009A5BC4" w:rsidP="009A5BC4">
      <w:pPr>
        <w:pStyle w:val="EndNoteBibliography"/>
        <w:spacing w:after="0"/>
        <w:ind w:left="720" w:hanging="720"/>
      </w:pPr>
      <w:r w:rsidRPr="009A5BC4">
        <w:t>13.</w:t>
      </w:r>
      <w:r w:rsidRPr="009A5BC4">
        <w:tab/>
        <w:t>Cover TM, Hart PE. Nearest neighbor pattern classification. IEEE Transactions on Information Theory 1967;13(1):21-7.</w:t>
      </w:r>
    </w:p>
    <w:p w:rsidR="009A5BC4" w:rsidRPr="009A5BC4" w:rsidRDefault="009A5BC4" w:rsidP="009A5BC4">
      <w:pPr>
        <w:pStyle w:val="EndNoteBibliography"/>
        <w:spacing w:after="0"/>
        <w:ind w:left="720" w:hanging="720"/>
      </w:pPr>
      <w:r w:rsidRPr="009A5BC4">
        <w:t>14.</w:t>
      </w:r>
      <w:r w:rsidRPr="009A5BC4">
        <w:tab/>
        <w:t>Ultsch A, Lotsch J. Computed ABC Analysis for Rational Selection of Most Informative Variables in Multivariate Data. PloS one. 2015;10(6):e0129767.</w:t>
      </w:r>
    </w:p>
    <w:p w:rsidR="009A5BC4" w:rsidRPr="009A5BC4" w:rsidRDefault="009A5BC4" w:rsidP="009A5BC4">
      <w:pPr>
        <w:pStyle w:val="EndNoteBibliography"/>
        <w:spacing w:after="0"/>
        <w:ind w:left="720" w:hanging="720"/>
      </w:pPr>
      <w:r w:rsidRPr="009A5BC4">
        <w:t>15.</w:t>
      </w:r>
      <w:r w:rsidRPr="009A5BC4">
        <w:tab/>
        <w:t>Pareto V. Manuale di economia politica, Milan: Società editrice libraria, revised and translated into French as Manuel d’économie politique. Paris: Giard et Briére; 1909.</w:t>
      </w:r>
    </w:p>
    <w:p w:rsidR="009A5BC4" w:rsidRPr="009A5BC4" w:rsidRDefault="009A5BC4" w:rsidP="009A5BC4">
      <w:pPr>
        <w:pStyle w:val="EndNoteBibliography"/>
        <w:spacing w:after="0"/>
        <w:ind w:left="720" w:hanging="720"/>
      </w:pPr>
      <w:r w:rsidRPr="009A5BC4">
        <w:t>16.</w:t>
      </w:r>
      <w:r w:rsidRPr="009A5BC4">
        <w:tab/>
        <w:t>Juran JM. The non-Pareto principle; Mea culpa. Quality Progress. 1975;8(5):8-9.</w:t>
      </w:r>
    </w:p>
    <w:p w:rsidR="009A5BC4" w:rsidRPr="009A5BC4" w:rsidRDefault="009A5BC4" w:rsidP="009A5BC4">
      <w:pPr>
        <w:pStyle w:val="EndNoteBibliography"/>
        <w:ind w:left="720" w:hanging="720"/>
      </w:pPr>
      <w:r w:rsidRPr="009A5BC4">
        <w:t>17.</w:t>
      </w:r>
      <w:r w:rsidRPr="009A5BC4">
        <w:tab/>
        <w:t>Altman DG, Bland JM. Diagnostic tests 2: Predictive values. BMJ. 1994;309(6947):102.</w:t>
      </w:r>
    </w:p>
    <w:p w:rsidR="00034E9B" w:rsidRDefault="0079510E">
      <w:r>
        <w:fldChar w:fldCharType="end"/>
      </w:r>
    </w:p>
    <w:sectPr w:rsidR="00034E9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F78" w:rsidRDefault="00F97F78" w:rsidP="00965C65">
      <w:pPr>
        <w:spacing w:after="0" w:line="240" w:lineRule="auto"/>
      </w:pPr>
      <w:r>
        <w:separator/>
      </w:r>
    </w:p>
  </w:endnote>
  <w:endnote w:type="continuationSeparator" w:id="0">
    <w:p w:rsidR="00F97F78" w:rsidRDefault="00F97F78" w:rsidP="00965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Nimbus Roman No9 L">
    <w:altName w:val="Times New Roman"/>
    <w:panose1 w:val="00000000000000000000"/>
    <w:charset w:val="00"/>
    <w:family w:val="auto"/>
    <w:notTrueType/>
    <w:pitch w:val="default"/>
    <w:sig w:usb0="00000003" w:usb1="00000000" w:usb2="00000000" w:usb3="00000000" w:csb0="00000001" w:csb1="00000000"/>
  </w:font>
  <w:font w:name="DejaVu Sans">
    <w:altName w:val="Arial"/>
    <w:charset w:val="00"/>
    <w:family w:val="swiss"/>
    <w:pitch w:val="variable"/>
    <w:sig w:usb0="E7002EFF" w:usb1="D200FDFF" w:usb2="0A24602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7596396"/>
      <w:docPartObj>
        <w:docPartGallery w:val="Page Numbers (Bottom of Page)"/>
        <w:docPartUnique/>
      </w:docPartObj>
    </w:sdtPr>
    <w:sdtEndPr/>
    <w:sdtContent>
      <w:p w:rsidR="00965C65" w:rsidRDefault="00965C65">
        <w:pPr>
          <w:pStyle w:val="Fuzeile"/>
          <w:jc w:val="right"/>
        </w:pPr>
        <w:r>
          <w:fldChar w:fldCharType="begin"/>
        </w:r>
        <w:r>
          <w:instrText>PAGE   \* MERGEFORMAT</w:instrText>
        </w:r>
        <w:r>
          <w:fldChar w:fldCharType="separate"/>
        </w:r>
        <w:r w:rsidR="009A5BC4" w:rsidRPr="009A5BC4">
          <w:rPr>
            <w:noProof/>
            <w:lang w:val="de-DE"/>
          </w:rPr>
          <w:t>6</w:t>
        </w:r>
        <w:r>
          <w:fldChar w:fldCharType="end"/>
        </w:r>
      </w:p>
    </w:sdtContent>
  </w:sdt>
  <w:p w:rsidR="00965C65" w:rsidRDefault="00965C65">
    <w:pPr>
      <w:pStyle w:val="Fuzeil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F78" w:rsidRDefault="00F97F78" w:rsidP="00965C65">
      <w:pPr>
        <w:spacing w:after="0" w:line="240" w:lineRule="auto"/>
      </w:pPr>
      <w:r>
        <w:separator/>
      </w:r>
    </w:p>
  </w:footnote>
  <w:footnote w:type="continuationSeparator" w:id="0">
    <w:p w:rsidR="00F97F78" w:rsidRDefault="00F97F78" w:rsidP="00965C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6262818"/>
    <w:lvl w:ilvl="0">
      <w:start w:val="1"/>
      <w:numFmt w:val="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sfzetfvyt5z2oe2af8p9aehfprpvtt2rv22&quot;&gt;joerns literatur X2&lt;record-ids&gt;&lt;item&gt;3175&lt;/item&gt;&lt;item&gt;7230&lt;/item&gt;&lt;item&gt;8265&lt;/item&gt;&lt;item&gt;9029&lt;/item&gt;&lt;item&gt;9505&lt;/item&gt;&lt;item&gt;11092&lt;/item&gt;&lt;item&gt;11354&lt;/item&gt;&lt;item&gt;11370&lt;/item&gt;&lt;item&gt;11444&lt;/item&gt;&lt;item&gt;11710&lt;/item&gt;&lt;item&gt;11732&lt;/item&gt;&lt;item&gt;11805&lt;/item&gt;&lt;item&gt;11806&lt;/item&gt;&lt;item&gt;11807&lt;/item&gt;&lt;item&gt;11808&lt;/item&gt;&lt;item&gt;11809&lt;/item&gt;&lt;/record-ids&gt;&lt;/item&gt;&lt;/Libraries&gt;"/>
  </w:docVars>
  <w:rsids>
    <w:rsidRoot w:val="00034E9B"/>
    <w:rsid w:val="00034E9B"/>
    <w:rsid w:val="001D0E07"/>
    <w:rsid w:val="002A4ADD"/>
    <w:rsid w:val="0079510E"/>
    <w:rsid w:val="00852BAF"/>
    <w:rsid w:val="00965C65"/>
    <w:rsid w:val="009A5BC4"/>
    <w:rsid w:val="00B31E5F"/>
    <w:rsid w:val="00F97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469C49-43D9-42C8-9544-04B6DD977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034E9B"/>
    <w:pPr>
      <w:spacing w:after="100" w:afterAutospacing="1" w:line="480" w:lineRule="auto"/>
      <w:jc w:val="both"/>
    </w:pPr>
    <w:rPr>
      <w:rFonts w:ascii="Calibri" w:eastAsia="Times New Roman" w:hAnsi="Calibri" w:cs="Times New Roman"/>
      <w:szCs w:val="24"/>
      <w:lang w:eastAsia="de-DE"/>
    </w:rPr>
  </w:style>
  <w:style w:type="paragraph" w:styleId="berschrift1">
    <w:name w:val="heading 1"/>
    <w:basedOn w:val="Standard"/>
    <w:next w:val="Standard"/>
    <w:link w:val="berschrift1Zchn"/>
    <w:uiPriority w:val="99"/>
    <w:qFormat/>
    <w:rsid w:val="00034E9B"/>
    <w:pPr>
      <w:keepNext/>
      <w:spacing w:before="240"/>
      <w:ind w:left="360" w:hanging="360"/>
      <w:outlineLvl w:val="0"/>
    </w:pPr>
    <w:rPr>
      <w:rFonts w:cs="Arial"/>
      <w:b/>
      <w:bCs/>
      <w:kern w:val="32"/>
      <w:sz w:val="24"/>
      <w:szCs w:val="32"/>
    </w:rPr>
  </w:style>
  <w:style w:type="paragraph" w:styleId="berschrift2">
    <w:name w:val="heading 2"/>
    <w:basedOn w:val="Standard"/>
    <w:next w:val="Standard"/>
    <w:link w:val="berschrift2Zchn"/>
    <w:uiPriority w:val="99"/>
    <w:qFormat/>
    <w:rsid w:val="00034E9B"/>
    <w:pPr>
      <w:keepNext/>
      <w:spacing w:before="240"/>
      <w:ind w:left="357" w:hanging="357"/>
      <w:outlineLvl w:val="1"/>
    </w:pPr>
    <w:rPr>
      <w:rFonts w:cs="Arial"/>
      <w:b/>
      <w:bCs/>
      <w:i/>
      <w:iCs/>
      <w:szCs w:val="28"/>
    </w:rPr>
  </w:style>
  <w:style w:type="paragraph" w:styleId="berschrift3">
    <w:name w:val="heading 3"/>
    <w:basedOn w:val="Standard"/>
    <w:next w:val="Standard"/>
    <w:link w:val="berschrift3Zchn"/>
    <w:uiPriority w:val="99"/>
    <w:qFormat/>
    <w:rsid w:val="00034E9B"/>
    <w:pPr>
      <w:keepNext/>
      <w:spacing w:before="240"/>
      <w:ind w:left="357" w:hanging="357"/>
      <w:outlineLvl w:val="2"/>
    </w:pPr>
    <w:rPr>
      <w:rFonts w:cs="Arial"/>
      <w:bCs/>
      <w:i/>
      <w:szCs w:val="26"/>
    </w:rPr>
  </w:style>
  <w:style w:type="paragraph" w:styleId="berschrift4">
    <w:name w:val="heading 4"/>
    <w:basedOn w:val="Standard"/>
    <w:next w:val="Standard"/>
    <w:link w:val="berschrift4Zchn"/>
    <w:uiPriority w:val="99"/>
    <w:qFormat/>
    <w:rsid w:val="00034E9B"/>
    <w:pPr>
      <w:keepNext/>
      <w:keepLines/>
      <w:spacing w:before="200"/>
      <w:ind w:left="646" w:hanging="646"/>
      <w:outlineLvl w:val="3"/>
    </w:pPr>
    <w:rPr>
      <w:bCs/>
      <w:i/>
      <w:iCs/>
      <w:sz w:val="20"/>
    </w:rPr>
  </w:style>
  <w:style w:type="paragraph" w:styleId="berschrift5">
    <w:name w:val="heading 5"/>
    <w:basedOn w:val="Standard"/>
    <w:next w:val="Standard"/>
    <w:link w:val="berschrift5Zchn"/>
    <w:uiPriority w:val="99"/>
    <w:qFormat/>
    <w:rsid w:val="00034E9B"/>
    <w:pPr>
      <w:keepNext/>
      <w:keepLines/>
      <w:spacing w:before="200" w:after="0"/>
      <w:outlineLvl w:val="4"/>
    </w:pPr>
    <w:rPr>
      <w:i/>
      <w:sz w:val="2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9"/>
    <w:rsid w:val="00034E9B"/>
    <w:rPr>
      <w:rFonts w:ascii="Calibri" w:eastAsia="Times New Roman" w:hAnsi="Calibri" w:cs="Arial"/>
      <w:b/>
      <w:bCs/>
      <w:i/>
      <w:iCs/>
      <w:szCs w:val="28"/>
      <w:lang w:eastAsia="de-DE"/>
    </w:rPr>
  </w:style>
  <w:style w:type="character" w:customStyle="1" w:styleId="berschrift3Zchn">
    <w:name w:val="Überschrift 3 Zchn"/>
    <w:link w:val="berschrift3"/>
    <w:uiPriority w:val="99"/>
    <w:rsid w:val="00034E9B"/>
    <w:rPr>
      <w:rFonts w:ascii="Calibri" w:eastAsia="Times New Roman" w:hAnsi="Calibri" w:cs="Arial"/>
      <w:bCs/>
      <w:i/>
      <w:szCs w:val="26"/>
      <w:lang w:eastAsia="de-DE"/>
    </w:rPr>
  </w:style>
  <w:style w:type="character" w:styleId="Hyperlink">
    <w:name w:val="Hyperlink"/>
    <w:basedOn w:val="Absatz-Standardschriftart"/>
    <w:uiPriority w:val="99"/>
    <w:rsid w:val="00034E9B"/>
    <w:rPr>
      <w:rFonts w:cs="Times New Roman"/>
      <w:color w:val="0000FF"/>
      <w:u w:val="single"/>
    </w:rPr>
  </w:style>
  <w:style w:type="character" w:customStyle="1" w:styleId="berschrift1Zchn">
    <w:name w:val="Überschrift 1 Zchn"/>
    <w:link w:val="berschrift1"/>
    <w:uiPriority w:val="99"/>
    <w:rsid w:val="00034E9B"/>
    <w:rPr>
      <w:rFonts w:ascii="Calibri" w:eastAsia="Times New Roman" w:hAnsi="Calibri" w:cs="Arial"/>
      <w:b/>
      <w:bCs/>
      <w:kern w:val="32"/>
      <w:sz w:val="24"/>
      <w:szCs w:val="32"/>
      <w:lang w:eastAsia="de-DE"/>
    </w:rPr>
  </w:style>
  <w:style w:type="paragraph" w:styleId="Aufzhlungszeichen">
    <w:name w:val="List Bullet"/>
    <w:basedOn w:val="Standard"/>
    <w:autoRedefine/>
    <w:uiPriority w:val="99"/>
    <w:rsid w:val="00034E9B"/>
    <w:pPr>
      <w:tabs>
        <w:tab w:val="left" w:pos="708"/>
      </w:tabs>
      <w:spacing w:before="100" w:beforeAutospacing="1"/>
      <w:ind w:left="340" w:hanging="340"/>
    </w:pPr>
  </w:style>
  <w:style w:type="paragraph" w:styleId="Beschriftung">
    <w:name w:val="caption"/>
    <w:basedOn w:val="Standard"/>
    <w:next w:val="Standard"/>
    <w:uiPriority w:val="99"/>
    <w:qFormat/>
    <w:rsid w:val="00034E9B"/>
    <w:pPr>
      <w:keepNext/>
      <w:spacing w:before="100" w:beforeAutospacing="1"/>
    </w:pPr>
    <w:rPr>
      <w:bCs/>
      <w:szCs w:val="20"/>
    </w:rPr>
  </w:style>
  <w:style w:type="character" w:customStyle="1" w:styleId="citation">
    <w:name w:val="citation"/>
    <w:basedOn w:val="Absatz-Standardschriftart"/>
    <w:rsid w:val="00034E9B"/>
  </w:style>
  <w:style w:type="character" w:customStyle="1" w:styleId="editsection">
    <w:name w:val="editsection"/>
    <w:basedOn w:val="Absatz-Standardschriftart"/>
    <w:uiPriority w:val="99"/>
    <w:rsid w:val="00034E9B"/>
    <w:rPr>
      <w:rFonts w:cs="Times New Roman"/>
    </w:rPr>
  </w:style>
  <w:style w:type="table" w:customStyle="1" w:styleId="EinfacheTabelle21">
    <w:name w:val="Einfache Tabelle 21"/>
    <w:basedOn w:val="NormaleTabelle"/>
    <w:uiPriority w:val="42"/>
    <w:rsid w:val="00034E9B"/>
    <w:pPr>
      <w:spacing w:after="0" w:line="240" w:lineRule="auto"/>
    </w:pPr>
    <w:rPr>
      <w:rFonts w:ascii="Nimbus Roman No9 L" w:eastAsia="DejaVu Sans" w:hAnsi="Nimbus Roman No9 L" w:cs="DejaVu Sans"/>
      <w:lang w:val="de-DE" w:eastAsia="de-D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Standard"/>
    <w:link w:val="EndNoteBibliographyZchn"/>
    <w:rsid w:val="00034E9B"/>
    <w:pPr>
      <w:spacing w:line="240" w:lineRule="auto"/>
    </w:pPr>
    <w:rPr>
      <w:rFonts w:cs="Calibri"/>
      <w:noProof/>
      <w:lang w:val="de-DE"/>
    </w:rPr>
  </w:style>
  <w:style w:type="character" w:customStyle="1" w:styleId="EndNoteBibliographyZchn">
    <w:name w:val="EndNote Bibliography Zchn"/>
    <w:basedOn w:val="Absatz-Standardschriftart"/>
    <w:link w:val="EndNoteBibliography"/>
    <w:rsid w:val="00034E9B"/>
    <w:rPr>
      <w:rFonts w:ascii="Calibri" w:eastAsia="Times New Roman" w:hAnsi="Calibri" w:cs="Calibri"/>
      <w:noProof/>
      <w:szCs w:val="24"/>
      <w:lang w:val="de-DE" w:eastAsia="de-DE"/>
    </w:rPr>
  </w:style>
  <w:style w:type="paragraph" w:customStyle="1" w:styleId="EndNoteBibliographyTitle">
    <w:name w:val="EndNote Bibliography Title"/>
    <w:basedOn w:val="Standard"/>
    <w:link w:val="EndNoteBibliographyTitleZchn"/>
    <w:rsid w:val="00034E9B"/>
    <w:pPr>
      <w:spacing w:after="0"/>
      <w:jc w:val="center"/>
    </w:pPr>
    <w:rPr>
      <w:rFonts w:cs="Calibri"/>
      <w:noProof/>
      <w:lang w:val="de-DE"/>
    </w:rPr>
  </w:style>
  <w:style w:type="character" w:customStyle="1" w:styleId="EndNoteBibliographyTitleZchn">
    <w:name w:val="EndNote Bibliography Title Zchn"/>
    <w:basedOn w:val="Absatz-Standardschriftart"/>
    <w:link w:val="EndNoteBibliographyTitle"/>
    <w:rsid w:val="00034E9B"/>
    <w:rPr>
      <w:rFonts w:ascii="Calibri" w:eastAsia="Times New Roman" w:hAnsi="Calibri" w:cs="Calibri"/>
      <w:noProof/>
      <w:szCs w:val="24"/>
      <w:lang w:val="de-DE" w:eastAsia="de-DE"/>
    </w:rPr>
  </w:style>
  <w:style w:type="character" w:styleId="Fett">
    <w:name w:val="Strong"/>
    <w:basedOn w:val="Absatz-Standardschriftart"/>
    <w:uiPriority w:val="22"/>
    <w:qFormat/>
    <w:rsid w:val="00034E9B"/>
    <w:rPr>
      <w:b/>
      <w:bCs/>
    </w:rPr>
  </w:style>
  <w:style w:type="paragraph" w:styleId="Funotentext">
    <w:name w:val="footnote text"/>
    <w:basedOn w:val="Standard"/>
    <w:link w:val="FunotentextZchn"/>
    <w:uiPriority w:val="99"/>
    <w:semiHidden/>
    <w:rsid w:val="00034E9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034E9B"/>
    <w:rPr>
      <w:rFonts w:ascii="Calibri" w:eastAsia="Times New Roman" w:hAnsi="Calibri" w:cs="Times New Roman"/>
      <w:sz w:val="20"/>
      <w:szCs w:val="20"/>
      <w:lang w:eastAsia="de-DE"/>
    </w:rPr>
  </w:style>
  <w:style w:type="character" w:styleId="Funotenzeichen">
    <w:name w:val="footnote reference"/>
    <w:basedOn w:val="Absatz-Standardschriftart"/>
    <w:uiPriority w:val="99"/>
    <w:semiHidden/>
    <w:rsid w:val="00034E9B"/>
    <w:rPr>
      <w:rFonts w:cs="Times New Roman"/>
      <w:vertAlign w:val="superscript"/>
    </w:rPr>
  </w:style>
  <w:style w:type="paragraph" w:styleId="Fuzeile">
    <w:name w:val="footer"/>
    <w:basedOn w:val="Standard"/>
    <w:link w:val="FuzeileZchn"/>
    <w:uiPriority w:val="99"/>
    <w:rsid w:val="00034E9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34E9B"/>
    <w:rPr>
      <w:rFonts w:ascii="Calibri" w:eastAsia="Times New Roman" w:hAnsi="Calibri" w:cs="Times New Roman"/>
      <w:szCs w:val="24"/>
      <w:lang w:eastAsia="de-DE"/>
    </w:rPr>
  </w:style>
  <w:style w:type="table" w:styleId="HelleListe-Akzent1">
    <w:name w:val="Light List Accent 1"/>
    <w:basedOn w:val="NormaleTabelle"/>
    <w:uiPriority w:val="61"/>
    <w:rsid w:val="00034E9B"/>
    <w:pPr>
      <w:spacing w:after="0" w:line="240" w:lineRule="auto"/>
    </w:pPr>
    <w:rPr>
      <w:rFonts w:ascii="Nimbus Roman No9 L" w:eastAsia="DejaVu Sans" w:hAnsi="Nimbus Roman No9 L" w:cs="DejaVu Sans"/>
      <w:lang w:val="de-DE" w:eastAsia="de-DE"/>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HelleListe-Akzent11">
    <w:name w:val="Helle Liste - Akzent 11"/>
    <w:uiPriority w:val="99"/>
    <w:rsid w:val="00034E9B"/>
    <w:pPr>
      <w:spacing w:after="0" w:line="240" w:lineRule="auto"/>
    </w:pPr>
    <w:rPr>
      <w:rFonts w:ascii="Nimbus Roman No9 L" w:eastAsia="DejaVu Sans" w:hAnsi="Nimbus Roman No9 L" w:cs="DejaVu Sans"/>
      <w:sz w:val="20"/>
      <w:szCs w:val="20"/>
      <w:lang w:val="de-DE" w:eastAsia="de-DE"/>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paragraph" w:styleId="HTMLVorformatiert">
    <w:name w:val="HTML Preformatted"/>
    <w:basedOn w:val="Standard"/>
    <w:link w:val="HTMLVorformatiertZchn"/>
    <w:uiPriority w:val="99"/>
    <w:semiHidden/>
    <w:rsid w:val="00034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afterAutospacing="0" w:line="240" w:lineRule="auto"/>
      <w:jc w:val="left"/>
    </w:pPr>
    <w:rPr>
      <w:rFonts w:ascii="Courier New" w:hAnsi="Courier New" w:cs="Courier New"/>
      <w:sz w:val="20"/>
      <w:szCs w:val="20"/>
      <w:lang w:val="de-DE"/>
    </w:rPr>
  </w:style>
  <w:style w:type="character" w:customStyle="1" w:styleId="HTMLVorformatiertZchn">
    <w:name w:val="HTML Vorformatiert Zchn"/>
    <w:basedOn w:val="Absatz-Standardschriftart"/>
    <w:link w:val="HTMLVorformatiert"/>
    <w:uiPriority w:val="99"/>
    <w:semiHidden/>
    <w:rsid w:val="00034E9B"/>
    <w:rPr>
      <w:rFonts w:ascii="Courier New" w:eastAsia="Times New Roman" w:hAnsi="Courier New" w:cs="Courier New"/>
      <w:sz w:val="20"/>
      <w:szCs w:val="20"/>
      <w:lang w:val="de-DE" w:eastAsia="de-DE"/>
    </w:rPr>
  </w:style>
  <w:style w:type="character" w:styleId="HTMLZitat">
    <w:name w:val="HTML Cite"/>
    <w:basedOn w:val="Absatz-Standardschriftart"/>
    <w:uiPriority w:val="99"/>
    <w:semiHidden/>
    <w:unhideWhenUsed/>
    <w:rsid w:val="00034E9B"/>
    <w:rPr>
      <w:i/>
      <w:iCs/>
    </w:rPr>
  </w:style>
  <w:style w:type="character" w:customStyle="1" w:styleId="journalname">
    <w:name w:val="journalname"/>
    <w:basedOn w:val="Absatz-Standardschriftart"/>
    <w:uiPriority w:val="99"/>
    <w:rsid w:val="00034E9B"/>
    <w:rPr>
      <w:rFonts w:cs="Times New Roman"/>
    </w:rPr>
  </w:style>
  <w:style w:type="paragraph" w:styleId="Kommentartext">
    <w:name w:val="annotation text"/>
    <w:basedOn w:val="Standard"/>
    <w:link w:val="KommentartextZchn"/>
    <w:uiPriority w:val="99"/>
    <w:semiHidden/>
    <w:rsid w:val="00034E9B"/>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34E9B"/>
    <w:rPr>
      <w:rFonts w:ascii="Calibri" w:eastAsia="Times New Roman" w:hAnsi="Calibri" w:cs="Times New Roman"/>
      <w:sz w:val="20"/>
      <w:szCs w:val="20"/>
      <w:lang w:eastAsia="de-DE"/>
    </w:rPr>
  </w:style>
  <w:style w:type="paragraph" w:styleId="Kommentarthema">
    <w:name w:val="annotation subject"/>
    <w:basedOn w:val="Kommentartext"/>
    <w:next w:val="Kommentartext"/>
    <w:link w:val="KommentarthemaZchn"/>
    <w:uiPriority w:val="99"/>
    <w:semiHidden/>
    <w:rsid w:val="00034E9B"/>
    <w:rPr>
      <w:b/>
      <w:bCs/>
    </w:rPr>
  </w:style>
  <w:style w:type="character" w:customStyle="1" w:styleId="KommentarthemaZchn">
    <w:name w:val="Kommentarthema Zchn"/>
    <w:basedOn w:val="KommentartextZchn"/>
    <w:link w:val="Kommentarthema"/>
    <w:uiPriority w:val="99"/>
    <w:semiHidden/>
    <w:rsid w:val="00034E9B"/>
    <w:rPr>
      <w:rFonts w:ascii="Calibri" w:eastAsia="Times New Roman" w:hAnsi="Calibri" w:cs="Times New Roman"/>
      <w:b/>
      <w:bCs/>
      <w:sz w:val="20"/>
      <w:szCs w:val="20"/>
      <w:lang w:eastAsia="de-DE"/>
    </w:rPr>
  </w:style>
  <w:style w:type="character" w:styleId="Kommentarzeichen">
    <w:name w:val="annotation reference"/>
    <w:basedOn w:val="Absatz-Standardschriftart"/>
    <w:uiPriority w:val="99"/>
    <w:semiHidden/>
    <w:rsid w:val="00034E9B"/>
    <w:rPr>
      <w:rFonts w:cs="Times New Roman"/>
      <w:sz w:val="16"/>
      <w:szCs w:val="16"/>
    </w:rPr>
  </w:style>
  <w:style w:type="paragraph" w:styleId="Kopfzeile">
    <w:name w:val="header"/>
    <w:basedOn w:val="Standard"/>
    <w:link w:val="KopfzeileZchn"/>
    <w:uiPriority w:val="99"/>
    <w:semiHidden/>
    <w:rsid w:val="00034E9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034E9B"/>
    <w:rPr>
      <w:rFonts w:ascii="Calibri" w:eastAsia="Times New Roman" w:hAnsi="Calibri" w:cs="Times New Roman"/>
      <w:szCs w:val="24"/>
      <w:lang w:eastAsia="de-DE"/>
    </w:rPr>
  </w:style>
  <w:style w:type="paragraph" w:styleId="Listenabsatz">
    <w:name w:val="List Paragraph"/>
    <w:basedOn w:val="Standard"/>
    <w:uiPriority w:val="34"/>
    <w:qFormat/>
    <w:rsid w:val="00034E9B"/>
    <w:pPr>
      <w:ind w:left="720"/>
      <w:contextualSpacing/>
    </w:pPr>
  </w:style>
  <w:style w:type="table" w:customStyle="1" w:styleId="Listentabelle3Akzent11">
    <w:name w:val="Listentabelle 3 – Akzent 11"/>
    <w:basedOn w:val="NormaleTabelle"/>
    <w:uiPriority w:val="48"/>
    <w:rsid w:val="00034E9B"/>
    <w:pPr>
      <w:spacing w:after="0" w:line="240" w:lineRule="auto"/>
    </w:pPr>
    <w:rPr>
      <w:rFonts w:ascii="Nimbus Roman No9 L" w:eastAsia="DejaVu Sans" w:hAnsi="Nimbus Roman No9 L" w:cs="DejaVu Sans"/>
      <w:lang w:val="de-DE" w:eastAsia="de-DE"/>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Listentabelle3Akzent22">
    <w:name w:val="Listentabelle 3 – Akzent 22"/>
    <w:basedOn w:val="NormaleTabelle"/>
    <w:uiPriority w:val="48"/>
    <w:rsid w:val="00034E9B"/>
    <w:pPr>
      <w:spacing w:after="0" w:line="240" w:lineRule="auto"/>
    </w:pPr>
    <w:rPr>
      <w:lang w:val="de-D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character" w:customStyle="1" w:styleId="mw-headline">
    <w:name w:val="mw-headline"/>
    <w:basedOn w:val="Absatz-Standardschriftart"/>
    <w:uiPriority w:val="99"/>
    <w:rsid w:val="00034E9B"/>
    <w:rPr>
      <w:rFonts w:cs="Times New Roman"/>
    </w:rPr>
  </w:style>
  <w:style w:type="character" w:styleId="Platzhaltertext">
    <w:name w:val="Placeholder Text"/>
    <w:basedOn w:val="Absatz-Standardschriftart"/>
    <w:uiPriority w:val="99"/>
    <w:semiHidden/>
    <w:rsid w:val="00034E9B"/>
    <w:rPr>
      <w:color w:val="808080"/>
    </w:rPr>
  </w:style>
  <w:style w:type="paragraph" w:styleId="Sprechblasentext">
    <w:name w:val="Balloon Text"/>
    <w:basedOn w:val="Standard"/>
    <w:link w:val="SprechblasentextZchn"/>
    <w:uiPriority w:val="99"/>
    <w:semiHidden/>
    <w:rsid w:val="00034E9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34E9B"/>
    <w:rPr>
      <w:rFonts w:ascii="Tahoma" w:eastAsia="Times New Roman" w:hAnsi="Tahoma" w:cs="Tahoma"/>
      <w:sz w:val="16"/>
      <w:szCs w:val="16"/>
      <w:lang w:eastAsia="de-DE"/>
    </w:rPr>
  </w:style>
  <w:style w:type="paragraph" w:styleId="StandardWeb">
    <w:name w:val="Normal (Web)"/>
    <w:basedOn w:val="Standard"/>
    <w:uiPriority w:val="99"/>
    <w:semiHidden/>
    <w:rsid w:val="00034E9B"/>
    <w:pPr>
      <w:spacing w:before="100" w:beforeAutospacing="1" w:line="240" w:lineRule="auto"/>
      <w:jc w:val="left"/>
    </w:pPr>
    <w:rPr>
      <w:rFonts w:ascii="Times New Roman" w:hAnsi="Times New Roman"/>
      <w:sz w:val="24"/>
      <w:lang w:val="de-DE"/>
    </w:rPr>
  </w:style>
  <w:style w:type="table" w:styleId="Tabellenraster">
    <w:name w:val="Table Grid"/>
    <w:basedOn w:val="NormaleTabelle"/>
    <w:uiPriority w:val="59"/>
    <w:rsid w:val="00034E9B"/>
    <w:pPr>
      <w:spacing w:after="0" w:line="240" w:lineRule="auto"/>
    </w:pPr>
    <w:rPr>
      <w:rFonts w:ascii="Nimbus Roman No9 L" w:eastAsia="DejaVu Sans" w:hAnsi="Nimbus Roman No9 L" w:cs="DejaVu Sans"/>
      <w:sz w:val="20"/>
      <w:szCs w:val="20"/>
      <w:lang w:val="de-DE"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lenraster1">
    <w:name w:val="Tabellenraster1"/>
    <w:basedOn w:val="NormaleTabelle"/>
    <w:next w:val="Tabellenraster"/>
    <w:uiPriority w:val="59"/>
    <w:rsid w:val="00034E9B"/>
    <w:pPr>
      <w:spacing w:after="0" w:line="240" w:lineRule="auto"/>
    </w:pPr>
    <w:rPr>
      <w:rFonts w:ascii="Calibri" w:eastAsia="Calibri" w:hAnsi="Calibri" w:cs="Times New Roman"/>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rsid w:val="00034E9B"/>
    <w:pPr>
      <w:spacing w:before="120" w:after="0" w:afterAutospacing="0" w:line="240" w:lineRule="auto"/>
      <w:jc w:val="left"/>
    </w:pPr>
    <w:rPr>
      <w:rFonts w:ascii="Arial" w:hAnsi="Arial"/>
      <w:szCs w:val="20"/>
      <w:lang w:val="en-GB"/>
    </w:rPr>
  </w:style>
  <w:style w:type="character" w:customStyle="1" w:styleId="TextkrperZchn">
    <w:name w:val="Textkörper Zchn"/>
    <w:link w:val="Textkrper"/>
    <w:uiPriority w:val="99"/>
    <w:rsid w:val="00034E9B"/>
    <w:rPr>
      <w:rFonts w:ascii="Arial" w:eastAsia="Times New Roman" w:hAnsi="Arial" w:cs="Times New Roman"/>
      <w:szCs w:val="20"/>
      <w:lang w:val="en-GB" w:eastAsia="de-DE"/>
    </w:rPr>
  </w:style>
  <w:style w:type="character" w:customStyle="1" w:styleId="TextkrperZchn1">
    <w:name w:val="Textkörper Zchn1"/>
    <w:basedOn w:val="Absatz-Standardschriftart"/>
    <w:uiPriority w:val="99"/>
    <w:semiHidden/>
    <w:locked/>
    <w:rsid w:val="00034E9B"/>
    <w:rPr>
      <w:rFonts w:ascii="Calibri" w:hAnsi="Calibri" w:cs="Times New Roman"/>
      <w:kern w:val="0"/>
      <w:sz w:val="20"/>
      <w:szCs w:val="20"/>
      <w:lang w:val="en-GB" w:eastAsia="ar-SA" w:bidi="ar-SA"/>
    </w:rPr>
  </w:style>
  <w:style w:type="paragraph" w:styleId="Titel">
    <w:name w:val="Title"/>
    <w:basedOn w:val="Standard"/>
    <w:next w:val="Standard"/>
    <w:link w:val="TitelZchn"/>
    <w:uiPriority w:val="99"/>
    <w:qFormat/>
    <w:rsid w:val="00034E9B"/>
    <w:pPr>
      <w:spacing w:line="360" w:lineRule="auto"/>
      <w:contextualSpacing/>
    </w:pPr>
    <w:rPr>
      <w:rFonts w:ascii="Calibri Light" w:hAnsi="Calibri Light"/>
      <w:spacing w:val="-10"/>
      <w:kern w:val="28"/>
      <w:sz w:val="26"/>
      <w:szCs w:val="56"/>
    </w:rPr>
  </w:style>
  <w:style w:type="character" w:customStyle="1" w:styleId="TitelZchn">
    <w:name w:val="Titel Zchn"/>
    <w:link w:val="Titel"/>
    <w:uiPriority w:val="99"/>
    <w:rsid w:val="00034E9B"/>
    <w:rPr>
      <w:rFonts w:ascii="Calibri Light" w:eastAsia="Times New Roman" w:hAnsi="Calibri Light" w:cs="Times New Roman"/>
      <w:spacing w:val="-10"/>
      <w:kern w:val="28"/>
      <w:sz w:val="26"/>
      <w:szCs w:val="56"/>
      <w:lang w:eastAsia="de-DE"/>
    </w:rPr>
  </w:style>
  <w:style w:type="character" w:customStyle="1" w:styleId="berschrift4Zchn">
    <w:name w:val="Überschrift 4 Zchn"/>
    <w:link w:val="berschrift4"/>
    <w:uiPriority w:val="99"/>
    <w:rsid w:val="00034E9B"/>
    <w:rPr>
      <w:rFonts w:ascii="Calibri" w:eastAsia="Times New Roman" w:hAnsi="Calibri" w:cs="Times New Roman"/>
      <w:bCs/>
      <w:i/>
      <w:iCs/>
      <w:sz w:val="20"/>
      <w:szCs w:val="24"/>
      <w:lang w:eastAsia="de-DE"/>
    </w:rPr>
  </w:style>
  <w:style w:type="character" w:customStyle="1" w:styleId="berschrift5Zchn">
    <w:name w:val="Überschrift 5 Zchn"/>
    <w:link w:val="berschrift5"/>
    <w:uiPriority w:val="99"/>
    <w:rsid w:val="00034E9B"/>
    <w:rPr>
      <w:rFonts w:ascii="Calibri" w:eastAsia="Times New Roman" w:hAnsi="Calibri" w:cs="Times New Roman"/>
      <w:i/>
      <w:sz w:val="20"/>
      <w:szCs w:val="24"/>
      <w:lang w:eastAsia="de-DE"/>
    </w:rPr>
  </w:style>
  <w:style w:type="paragraph" w:styleId="Untertitel">
    <w:name w:val="Subtitle"/>
    <w:basedOn w:val="Standard"/>
    <w:next w:val="Standard"/>
    <w:link w:val="UntertitelZchn"/>
    <w:qFormat/>
    <w:rsid w:val="00034E9B"/>
    <w:pPr>
      <w:numPr>
        <w:ilvl w:val="1"/>
      </w:numPr>
    </w:pPr>
    <w:rPr>
      <w:rFonts w:asciiTheme="majorHAnsi" w:eastAsiaTheme="majorEastAsia" w:hAnsiTheme="majorHAnsi" w:cstheme="majorBidi"/>
      <w:i/>
      <w:iCs/>
      <w:color w:val="5B9BD5" w:themeColor="accent1"/>
      <w:spacing w:val="15"/>
      <w:sz w:val="24"/>
    </w:rPr>
  </w:style>
  <w:style w:type="character" w:customStyle="1" w:styleId="UntertitelZchn">
    <w:name w:val="Untertitel Zchn"/>
    <w:basedOn w:val="Absatz-Standardschriftart"/>
    <w:link w:val="Untertitel"/>
    <w:rsid w:val="00034E9B"/>
    <w:rPr>
      <w:rFonts w:asciiTheme="majorHAnsi" w:eastAsiaTheme="majorEastAsia" w:hAnsiTheme="majorHAnsi" w:cstheme="majorBidi"/>
      <w:i/>
      <w:iCs/>
      <w:color w:val="5B9BD5" w:themeColor="accent1"/>
      <w:spacing w:val="15"/>
      <w:sz w:val="24"/>
      <w:szCs w:val="24"/>
      <w:lang w:eastAsia="de-DE"/>
    </w:rPr>
  </w:style>
  <w:style w:type="paragraph" w:styleId="Verzeichnis1">
    <w:name w:val="toc 1"/>
    <w:basedOn w:val="Standard"/>
    <w:next w:val="Standard"/>
    <w:autoRedefine/>
    <w:rsid w:val="00034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ran.r-project.org/web/packages/ABCanalysis/index.html" TargetMode="External"/><Relationship Id="rId3" Type="http://schemas.openxmlformats.org/officeDocument/2006/relationships/settings" Target="settings.xml"/><Relationship Id="rId7" Type="http://schemas.openxmlformats.org/officeDocument/2006/relationships/hyperlink" Target="http://CRAN.R-projec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4013</Words>
  <Characters>25287</Characters>
  <Application>Microsoft Office Word</Application>
  <DocSecurity>0</DocSecurity>
  <Lines>210</Lines>
  <Paragraphs>58</Paragraphs>
  <ScaleCrop>false</ScaleCrop>
  <Company>Home</Company>
  <LinksUpToDate>false</LinksUpToDate>
  <CharactersWithSpaces>29242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Joern</dc:creator>
  <cp:keywords/>
  <dc:description/>
  <cp:lastModifiedBy>Joern-VM</cp:lastModifiedBy>
  <cp:revision>7</cp:revision>
  <dcterms:created xsi:type="dcterms:W3CDTF">2015-07-23T06:32:00Z</dcterms:created>
  <dcterms:modified xsi:type="dcterms:W3CDTF">2015-11-04T16:44:00Z</dcterms:modified>
</cp:coreProperties>
</file>