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047" w:rsidRDefault="009968BC" w:rsidP="00D01047">
      <w:pPr>
        <w:spacing w:line="360" w:lineRule="auto"/>
        <w:jc w:val="both"/>
        <w:rPr>
          <w:rFonts w:ascii="Times New Roman" w:eastAsia="MS Mincho" w:hAnsi="Times New Roman" w:cs="Times New Roman"/>
          <w:b/>
          <w:color w:val="262626"/>
          <w:sz w:val="24"/>
          <w:szCs w:val="24"/>
          <w:lang w:val="en-US"/>
        </w:rPr>
      </w:pPr>
      <w:bookmarkStart w:id="0" w:name="_GoBack"/>
      <w:bookmarkEnd w:id="0"/>
      <w:r>
        <w:rPr>
          <w:rFonts w:ascii="Times New Roman" w:eastAsia="MS Mincho" w:hAnsi="Times New Roman" w:cs="Times New Roman"/>
          <w:b/>
          <w:color w:val="262626"/>
          <w:sz w:val="24"/>
          <w:szCs w:val="24"/>
          <w:lang w:val="en-US"/>
        </w:rPr>
        <w:t>Econometric Analysis</w:t>
      </w:r>
    </w:p>
    <w:p w:rsidR="009968BC" w:rsidRPr="009968BC" w:rsidRDefault="009968BC" w:rsidP="00D01047">
      <w:pPr>
        <w:spacing w:line="360" w:lineRule="auto"/>
        <w:jc w:val="both"/>
        <w:rPr>
          <w:rFonts w:ascii="Times New Roman" w:eastAsia="MS Mincho" w:hAnsi="Times New Roman" w:cs="Times New Roman"/>
          <w:b/>
          <w:color w:val="262626"/>
          <w:sz w:val="24"/>
          <w:szCs w:val="24"/>
          <w:lang w:val="en-US"/>
        </w:rPr>
      </w:pP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r w:rsidRPr="00D01047">
        <w:rPr>
          <w:rFonts w:ascii="Times New Roman" w:eastAsia="MS Mincho" w:hAnsi="Times New Roman" w:cs="Times New Roman"/>
          <w:color w:val="262626"/>
          <w:sz w:val="24"/>
          <w:szCs w:val="24"/>
          <w:lang w:val="en-US"/>
        </w:rPr>
        <w:t>The econometric analysis proceeds in two steps. We first estimate the following Probit model:</w:t>
      </w: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m:oMathPara>
        <m:oMath>
          <m:r>
            <m:rPr>
              <m:sty m:val="p"/>
            </m:rPr>
            <w:rPr>
              <w:rFonts w:ascii="Cambria Math" w:eastAsia="MS Mincho" w:hAnsi="Cambria Math" w:cs="Times New Roman"/>
              <w:color w:val="262626"/>
              <w:sz w:val="24"/>
              <w:szCs w:val="24"/>
              <w:lang w:val="en-US"/>
            </w:rPr>
            <m:t>Pr⁡</m:t>
          </m:r>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Exit</m:t>
              </m:r>
            </m:e>
            <m:sub>
              <m:r>
                <w:rPr>
                  <w:rFonts w:ascii="Cambria Math" w:eastAsia="MS Mincho" w:hAnsi="Cambria Math" w:cs="Times New Roman"/>
                  <w:color w:val="262626"/>
                  <w:sz w:val="24"/>
                  <w:szCs w:val="24"/>
                  <w:lang w:val="en-US"/>
                </w:rPr>
                <m:t>i,t</m:t>
              </m:r>
            </m:sub>
          </m:sSub>
          <m:r>
            <w:rPr>
              <w:rFonts w:ascii="Cambria Math" w:eastAsia="MS Mincho" w:hAnsi="Cambria Math" w:cs="Times New Roman"/>
              <w:color w:val="262626"/>
              <w:sz w:val="24"/>
              <w:szCs w:val="24"/>
              <w:lang w:val="en-US"/>
            </w:rPr>
            <m:t xml:space="preserve">=1 | </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Export</m:t>
              </m:r>
            </m:e>
            <m:sub>
              <m:r>
                <w:rPr>
                  <w:rFonts w:ascii="Cambria Math" w:eastAsia="MS Mincho" w:hAnsi="Cambria Math" w:cs="Times New Roman"/>
                  <w:color w:val="262626"/>
                  <w:sz w:val="24"/>
                  <w:szCs w:val="24"/>
                  <w:lang w:val="en-US"/>
                </w:rPr>
                <m:t>i,t-1</m:t>
              </m:r>
            </m:sub>
          </m:sSub>
          <m:r>
            <w:rPr>
              <w:rFonts w:ascii="Cambria Math" w:eastAsia="MS Mincho" w:hAnsi="Cambria Math" w:cs="Times New Roman"/>
              <w:color w:val="262626"/>
              <w:sz w:val="24"/>
              <w:szCs w:val="24"/>
              <w:lang w:val="en-US"/>
            </w:rPr>
            <m:t>=1)=</m:t>
          </m:r>
          <m:r>
            <m:rPr>
              <m:sty m:val="p"/>
            </m:rPr>
            <w:rPr>
              <w:rFonts w:ascii="Cambria Math" w:eastAsia="MS Mincho" w:hAnsi="Cambria Math" w:cs="Times New Roman"/>
              <w:color w:val="262626"/>
              <w:sz w:val="24"/>
              <w:szCs w:val="24"/>
              <w:lang w:val="en-US"/>
            </w:rPr>
            <m:t>Φ(</m:t>
          </m:r>
          <m:sSub>
            <m:sSubPr>
              <m:ctrlPr>
                <w:rPr>
                  <w:rFonts w:ascii="Cambria Math" w:eastAsia="MS Mincho" w:hAnsi="Cambria Math" w:cs="Times New Roman"/>
                  <w:color w:val="262626"/>
                  <w:sz w:val="24"/>
                  <w:szCs w:val="24"/>
                  <w:lang w:val="en-US"/>
                </w:rPr>
              </m:ctrlPr>
            </m:sSubPr>
            <m:e>
              <m:sSup>
                <m:sSupPr>
                  <m:ctrlPr>
                    <w:rPr>
                      <w:rFonts w:ascii="Cambria Math" w:eastAsia="MS Mincho" w:hAnsi="Cambria Math" w:cs="Times New Roman"/>
                      <w:color w:val="262626"/>
                      <w:sz w:val="24"/>
                      <w:szCs w:val="24"/>
                      <w:lang w:val="en-US"/>
                    </w:rPr>
                  </m:ctrlPr>
                </m:sSupPr>
                <m:e>
                  <m:r>
                    <m:rPr>
                      <m:sty m:val="p"/>
                    </m:rPr>
                    <w:rPr>
                      <w:rFonts w:ascii="Cambria Math" w:eastAsia="MS Mincho" w:hAnsi="Cambria Math" w:cs="Times New Roman"/>
                      <w:color w:val="262626"/>
                      <w:sz w:val="24"/>
                      <w:szCs w:val="24"/>
                      <w:lang w:val="en-US"/>
                    </w:rPr>
                    <m:t>X</m:t>
                  </m:r>
                </m:e>
                <m:sup>
                  <m:r>
                    <m:rPr>
                      <m:sty m:val="p"/>
                    </m:rPr>
                    <w:rPr>
                      <w:rFonts w:ascii="Cambria Math" w:eastAsia="MS Mincho" w:hAnsi="Cambria Math" w:cs="Times New Roman"/>
                      <w:color w:val="262626"/>
                      <w:sz w:val="24"/>
                      <w:szCs w:val="24"/>
                      <w:lang w:val="en-US"/>
                    </w:rPr>
                    <m:t>'</m:t>
                  </m:r>
                </m:sup>
              </m:sSup>
            </m:e>
            <m:sub>
              <m:r>
                <w:rPr>
                  <w:rFonts w:ascii="Cambria Math" w:eastAsia="MS Mincho" w:hAnsi="Cambria Math" w:cs="Times New Roman"/>
                  <w:color w:val="262626"/>
                  <w:sz w:val="24"/>
                  <w:szCs w:val="24"/>
                  <w:lang w:val="en-US"/>
                </w:rPr>
                <m:t>i,t</m:t>
              </m:r>
            </m:sub>
          </m:sSub>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β</m:t>
              </m:r>
            </m:e>
            <m:sub>
              <m:r>
                <w:rPr>
                  <w:rFonts w:ascii="Cambria Math" w:eastAsia="MS Mincho" w:hAnsi="Cambria Math" w:cs="Times New Roman"/>
                  <w:color w:val="262626"/>
                  <w:sz w:val="24"/>
                  <w:szCs w:val="24"/>
                  <w:lang w:val="en-US"/>
                </w:rPr>
                <m:t>1</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M</m:t>
              </m:r>
            </m:e>
            <m:sub>
              <m:r>
                <w:rPr>
                  <w:rFonts w:ascii="Cambria Math" w:eastAsia="MS Mincho" w:hAnsi="Cambria Math" w:cs="Times New Roman"/>
                  <w:color w:val="262626"/>
                  <w:sz w:val="24"/>
                  <w:szCs w:val="24"/>
                  <w:lang w:val="en-US"/>
                </w:rPr>
                <m:t>s,t</m:t>
              </m:r>
            </m:sub>
          </m:sSub>
          <m:r>
            <w:rPr>
              <w:rFonts w:ascii="Cambria Math" w:eastAsia="MS Mincho" w:hAnsi="Cambria Math" w:cs="Times New Roman"/>
              <w:color w:val="262626"/>
              <w:sz w:val="24"/>
              <w:szCs w:val="24"/>
              <w:lang w:val="en-US"/>
            </w:rPr>
            <m:t>'μ+</m:t>
          </m:r>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(X</m:t>
              </m:r>
            </m:e>
            <m:sub>
              <m:r>
                <w:rPr>
                  <w:rFonts w:ascii="Cambria Math" w:eastAsia="MS Mincho" w:hAnsi="Cambria Math" w:cs="Times New Roman"/>
                  <w:color w:val="262626"/>
                  <w:sz w:val="24"/>
                  <w:szCs w:val="24"/>
                  <w:lang w:val="en-US"/>
                </w:rPr>
                <m:t>i,t</m:t>
              </m:r>
            </m:sub>
          </m:sSub>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M</m:t>
              </m:r>
            </m:e>
            <m:sub>
              <m:r>
                <w:rPr>
                  <w:rFonts w:ascii="Cambria Math" w:eastAsia="MS Mincho" w:hAnsi="Cambria Math" w:cs="Times New Roman"/>
                  <w:color w:val="262626"/>
                  <w:sz w:val="24"/>
                  <w:szCs w:val="24"/>
                  <w:lang w:val="en-US"/>
                </w:rPr>
                <m:t>s,t</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β</m:t>
              </m:r>
            </m:e>
            <m:sub>
              <m:r>
                <w:rPr>
                  <w:rFonts w:ascii="Cambria Math" w:eastAsia="MS Mincho" w:hAnsi="Cambria Math" w:cs="Times New Roman"/>
                  <w:color w:val="262626"/>
                  <w:sz w:val="24"/>
                  <w:szCs w:val="24"/>
                  <w:lang w:val="en-US"/>
                </w:rPr>
                <m:t>2</m:t>
              </m:r>
            </m:sub>
          </m:sSub>
        </m:oMath>
      </m:oMathPara>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m:oMath>
        <m:r>
          <w:rPr>
            <w:rFonts w:ascii="Cambria Math" w:eastAsia="MS Mincho" w:hAnsi="Cambria Math" w:cs="Times New Roman"/>
            <w:color w:val="262626"/>
            <w:sz w:val="24"/>
            <w:szCs w:val="24"/>
            <w:lang w:val="en-US"/>
          </w:rPr>
          <m:t>+hλ(</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s</m:t>
            </m:r>
          </m:e>
          <m:sub>
            <m:r>
              <w:rPr>
                <w:rFonts w:ascii="Cambria Math" w:eastAsia="MS Mincho" w:hAnsi="Cambria Math" w:cs="Times New Roman"/>
                <w:color w:val="262626"/>
                <w:sz w:val="24"/>
                <w:szCs w:val="24"/>
                <w:lang w:val="en-US"/>
              </w:rPr>
              <m:t>i</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δ</m:t>
            </m:r>
          </m:e>
          <m:sub>
            <m:r>
              <w:rPr>
                <w:rFonts w:ascii="Cambria Math" w:eastAsia="MS Mincho" w:hAnsi="Cambria Math" w:cs="Times New Roman"/>
                <w:color w:val="262626"/>
                <w:sz w:val="24"/>
                <w:szCs w:val="24"/>
                <w:lang w:val="en-US"/>
              </w:rPr>
              <m:t>t</m:t>
            </m:r>
          </m:sub>
        </m:sSub>
        <m:r>
          <w:rPr>
            <w:rFonts w:ascii="Cambria Math" w:eastAsia="MS Mincho" w:hAnsi="Cambria Math" w:cs="Times New Roman"/>
            <w:color w:val="262626"/>
            <w:sz w:val="24"/>
            <w:szCs w:val="24"/>
            <w:lang w:val="en-US"/>
          </w:rPr>
          <m:t>)</m:t>
        </m:r>
      </m:oMath>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t>(1)</w:t>
      </w: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r w:rsidRPr="00D01047">
        <w:rPr>
          <w:rFonts w:ascii="Times New Roman" w:eastAsia="MS Mincho" w:hAnsi="Times New Roman" w:cs="Times New Roman"/>
          <w:color w:val="262626"/>
          <w:sz w:val="24"/>
          <w:szCs w:val="24"/>
          <w:lang w:val="en-US"/>
        </w:rPr>
        <w:t xml:space="preserve">where the dependent variable is the bivariate variable </w:t>
      </w:r>
      <w:r w:rsidRPr="00D01047">
        <w:rPr>
          <w:rFonts w:ascii="Times New Roman" w:eastAsia="MS Mincho" w:hAnsi="Times New Roman" w:cs="Times New Roman"/>
          <w:i/>
          <w:color w:val="262626"/>
          <w:sz w:val="24"/>
          <w:szCs w:val="24"/>
          <w:lang w:val="en-US"/>
        </w:rPr>
        <w:t>Exit</w:t>
      </w:r>
      <w:r w:rsidRPr="00D01047">
        <w:rPr>
          <w:rFonts w:ascii="Times New Roman" w:eastAsia="MS Mincho" w:hAnsi="Times New Roman" w:cs="Times New Roman"/>
          <w:i/>
          <w:color w:val="262626"/>
          <w:sz w:val="24"/>
          <w:szCs w:val="24"/>
          <w:vertAlign w:val="subscript"/>
          <w:lang w:val="en-US"/>
        </w:rPr>
        <w:t>it</w:t>
      </w:r>
      <w:r w:rsidRPr="00D01047">
        <w:rPr>
          <w:rFonts w:ascii="Times New Roman" w:eastAsia="MS Mincho" w:hAnsi="Times New Roman" w:cs="Times New Roman"/>
          <w:color w:val="262626"/>
          <w:sz w:val="24"/>
          <w:szCs w:val="24"/>
          <w:lang w:val="en-US"/>
        </w:rPr>
        <w:t xml:space="preserve"> that assumes value one in the year </w:t>
      </w:r>
      <w:r w:rsidRPr="00D01047">
        <w:rPr>
          <w:rFonts w:ascii="Times New Roman" w:eastAsia="MS Mincho" w:hAnsi="Times New Roman" w:cs="Times New Roman"/>
          <w:i/>
          <w:color w:val="262626"/>
          <w:sz w:val="24"/>
          <w:szCs w:val="24"/>
          <w:lang w:val="en-US"/>
        </w:rPr>
        <w:t>t</w:t>
      </w:r>
      <w:r w:rsidRPr="00D01047">
        <w:rPr>
          <w:rFonts w:ascii="Times New Roman" w:eastAsia="MS Mincho" w:hAnsi="Times New Roman" w:cs="Times New Roman"/>
          <w:color w:val="262626"/>
          <w:sz w:val="24"/>
          <w:szCs w:val="24"/>
          <w:lang w:val="en-US"/>
        </w:rPr>
        <w:t xml:space="preserve"> in which an exporter </w:t>
      </w:r>
      <w:r w:rsidRPr="00D01047">
        <w:rPr>
          <w:rFonts w:ascii="Times New Roman" w:eastAsia="MS Mincho" w:hAnsi="Times New Roman" w:cs="Times New Roman"/>
          <w:i/>
          <w:color w:val="262626"/>
          <w:sz w:val="24"/>
          <w:szCs w:val="24"/>
          <w:lang w:val="en-US"/>
        </w:rPr>
        <w:t xml:space="preserve">i </w:t>
      </w:r>
      <w:r w:rsidRPr="00D01047">
        <w:rPr>
          <w:rFonts w:ascii="Times New Roman" w:eastAsia="MS Mincho" w:hAnsi="Times New Roman" w:cs="Times New Roman"/>
          <w:color w:val="262626"/>
          <w:sz w:val="24"/>
          <w:szCs w:val="24"/>
          <w:lang w:val="en-US"/>
        </w:rPr>
        <w:t xml:space="preserve">exits the export market. The period of exit is defined as the first period with no foreign sales. The function </w:t>
      </w:r>
      <m:oMath>
        <m:r>
          <m:rPr>
            <m:sty m:val="p"/>
          </m:rPr>
          <w:rPr>
            <w:rFonts w:ascii="Cambria Math" w:eastAsia="MS Mincho" w:hAnsi="Cambria Math" w:cs="Times New Roman" w:hint="eastAsia"/>
            <w:color w:val="262626"/>
            <w:sz w:val="24"/>
            <w:szCs w:val="24"/>
            <w:lang w:val="en-US"/>
          </w:rPr>
          <m:t>Φ</m:t>
        </m:r>
        <m:r>
          <m:rPr>
            <m:sty m:val="p"/>
          </m:rPr>
          <w:rPr>
            <w:rFonts w:ascii="Cambria Math" w:eastAsia="MS Mincho" w:hAnsi="Cambria Math" w:cs="Times New Roman" w:hint="eastAsia"/>
            <w:color w:val="262626"/>
            <w:sz w:val="24"/>
            <w:szCs w:val="24"/>
            <w:lang w:val="en-US"/>
          </w:rPr>
          <m:t>(.)</m:t>
        </m:r>
      </m:oMath>
      <w:r w:rsidRPr="00D01047">
        <w:rPr>
          <w:rFonts w:ascii="Times New Roman" w:eastAsia="MS Mincho" w:hAnsi="Times New Roman" w:cs="Times New Roman"/>
          <w:color w:val="262626"/>
          <w:sz w:val="24"/>
          <w:szCs w:val="24"/>
          <w:lang w:val="en-US"/>
        </w:rPr>
        <w:t xml:space="preserve"> on the right-hand side of the equation is the normal cumulative distribution function. Arguments to this function are the log number of years </w:t>
      </w:r>
      <m:oMath>
        <m:r>
          <m:rPr>
            <m:sty m:val="p"/>
          </m:rPr>
          <w:rPr>
            <w:rFonts w:ascii="Cambria Math" w:eastAsia="MS Mincho" w:hAnsi="Cambria Math" w:cs="Times New Roman"/>
            <w:color w:val="262626"/>
            <w:sz w:val="24"/>
            <w:szCs w:val="24"/>
            <w:lang w:val="en-US"/>
          </w:rPr>
          <m:t>λ(</m:t>
        </m:r>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s</m:t>
            </m:r>
          </m:e>
          <m:sub>
            <m:r>
              <m:rPr>
                <m:sty m:val="p"/>
              </m:rPr>
              <w:rPr>
                <w:rFonts w:ascii="Cambria Math" w:eastAsia="MS Mincho" w:hAnsi="Cambria Math" w:cs="Times New Roman"/>
                <w:color w:val="262626"/>
                <w:sz w:val="24"/>
                <w:szCs w:val="24"/>
                <w:lang w:val="en-US"/>
              </w:rPr>
              <m:t>i,t</m:t>
            </m:r>
          </m:sub>
        </m:sSub>
        <m:r>
          <m:rPr>
            <m:sty m:val="p"/>
          </m:rPr>
          <w:rPr>
            <w:rFonts w:ascii="Cambria Math" w:eastAsia="MS Mincho" w:hAnsi="Cambria Math" w:cs="Times New Roman"/>
            <w:color w:val="262626"/>
            <w:sz w:val="24"/>
            <w:szCs w:val="24"/>
            <w:lang w:val="en-US"/>
          </w:rPr>
          <m:t>)</m:t>
        </m:r>
      </m:oMath>
      <w:r w:rsidRPr="00D01047">
        <w:rPr>
          <w:rFonts w:ascii="Times New Roman" w:eastAsia="MS Mincho" w:hAnsi="Times New Roman" w:cs="Times New Roman"/>
          <w:color w:val="262626"/>
          <w:sz w:val="24"/>
          <w:szCs w:val="24"/>
          <w:lang w:val="en-US"/>
        </w:rPr>
        <w:t xml:space="preserve"> that we observe the firm exporting, a vector of time-varying firm characteristics </w:t>
      </w:r>
      <m:oMath>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X'</m:t>
            </m:r>
          </m:e>
          <m:sub>
            <m:r>
              <m:rPr>
                <m:sty m:val="p"/>
              </m:rPr>
              <w:rPr>
                <w:rFonts w:ascii="Cambria Math" w:eastAsia="MS Mincho" w:hAnsi="Cambria Math" w:cs="Times New Roman"/>
                <w:color w:val="262626"/>
                <w:sz w:val="24"/>
                <w:szCs w:val="24"/>
                <w:lang w:val="en-US"/>
              </w:rPr>
              <m:t>i,t</m:t>
            </m:r>
          </m:sub>
        </m:sSub>
      </m:oMath>
      <w:r w:rsidRPr="00D01047">
        <w:rPr>
          <w:rFonts w:ascii="Times New Roman" w:eastAsia="MS Mincho" w:hAnsi="Times New Roman" w:cs="Times New Roman"/>
          <w:color w:val="262626"/>
          <w:sz w:val="24"/>
          <w:szCs w:val="24"/>
          <w:lang w:val="en-US"/>
        </w:rPr>
        <w:t xml:space="preserve">, a vector of variables measuring sectoral demand conditions in the domestic and in the foreign market, </w:t>
      </w:r>
      <m:oMath>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M</m:t>
            </m:r>
          </m:e>
          <m:sub>
            <m:r>
              <m:rPr>
                <m:sty m:val="p"/>
              </m:rPr>
              <w:rPr>
                <w:rFonts w:ascii="Cambria Math" w:eastAsia="MS Mincho" w:hAnsi="Cambria Math" w:cs="Times New Roman"/>
                <w:color w:val="262626"/>
                <w:sz w:val="24"/>
                <w:szCs w:val="24"/>
                <w:lang w:val="en-US"/>
              </w:rPr>
              <m:t>s,t</m:t>
            </m:r>
          </m:sub>
        </m:sSub>
        <m:r>
          <m:rPr>
            <m:sty m:val="p"/>
          </m:rPr>
          <w:rPr>
            <w:rFonts w:ascii="Cambria Math" w:eastAsia="MS Mincho" w:hAnsi="Cambria Math" w:cs="Times New Roman"/>
            <w:color w:val="262626"/>
            <w:sz w:val="24"/>
            <w:szCs w:val="24"/>
            <w:lang w:val="en-US"/>
          </w:rPr>
          <m:t>'</m:t>
        </m:r>
      </m:oMath>
      <w:r w:rsidRPr="00D01047">
        <w:rPr>
          <w:rFonts w:ascii="Times New Roman" w:eastAsia="MS Mincho" w:hAnsi="Times New Roman" w:cs="Times New Roman"/>
          <w:color w:val="262626"/>
          <w:sz w:val="24"/>
          <w:szCs w:val="24"/>
          <w:lang w:val="en-US"/>
        </w:rPr>
        <w:t xml:space="preserve">, and a vector of interaction terms  </w:t>
      </w:r>
      <m:oMath>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X</m:t>
            </m:r>
          </m:e>
          <m:sub>
            <m:r>
              <m:rPr>
                <m:sty m:val="p"/>
              </m:rPr>
              <w:rPr>
                <w:rFonts w:ascii="Cambria Math" w:eastAsia="MS Mincho" w:hAnsi="Cambria Math" w:cs="Times New Roman"/>
                <w:color w:val="262626"/>
                <w:sz w:val="24"/>
                <w:szCs w:val="24"/>
                <w:lang w:val="en-US"/>
              </w:rPr>
              <m:t>i,t</m:t>
            </m:r>
          </m:sub>
        </m:sSub>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M</m:t>
            </m:r>
          </m:e>
          <m:sub>
            <m:r>
              <m:rPr>
                <m:sty m:val="p"/>
              </m:rPr>
              <w:rPr>
                <w:rFonts w:ascii="Cambria Math" w:eastAsia="MS Mincho" w:hAnsi="Cambria Math" w:cs="Times New Roman"/>
                <w:color w:val="262626"/>
                <w:sz w:val="24"/>
                <w:szCs w:val="24"/>
                <w:lang w:val="en-US"/>
              </w:rPr>
              <m:t>s,t</m:t>
            </m:r>
          </m:sub>
        </m:sSub>
        <m:r>
          <m:rPr>
            <m:sty m:val="p"/>
          </m:rPr>
          <w:rPr>
            <w:rFonts w:ascii="Cambria Math" w:eastAsia="MS Mincho" w:hAnsi="Cambria Math" w:cs="Times New Roman"/>
            <w:color w:val="262626"/>
            <w:sz w:val="24"/>
            <w:szCs w:val="24"/>
            <w:lang w:val="en-US"/>
          </w:rPr>
          <m:t>'</m:t>
        </m:r>
      </m:oMath>
      <w:r w:rsidRPr="00D01047">
        <w:rPr>
          <w:rFonts w:ascii="Times New Roman" w:eastAsia="MS Mincho" w:hAnsi="Times New Roman" w:cs="Times New Roman"/>
          <w:color w:val="262626"/>
          <w:sz w:val="24"/>
          <w:szCs w:val="24"/>
          <w:lang w:val="en-US"/>
        </w:rPr>
        <w:t xml:space="preserve">. The model includes also year-specific fixed effects </w:t>
      </w:r>
      <m:oMath>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δ</m:t>
            </m:r>
          </m:e>
          <m:sub>
            <m:r>
              <w:rPr>
                <w:rFonts w:ascii="Cambria Math" w:eastAsia="MS Mincho" w:hAnsi="Cambria Math" w:cs="Times New Roman"/>
                <w:color w:val="262626"/>
                <w:sz w:val="24"/>
                <w:szCs w:val="24"/>
                <w:lang w:val="en-US"/>
              </w:rPr>
              <m:t>t</m:t>
            </m:r>
          </m:sub>
        </m:sSub>
      </m:oMath>
      <w:r w:rsidRPr="00D01047">
        <w:rPr>
          <w:rFonts w:ascii="Times New Roman" w:eastAsia="MS Mincho" w:hAnsi="Times New Roman" w:cs="Times New Roman"/>
          <w:color w:val="262626"/>
          <w:sz w:val="24"/>
          <w:szCs w:val="24"/>
          <w:lang w:val="en-US"/>
        </w:rPr>
        <w:t xml:space="preserve"> that account for the impact of common macroeconomic shocks across firms. </w:t>
      </w: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r w:rsidRPr="00D01047">
        <w:rPr>
          <w:rFonts w:ascii="Times New Roman" w:eastAsia="MS Mincho" w:hAnsi="Times New Roman" w:cs="Times New Roman"/>
          <w:color w:val="262626"/>
          <w:sz w:val="24"/>
          <w:szCs w:val="24"/>
          <w:lang w:val="en-US"/>
        </w:rPr>
        <w:t xml:space="preserve">The coefficient </w:t>
      </w:r>
      <w:r w:rsidRPr="00D01047">
        <w:rPr>
          <w:rFonts w:ascii="Times New Roman" w:eastAsia="MS Mincho" w:hAnsi="Times New Roman" w:cs="Times New Roman"/>
          <w:i/>
          <w:color w:val="262626"/>
          <w:sz w:val="24"/>
          <w:szCs w:val="24"/>
          <w:lang w:val="en-US"/>
        </w:rPr>
        <w:t xml:space="preserve">h </w:t>
      </w:r>
      <w:r w:rsidRPr="00D01047">
        <w:rPr>
          <w:rFonts w:ascii="Times New Roman" w:eastAsia="MS Mincho" w:hAnsi="Times New Roman" w:cs="Times New Roman"/>
          <w:color w:val="262626"/>
          <w:sz w:val="24"/>
          <w:szCs w:val="24"/>
          <w:lang w:val="en-US"/>
        </w:rPr>
        <w:t>indicates</w:t>
      </w:r>
      <w:r w:rsidRPr="00D01047">
        <w:rPr>
          <w:rFonts w:ascii="Times New Roman" w:eastAsia="MS Mincho" w:hAnsi="Times New Roman" w:cs="Times New Roman"/>
          <w:i/>
          <w:color w:val="262626"/>
          <w:sz w:val="24"/>
          <w:szCs w:val="24"/>
          <w:lang w:val="en-US"/>
        </w:rPr>
        <w:t xml:space="preserve"> </w:t>
      </w:r>
      <w:r w:rsidRPr="00D01047">
        <w:rPr>
          <w:rFonts w:ascii="Times New Roman" w:eastAsia="MS Mincho" w:hAnsi="Times New Roman" w:cs="Times New Roman"/>
          <w:color w:val="262626"/>
          <w:sz w:val="24"/>
          <w:szCs w:val="24"/>
          <w:lang w:val="en-US"/>
        </w:rPr>
        <w:t xml:space="preserve">how the probability of export exit varies over the duration of a firm's export spell. The vector of coefficients </w:t>
      </w:r>
      <m:oMath>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β</m:t>
            </m:r>
          </m:e>
          <m:sub>
            <m:r>
              <w:rPr>
                <w:rFonts w:ascii="Cambria Math" w:eastAsia="MS Mincho" w:hAnsi="Cambria Math" w:cs="Times New Roman"/>
                <w:color w:val="262626"/>
                <w:sz w:val="24"/>
                <w:szCs w:val="24"/>
                <w:lang w:val="en-US"/>
              </w:rPr>
              <m:t>1</m:t>
            </m:r>
          </m:sub>
        </m:sSub>
      </m:oMath>
      <w:r w:rsidRPr="00D01047">
        <w:rPr>
          <w:rFonts w:ascii="Times New Roman" w:eastAsia="MS Mincho" w:hAnsi="Times New Roman" w:cs="Times New Roman"/>
          <w:color w:val="262626"/>
          <w:sz w:val="24"/>
          <w:szCs w:val="24"/>
          <w:lang w:val="en-US"/>
        </w:rPr>
        <w:t xml:space="preserve"> describes the effect of firm-level resources on the probability of export exit; </w:t>
      </w:r>
      <m:oMath>
        <m:r>
          <w:rPr>
            <w:rFonts w:ascii="Cambria Math" w:eastAsia="MS Mincho" w:hAnsi="Cambria Math" w:cs="Times New Roman"/>
            <w:color w:val="262626"/>
            <w:sz w:val="24"/>
            <w:szCs w:val="24"/>
            <w:lang w:val="en-US"/>
          </w:rPr>
          <m:t>μ</m:t>
        </m:r>
      </m:oMath>
      <w:r w:rsidRPr="00D01047">
        <w:rPr>
          <w:rFonts w:ascii="Times New Roman" w:eastAsia="MS Mincho" w:hAnsi="Times New Roman" w:cs="Times New Roman"/>
          <w:color w:val="262626"/>
          <w:sz w:val="24"/>
          <w:szCs w:val="24"/>
          <w:lang w:val="en-US"/>
        </w:rPr>
        <w:t xml:space="preserve"> captures the average effect of domestic and foreign demand on exit probability across firms exporting in the same industry. The vector of coefficients </w:t>
      </w:r>
      <m:oMath>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β</m:t>
            </m:r>
          </m:e>
          <m:sub>
            <m:r>
              <w:rPr>
                <w:rFonts w:ascii="Cambria Math" w:eastAsia="MS Mincho" w:hAnsi="Cambria Math" w:cs="Times New Roman"/>
                <w:color w:val="262626"/>
                <w:sz w:val="24"/>
                <w:szCs w:val="24"/>
                <w:lang w:val="en-US"/>
              </w:rPr>
              <m:t>2</m:t>
            </m:r>
          </m:sub>
        </m:sSub>
      </m:oMath>
      <w:r w:rsidRPr="00D01047">
        <w:rPr>
          <w:rFonts w:ascii="Times New Roman" w:eastAsia="MS Mincho" w:hAnsi="Times New Roman" w:cs="Times New Roman"/>
          <w:color w:val="262626"/>
          <w:sz w:val="24"/>
          <w:szCs w:val="24"/>
          <w:lang w:val="en-US"/>
        </w:rPr>
        <w:t xml:space="preserve"> describes the extent to which individual firms' characteristics moderate the impact of demand shocks on the probability of leaving the export market. These estimates identify the attributes that differentiate intermittent and permanent exporters in their reaction to changing market conditions.</w:t>
      </w: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r w:rsidRPr="00D01047">
        <w:rPr>
          <w:rFonts w:ascii="Times New Roman" w:eastAsia="MS Mincho" w:hAnsi="Times New Roman" w:cs="Times New Roman"/>
          <w:color w:val="262626"/>
          <w:sz w:val="24"/>
          <w:szCs w:val="24"/>
          <w:lang w:val="en-US"/>
        </w:rPr>
        <w:t>The re-entry probit model is specified as it follows:</w:t>
      </w: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m:oMath>
        <m:r>
          <m:rPr>
            <m:sty m:val="p"/>
          </m:rPr>
          <w:rPr>
            <w:rFonts w:ascii="Cambria Math" w:eastAsia="MS Mincho" w:hAnsi="Cambria Math" w:cs="Times New Roman"/>
            <w:color w:val="262626"/>
            <w:sz w:val="24"/>
            <w:szCs w:val="24"/>
            <w:lang w:val="en-US"/>
          </w:rPr>
          <m:t>Pr⁡</m:t>
        </m:r>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Entry</m:t>
            </m:r>
          </m:e>
          <m:sub>
            <m:r>
              <w:rPr>
                <w:rFonts w:ascii="Cambria Math" w:eastAsia="MS Mincho" w:hAnsi="Cambria Math" w:cs="Times New Roman"/>
                <w:color w:val="262626"/>
                <w:sz w:val="24"/>
                <w:szCs w:val="24"/>
                <w:lang w:val="en-US"/>
              </w:rPr>
              <m:t>i,t</m:t>
            </m:r>
          </m:sub>
        </m:sSub>
        <m:r>
          <w:rPr>
            <w:rFonts w:ascii="Cambria Math" w:eastAsia="MS Mincho" w:hAnsi="Cambria Math" w:cs="Times New Roman"/>
            <w:color w:val="262626"/>
            <w:sz w:val="24"/>
            <w:szCs w:val="24"/>
            <w:lang w:val="en-US"/>
          </w:rPr>
          <m:t>=1 |Previous exit)=</m:t>
        </m:r>
        <m:r>
          <m:rPr>
            <m:sty m:val="p"/>
          </m:rPr>
          <w:rPr>
            <w:rFonts w:ascii="Cambria Math" w:eastAsia="MS Mincho" w:hAnsi="Cambria Math" w:cs="Times New Roman"/>
            <w:color w:val="262626"/>
            <w:sz w:val="24"/>
            <w:szCs w:val="24"/>
            <w:lang w:val="en-US"/>
          </w:rPr>
          <m:t>Φ(</m:t>
        </m:r>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X'</m:t>
            </m:r>
          </m:e>
          <m:sub>
            <m:r>
              <w:rPr>
                <w:rFonts w:ascii="Cambria Math" w:eastAsia="MS Mincho" w:hAnsi="Cambria Math" w:cs="Times New Roman"/>
                <w:color w:val="262626"/>
                <w:sz w:val="24"/>
                <w:szCs w:val="24"/>
                <w:lang w:val="en-US"/>
              </w:rPr>
              <m:t>i,t</m:t>
            </m:r>
          </m:sub>
        </m:sSub>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γ</m:t>
            </m:r>
          </m:e>
          <m:sub>
            <m:r>
              <w:rPr>
                <w:rFonts w:ascii="Cambria Math" w:eastAsia="MS Mincho" w:hAnsi="Cambria Math" w:cs="Times New Roman"/>
                <w:color w:val="262626"/>
                <w:sz w:val="24"/>
                <w:szCs w:val="24"/>
                <w:lang w:val="en-US"/>
              </w:rPr>
              <m:t>1</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M</m:t>
            </m:r>
          </m:e>
          <m:sub>
            <m:r>
              <w:rPr>
                <w:rFonts w:ascii="Cambria Math" w:eastAsia="MS Mincho" w:hAnsi="Cambria Math" w:cs="Times New Roman"/>
                <w:color w:val="262626"/>
                <w:sz w:val="24"/>
                <w:szCs w:val="24"/>
                <w:lang w:val="en-US"/>
              </w:rPr>
              <m:t>s,t</m:t>
            </m:r>
          </m:sub>
        </m:sSub>
        <m:r>
          <w:rPr>
            <w:rFonts w:ascii="Cambria Math" w:eastAsia="MS Mincho" w:hAnsi="Cambria Math" w:cs="Times New Roman"/>
            <w:color w:val="262626"/>
            <w:sz w:val="24"/>
            <w:szCs w:val="24"/>
            <w:lang w:val="en-US"/>
          </w:rPr>
          <m:t>'μ+</m:t>
        </m:r>
        <m:sSub>
          <m:sSubPr>
            <m:ctrlPr>
              <w:rPr>
                <w:rFonts w:ascii="Cambria Math" w:eastAsia="MS Mincho" w:hAnsi="Cambria Math" w:cs="Times New Roman"/>
                <w:color w:val="262626"/>
                <w:sz w:val="24"/>
                <w:szCs w:val="24"/>
                <w:lang w:val="en-US"/>
              </w:rPr>
            </m:ctrlPr>
          </m:sSubPr>
          <m:e>
            <m:r>
              <m:rPr>
                <m:sty m:val="p"/>
              </m:rPr>
              <w:rPr>
                <w:rFonts w:ascii="Cambria Math" w:eastAsia="MS Mincho" w:hAnsi="Cambria Math" w:cs="Times New Roman"/>
                <w:color w:val="262626"/>
                <w:sz w:val="24"/>
                <w:szCs w:val="24"/>
                <w:lang w:val="en-US"/>
              </w:rPr>
              <m:t>(X</m:t>
            </m:r>
          </m:e>
          <m:sub>
            <m:r>
              <w:rPr>
                <w:rFonts w:ascii="Cambria Math" w:eastAsia="MS Mincho" w:hAnsi="Cambria Math" w:cs="Times New Roman"/>
                <w:color w:val="262626"/>
                <w:sz w:val="24"/>
                <w:szCs w:val="24"/>
                <w:lang w:val="en-US"/>
              </w:rPr>
              <m:t>i,t</m:t>
            </m:r>
          </m:sub>
        </m:sSub>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M</m:t>
            </m:r>
          </m:e>
          <m:sub>
            <m:r>
              <w:rPr>
                <w:rFonts w:ascii="Cambria Math" w:eastAsia="MS Mincho" w:hAnsi="Cambria Math" w:cs="Times New Roman"/>
                <w:color w:val="262626"/>
                <w:sz w:val="24"/>
                <w:szCs w:val="24"/>
                <w:lang w:val="en-US"/>
              </w:rPr>
              <m:t>s,t</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γ</m:t>
            </m:r>
          </m:e>
          <m:sub>
            <m:r>
              <w:rPr>
                <w:rFonts w:ascii="Cambria Math" w:eastAsia="MS Mincho" w:hAnsi="Cambria Math" w:cs="Times New Roman"/>
                <w:color w:val="262626"/>
                <w:sz w:val="24"/>
                <w:szCs w:val="24"/>
                <w:lang w:val="en-US"/>
              </w:rPr>
              <m:t>2</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M</m:t>
            </m:r>
          </m:e>
          <m:sub>
            <m:r>
              <w:rPr>
                <w:rFonts w:ascii="Cambria Math" w:eastAsia="MS Mincho" w:hAnsi="Cambria Math" w:cs="Times New Roman"/>
                <w:color w:val="262626"/>
                <w:sz w:val="24"/>
                <w:szCs w:val="24"/>
                <w:lang w:val="en-US"/>
              </w:rPr>
              <m:t>si,0</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μ</m:t>
            </m:r>
          </m:e>
          <m:sub>
            <m:r>
              <w:rPr>
                <w:rFonts w:ascii="Cambria Math" w:eastAsia="MS Mincho" w:hAnsi="Cambria Math" w:cs="Times New Roman"/>
                <w:color w:val="262626"/>
                <w:sz w:val="24"/>
                <w:szCs w:val="24"/>
                <w:lang w:val="en-US"/>
              </w:rPr>
              <m:t>0</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μ</m:t>
                </m:r>
              </m:e>
              <m:sub>
                <m:r>
                  <w:rPr>
                    <w:rFonts w:ascii="Cambria Math" w:eastAsia="MS Mincho" w:hAnsi="Cambria Math" w:cs="Times New Roman"/>
                    <w:color w:val="262626"/>
                    <w:sz w:val="24"/>
                    <w:szCs w:val="24"/>
                    <w:lang w:val="en-US"/>
                  </w:rPr>
                  <m:t>1</m:t>
                </m:r>
              </m:sub>
            </m:sSub>
            <m:r>
              <w:rPr>
                <w:rFonts w:ascii="Cambria Math" w:eastAsia="MS Mincho" w:hAnsi="Cambria Math" w:cs="Times New Roman"/>
                <w:color w:val="262626"/>
                <w:sz w:val="24"/>
                <w:szCs w:val="24"/>
                <w:lang w:val="en-US"/>
              </w:rPr>
              <m:t>IMR</m:t>
            </m:r>
          </m:e>
          <m:sub>
            <m:r>
              <w:rPr>
                <w:rFonts w:ascii="Cambria Math" w:eastAsia="MS Mincho" w:hAnsi="Cambria Math" w:cs="Times New Roman"/>
                <w:color w:val="262626"/>
                <w:sz w:val="24"/>
                <w:szCs w:val="24"/>
                <w:lang w:val="en-US"/>
              </w:rPr>
              <m:t>0</m:t>
            </m:r>
          </m:sub>
        </m:sSub>
        <m:r>
          <w:rPr>
            <w:rFonts w:ascii="Cambria Math" w:eastAsia="MS Mincho" w:hAnsi="Cambria Math" w:cs="Times New Roman"/>
            <w:color w:val="262626"/>
            <w:sz w:val="24"/>
            <w:szCs w:val="24"/>
            <w:lang w:val="en-US"/>
          </w:rPr>
          <m:t>+hλ(</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s</m:t>
            </m:r>
          </m:e>
          <m:sub>
            <m:r>
              <w:rPr>
                <w:rFonts w:ascii="Cambria Math" w:eastAsia="MS Mincho" w:hAnsi="Cambria Math" w:cs="Times New Roman"/>
                <w:color w:val="262626"/>
                <w:sz w:val="24"/>
                <w:szCs w:val="24"/>
                <w:lang w:val="en-US"/>
              </w:rPr>
              <m:t>i</m:t>
            </m:r>
          </m:sub>
        </m:sSub>
        <m:r>
          <w:rPr>
            <w:rFonts w:ascii="Cambria Math" w:eastAsia="MS Mincho" w:hAnsi="Cambria Math" w:cs="Times New Roman"/>
            <w:color w:val="262626"/>
            <w:sz w:val="24"/>
            <w:szCs w:val="24"/>
            <w:lang w:val="en-US"/>
          </w:rPr>
          <m:t>)+</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δ</m:t>
            </m:r>
          </m:e>
          <m:sub>
            <m:r>
              <w:rPr>
                <w:rFonts w:ascii="Cambria Math" w:eastAsia="MS Mincho" w:hAnsi="Cambria Math" w:cs="Times New Roman"/>
                <w:color w:val="262626"/>
                <w:sz w:val="24"/>
                <w:szCs w:val="24"/>
                <w:lang w:val="en-US"/>
              </w:rPr>
              <m:t>t</m:t>
            </m:r>
          </m:sub>
        </m:sSub>
        <m:r>
          <w:rPr>
            <w:rFonts w:ascii="Cambria Math" w:eastAsia="MS Mincho" w:hAnsi="Cambria Math" w:cs="Times New Roman"/>
            <w:color w:val="262626"/>
            <w:sz w:val="24"/>
            <w:szCs w:val="24"/>
            <w:lang w:val="en-US"/>
          </w:rPr>
          <m:t>)</m:t>
        </m:r>
      </m:oMath>
      <w:r w:rsidRPr="00D01047">
        <w:rPr>
          <w:rFonts w:ascii="Times New Roman" w:eastAsia="MS Mincho" w:hAnsi="Times New Roman" w:cs="Times New Roman"/>
          <w:color w:val="262626"/>
          <w:sz w:val="24"/>
          <w:szCs w:val="24"/>
          <w:lang w:val="en-US"/>
        </w:rPr>
        <w:t>.</w:t>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r>
      <w:r w:rsidRPr="00D01047">
        <w:rPr>
          <w:rFonts w:ascii="Times New Roman" w:eastAsia="MS Mincho" w:hAnsi="Times New Roman" w:cs="Times New Roman"/>
          <w:color w:val="262626"/>
          <w:sz w:val="24"/>
          <w:szCs w:val="24"/>
          <w:lang w:val="en-US"/>
        </w:rPr>
        <w:tab/>
        <w:t>(2)</w:t>
      </w:r>
    </w:p>
    <w:p w:rsidR="00D01047" w:rsidRDefault="00D01047" w:rsidP="00D01047">
      <w:pPr>
        <w:spacing w:line="360" w:lineRule="auto"/>
        <w:jc w:val="both"/>
        <w:rPr>
          <w:rFonts w:ascii="Times New Roman" w:eastAsia="MS Mincho" w:hAnsi="Times New Roman" w:cs="Times New Roman"/>
          <w:color w:val="262626"/>
          <w:sz w:val="24"/>
          <w:szCs w:val="24"/>
          <w:lang w:val="en-US"/>
        </w:rPr>
      </w:pPr>
    </w:p>
    <w:p w:rsidR="00D01047" w:rsidRDefault="00D01047" w:rsidP="00D01047">
      <w:pPr>
        <w:spacing w:line="360" w:lineRule="auto"/>
        <w:jc w:val="both"/>
        <w:rPr>
          <w:rFonts w:ascii="Times New Roman" w:eastAsia="MS Mincho" w:hAnsi="Times New Roman" w:cs="Times New Roman"/>
          <w:color w:val="262626"/>
          <w:sz w:val="24"/>
          <w:szCs w:val="24"/>
          <w:lang w:val="en-US"/>
        </w:rPr>
      </w:pPr>
      <w:r>
        <w:rPr>
          <w:rFonts w:ascii="Times New Roman" w:eastAsia="MS Mincho" w:hAnsi="Times New Roman" w:cs="Times New Roman"/>
          <w:color w:val="262626"/>
          <w:sz w:val="24"/>
          <w:szCs w:val="24"/>
          <w:lang w:val="en-US"/>
        </w:rPr>
        <w:lastRenderedPageBreak/>
        <w:t xml:space="preserve">Where </w:t>
      </w:r>
      <w:r w:rsidRPr="00D01047">
        <w:rPr>
          <w:rFonts w:ascii="Times New Roman" w:eastAsia="MS Mincho" w:hAnsi="Times New Roman" w:cs="Times New Roman"/>
          <w:color w:val="262626"/>
          <w:sz w:val="24"/>
          <w:szCs w:val="24"/>
          <w:lang w:val="en-US"/>
        </w:rPr>
        <w:t xml:space="preserve">the dependent variable </w:t>
      </w:r>
      <m:oMath>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Entry</m:t>
            </m:r>
          </m:e>
          <m:sub>
            <m:r>
              <w:rPr>
                <w:rFonts w:ascii="Cambria Math" w:eastAsia="MS Mincho" w:hAnsi="Cambria Math" w:cs="Times New Roman"/>
                <w:color w:val="262626"/>
                <w:sz w:val="24"/>
                <w:szCs w:val="24"/>
                <w:lang w:val="en-US"/>
              </w:rPr>
              <m:t>i,t</m:t>
            </m:r>
          </m:sub>
        </m:sSub>
        <m:r>
          <w:rPr>
            <w:rFonts w:ascii="Cambria Math" w:eastAsia="MS Mincho" w:hAnsi="Cambria Math" w:cs="Times New Roman"/>
            <w:color w:val="262626"/>
            <w:sz w:val="24"/>
            <w:szCs w:val="24"/>
            <w:lang w:val="en-US"/>
          </w:rPr>
          <m:t xml:space="preserve">, </m:t>
        </m:r>
      </m:oMath>
      <w:r w:rsidRPr="00D01047">
        <w:rPr>
          <w:rFonts w:ascii="Times New Roman" w:eastAsia="MS Mincho" w:hAnsi="Times New Roman" w:cs="Times New Roman"/>
          <w:color w:val="262626"/>
          <w:sz w:val="24"/>
          <w:szCs w:val="24"/>
          <w:lang w:val="en-US"/>
        </w:rPr>
        <w:t xml:space="preserve"> is a dummy variable assuming value one for the period in which the firm re-enters exporting and value zero otherwise.</w:t>
      </w: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p>
    <w:p w:rsidR="00D01047" w:rsidRPr="00D01047" w:rsidRDefault="00D01047" w:rsidP="00D01047">
      <w:pPr>
        <w:spacing w:line="360" w:lineRule="auto"/>
        <w:jc w:val="both"/>
        <w:rPr>
          <w:rFonts w:ascii="Times New Roman" w:eastAsia="MS Mincho" w:hAnsi="Times New Roman" w:cs="Times New Roman"/>
          <w:color w:val="262626"/>
          <w:sz w:val="24"/>
          <w:szCs w:val="24"/>
          <w:lang w:val="en-US"/>
        </w:rPr>
      </w:pPr>
      <w:r w:rsidRPr="00D01047">
        <w:rPr>
          <w:rFonts w:ascii="Times New Roman" w:eastAsia="MS Mincho" w:hAnsi="Times New Roman" w:cs="Times New Roman"/>
          <w:color w:val="262626"/>
          <w:sz w:val="24"/>
          <w:szCs w:val="24"/>
          <w:lang w:val="en-US"/>
        </w:rPr>
        <w:t xml:space="preserve">The term </w:t>
      </w:r>
      <m:oMath>
        <m:r>
          <w:rPr>
            <w:rFonts w:ascii="Cambria Math" w:eastAsia="MS Mincho" w:hAnsi="Cambria Math" w:cs="Times New Roman"/>
            <w:color w:val="262626"/>
            <w:sz w:val="24"/>
            <w:szCs w:val="24"/>
            <w:lang w:val="en-US"/>
          </w:rPr>
          <m:t>λ(</m:t>
        </m:r>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s</m:t>
            </m:r>
          </m:e>
          <m:sub>
            <m:r>
              <w:rPr>
                <w:rFonts w:ascii="Cambria Math" w:eastAsia="MS Mincho" w:hAnsi="Cambria Math" w:cs="Times New Roman"/>
                <w:color w:val="262626"/>
                <w:sz w:val="24"/>
                <w:szCs w:val="24"/>
                <w:lang w:val="en-US"/>
              </w:rPr>
              <m:t>i</m:t>
            </m:r>
          </m:sub>
        </m:sSub>
        <m:r>
          <w:rPr>
            <w:rFonts w:ascii="Cambria Math" w:eastAsia="MS Mincho" w:hAnsi="Cambria Math" w:cs="Times New Roman"/>
            <w:color w:val="262626"/>
            <w:sz w:val="24"/>
            <w:szCs w:val="24"/>
            <w:lang w:val="en-US"/>
          </w:rPr>
          <m:t>)</m:t>
        </m:r>
      </m:oMath>
      <w:r w:rsidRPr="00D01047">
        <w:rPr>
          <w:rFonts w:ascii="Times New Roman" w:eastAsia="MS Mincho" w:hAnsi="Times New Roman" w:cs="Times New Roman"/>
          <w:color w:val="262626"/>
          <w:sz w:val="24"/>
          <w:szCs w:val="24"/>
          <w:lang w:val="en-US"/>
        </w:rPr>
        <w:t xml:space="preserve"> is the length of the `non-exporting' period defined as the log number of years since export exit. The term </w:t>
      </w:r>
      <m:oMath>
        <m:sSub>
          <m:sSubPr>
            <m:ctrlPr>
              <w:rPr>
                <w:rFonts w:ascii="Cambria Math" w:eastAsia="MS Mincho" w:hAnsi="Cambria Math" w:cs="Times New Roman"/>
                <w:i/>
                <w:color w:val="262626"/>
                <w:sz w:val="24"/>
                <w:szCs w:val="24"/>
                <w:lang w:val="en-US"/>
              </w:rPr>
            </m:ctrlPr>
          </m:sSubPr>
          <m:e>
            <m:r>
              <w:rPr>
                <w:rFonts w:ascii="Cambria Math" w:eastAsia="MS Mincho" w:hAnsi="Cambria Math" w:cs="Times New Roman"/>
                <w:color w:val="262626"/>
                <w:sz w:val="24"/>
                <w:szCs w:val="24"/>
                <w:lang w:val="en-US"/>
              </w:rPr>
              <m:t>M</m:t>
            </m:r>
          </m:e>
          <m:sub>
            <m:r>
              <w:rPr>
                <w:rFonts w:ascii="Cambria Math" w:eastAsia="MS Mincho" w:hAnsi="Cambria Math" w:cs="Times New Roman"/>
                <w:color w:val="262626"/>
                <w:sz w:val="24"/>
                <w:szCs w:val="24"/>
                <w:lang w:val="en-US"/>
              </w:rPr>
              <m:t>si,0</m:t>
            </m:r>
          </m:sub>
        </m:sSub>
      </m:oMath>
      <w:r w:rsidRPr="00D01047">
        <w:rPr>
          <w:rFonts w:ascii="Times New Roman" w:eastAsia="MS Mincho" w:hAnsi="Times New Roman" w:cs="Times New Roman"/>
          <w:color w:val="262626"/>
          <w:sz w:val="24"/>
          <w:szCs w:val="24"/>
          <w:lang w:val="en-US"/>
        </w:rPr>
        <w:t xml:space="preserve"> is a vector including the variables that describe the demand conditions in the domestic and in the foreign market in the year when firm </w:t>
      </w:r>
      <w:r w:rsidRPr="00D01047">
        <w:rPr>
          <w:rFonts w:ascii="Times New Roman" w:eastAsia="MS Mincho" w:hAnsi="Times New Roman" w:cs="Times New Roman"/>
          <w:i/>
          <w:color w:val="262626"/>
          <w:sz w:val="24"/>
          <w:szCs w:val="24"/>
          <w:lang w:val="en-US"/>
        </w:rPr>
        <w:t xml:space="preserve">i </w:t>
      </w:r>
      <w:r w:rsidRPr="00D01047">
        <w:rPr>
          <w:rFonts w:ascii="Times New Roman" w:eastAsia="MS Mincho" w:hAnsi="Times New Roman" w:cs="Times New Roman"/>
          <w:color w:val="262626"/>
          <w:sz w:val="24"/>
          <w:szCs w:val="24"/>
          <w:lang w:val="en-US"/>
        </w:rPr>
        <w:t xml:space="preserve">left the export market. The term </w:t>
      </w:r>
      <w:r w:rsidRPr="00D01047">
        <w:rPr>
          <w:rFonts w:ascii="Times New Roman" w:eastAsia="MS Mincho" w:hAnsi="Times New Roman" w:cs="Times New Roman"/>
          <w:i/>
          <w:color w:val="262626"/>
          <w:sz w:val="24"/>
          <w:szCs w:val="24"/>
          <w:lang w:val="en-US"/>
        </w:rPr>
        <w:t>IMR</w:t>
      </w:r>
      <w:r w:rsidRPr="00D01047">
        <w:rPr>
          <w:rFonts w:ascii="Times New Roman" w:eastAsia="MS Mincho" w:hAnsi="Times New Roman" w:cs="Times New Roman"/>
          <w:i/>
          <w:color w:val="262626"/>
          <w:sz w:val="24"/>
          <w:szCs w:val="24"/>
          <w:vertAlign w:val="subscript"/>
          <w:lang w:val="en-US"/>
        </w:rPr>
        <w:t xml:space="preserve">0 </w:t>
      </w:r>
      <w:r w:rsidRPr="00D01047">
        <w:rPr>
          <w:rFonts w:ascii="Times New Roman" w:eastAsia="MS Mincho" w:hAnsi="Times New Roman" w:cs="Times New Roman"/>
          <w:color w:val="262626"/>
          <w:sz w:val="24"/>
          <w:szCs w:val="24"/>
          <w:vertAlign w:val="subscript"/>
          <w:lang w:val="en-US"/>
        </w:rPr>
        <w:t xml:space="preserve"> </w:t>
      </w:r>
      <w:r w:rsidRPr="00D01047">
        <w:rPr>
          <w:rFonts w:ascii="Times New Roman" w:eastAsia="MS Mincho" w:hAnsi="Times New Roman" w:cs="Times New Roman"/>
          <w:color w:val="262626"/>
          <w:sz w:val="24"/>
          <w:szCs w:val="24"/>
          <w:lang w:val="en-US"/>
        </w:rPr>
        <w:t xml:space="preserve">is the Inverse Mill's Ratio computed on the basis of the estimated coefficients obtained from the model on export exit. This term corrects for the bias arising in the second model due to the correlation between firm-specific time-invariant factors that determine both the termination of the first export spell and the probability of export re-entry. </w:t>
      </w:r>
      <w:r w:rsidR="00161496" w:rsidRPr="00161496">
        <w:rPr>
          <w:rFonts w:ascii="Times New Roman" w:eastAsia="MS Mincho" w:hAnsi="Times New Roman" w:cs="Times New Roman"/>
          <w:color w:val="262626"/>
          <w:sz w:val="24"/>
          <w:szCs w:val="24"/>
          <w:lang w:val="en-US"/>
        </w:rPr>
        <w:t>Because the regressors included in the re-entry model take values different from the ones on which the Inverse Mill's ratio is evaluated, there is no issue of multicollinearity in identifying the coefficient on the selection term.</w:t>
      </w:r>
      <w:r w:rsidR="00161496" w:rsidRPr="00161496">
        <w:rPr>
          <w:rFonts w:ascii="Times New Roman" w:eastAsia="MS Mincho" w:hAnsi="Times New Roman" w:cs="Times New Roman"/>
          <w:color w:val="262626"/>
          <w:sz w:val="24"/>
          <w:szCs w:val="24"/>
          <w:vertAlign w:val="superscript"/>
          <w:lang w:val="en-US"/>
        </w:rPr>
        <w:footnoteReference w:id="1"/>
      </w:r>
      <w:r w:rsidR="005F3CD4">
        <w:rPr>
          <w:rFonts w:ascii="Times New Roman" w:eastAsia="MS Mincho" w:hAnsi="Times New Roman" w:cs="Times New Roman"/>
          <w:color w:val="262626"/>
          <w:sz w:val="24"/>
          <w:szCs w:val="24"/>
          <w:lang w:val="en-US"/>
        </w:rPr>
        <w:t xml:space="preserve"> </w:t>
      </w:r>
      <w:r w:rsidRPr="00D01047">
        <w:rPr>
          <w:rFonts w:ascii="Times New Roman" w:eastAsia="MS Mincho" w:hAnsi="Times New Roman" w:cs="Times New Roman"/>
          <w:color w:val="262626"/>
          <w:sz w:val="24"/>
          <w:szCs w:val="24"/>
          <w:lang w:val="en-US"/>
        </w:rPr>
        <w:t>The remaining regressors on the right-hand side are the same as those in Equation (1).</w:t>
      </w:r>
    </w:p>
    <w:p w:rsidR="00ED422E" w:rsidRDefault="00ED422E" w:rsidP="00D01047">
      <w:pPr>
        <w:jc w:val="left"/>
      </w:pPr>
    </w:p>
    <w:p w:rsidR="008F5A2A" w:rsidRPr="008F5A2A" w:rsidRDefault="008F5A2A" w:rsidP="008F5A2A">
      <w:pPr>
        <w:jc w:val="left"/>
        <w:rPr>
          <w:rFonts w:eastAsiaTheme="minorEastAsia"/>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b/>
          <w:sz w:val="24"/>
          <w:szCs w:val="24"/>
          <w:lang w:val="en-US"/>
        </w:rPr>
      </w:pPr>
      <w:r w:rsidRPr="008F5A2A">
        <w:rPr>
          <w:rFonts w:ascii="Times New Roman" w:eastAsiaTheme="minorEastAsia" w:hAnsi="Times New Roman" w:cs="Times New Roman"/>
          <w:b/>
          <w:sz w:val="24"/>
          <w:szCs w:val="24"/>
          <w:lang w:val="en-US"/>
        </w:rPr>
        <w:t>Robustness Checks</w:t>
      </w:r>
    </w:p>
    <w:p w:rsidR="008F5A2A" w:rsidRPr="008F5A2A" w:rsidRDefault="008F5A2A" w:rsidP="008F5A2A">
      <w:pPr>
        <w:spacing w:line="360" w:lineRule="auto"/>
        <w:jc w:val="both"/>
        <w:rPr>
          <w:rFonts w:ascii="Times New Roman" w:eastAsiaTheme="minorEastAsia" w:hAnsi="Times New Roman" w:cs="Times New Roman"/>
          <w:b/>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b/>
          <w:i/>
          <w:sz w:val="24"/>
          <w:szCs w:val="24"/>
          <w:lang w:val="en-US"/>
        </w:rPr>
        <w:t>Definition of export markets</w:t>
      </w:r>
    </w:p>
    <w:p w:rsidR="001A7534" w:rsidRDefault="001A7534" w:rsidP="008F5A2A">
      <w:pPr>
        <w:spacing w:line="360" w:lineRule="auto"/>
        <w:jc w:val="both"/>
        <w:rPr>
          <w:rFonts w:ascii="Times New Roman" w:eastAsiaTheme="minorEastAsia" w:hAnsi="Times New Roman" w:cs="Times New Roman"/>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sz w:val="24"/>
          <w:szCs w:val="24"/>
          <w:lang w:val="en-US"/>
        </w:rPr>
        <w:t xml:space="preserve">In the analysis in the main text </w:t>
      </w:r>
      <w:r w:rsidRPr="008F5A2A">
        <w:rPr>
          <w:rFonts w:ascii="Times New Roman" w:eastAsiaTheme="minorEastAsia" w:hAnsi="Times New Roman" w:cs="Times New Roman"/>
          <w:color w:val="262626"/>
          <w:sz w:val="24"/>
          <w:szCs w:val="24"/>
          <w:lang w:val="en-US"/>
        </w:rPr>
        <w:t xml:space="preserve">we proxy foreign demand with the demand of bordering countries.  This is because previous research shows that firms first expand into geographically close export markets and then target more distant export destinations (Eaton et al., 2004), and thus we expect neighboring countries' demand to affect more directly the export decisions of potentially intermittent exporters. </w:t>
      </w: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color w:val="262626"/>
          <w:sz w:val="24"/>
          <w:szCs w:val="24"/>
          <w:lang w:val="en-US"/>
        </w:rPr>
        <w:t xml:space="preserve">However, this could be seen as </w:t>
      </w:r>
      <w:r w:rsidRPr="008F5A2A">
        <w:rPr>
          <w:rFonts w:ascii="Times New Roman" w:eastAsiaTheme="minorEastAsia" w:hAnsi="Times New Roman" w:cs="Times New Roman"/>
          <w:sz w:val="24"/>
          <w:szCs w:val="24"/>
          <w:lang w:val="en-US"/>
        </w:rPr>
        <w:t>not being representative of changes in export market conditions as a whole and therefore not necessarily generalizable to export entry and re-entry overall. Therefore, as a robustness check we re-ran our analysis using a definition of foreign market demand which used a weighted average of all French export markets.  More exactly, we redefine the changes in foreign demand (</w:t>
      </w:r>
      <w:r w:rsidRPr="008F5A2A">
        <w:rPr>
          <w:rFonts w:ascii="Times New Roman" w:eastAsiaTheme="minorEastAsia" w:hAnsi="Times New Roman" w:cs="Times New Roman"/>
          <w:i/>
          <w:sz w:val="24"/>
          <w:szCs w:val="24"/>
          <w:lang w:val="en-US"/>
        </w:rPr>
        <w:t>∆For</w:t>
      </w:r>
      <w:r w:rsidRPr="008F5A2A">
        <w:rPr>
          <w:rFonts w:ascii="Times New Roman" w:eastAsiaTheme="minorEastAsia" w:hAnsi="Times New Roman" w:cs="Times New Roman"/>
          <w:i/>
          <w:sz w:val="24"/>
          <w:szCs w:val="24"/>
          <w:vertAlign w:val="subscript"/>
          <w:lang w:val="en-US"/>
        </w:rPr>
        <w:t>s,t</w:t>
      </w:r>
      <w:r w:rsidRPr="008F5A2A">
        <w:rPr>
          <w:rFonts w:ascii="Times New Roman" w:eastAsiaTheme="minorEastAsia" w:hAnsi="Times New Roman" w:cs="Times New Roman"/>
          <w:sz w:val="24"/>
          <w:szCs w:val="24"/>
          <w:lang w:val="en-US"/>
        </w:rPr>
        <w:t xml:space="preserve">) as the log difference in the aggregate sectoral absorption across all trading countries with France, where absorption is domestic </w:t>
      </w:r>
      <w:r w:rsidRPr="008F5A2A">
        <w:rPr>
          <w:rFonts w:ascii="Times New Roman" w:eastAsiaTheme="minorEastAsia" w:hAnsi="Times New Roman" w:cs="Times New Roman"/>
          <w:sz w:val="24"/>
          <w:szCs w:val="24"/>
          <w:lang w:val="en-US"/>
        </w:rPr>
        <w:lastRenderedPageBreak/>
        <w:t>production plus exports minus imports between two consecutive years for the aggregate output of the 2-digit ISIC industry of each firm, using data from the OECD Structural Analysis Dataset (STAN).</w:t>
      </w:r>
      <w:r w:rsidRPr="008F5A2A">
        <w:rPr>
          <w:rFonts w:ascii="Times New Roman" w:eastAsiaTheme="minorEastAsia" w:hAnsi="Times New Roman" w:cs="Times New Roman"/>
          <w:color w:val="0000FF"/>
          <w:sz w:val="24"/>
          <w:szCs w:val="24"/>
          <w:lang w:val="en-US"/>
        </w:rPr>
        <w:t xml:space="preserve">  </w:t>
      </w:r>
      <w:r w:rsidRPr="008F5A2A">
        <w:rPr>
          <w:rFonts w:ascii="Times New Roman" w:eastAsiaTheme="minorEastAsia" w:hAnsi="Times New Roman" w:cs="Times New Roman"/>
          <w:sz w:val="24"/>
          <w:szCs w:val="24"/>
          <w:lang w:val="en-US"/>
        </w:rPr>
        <w:t xml:space="preserve">Compared to the results reported in Table 4 and 5 (main text), we find no qualitative differences between the estimates of foreign demand, nor between the estimates of other independent variables (results available on request). </w:t>
      </w:r>
    </w:p>
    <w:p w:rsidR="008F5A2A" w:rsidRPr="008F5A2A" w:rsidRDefault="008F5A2A" w:rsidP="008F5A2A">
      <w:pPr>
        <w:spacing w:line="360" w:lineRule="auto"/>
        <w:jc w:val="both"/>
        <w:rPr>
          <w:rFonts w:ascii="Times New Roman" w:eastAsiaTheme="minorEastAsia" w:hAnsi="Times New Roman" w:cs="Times New Roman"/>
          <w:color w:val="262626"/>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b/>
          <w:i/>
          <w:color w:val="262626"/>
          <w:sz w:val="24"/>
          <w:szCs w:val="24"/>
          <w:lang w:val="en-US"/>
        </w:rPr>
      </w:pPr>
      <w:r w:rsidRPr="008F5A2A">
        <w:rPr>
          <w:rFonts w:ascii="Times New Roman" w:eastAsiaTheme="minorEastAsia" w:hAnsi="Times New Roman" w:cs="Times New Roman"/>
          <w:b/>
          <w:i/>
          <w:color w:val="262626"/>
          <w:sz w:val="24"/>
          <w:szCs w:val="24"/>
          <w:lang w:val="en-US"/>
        </w:rPr>
        <w:t>Endogeneity issues</w:t>
      </w:r>
    </w:p>
    <w:p w:rsidR="001A7534" w:rsidRDefault="001A7534" w:rsidP="008F5A2A">
      <w:pPr>
        <w:spacing w:line="360" w:lineRule="auto"/>
        <w:jc w:val="both"/>
        <w:rPr>
          <w:rFonts w:ascii="Times New Roman" w:eastAsiaTheme="minorEastAsia" w:hAnsi="Times New Roman" w:cs="Times New Roman"/>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sz w:val="24"/>
          <w:szCs w:val="24"/>
          <w:lang w:val="en-US"/>
        </w:rPr>
        <w:t xml:space="preserve">In models (1) and (2) the key explanatory variables are the indicators of domestic and foreign demand conditions included in vector </w:t>
      </w:r>
      <w:r w:rsidRPr="008F5A2A">
        <w:rPr>
          <w:rFonts w:ascii="Times New Roman" w:eastAsiaTheme="minorEastAsia" w:hAnsi="Times New Roman" w:cs="Times New Roman"/>
          <w:i/>
          <w:sz w:val="24"/>
          <w:szCs w:val="24"/>
          <w:lang w:val="en-US"/>
        </w:rPr>
        <w:t xml:space="preserve">M. </w:t>
      </w:r>
      <w:r w:rsidRPr="008F5A2A">
        <w:rPr>
          <w:rFonts w:ascii="Times New Roman" w:eastAsiaTheme="minorEastAsia" w:hAnsi="Times New Roman" w:cs="Times New Roman"/>
          <w:sz w:val="24"/>
          <w:szCs w:val="24"/>
          <w:lang w:val="en-US"/>
        </w:rPr>
        <w:t>Because these indicators measure aggregate variations in demand, the assumption that they are uncorrelated with idiosyncratic shocks and unobserved fixed effects at the firm-level appears to be tenable. In addition indicators of foreign and domestic demand are obtained as first differences, eliminating the risk of non-stationarity in the time trend of these variables. A full set of industry- and time-specific fixed effects is also introduced to capture industry specific factors (e.g. different market structures) and macroeconomic shocks affecting all firms (e.g. variations in the real exchange rate).</w:t>
      </w: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sz w:val="24"/>
          <w:szCs w:val="24"/>
          <w:lang w:val="en-US"/>
        </w:rPr>
        <w:t>In contrast, the set of variables that capture a firm’s attributes (employment size, capital intensity and productivity) are possibly correlated with firms’ unobserved factors subsumed in the error terms. If this is the case, the assumption that the conditional distributions of the error terms (i.e. the distribution of the errors given a specific set of values of the regressors included in the model) is equal to the unconditional one (i.e. the distribution of the errors across all observations) is violated, and the Random Effect Probit estimators generate inconsistent estimates of the parameters. Because the variables for a firm’s employment size, capital intensity and productivity are also interacted with the indicators of demand condition this issue potentially also affects the interaction terms.</w:t>
      </w: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sz w:val="24"/>
          <w:szCs w:val="24"/>
          <w:lang w:val="en-US"/>
        </w:rPr>
        <w:t xml:space="preserve">Unfortunately, practical and methodological issues prevent the application of the fixed-effect estimator to the Probit model: essentially, fixed-effects Probit models are inherently inconsistent (Green, 2004). In addition, first-differencing or de-meaning the dependent variable does not make sense in our context: because the dependent variable assumes the value 1 only in the last period a firm is observed in the samples (i.e. the period of export exit or the period of export entry respectively), within transformation (i.e. the transformation of the variables obtained by subtracting the mean of the variable at the firm-level to individual </w:t>
      </w:r>
      <w:r w:rsidRPr="008F5A2A">
        <w:rPr>
          <w:rFonts w:ascii="Times New Roman" w:eastAsiaTheme="minorEastAsia" w:hAnsi="Times New Roman" w:cs="Times New Roman"/>
          <w:sz w:val="24"/>
          <w:szCs w:val="24"/>
          <w:lang w:val="en-US"/>
        </w:rPr>
        <w:lastRenderedPageBreak/>
        <w:t>observations) would generate a dependent variable that is equal to 0 in the periods before export exit (or export re-entry) and value 1- (1/n) where n is the number of observations for that firms. This mechanical relationship between the number of observations and the dependent variable should be avoided.</w:t>
      </w: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sz w:val="24"/>
          <w:szCs w:val="24"/>
          <w:lang w:val="en-US"/>
        </w:rPr>
        <w:t>Instead, to address potential endogeneity arising from unobserved firm-level heterogeneity we adopt the Mundlak approach, that is a compromise between a Random Effect and a Fixed Effect model (Green, 2012). This approach consists in parameterising  the structure of the error term as:</w:t>
      </w: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p>
    <w:p w:rsidR="008F5A2A" w:rsidRPr="008F5A2A" w:rsidRDefault="005B34B0" w:rsidP="008F5A2A">
      <w:pPr>
        <w:spacing w:line="360" w:lineRule="auto"/>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it</m:t>
              </m:r>
            </m:sub>
          </m:sSub>
          <m:r>
            <w:rPr>
              <w:rFonts w:ascii="Cambria Math" w:eastAsiaTheme="minorEastAsia" w:hAnsi="Cambria Math" w:cs="Times New Roman"/>
              <w:sz w:val="24"/>
              <w:szCs w:val="24"/>
              <w:lang w:val="en-US"/>
            </w:rPr>
            <m:t>= γ</m:t>
          </m:r>
          <m:acc>
            <m:accPr>
              <m:chr m:val="̅"/>
              <m:ctrlPr>
                <w:rPr>
                  <w:rFonts w:ascii="Cambria Math" w:eastAsiaTheme="minorEastAsia" w:hAnsi="Cambria Math" w:cs="Times New Roman"/>
                  <w:i/>
                  <w:sz w:val="24"/>
                  <w:szCs w:val="24"/>
                  <w:lang w:val="en-US"/>
                </w:rPr>
              </m:ctrlPr>
            </m:acc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e>
          </m:acc>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 </m:t>
              </m:r>
            </m:e>
            <m:sup>
              <m:r>
                <w:rPr>
                  <w:rFonts w:ascii="Cambria Math" w:eastAsiaTheme="minorEastAsia" w:hAnsi="Cambria Math" w:cs="Times New Roman"/>
                  <w:sz w:val="24"/>
                  <w:szCs w:val="24"/>
                  <w:lang w:val="en-US"/>
                </w:rPr>
                <m:t>'</m:t>
              </m:r>
            </m:sup>
          </m:sSup>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ε</m:t>
              </m:r>
            </m:e>
            <m:sub>
              <m:r>
                <w:rPr>
                  <w:rFonts w:ascii="Cambria Math" w:eastAsiaTheme="minorEastAsia" w:hAnsi="Cambria Math" w:cs="Times New Roman"/>
                  <w:sz w:val="24"/>
                  <w:szCs w:val="24"/>
                  <w:lang w:val="en-US"/>
                </w:rPr>
                <m:t>it</m:t>
              </m:r>
            </m:sub>
          </m:sSub>
          <m:r>
            <w:rPr>
              <w:rFonts w:ascii="Cambria Math" w:eastAsiaTheme="minorEastAsia" w:hAnsi="Cambria Math" w:cs="Times New Roman"/>
              <w:sz w:val="24"/>
              <w:szCs w:val="24"/>
              <w:lang w:val="en-US"/>
            </w:rPr>
            <m:t>.</m:t>
          </m:r>
        </m:oMath>
      </m:oMathPara>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r w:rsidRPr="008F5A2A">
        <w:rPr>
          <w:rFonts w:ascii="Times New Roman" w:eastAsiaTheme="minorEastAsia" w:hAnsi="Times New Roman" w:cs="Times New Roman"/>
          <w:sz w:val="24"/>
          <w:szCs w:val="24"/>
          <w:lang w:val="en-US"/>
        </w:rPr>
        <w:t xml:space="preserve">This expression implies that the error term can be decomposed into a random component uncorrelated with the regressors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ε</m:t>
            </m:r>
          </m:e>
          <m:sub>
            <m:r>
              <w:rPr>
                <w:rFonts w:ascii="Cambria Math" w:eastAsiaTheme="minorEastAsia" w:hAnsi="Cambria Math" w:cs="Times New Roman"/>
                <w:sz w:val="24"/>
                <w:szCs w:val="24"/>
                <w:lang w:val="en-US"/>
              </w:rPr>
              <m:t>it</m:t>
            </m:r>
          </m:sub>
        </m:sSub>
      </m:oMath>
      <w:r w:rsidRPr="008F5A2A">
        <w:rPr>
          <w:rFonts w:ascii="Times New Roman" w:eastAsiaTheme="minorEastAsia" w:hAnsi="Times New Roman" w:cs="Times New Roman"/>
          <w:sz w:val="24"/>
          <w:szCs w:val="24"/>
          <w:lang w:val="en-US"/>
        </w:rPr>
        <w:t xml:space="preserve"> and a systematic component that depends on the firm-level averages of the regressors </w:t>
      </w:r>
      <m:oMath>
        <m:acc>
          <m:accPr>
            <m:chr m:val="̅"/>
            <m:ctrlPr>
              <w:rPr>
                <w:rFonts w:ascii="Cambria Math" w:eastAsiaTheme="minorEastAsia" w:hAnsi="Cambria Math" w:cs="Times New Roman"/>
                <w:i/>
                <w:sz w:val="24"/>
                <w:szCs w:val="24"/>
                <w:lang w:val="en-US"/>
              </w:rPr>
            </m:ctrlPr>
          </m:acc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e>
        </m:acc>
      </m:oMath>
      <w:r w:rsidRPr="008F5A2A">
        <w:rPr>
          <w:rFonts w:ascii="Times New Roman" w:eastAsiaTheme="minorEastAsia" w:hAnsi="Times New Roman" w:cs="Times New Roman"/>
          <w:sz w:val="24"/>
          <w:szCs w:val="24"/>
          <w:lang w:val="en-US"/>
        </w:rPr>
        <w:t xml:space="preserve">. We can then eliminate endogeneity by introducing firm-level averages of the regressors as additional controls. Intuitively, these averages should absorb the correlation between the independent variables of interest (and their interactions) and the error term. Tables 6 and 7 shows the results for this robustness check. Results are qualitatively very similar to the ones from the baseline RE Probit model. Some of the coefficients on the firm-level attributes are now more imprecisely estimated. This should be expected given that some of these variables (e.g., capital intensity) vary very slowly over time, and time variations are insufficient to identify simultaneously the coefficient on the time specific variable and on the firm-level mean. Note also that productivity effects are </w:t>
      </w:r>
      <w:r w:rsidRPr="008F5A2A">
        <w:rPr>
          <w:rFonts w:ascii="Times New Roman" w:eastAsiaTheme="minorEastAsia" w:hAnsi="Times New Roman" w:cs="Times New Roman"/>
          <w:sz w:val="24"/>
          <w:szCs w:val="24"/>
        </w:rPr>
        <w:t>are now captured by the additional m_tfp term (average TFP at the firm level),  suggesting that the unobserved productivity differences determining exit and re-entry are persistent across firm: they are indeed some kind of fixed effects.  Crucially, t</w:t>
      </w:r>
      <w:r w:rsidRPr="008F5A2A">
        <w:rPr>
          <w:rFonts w:ascii="Times New Roman" w:eastAsiaTheme="minorEastAsia" w:hAnsi="Times New Roman" w:cs="Times New Roman"/>
          <w:sz w:val="24"/>
          <w:szCs w:val="24"/>
          <w:lang w:val="en-US"/>
        </w:rPr>
        <w:t>he fact that the sign and the significance of the parameters on the interaction terms are preserved reassures that our results are not driven by unobserved firm-level heterogeneity.</w:t>
      </w:r>
    </w:p>
    <w:p w:rsidR="008F5A2A" w:rsidRPr="008F5A2A" w:rsidRDefault="008F5A2A" w:rsidP="008F5A2A">
      <w:pPr>
        <w:jc w:val="left"/>
        <w:rPr>
          <w:rFonts w:eastAsiaTheme="minorEastAsia"/>
          <w:sz w:val="24"/>
          <w:szCs w:val="24"/>
          <w:lang w:val="en-US"/>
        </w:rPr>
      </w:pPr>
    </w:p>
    <w:p w:rsidR="008F5A2A" w:rsidRPr="008F5A2A" w:rsidRDefault="008F5A2A" w:rsidP="008F5A2A">
      <w:pPr>
        <w:rPr>
          <w:rFonts w:eastAsiaTheme="minorEastAsia"/>
          <w:i/>
          <w:sz w:val="24"/>
          <w:szCs w:val="24"/>
          <w:lang w:val="en-US"/>
        </w:rPr>
      </w:pPr>
      <w:r w:rsidRPr="008F5A2A">
        <w:rPr>
          <w:rFonts w:eastAsiaTheme="minorEastAsia"/>
          <w:i/>
          <w:sz w:val="24"/>
          <w:szCs w:val="24"/>
          <w:lang w:val="en-US"/>
        </w:rPr>
        <w:t>&lt;Tables 6 and 7 about here&gt;</w:t>
      </w:r>
    </w:p>
    <w:p w:rsidR="008F5A2A" w:rsidRPr="008F5A2A" w:rsidRDefault="008F5A2A" w:rsidP="008F5A2A">
      <w:pPr>
        <w:rPr>
          <w:rFonts w:eastAsiaTheme="minorEastAsia"/>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b/>
          <w:i/>
          <w:sz w:val="24"/>
          <w:szCs w:val="24"/>
          <w:lang w:val="en-US"/>
        </w:rPr>
      </w:pPr>
      <w:r w:rsidRPr="008F5A2A">
        <w:rPr>
          <w:rFonts w:ascii="Times New Roman" w:eastAsiaTheme="minorEastAsia" w:hAnsi="Times New Roman" w:cs="Times New Roman"/>
          <w:b/>
          <w:i/>
          <w:sz w:val="24"/>
          <w:szCs w:val="24"/>
          <w:lang w:val="en-US"/>
        </w:rPr>
        <w:t>Alternative modes of internationalisation</w:t>
      </w:r>
    </w:p>
    <w:p w:rsidR="008F5A2A" w:rsidRPr="008F5A2A" w:rsidRDefault="008F5A2A" w:rsidP="008F5A2A">
      <w:pPr>
        <w:spacing w:line="360" w:lineRule="auto"/>
        <w:jc w:val="both"/>
        <w:rPr>
          <w:rFonts w:ascii="Times New Roman" w:eastAsiaTheme="minorEastAsia" w:hAnsi="Times New Roman" w:cs="Times New Roman"/>
          <w:sz w:val="24"/>
          <w:szCs w:val="24"/>
          <w:lang w:val="en-US"/>
        </w:rPr>
      </w:pPr>
    </w:p>
    <w:p w:rsidR="008F5A2A" w:rsidRPr="008F5A2A" w:rsidRDefault="008F5A2A" w:rsidP="008F5A2A">
      <w:pPr>
        <w:spacing w:line="360" w:lineRule="auto"/>
        <w:jc w:val="both"/>
        <w:rPr>
          <w:rFonts w:ascii="Times New Roman" w:eastAsiaTheme="minorEastAsia" w:hAnsi="Times New Roman" w:cs="Times New Roman"/>
          <w:sz w:val="24"/>
          <w:szCs w:val="24"/>
        </w:rPr>
      </w:pPr>
      <w:r w:rsidRPr="008F5A2A">
        <w:rPr>
          <w:rFonts w:ascii="Times New Roman" w:eastAsiaTheme="minorEastAsia" w:hAnsi="Times New Roman" w:cs="Times New Roman"/>
          <w:sz w:val="24"/>
          <w:szCs w:val="24"/>
        </w:rPr>
        <w:t xml:space="preserve">Our definition of exit is where a given firm ceases all export activity. Of course, firms may replace exporting with other forms of internationalisation, such as FDI. However, the focus of our paper is on firms that exit and re-enter exporting activity entirely. For mode switches to constitute exit in our analysis it would be necessary for firms to systematically replace exporting in </w:t>
      </w:r>
      <w:r w:rsidRPr="008F5A2A">
        <w:rPr>
          <w:rFonts w:ascii="Times New Roman" w:eastAsiaTheme="minorEastAsia" w:hAnsi="Times New Roman" w:cs="Times New Roman"/>
          <w:i/>
          <w:sz w:val="24"/>
          <w:szCs w:val="24"/>
        </w:rPr>
        <w:t>all</w:t>
      </w:r>
      <w:r w:rsidRPr="008F5A2A">
        <w:rPr>
          <w:rFonts w:ascii="Times New Roman" w:eastAsiaTheme="minorEastAsia" w:hAnsi="Times New Roman" w:cs="Times New Roman"/>
          <w:sz w:val="24"/>
          <w:szCs w:val="24"/>
        </w:rPr>
        <w:t xml:space="preserve"> overseas markets simultaneously and completely with some other form of internationalisation.  In practice, this is unlikely to happen. In a comprehensive review, Head and Reiss (2004) show that firms performing FDI invariably also export i.e. FDI typically co-exists with exporting at the </w:t>
      </w:r>
      <w:r w:rsidRPr="008F5A2A">
        <w:rPr>
          <w:rFonts w:ascii="Times New Roman" w:eastAsiaTheme="minorEastAsia" w:hAnsi="Times New Roman" w:cs="Times New Roman"/>
          <w:i/>
          <w:sz w:val="24"/>
          <w:szCs w:val="24"/>
        </w:rPr>
        <w:t xml:space="preserve">firm </w:t>
      </w:r>
      <w:r w:rsidRPr="008F5A2A">
        <w:rPr>
          <w:rFonts w:ascii="Times New Roman" w:eastAsiaTheme="minorEastAsia" w:hAnsi="Times New Roman" w:cs="Times New Roman"/>
          <w:sz w:val="24"/>
          <w:szCs w:val="24"/>
        </w:rPr>
        <w:t xml:space="preserve">level, even though they may be substitutes for entry into a given </w:t>
      </w:r>
      <w:r w:rsidRPr="008F5A2A">
        <w:rPr>
          <w:rFonts w:ascii="Times New Roman" w:eastAsiaTheme="minorEastAsia" w:hAnsi="Times New Roman" w:cs="Times New Roman"/>
          <w:i/>
          <w:sz w:val="24"/>
          <w:szCs w:val="24"/>
        </w:rPr>
        <w:t>market</w:t>
      </w:r>
      <w:r w:rsidRPr="008F5A2A">
        <w:rPr>
          <w:rFonts w:ascii="Times New Roman" w:eastAsiaTheme="minorEastAsia" w:hAnsi="Times New Roman" w:cs="Times New Roman"/>
          <w:sz w:val="24"/>
          <w:szCs w:val="24"/>
        </w:rPr>
        <w:t>. Nevertheless, we cannot ignore the possibility, and must consider the possible effects of this unlikely scenario.</w:t>
      </w:r>
    </w:p>
    <w:p w:rsidR="008F5A2A" w:rsidRPr="008F5A2A" w:rsidRDefault="008F5A2A" w:rsidP="008F5A2A">
      <w:pPr>
        <w:spacing w:line="360" w:lineRule="auto"/>
        <w:jc w:val="both"/>
        <w:rPr>
          <w:rFonts w:ascii="Times New Roman" w:eastAsiaTheme="minorEastAsia" w:hAnsi="Times New Roman" w:cs="Times New Roman"/>
          <w:sz w:val="24"/>
          <w:szCs w:val="24"/>
        </w:rPr>
      </w:pPr>
    </w:p>
    <w:p w:rsidR="008F5A2A" w:rsidRPr="008F5A2A" w:rsidRDefault="008F5A2A" w:rsidP="008F5A2A">
      <w:pPr>
        <w:spacing w:line="360" w:lineRule="auto"/>
        <w:jc w:val="both"/>
        <w:rPr>
          <w:rFonts w:ascii="Times New Roman" w:eastAsiaTheme="minorEastAsia" w:hAnsi="Times New Roman" w:cs="Times New Roman"/>
          <w:sz w:val="24"/>
          <w:szCs w:val="24"/>
        </w:rPr>
      </w:pPr>
      <w:r w:rsidRPr="008F5A2A">
        <w:rPr>
          <w:rFonts w:ascii="Times New Roman" w:eastAsiaTheme="minorEastAsia" w:hAnsi="Times New Roman" w:cs="Times New Roman"/>
          <w:sz w:val="24"/>
          <w:szCs w:val="24"/>
        </w:rPr>
        <w:t>It is well established that the likelihood of performing FDI rises with firm productivity and size (Head and Reiss 2003; Wagner 2012). For the FDI-export substitution argument to be valid for our sample, it would require that larger and more productive firms were more likely to exit exporting, and were more likely to exit in response to changes in demand conditions (in order to replace exporting completely with FDI).  In fact, the results suggest precisely the reverse: larger and more productive firms are more likely to remain exporters, and react less strongly to changes in demand, than smaller, less productive firms.  Larger and more productive firm may indeed also perform FDI, but they do not exit exporting in order to do so: mode switching does not drive our results.</w:t>
      </w:r>
    </w:p>
    <w:p w:rsidR="008F5A2A" w:rsidRPr="008F5A2A" w:rsidRDefault="008F5A2A" w:rsidP="008F5A2A">
      <w:pPr>
        <w:spacing w:line="360" w:lineRule="auto"/>
        <w:jc w:val="both"/>
        <w:rPr>
          <w:rFonts w:ascii="Times New Roman" w:eastAsiaTheme="minorEastAsia" w:hAnsi="Times New Roman" w:cs="Times New Roman"/>
          <w:sz w:val="24"/>
          <w:szCs w:val="24"/>
        </w:rPr>
      </w:pPr>
    </w:p>
    <w:p w:rsidR="008F5A2A" w:rsidRPr="008F5A2A" w:rsidRDefault="008F5A2A" w:rsidP="008F5A2A">
      <w:pPr>
        <w:spacing w:line="360" w:lineRule="auto"/>
        <w:jc w:val="both"/>
        <w:rPr>
          <w:rFonts w:ascii="Times New Roman" w:eastAsiaTheme="minorEastAsia" w:hAnsi="Times New Roman" w:cs="Times New Roman"/>
          <w:sz w:val="24"/>
          <w:szCs w:val="24"/>
        </w:rPr>
      </w:pPr>
      <w:r w:rsidRPr="008F5A2A">
        <w:rPr>
          <w:rFonts w:ascii="Times New Roman" w:eastAsiaTheme="minorEastAsia" w:hAnsi="Times New Roman" w:cs="Times New Roman"/>
          <w:sz w:val="24"/>
          <w:szCs w:val="24"/>
        </w:rPr>
        <w:t xml:space="preserve">Because of the large sample (virtually population) to which we have access, we can carry out further robustness checks.  We are able to examine the exit determinants of other subsets firms which we know ex-ante are less likely to be involved with other forms of internationalisation (e.g. FDI), and compare these with results for the full sample. By showing that the exit determinants of these sub-samples are effectively identical to that of the whole sample, we can demonstrate that our results are unlikely to be driven by the likelihood of firms exiting exporting </w:t>
      </w:r>
      <w:r w:rsidRPr="008F5A2A">
        <w:rPr>
          <w:rFonts w:ascii="Times New Roman" w:eastAsiaTheme="minorEastAsia" w:hAnsi="Times New Roman" w:cs="Times New Roman"/>
          <w:i/>
          <w:sz w:val="24"/>
          <w:szCs w:val="24"/>
        </w:rPr>
        <w:t xml:space="preserve">entirely </w:t>
      </w:r>
      <w:r w:rsidRPr="008F5A2A">
        <w:rPr>
          <w:rFonts w:ascii="Times New Roman" w:eastAsiaTheme="minorEastAsia" w:hAnsi="Times New Roman" w:cs="Times New Roman"/>
          <w:sz w:val="24"/>
          <w:szCs w:val="24"/>
        </w:rPr>
        <w:t>in order to take up some other form of internationalisation (results available on request).</w:t>
      </w:r>
    </w:p>
    <w:p w:rsidR="008F5A2A" w:rsidRPr="008F5A2A" w:rsidRDefault="008F5A2A" w:rsidP="008F5A2A">
      <w:pPr>
        <w:spacing w:line="360" w:lineRule="auto"/>
        <w:jc w:val="both"/>
        <w:rPr>
          <w:rFonts w:ascii="Times New Roman" w:eastAsiaTheme="minorEastAsia" w:hAnsi="Times New Roman" w:cs="Times New Roman"/>
          <w:sz w:val="24"/>
          <w:szCs w:val="24"/>
        </w:rPr>
      </w:pPr>
    </w:p>
    <w:p w:rsidR="008F5A2A" w:rsidRPr="008F5A2A" w:rsidRDefault="008F5A2A" w:rsidP="008F5A2A">
      <w:pPr>
        <w:spacing w:line="360" w:lineRule="auto"/>
        <w:jc w:val="both"/>
        <w:rPr>
          <w:rFonts w:ascii="Times New Roman" w:eastAsiaTheme="minorEastAsia" w:hAnsi="Times New Roman" w:cs="Times New Roman"/>
          <w:sz w:val="24"/>
          <w:szCs w:val="24"/>
        </w:rPr>
      </w:pPr>
      <w:r w:rsidRPr="008F5A2A">
        <w:rPr>
          <w:rFonts w:ascii="Times New Roman" w:eastAsiaTheme="minorEastAsia" w:hAnsi="Times New Roman" w:cs="Times New Roman"/>
          <w:sz w:val="24"/>
          <w:szCs w:val="24"/>
        </w:rPr>
        <w:t>We do this for two sub-samples: independent entities with no business group links; and small and medium-sized enterprises (SMEs). Specifically, we are able to demonstrate that firms which remain as independent entities over the full eleven years of observation (i.e. which are never part of a group nor have any foreign ownership links), show exit patterns that are statistically indistinguishable from the full sample of firms.  This is important, since these firms are less likely than others to be part of MNEs that are the main players with respect to FDI. We also find that SMEs (i.e. fewer than 250 employees), which are also less likely than larger firms to be involved in FDI or other forms of internationalisation</w:t>
      </w:r>
      <w:r w:rsidRPr="008F5A2A">
        <w:rPr>
          <w:rFonts w:ascii="Times New Roman" w:eastAsiaTheme="minorEastAsia" w:hAnsi="Times New Roman" w:cs="Times New Roman"/>
          <w:sz w:val="24"/>
          <w:szCs w:val="24"/>
          <w:vertAlign w:val="superscript"/>
        </w:rPr>
        <w:footnoteReference w:id="2"/>
      </w:r>
      <w:r w:rsidRPr="008F5A2A">
        <w:rPr>
          <w:rFonts w:ascii="Times New Roman" w:eastAsiaTheme="minorEastAsia" w:hAnsi="Times New Roman" w:cs="Times New Roman"/>
          <w:sz w:val="24"/>
          <w:szCs w:val="24"/>
        </w:rPr>
        <w:t>, have exit results which are not qualitatively different from those of  the sample as a whole.  This is important because these firms also account for the majority of exit and re-entry in our sample</w:t>
      </w:r>
      <w:r w:rsidR="00643F60" w:rsidRPr="00643F60">
        <w:rPr>
          <w:rFonts w:ascii="Times New Roman" w:eastAsia="MS Mincho" w:hAnsi="Times New Roman" w:cs="Times New Roman"/>
          <w:sz w:val="24"/>
          <w:szCs w:val="24"/>
          <w:lang w:val="en-US"/>
        </w:rPr>
        <w:t xml:space="preserve"> (results available on request). </w:t>
      </w:r>
      <w:r w:rsidRPr="008F5A2A">
        <w:rPr>
          <w:rFonts w:ascii="Times New Roman" w:eastAsiaTheme="minorEastAsia" w:hAnsi="Times New Roman" w:cs="Times New Roman"/>
          <w:sz w:val="24"/>
          <w:szCs w:val="24"/>
        </w:rPr>
        <w:t xml:space="preserve"> </w:t>
      </w:r>
    </w:p>
    <w:p w:rsidR="008F5A2A" w:rsidRPr="008F5A2A" w:rsidRDefault="008F5A2A" w:rsidP="008F5A2A">
      <w:pPr>
        <w:spacing w:line="360" w:lineRule="auto"/>
        <w:jc w:val="both"/>
        <w:rPr>
          <w:rFonts w:ascii="Times New Roman" w:eastAsiaTheme="minorEastAsia" w:hAnsi="Times New Roman" w:cs="Times New Roman"/>
          <w:sz w:val="24"/>
          <w:szCs w:val="24"/>
        </w:rPr>
      </w:pPr>
    </w:p>
    <w:p w:rsidR="008F5A2A" w:rsidRPr="008F5A2A" w:rsidRDefault="008F5A2A" w:rsidP="008F5A2A">
      <w:pPr>
        <w:spacing w:line="360" w:lineRule="auto"/>
        <w:jc w:val="both"/>
        <w:rPr>
          <w:rFonts w:ascii="Times New Roman" w:eastAsiaTheme="minorEastAsia" w:hAnsi="Times New Roman" w:cs="Times New Roman"/>
          <w:sz w:val="24"/>
          <w:szCs w:val="24"/>
        </w:rPr>
      </w:pPr>
      <w:r w:rsidRPr="008F5A2A">
        <w:rPr>
          <w:rFonts w:ascii="Times New Roman" w:eastAsiaTheme="minorEastAsia" w:hAnsi="Times New Roman" w:cs="Times New Roman"/>
          <w:sz w:val="24"/>
          <w:szCs w:val="24"/>
        </w:rPr>
        <w:t xml:space="preserve">Of course, this does not suggest that individual firms in these categories may not have replaced exporting with FDI in a given market, but it does show that our results are robust to different cohorts of firms which are known to have relatively low likelihoods of using alternative forms of internationalisation. So the patterns of export entry and re-entry that we describe are unlikely to be driven by firms moving out of exporting and completely into FDI: our overall results cannot be driven by firms replacing exporting with other forms of internationalisation simultaneously in all markets.  </w:t>
      </w:r>
    </w:p>
    <w:p w:rsidR="008F5A2A" w:rsidRPr="008F5A2A" w:rsidRDefault="008F5A2A" w:rsidP="008F5A2A">
      <w:pPr>
        <w:rPr>
          <w:rFonts w:eastAsiaTheme="minorEastAsia"/>
          <w:sz w:val="24"/>
          <w:szCs w:val="24"/>
          <w:lang w:val="en-US"/>
        </w:rPr>
      </w:pPr>
      <w:r w:rsidRPr="008F5A2A">
        <w:rPr>
          <w:rFonts w:eastAsiaTheme="minorEastAsia"/>
          <w:sz w:val="24"/>
          <w:szCs w:val="24"/>
          <w:lang w:val="en-US"/>
        </w:rPr>
        <w:br w:type="page"/>
      </w:r>
    </w:p>
    <w:p w:rsidR="008F5A2A" w:rsidRPr="008F5A2A" w:rsidRDefault="008F5A2A" w:rsidP="008F5A2A">
      <w:pPr>
        <w:spacing w:line="360" w:lineRule="auto"/>
        <w:rPr>
          <w:rFonts w:ascii="Times New Roman" w:eastAsia="MS Mincho" w:hAnsi="Times New Roman" w:cs="Times New Roman"/>
          <w:b/>
          <w:sz w:val="24"/>
          <w:szCs w:val="24"/>
          <w:lang w:val="en-US"/>
        </w:rPr>
      </w:pPr>
      <w:r w:rsidRPr="008F5A2A">
        <w:rPr>
          <w:rFonts w:ascii="Times New Roman" w:eastAsia="MS Mincho" w:hAnsi="Times New Roman" w:cs="Times New Roman"/>
          <w:b/>
          <w:sz w:val="24"/>
          <w:szCs w:val="24"/>
          <w:lang w:val="en-US"/>
        </w:rPr>
        <w:t>Table 6: Probability of export market exit (Mundlak approach)</w:t>
      </w:r>
    </w:p>
    <w:tbl>
      <w:tblPr>
        <w:tblW w:w="7605" w:type="dxa"/>
        <w:tblInd w:w="55" w:type="dxa"/>
        <w:tblLayout w:type="fixed"/>
        <w:tblCellMar>
          <w:left w:w="70" w:type="dxa"/>
          <w:right w:w="70" w:type="dxa"/>
        </w:tblCellMar>
        <w:tblLook w:val="04A0" w:firstRow="1" w:lastRow="0" w:firstColumn="1" w:lastColumn="0" w:noHBand="0" w:noVBand="1"/>
      </w:tblPr>
      <w:tblGrid>
        <w:gridCol w:w="1858"/>
        <w:gridCol w:w="957"/>
        <w:gridCol w:w="958"/>
        <w:gridCol w:w="958"/>
        <w:gridCol w:w="958"/>
        <w:gridCol w:w="958"/>
        <w:gridCol w:w="958"/>
      </w:tblGrid>
      <w:tr w:rsidR="008F5A2A" w:rsidRPr="008F5A2A" w:rsidTr="003065D2">
        <w:trPr>
          <w:trHeight w:val="275"/>
        </w:trPr>
        <w:tc>
          <w:tcPr>
            <w:tcW w:w="1858" w:type="dxa"/>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[1]</w:t>
            </w:r>
          </w:p>
        </w:tc>
        <w:tc>
          <w:tcPr>
            <w:tcW w:w="957" w:type="dxa"/>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[2]</w:t>
            </w:r>
          </w:p>
        </w:tc>
        <w:tc>
          <w:tcPr>
            <w:tcW w:w="957" w:type="dxa"/>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[3]</w:t>
            </w:r>
          </w:p>
        </w:tc>
        <w:tc>
          <w:tcPr>
            <w:tcW w:w="957" w:type="dxa"/>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[4]</w:t>
            </w:r>
          </w:p>
        </w:tc>
        <w:tc>
          <w:tcPr>
            <w:tcW w:w="957" w:type="dxa"/>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[5]</w:t>
            </w:r>
          </w:p>
        </w:tc>
        <w:tc>
          <w:tcPr>
            <w:tcW w:w="957" w:type="dxa"/>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[6]</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lempl</w:t>
            </w:r>
            <w:r w:rsidRPr="008F5A2A">
              <w:rPr>
                <w:rFonts w:ascii="Times New Roman" w:eastAsia="Times New Roman" w:hAnsi="Times New Roman" w:cs="Times New Roman"/>
                <w:color w:val="000000"/>
                <w:sz w:val="18"/>
                <w:szCs w:val="18"/>
                <w:vertAlign w:val="subscript"/>
                <w:lang w:eastAsia="it-IT"/>
              </w:rPr>
              <w:t>it</w:t>
            </w:r>
            <w:r w:rsidRPr="008F5A2A">
              <w:rPr>
                <w:rFonts w:ascii="Times New Roman" w:eastAsia="Times New Roman" w:hAnsi="Times New Roman" w:cs="Times New Roman"/>
                <w:color w:val="000000"/>
                <w:sz w:val="18"/>
                <w:szCs w:val="18"/>
                <w:lang w:eastAsia="it-IT"/>
              </w:rPr>
              <w:t xml:space="preserve"> </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-0.225***</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-0.222***</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-0.225***</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-0.221***</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-0.212***</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(-15.43)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(-15.31)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(-15.34)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(-15.48)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(-15.19)</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(-14.68)</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TFP</w:t>
            </w:r>
            <w:r w:rsidRPr="008F5A2A">
              <w:rPr>
                <w:rFonts w:ascii="Times New Roman" w:eastAsia="Times New Roman" w:hAnsi="Times New Roman" w:cs="Times New Roman"/>
                <w:color w:val="000000"/>
                <w:sz w:val="18"/>
                <w:szCs w:val="18"/>
                <w:vertAlign w:val="subscript"/>
                <w:lang w:eastAsia="it-IT"/>
              </w:rPr>
              <w:t>it-1</w:t>
            </w:r>
            <w:r w:rsidRPr="008F5A2A">
              <w:rPr>
                <w:rFonts w:ascii="Times New Roman" w:eastAsia="Times New Roman" w:hAnsi="Times New Roman" w:cs="Times New Roman"/>
                <w:color w:val="000000"/>
                <w:sz w:val="18"/>
                <w:szCs w:val="18"/>
                <w:lang w:eastAsia="it-IT"/>
              </w:rPr>
              <w:t xml:space="preserve"> </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0.0261**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0.0272**</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0.0267**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0.0267**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0.0265**</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0.0267**</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(2.12)</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(2.22)</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(2.18)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(2.14)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(2.18)</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(2.19)</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K</w:t>
            </w:r>
            <w:r w:rsidRPr="008F5A2A">
              <w:rPr>
                <w:rFonts w:ascii="Times New Roman" w:eastAsia="Times New Roman" w:hAnsi="Times New Roman" w:cs="Times New Roman"/>
                <w:color w:val="000000"/>
                <w:sz w:val="18"/>
                <w:szCs w:val="18"/>
                <w:vertAlign w:val="subscript"/>
                <w:lang w:eastAsia="it-IT"/>
              </w:rPr>
              <w:t>it</w:t>
            </w:r>
            <w:r w:rsidRPr="008F5A2A">
              <w:rPr>
                <w:rFonts w:ascii="Times New Roman" w:eastAsia="Times New Roman" w:hAnsi="Times New Roman" w:cs="Times New Roman"/>
                <w:color w:val="000000"/>
                <w:sz w:val="18"/>
                <w:szCs w:val="18"/>
                <w:lang w:eastAsia="it-IT"/>
              </w:rPr>
              <w:t xml:space="preserve"> </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-0.00366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-0.00291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0.000318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-0.00377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-0.00290</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0.00577</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(-0.33)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(-0.35)</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(-0.27)</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 xml:space="preserve">ln(s) </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-0.774***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-0.826***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-0.779***</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-0.778***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-0.787***</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-0.841***</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(-65.27)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(-62.44)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(-66.44)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(-66.21)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(-68.16)</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(-65.03)</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age</w:t>
            </w:r>
            <w:r w:rsidRPr="008F5A2A">
              <w:rPr>
                <w:rFonts w:ascii="Times New Roman" w:eastAsia="Times New Roman" w:hAnsi="Times New Roman" w:cs="Times New Roman"/>
                <w:color w:val="000000"/>
                <w:sz w:val="18"/>
                <w:szCs w:val="18"/>
                <w:vertAlign w:val="subscript"/>
                <w:lang w:eastAsia="it-IT"/>
              </w:rPr>
              <w:t>it</w:t>
            </w:r>
            <w:r w:rsidRPr="008F5A2A">
              <w:rPr>
                <w:rFonts w:ascii="Times New Roman" w:eastAsia="Times New Roman" w:hAnsi="Times New Roman" w:cs="Times New Roman"/>
                <w:color w:val="000000"/>
                <w:sz w:val="18"/>
                <w:szCs w:val="18"/>
                <w:lang w:eastAsia="it-IT"/>
              </w:rPr>
              <w:t xml:space="preserve"> </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0.0689***</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0.0681***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0.0683***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0.0687***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0.0679***</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0.065***</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(14.67)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(14.66)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(14.64)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(14.69)</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(14.72)</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(12.59)</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vertAlign w:val="subscript"/>
                <w:lang w:eastAsia="it-IT"/>
              </w:rPr>
            </w:pPr>
            <w:r w:rsidRPr="008F5A2A">
              <w:rPr>
                <w:rFonts w:ascii="Times New Roman" w:eastAsia="Times New Roman" w:hAnsi="Times New Roman" w:cs="Times New Roman"/>
                <w:color w:val="000000"/>
                <w:sz w:val="18"/>
                <w:szCs w:val="18"/>
                <w:lang w:eastAsia="it-IT"/>
              </w:rPr>
              <w:t>∆Dom</w:t>
            </w:r>
            <w:r w:rsidRPr="008F5A2A">
              <w:rPr>
                <w:rFonts w:ascii="Times New Roman" w:eastAsia="Times New Roman" w:hAnsi="Times New Roman" w:cs="Times New Roman"/>
                <w:color w:val="000000"/>
                <w:sz w:val="18"/>
                <w:szCs w:val="18"/>
                <w:vertAlign w:val="subscript"/>
                <w:lang w:eastAsia="it-IT"/>
              </w:rPr>
              <w:t>s,t/t-1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0.0688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0.509***</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0.706***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0.156**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 xml:space="preserve">0.648*** </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1.720***</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(1.28)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(3.81)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(4.87)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(2.42)</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(6.42)</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(8.23)</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∆For</w:t>
            </w:r>
            <w:r w:rsidRPr="008F5A2A">
              <w:rPr>
                <w:rFonts w:ascii="Times New Roman" w:eastAsia="Times New Roman" w:hAnsi="Times New Roman" w:cs="Times New Roman"/>
                <w:color w:val="000000"/>
                <w:sz w:val="18"/>
                <w:szCs w:val="18"/>
                <w:vertAlign w:val="subscript"/>
                <w:lang w:eastAsia="it-IT"/>
              </w:rPr>
              <w:t>s,t/t-1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0.0181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-0.938***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-0.132</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-0.0198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-0.148</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-1.167***</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(-7.79)</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(-1.16)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(-0.28)</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(-1.64)</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(-7.75)</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∆Dom</w:t>
            </w:r>
            <w:r w:rsidRPr="008F5A2A">
              <w:rPr>
                <w:rFonts w:ascii="Times New Roman" w:eastAsia="Times New Roman" w:hAnsi="Times New Roman" w:cs="Times New Roman"/>
                <w:color w:val="000000"/>
                <w:sz w:val="18"/>
                <w:szCs w:val="18"/>
                <w:vertAlign w:val="subscript"/>
                <w:lang w:eastAsia="it-IT"/>
              </w:rPr>
              <w:t xml:space="preserve"> s,t/t-1</w:t>
            </w:r>
            <w:r w:rsidRPr="008F5A2A">
              <w:rPr>
                <w:rFonts w:ascii="Times New Roman" w:eastAsia="Times New Roman" w:hAnsi="Times New Roman" w:cs="Times New Roman"/>
                <w:color w:val="000000"/>
                <w:sz w:val="18"/>
                <w:szCs w:val="18"/>
                <w:lang w:eastAsia="it-IT"/>
              </w:rPr>
              <w:t xml:space="preserve"> × ln(s)</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-0.339***</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0.004</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(-3.42)</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(0.997)</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∆For</w:t>
            </w:r>
            <w:r w:rsidRPr="008F5A2A">
              <w:rPr>
                <w:rFonts w:ascii="Times New Roman" w:eastAsia="Times New Roman" w:hAnsi="Times New Roman" w:cs="Times New Roman"/>
                <w:color w:val="000000"/>
                <w:sz w:val="18"/>
                <w:szCs w:val="18"/>
                <w:vertAlign w:val="subscript"/>
                <w:lang w:eastAsia="it-IT"/>
              </w:rPr>
              <w:t>s,t/t-1</w:t>
            </w:r>
            <w:r w:rsidRPr="008F5A2A">
              <w:rPr>
                <w:rFonts w:ascii="Times New Roman" w:eastAsia="Times New Roman" w:hAnsi="Times New Roman" w:cs="Times New Roman"/>
                <w:color w:val="000000"/>
                <w:sz w:val="18"/>
                <w:szCs w:val="18"/>
                <w:lang w:eastAsia="it-IT"/>
              </w:rPr>
              <w:t xml:space="preserve"> × ln(s) </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0.742***</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0.575***</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(9.14)</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(6.48)</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∆Dom</w:t>
            </w:r>
            <w:r w:rsidRPr="008F5A2A">
              <w:rPr>
                <w:rFonts w:ascii="Times New Roman" w:eastAsia="Times New Roman" w:hAnsi="Times New Roman" w:cs="Times New Roman"/>
                <w:color w:val="000000"/>
                <w:sz w:val="18"/>
                <w:szCs w:val="18"/>
                <w:vertAlign w:val="subscript"/>
                <w:lang w:eastAsia="it-IT"/>
              </w:rPr>
              <w:t xml:space="preserve"> s,t/t-1</w:t>
            </w:r>
            <w:r w:rsidRPr="008F5A2A">
              <w:rPr>
                <w:rFonts w:ascii="Times New Roman" w:eastAsia="Times New Roman" w:hAnsi="Times New Roman" w:cs="Times New Roman"/>
                <w:color w:val="000000"/>
                <w:sz w:val="18"/>
                <w:szCs w:val="18"/>
                <w:lang w:eastAsia="it-IT"/>
              </w:rPr>
              <w:t>× K</w:t>
            </w:r>
            <w:r w:rsidRPr="008F5A2A">
              <w:rPr>
                <w:rFonts w:ascii="Times New Roman" w:eastAsia="Times New Roman" w:hAnsi="Times New Roman" w:cs="Times New Roman"/>
                <w:color w:val="000000"/>
                <w:sz w:val="18"/>
                <w:szCs w:val="18"/>
                <w:vertAlign w:val="subscript"/>
                <w:lang w:eastAsia="it-IT"/>
              </w:rPr>
              <w:t xml:space="preserve">it </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-0.209***</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-0.127***</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(-4.71)</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(-2.88)</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∆For</w:t>
            </w:r>
            <w:r w:rsidRPr="008F5A2A">
              <w:rPr>
                <w:rFonts w:ascii="Times New Roman" w:eastAsia="Times New Roman" w:hAnsi="Times New Roman" w:cs="Times New Roman"/>
                <w:color w:val="000000"/>
                <w:sz w:val="18"/>
                <w:szCs w:val="18"/>
                <w:vertAlign w:val="subscript"/>
                <w:lang w:eastAsia="it-IT"/>
              </w:rPr>
              <w:t>s,t/t-1</w:t>
            </w:r>
            <w:r w:rsidRPr="008F5A2A">
              <w:rPr>
                <w:rFonts w:ascii="Times New Roman" w:eastAsia="Times New Roman" w:hAnsi="Times New Roman" w:cs="Times New Roman"/>
                <w:color w:val="000000"/>
                <w:sz w:val="18"/>
                <w:szCs w:val="18"/>
                <w:lang w:eastAsia="it-IT"/>
              </w:rPr>
              <w:t>× K</w:t>
            </w:r>
            <w:r w:rsidRPr="008F5A2A">
              <w:rPr>
                <w:rFonts w:ascii="Times New Roman" w:eastAsia="Times New Roman" w:hAnsi="Times New Roman" w:cs="Times New Roman"/>
                <w:color w:val="000000"/>
                <w:sz w:val="18"/>
                <w:szCs w:val="18"/>
                <w:vertAlign w:val="subscript"/>
                <w:lang w:eastAsia="it-IT"/>
              </w:rPr>
              <w:t>it</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0.0486</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-0.049</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(1.61)</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(-1.55)</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∆Dom</w:t>
            </w:r>
            <w:r w:rsidRPr="008F5A2A">
              <w:rPr>
                <w:rFonts w:ascii="Times New Roman" w:eastAsia="Times New Roman" w:hAnsi="Times New Roman" w:cs="Times New Roman"/>
                <w:color w:val="000000"/>
                <w:sz w:val="18"/>
                <w:szCs w:val="18"/>
                <w:vertAlign w:val="subscript"/>
                <w:lang w:eastAsia="it-IT"/>
              </w:rPr>
              <w:t xml:space="preserve"> s,t/t-1</w:t>
            </w:r>
            <w:r w:rsidRPr="008F5A2A">
              <w:rPr>
                <w:rFonts w:ascii="Times New Roman" w:eastAsia="Times New Roman" w:hAnsi="Times New Roman" w:cs="Times New Roman"/>
                <w:color w:val="000000"/>
                <w:sz w:val="18"/>
                <w:szCs w:val="18"/>
                <w:lang w:eastAsia="it-IT"/>
              </w:rPr>
              <w:t>×TFP</w:t>
            </w:r>
            <w:r w:rsidRPr="008F5A2A">
              <w:rPr>
                <w:rFonts w:ascii="Times New Roman" w:eastAsia="Times New Roman" w:hAnsi="Times New Roman" w:cs="Times New Roman"/>
                <w:color w:val="000000"/>
                <w:sz w:val="18"/>
                <w:szCs w:val="18"/>
                <w:vertAlign w:val="subscript"/>
                <w:lang w:eastAsia="it-IT"/>
              </w:rPr>
              <w:t>it−1</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-0.131***</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-0.042</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(-2.62)</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(-0.81)</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∆For</w:t>
            </w:r>
            <w:r w:rsidRPr="008F5A2A">
              <w:rPr>
                <w:rFonts w:ascii="Times New Roman" w:eastAsia="Times New Roman" w:hAnsi="Times New Roman" w:cs="Times New Roman"/>
                <w:color w:val="000000"/>
                <w:sz w:val="18"/>
                <w:szCs w:val="18"/>
                <w:vertAlign w:val="subscript"/>
                <w:lang w:eastAsia="it-IT"/>
              </w:rPr>
              <w:t xml:space="preserve"> s,t/t-1</w:t>
            </w:r>
            <w:r w:rsidRPr="008F5A2A">
              <w:rPr>
                <w:rFonts w:ascii="Times New Roman" w:eastAsia="Times New Roman" w:hAnsi="Times New Roman" w:cs="Times New Roman"/>
                <w:color w:val="000000"/>
                <w:sz w:val="18"/>
                <w:szCs w:val="18"/>
                <w:lang w:eastAsia="it-IT"/>
              </w:rPr>
              <w:t>×TFP</w:t>
            </w:r>
            <w:r w:rsidRPr="008F5A2A">
              <w:rPr>
                <w:rFonts w:ascii="Times New Roman" w:eastAsia="Times New Roman" w:hAnsi="Times New Roman" w:cs="Times New Roman"/>
                <w:color w:val="000000"/>
                <w:sz w:val="18"/>
                <w:szCs w:val="18"/>
                <w:vertAlign w:val="subscript"/>
                <w:lang w:eastAsia="it-IT"/>
              </w:rPr>
              <w:t>it−1</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0.0676**</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0.027</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(2.14)</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(2.19)</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∆Dom</w:t>
            </w:r>
            <w:r w:rsidRPr="008F5A2A">
              <w:rPr>
                <w:rFonts w:ascii="Times New Roman" w:eastAsia="Times New Roman" w:hAnsi="Times New Roman" w:cs="Times New Roman"/>
                <w:color w:val="000000"/>
                <w:sz w:val="18"/>
                <w:szCs w:val="18"/>
                <w:vertAlign w:val="subscript"/>
                <w:lang w:eastAsia="it-IT"/>
              </w:rPr>
              <w:t xml:space="preserve"> s,t/t-1</w:t>
            </w:r>
            <w:r w:rsidRPr="008F5A2A">
              <w:rPr>
                <w:rFonts w:ascii="Times New Roman" w:eastAsia="Times New Roman" w:hAnsi="Times New Roman" w:cs="Times New Roman"/>
                <w:color w:val="000000"/>
                <w:sz w:val="18"/>
                <w:szCs w:val="18"/>
                <w:lang w:eastAsia="it-IT"/>
              </w:rPr>
              <w:t>× emp</w:t>
            </w:r>
            <w:r w:rsidRPr="008F5A2A">
              <w:rPr>
                <w:rFonts w:ascii="Times New Roman" w:eastAsia="Times New Roman" w:hAnsi="Times New Roman" w:cs="Times New Roman"/>
                <w:color w:val="000000"/>
                <w:sz w:val="18"/>
                <w:szCs w:val="18"/>
                <w:vertAlign w:val="subscript"/>
                <w:lang w:eastAsia="it-IT"/>
              </w:rPr>
              <w:t>it</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-0.236***</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-0.186***</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(-7.16)</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(-5.21)</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∆For</w:t>
            </w:r>
            <w:r w:rsidRPr="008F5A2A">
              <w:rPr>
                <w:rFonts w:ascii="Times New Roman" w:eastAsia="Times New Roman" w:hAnsi="Times New Roman" w:cs="Times New Roman"/>
                <w:color w:val="000000"/>
                <w:sz w:val="18"/>
                <w:szCs w:val="18"/>
                <w:vertAlign w:val="subscript"/>
                <w:lang w:eastAsia="it-IT"/>
              </w:rPr>
              <w:t>s,t/t-1</w:t>
            </w:r>
            <w:r w:rsidRPr="008F5A2A">
              <w:rPr>
                <w:rFonts w:ascii="Times New Roman" w:eastAsia="Times New Roman" w:hAnsi="Times New Roman" w:cs="Times New Roman"/>
                <w:color w:val="000000"/>
                <w:sz w:val="18"/>
                <w:szCs w:val="18"/>
                <w:lang w:eastAsia="it-IT"/>
              </w:rPr>
              <w:t>× emp</w:t>
            </w:r>
            <w:r w:rsidRPr="008F5A2A">
              <w:rPr>
                <w:rFonts w:ascii="Times New Roman" w:eastAsia="Times New Roman" w:hAnsi="Times New Roman" w:cs="Times New Roman"/>
                <w:color w:val="000000"/>
                <w:sz w:val="18"/>
                <w:szCs w:val="18"/>
                <w:vertAlign w:val="subscript"/>
                <w:lang w:eastAsia="it-IT"/>
              </w:rPr>
              <w:t xml:space="preserve">it </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0.0794***</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0.001</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(3.21)</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(0.956)</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b/>
                <w:color w:val="000000"/>
                <w:sz w:val="18"/>
                <w:szCs w:val="18"/>
                <w:lang w:eastAsia="it-IT"/>
              </w:rPr>
              <w:t xml:space="preserve">Mundlak additional controls </w:t>
            </w: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MS Mincho" w:hAnsi="Times New Roman" w:cs="Times New Roman"/>
                <w:color w:val="000000"/>
                <w:sz w:val="18"/>
                <w:szCs w:val="18"/>
                <w:lang w:val="en-US"/>
              </w:rPr>
              <w:t>m_capint</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-0.0331***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-0.0333***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-0.0332***</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-0.0326***</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-0.0328***</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-0.035***</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(-2.91)</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(-2.88)</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(-2.91)</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(-3.18)</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MS Mincho" w:hAnsi="Times New Roman" w:cs="Times New Roman"/>
                <w:color w:val="000000"/>
                <w:sz w:val="18"/>
                <w:szCs w:val="18"/>
                <w:lang w:val="en-US"/>
              </w:rPr>
              <w:t>m_lempl</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0.105***</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0.107***</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0.108***</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0.103***</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(7.29)</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(7.19)</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(7.26)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(7.36)</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(7.49)</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(7.19)</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MS Mincho" w:hAnsi="Times New Roman" w:cs="Times New Roman"/>
                <w:color w:val="000000"/>
                <w:sz w:val="18"/>
                <w:szCs w:val="18"/>
                <w:lang w:val="en-US"/>
              </w:rPr>
              <w:t>m_ltfp_lp</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-0.227***</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-0.226***</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-0.226***</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-0.224***</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-0.222***</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(-17.34)</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(-17.43)</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(-17.35)</w:t>
            </w:r>
          </w:p>
        </w:tc>
        <w:tc>
          <w:tcPr>
            <w:tcW w:w="957" w:type="dxa"/>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(-17.32)</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(-17.32)</w:t>
            </w:r>
          </w:p>
        </w:tc>
        <w:tc>
          <w:tcPr>
            <w:tcW w:w="957" w:type="dxa"/>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(17.33)</w:t>
            </w:r>
          </w:p>
        </w:tc>
      </w:tr>
      <w:tr w:rsidR="008F5A2A" w:rsidRPr="008F5A2A" w:rsidTr="003065D2">
        <w:trPr>
          <w:trHeight w:val="275"/>
        </w:trPr>
        <w:tc>
          <w:tcPr>
            <w:tcW w:w="1858"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957" w:type="dxa"/>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r>
      <w:tr w:rsidR="008F5A2A" w:rsidRPr="008F5A2A" w:rsidTr="003065D2">
        <w:trPr>
          <w:trHeight w:val="275"/>
        </w:trPr>
        <w:tc>
          <w:tcPr>
            <w:tcW w:w="1858" w:type="dxa"/>
            <w:tcBorders>
              <w:top w:val="nil"/>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eastAsia="it-IT"/>
              </w:rPr>
            </w:pPr>
            <w:r w:rsidRPr="008F5A2A">
              <w:rPr>
                <w:rFonts w:ascii="Times New Roman" w:eastAsia="Times New Roman" w:hAnsi="Times New Roman" w:cs="Times New Roman"/>
                <w:color w:val="000000"/>
                <w:sz w:val="18"/>
                <w:szCs w:val="18"/>
                <w:lang w:eastAsia="it-IT"/>
              </w:rPr>
              <w:t>Obs.</w:t>
            </w:r>
          </w:p>
        </w:tc>
        <w:tc>
          <w:tcPr>
            <w:tcW w:w="957" w:type="dxa"/>
            <w:tcBorders>
              <w:top w:val="nil"/>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290,047</w:t>
            </w:r>
          </w:p>
        </w:tc>
        <w:tc>
          <w:tcPr>
            <w:tcW w:w="957" w:type="dxa"/>
            <w:tcBorders>
              <w:top w:val="nil"/>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290,047</w:t>
            </w:r>
          </w:p>
        </w:tc>
        <w:tc>
          <w:tcPr>
            <w:tcW w:w="957" w:type="dxa"/>
            <w:tcBorders>
              <w:top w:val="nil"/>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290,047</w:t>
            </w:r>
          </w:p>
        </w:tc>
        <w:tc>
          <w:tcPr>
            <w:tcW w:w="957" w:type="dxa"/>
            <w:tcBorders>
              <w:top w:val="nil"/>
              <w:left w:val="nil"/>
              <w:bottom w:val="single" w:sz="4" w:space="0" w:color="auto"/>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290,047</w:t>
            </w:r>
          </w:p>
        </w:tc>
        <w:tc>
          <w:tcPr>
            <w:tcW w:w="957" w:type="dxa"/>
            <w:tcBorders>
              <w:top w:val="nil"/>
              <w:left w:val="nil"/>
              <w:bottom w:val="single" w:sz="4" w:space="0" w:color="auto"/>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290,047</w:t>
            </w:r>
          </w:p>
        </w:tc>
        <w:tc>
          <w:tcPr>
            <w:tcW w:w="957" w:type="dxa"/>
            <w:tcBorders>
              <w:top w:val="nil"/>
              <w:left w:val="nil"/>
              <w:bottom w:val="single" w:sz="4" w:space="0" w:color="auto"/>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290,047</w:t>
            </w:r>
          </w:p>
        </w:tc>
      </w:tr>
    </w:tbl>
    <w:p w:rsidR="008F5A2A" w:rsidRPr="008F5A2A" w:rsidRDefault="008F5A2A" w:rsidP="008F5A2A">
      <w:pPr>
        <w:jc w:val="left"/>
        <w:rPr>
          <w:rFonts w:ascii="Times New Roman" w:eastAsia="MS Mincho" w:hAnsi="Times New Roman" w:cs="Times New Roman"/>
          <w:sz w:val="18"/>
          <w:szCs w:val="18"/>
          <w:lang w:val="en-US"/>
        </w:rPr>
      </w:pPr>
      <w:r w:rsidRPr="008F5A2A">
        <w:rPr>
          <w:rFonts w:ascii="Times New Roman" w:eastAsia="MS Mincho" w:hAnsi="Times New Roman" w:cs="Times New Roman"/>
          <w:b/>
          <w:sz w:val="18"/>
          <w:szCs w:val="18"/>
          <w:lang w:val="en-US"/>
        </w:rPr>
        <w:t>Notes.</w:t>
      </w:r>
      <w:r w:rsidRPr="008F5A2A">
        <w:rPr>
          <w:rFonts w:ascii="Times New Roman" w:eastAsia="MS Mincho" w:hAnsi="Times New Roman" w:cs="Times New Roman"/>
          <w:sz w:val="18"/>
          <w:szCs w:val="18"/>
          <w:lang w:val="en-US"/>
        </w:rPr>
        <w:t xml:space="preserve"> The table reports the estimates from random-effects Probit models on a dummy variable assuming value one in the year of export exit. t-values are reported in parentheses. The estimation sample includes exporters observed over their first export spell. The panel unit is set at the firm-level. For firms that stop exporting we retain the first year without foreign sales in the sample. This year is defined as the `exit' year. Each model include 2-digit ISIC industry and year-specific fixed effects. Heteroscedastic-robust standard errors are employed. Significance levels: * 0.1, ** 0.05, *** 0.001.</w:t>
      </w:r>
    </w:p>
    <w:p w:rsidR="008F5A2A" w:rsidRPr="008F5A2A" w:rsidRDefault="008F5A2A" w:rsidP="008F5A2A">
      <w:pPr>
        <w:jc w:val="left"/>
        <w:rPr>
          <w:rFonts w:ascii="Times New Roman" w:eastAsia="MS Mincho" w:hAnsi="Times New Roman" w:cs="Times New Roman"/>
          <w:b/>
          <w:sz w:val="24"/>
          <w:szCs w:val="24"/>
          <w:lang w:val="en-US"/>
        </w:rPr>
      </w:pPr>
      <w:r w:rsidRPr="008F5A2A">
        <w:rPr>
          <w:rFonts w:ascii="Times New Roman" w:eastAsia="MS Mincho" w:hAnsi="Times New Roman" w:cs="Times New Roman"/>
          <w:sz w:val="18"/>
          <w:szCs w:val="18"/>
          <w:lang w:val="en-US"/>
        </w:rPr>
        <w:br w:type="page"/>
      </w:r>
      <w:r w:rsidRPr="008F5A2A">
        <w:rPr>
          <w:rFonts w:ascii="Times New Roman" w:eastAsia="MS Mincho" w:hAnsi="Times New Roman" w:cs="Times New Roman"/>
          <w:b/>
          <w:sz w:val="24"/>
          <w:szCs w:val="24"/>
          <w:lang w:val="en-US"/>
        </w:rPr>
        <w:t>Table 7: Probability of export market re-entry (Mundlak approach)</w:t>
      </w:r>
    </w:p>
    <w:p w:rsidR="008F5A2A" w:rsidRPr="008F5A2A" w:rsidRDefault="008F5A2A" w:rsidP="008F5A2A">
      <w:pPr>
        <w:jc w:val="left"/>
        <w:rPr>
          <w:rFonts w:ascii="Times New Roman" w:eastAsia="MS Mincho" w:hAnsi="Times New Roman" w:cs="Times New Roman"/>
          <w:b/>
          <w:sz w:val="24"/>
          <w:szCs w:val="24"/>
          <w:lang w:val="en-US"/>
        </w:rPr>
      </w:pPr>
    </w:p>
    <w:tbl>
      <w:tblPr>
        <w:tblW w:w="4750" w:type="pct"/>
        <w:jc w:val="center"/>
        <w:tblBorders>
          <w:top w:val="single" w:sz="4" w:space="0" w:color="auto"/>
          <w:bottom w:val="single" w:sz="4" w:space="0" w:color="auto"/>
        </w:tblBorders>
        <w:tblLook w:val="04A0" w:firstRow="1" w:lastRow="0" w:firstColumn="1" w:lastColumn="0" w:noHBand="0" w:noVBand="1"/>
      </w:tblPr>
      <w:tblGrid>
        <w:gridCol w:w="1993"/>
        <w:gridCol w:w="1041"/>
        <w:gridCol w:w="1150"/>
        <w:gridCol w:w="1150"/>
        <w:gridCol w:w="1150"/>
        <w:gridCol w:w="1150"/>
        <w:gridCol w:w="1146"/>
      </w:tblGrid>
      <w:tr w:rsidR="008F5A2A" w:rsidRPr="008F5A2A" w:rsidTr="003065D2">
        <w:trPr>
          <w:trHeight w:val="320"/>
          <w:jc w:val="center"/>
        </w:trPr>
        <w:tc>
          <w:tcPr>
            <w:tcW w:w="1136" w:type="pct"/>
            <w:tcBorders>
              <w:top w:val="single" w:sz="4" w:space="0" w:color="auto"/>
              <w:left w:val="nil"/>
              <w:bottom w:val="single" w:sz="4" w:space="0" w:color="auto"/>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single" w:sz="4" w:space="0" w:color="auto"/>
              <w:left w:val="nil"/>
              <w:bottom w:val="single" w:sz="4" w:space="0" w:color="auto"/>
              <w:right w:val="nil"/>
            </w:tcBorders>
            <w:noWrap/>
            <w:vAlign w:val="center"/>
            <w:hideMark/>
          </w:tcPr>
          <w:p w:rsidR="008F5A2A" w:rsidRPr="008F5A2A" w:rsidRDefault="008F5A2A" w:rsidP="008F5A2A">
            <w:pPr>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[1]</w:t>
            </w:r>
          </w:p>
        </w:tc>
        <w:tc>
          <w:tcPr>
            <w:tcW w:w="656" w:type="pct"/>
            <w:tcBorders>
              <w:top w:val="single" w:sz="4" w:space="0" w:color="auto"/>
              <w:left w:val="nil"/>
              <w:bottom w:val="single" w:sz="4" w:space="0" w:color="auto"/>
              <w:right w:val="nil"/>
            </w:tcBorders>
            <w:noWrap/>
            <w:vAlign w:val="center"/>
            <w:hideMark/>
          </w:tcPr>
          <w:p w:rsidR="008F5A2A" w:rsidRPr="008F5A2A" w:rsidRDefault="008F5A2A" w:rsidP="008F5A2A">
            <w:pPr>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[2]</w:t>
            </w:r>
          </w:p>
        </w:tc>
        <w:tc>
          <w:tcPr>
            <w:tcW w:w="656" w:type="pct"/>
            <w:tcBorders>
              <w:top w:val="single" w:sz="4" w:space="0" w:color="auto"/>
              <w:left w:val="nil"/>
              <w:bottom w:val="single" w:sz="4" w:space="0" w:color="auto"/>
              <w:right w:val="nil"/>
            </w:tcBorders>
            <w:noWrap/>
            <w:vAlign w:val="center"/>
            <w:hideMark/>
          </w:tcPr>
          <w:p w:rsidR="008F5A2A" w:rsidRPr="008F5A2A" w:rsidRDefault="008F5A2A" w:rsidP="008F5A2A">
            <w:pPr>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[3]</w:t>
            </w:r>
          </w:p>
        </w:tc>
        <w:tc>
          <w:tcPr>
            <w:tcW w:w="656" w:type="pct"/>
            <w:tcBorders>
              <w:top w:val="single" w:sz="4" w:space="0" w:color="auto"/>
              <w:left w:val="nil"/>
              <w:bottom w:val="single" w:sz="4" w:space="0" w:color="auto"/>
              <w:right w:val="nil"/>
            </w:tcBorders>
            <w:noWrap/>
            <w:vAlign w:val="center"/>
            <w:hideMark/>
          </w:tcPr>
          <w:p w:rsidR="008F5A2A" w:rsidRPr="008F5A2A" w:rsidRDefault="008F5A2A" w:rsidP="008F5A2A">
            <w:pPr>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[4]</w:t>
            </w:r>
          </w:p>
        </w:tc>
        <w:tc>
          <w:tcPr>
            <w:tcW w:w="656" w:type="pct"/>
            <w:tcBorders>
              <w:top w:val="single" w:sz="4" w:space="0" w:color="auto"/>
              <w:left w:val="nil"/>
              <w:bottom w:val="single" w:sz="4" w:space="0" w:color="auto"/>
              <w:right w:val="nil"/>
            </w:tcBorders>
            <w:noWrap/>
            <w:vAlign w:val="center"/>
            <w:hideMark/>
          </w:tcPr>
          <w:p w:rsidR="008F5A2A" w:rsidRPr="008F5A2A" w:rsidRDefault="008F5A2A" w:rsidP="008F5A2A">
            <w:pPr>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[5]</w:t>
            </w:r>
          </w:p>
        </w:tc>
        <w:tc>
          <w:tcPr>
            <w:tcW w:w="654" w:type="pct"/>
            <w:tcBorders>
              <w:top w:val="single" w:sz="4" w:space="0" w:color="auto"/>
              <w:left w:val="nil"/>
              <w:bottom w:val="single" w:sz="4" w:space="0" w:color="auto"/>
              <w:right w:val="nil"/>
            </w:tcBorders>
            <w:noWrap/>
            <w:vAlign w:val="center"/>
            <w:hideMark/>
          </w:tcPr>
          <w:p w:rsidR="008F5A2A" w:rsidRPr="008F5A2A" w:rsidRDefault="008F5A2A" w:rsidP="008F5A2A">
            <w:pPr>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[6]</w:t>
            </w:r>
          </w:p>
        </w:tc>
      </w:tr>
      <w:tr w:rsidR="008F5A2A" w:rsidRPr="008F5A2A" w:rsidTr="003065D2">
        <w:trPr>
          <w:trHeight w:hRule="exact" w:val="300"/>
          <w:jc w:val="center"/>
        </w:trPr>
        <w:tc>
          <w:tcPr>
            <w:tcW w:w="1136" w:type="pct"/>
            <w:tcBorders>
              <w:top w:val="single" w:sz="4" w:space="0" w:color="auto"/>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IMR</w:t>
            </w:r>
          </w:p>
        </w:tc>
        <w:tc>
          <w:tcPr>
            <w:tcW w:w="586" w:type="pct"/>
            <w:tcBorders>
              <w:top w:val="single" w:sz="4" w:space="0" w:color="auto"/>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-0.201***</w:t>
            </w:r>
          </w:p>
        </w:tc>
        <w:tc>
          <w:tcPr>
            <w:tcW w:w="656" w:type="pct"/>
            <w:tcBorders>
              <w:top w:val="single" w:sz="4" w:space="0" w:color="auto"/>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-0.201***</w:t>
            </w:r>
          </w:p>
        </w:tc>
        <w:tc>
          <w:tcPr>
            <w:tcW w:w="656" w:type="pct"/>
            <w:tcBorders>
              <w:top w:val="single" w:sz="4" w:space="0" w:color="auto"/>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-0.203***</w:t>
            </w:r>
          </w:p>
        </w:tc>
        <w:tc>
          <w:tcPr>
            <w:tcW w:w="656" w:type="pct"/>
            <w:tcBorders>
              <w:top w:val="single" w:sz="4" w:space="0" w:color="auto"/>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-0.203***</w:t>
            </w:r>
          </w:p>
        </w:tc>
        <w:tc>
          <w:tcPr>
            <w:tcW w:w="656" w:type="pct"/>
            <w:tcBorders>
              <w:top w:val="single" w:sz="4" w:space="0" w:color="auto"/>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-0.201***</w:t>
            </w:r>
          </w:p>
        </w:tc>
        <w:tc>
          <w:tcPr>
            <w:tcW w:w="654" w:type="pct"/>
            <w:tcBorders>
              <w:top w:val="single" w:sz="4" w:space="0" w:color="auto"/>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-0.202***</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(-3.91)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(-3.91)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(-3.95)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(-3.94)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(-3.91)</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(-3.92)</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lemp</w:t>
            </w:r>
            <w:r w:rsidRPr="008F5A2A">
              <w:rPr>
                <w:rFonts w:ascii="Times New Roman" w:eastAsia="Times New Roman" w:hAnsi="Times New Roman" w:cs="Times New Roman"/>
                <w:color w:val="000000"/>
                <w:sz w:val="18"/>
                <w:szCs w:val="18"/>
                <w:vertAlign w:val="subscript"/>
              </w:rPr>
              <w:t>it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0.0850***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0.0851***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0.0862***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0.0856***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0.0849***</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0.0849***</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(3.85)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(3.85)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(3.91)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(3.87)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(3.74)</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(3.74)</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TFP</w:t>
            </w:r>
            <w:r w:rsidRPr="008F5A2A">
              <w:rPr>
                <w:rFonts w:ascii="Times New Roman" w:eastAsia="Times New Roman" w:hAnsi="Times New Roman" w:cs="Times New Roman"/>
                <w:color w:val="000000"/>
                <w:sz w:val="18"/>
                <w:szCs w:val="18"/>
                <w:vertAlign w:val="subscript"/>
              </w:rPr>
              <w:t>it-1</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-0.0224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-0.0224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-0.0220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-0.0151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-0.0224</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-0.0127</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(-0.92)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(-0.92)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(-0.90)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(-0.60)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(-0.92)</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(-0.50)</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K</w:t>
            </w:r>
            <w:r w:rsidRPr="008F5A2A">
              <w:rPr>
                <w:rFonts w:ascii="Times New Roman" w:eastAsia="Times New Roman" w:hAnsi="Times New Roman" w:cs="Times New Roman"/>
                <w:color w:val="000000"/>
                <w:sz w:val="18"/>
                <w:szCs w:val="18"/>
                <w:vertAlign w:val="subscript"/>
              </w:rPr>
              <w:t>it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-0.00626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-0.00628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-0.00287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-0.00591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-0.00626</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-0.00303</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(-0.37)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(-0.37)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(-0.35)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(-0.37)</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(-0.17)</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ln(s)</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-0.435***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-0.443***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-0.435***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-0.435***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-0.435***</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-0.442***</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(-25.41)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(-16.90)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(-25.42)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(-25.41)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(-25.41)</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(-16.78)</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age</w:t>
            </w:r>
            <w:r w:rsidRPr="008F5A2A">
              <w:rPr>
                <w:rFonts w:ascii="Times New Roman" w:eastAsia="Times New Roman" w:hAnsi="Times New Roman" w:cs="Times New Roman"/>
                <w:color w:val="000000"/>
                <w:sz w:val="18"/>
                <w:szCs w:val="18"/>
                <w:vertAlign w:val="subscript"/>
              </w:rPr>
              <w:t>it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0.000836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0.000786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0.000982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0.000841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0.000835</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-0.00227</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(0.09)</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(0.10)</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w:t>
            </w:r>
          </w:p>
        </w:tc>
      </w:tr>
      <w:tr w:rsidR="008F5A2A" w:rsidRPr="008F5A2A" w:rsidTr="003065D2">
        <w:trPr>
          <w:trHeight w:hRule="exac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∆Dom</w:t>
            </w:r>
            <w:r w:rsidRPr="008F5A2A">
              <w:rPr>
                <w:rFonts w:ascii="Times New Roman" w:eastAsia="Times New Roman" w:hAnsi="Times New Roman" w:cs="Times New Roman"/>
                <w:color w:val="000000"/>
                <w:sz w:val="18"/>
                <w:szCs w:val="18"/>
                <w:vertAlign w:val="subscript"/>
              </w:rPr>
              <w:t>s,t/t-1</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0.110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0.103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-0.593*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0.175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0.105</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-0.691</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(1.05)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(0.38)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(-1.87)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(1.37)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(0.54)</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(-1.54)</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∆For</w:t>
            </w:r>
            <w:r w:rsidRPr="008F5A2A">
              <w:rPr>
                <w:rFonts w:ascii="Times New Roman" w:eastAsia="Times New Roman" w:hAnsi="Times New Roman" w:cs="Times New Roman"/>
                <w:color w:val="000000"/>
                <w:sz w:val="18"/>
                <w:szCs w:val="18"/>
                <w:vertAlign w:val="subscript"/>
              </w:rPr>
              <w:t xml:space="preserve"> s,t/t-1</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-0.0571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-0.152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0.218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-0.0125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-0.0588</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0.0199</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(-0.58)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(0.93)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(-0.33)</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∆Dom</w:t>
            </w:r>
            <w:r w:rsidRPr="008F5A2A">
              <w:rPr>
                <w:rFonts w:ascii="Times New Roman" w:eastAsia="Times New Roman" w:hAnsi="Times New Roman" w:cs="Times New Roman"/>
                <w:color w:val="000000"/>
                <w:sz w:val="18"/>
                <w:szCs w:val="18"/>
                <w:vertAlign w:val="subscript"/>
              </w:rPr>
              <w:t xml:space="preserve"> s,t/t-1</w:t>
            </w:r>
            <w:r w:rsidRPr="008F5A2A">
              <w:rPr>
                <w:rFonts w:ascii="Times New Roman" w:eastAsia="Times New Roman" w:hAnsi="Times New Roman" w:cs="Times New Roman"/>
                <w:color w:val="000000"/>
                <w:sz w:val="18"/>
                <w:szCs w:val="18"/>
              </w:rPr>
              <w:t xml:space="preserve"> × ln(s)</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0.00855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-0.0738</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(-0.32)</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∆For</w:t>
            </w:r>
            <w:r w:rsidRPr="008F5A2A">
              <w:rPr>
                <w:rFonts w:ascii="Times New Roman" w:eastAsia="Times New Roman" w:hAnsi="Times New Roman" w:cs="Times New Roman"/>
                <w:color w:val="000000"/>
                <w:sz w:val="18"/>
                <w:szCs w:val="18"/>
                <w:vertAlign w:val="subscript"/>
              </w:rPr>
              <w:t>t,t−1</w:t>
            </w:r>
            <w:r w:rsidRPr="008F5A2A">
              <w:rPr>
                <w:rFonts w:ascii="Times New Roman" w:eastAsia="Times New Roman" w:hAnsi="Times New Roman" w:cs="Times New Roman"/>
                <w:color w:val="000000"/>
                <w:sz w:val="18"/>
                <w:szCs w:val="18"/>
              </w:rPr>
              <w:t xml:space="preserve"> × ln(s)</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0.0825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0.0814</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(0.41)</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∆Domt,t−1 × K</w:t>
            </w:r>
            <w:r w:rsidRPr="008F5A2A">
              <w:rPr>
                <w:rFonts w:ascii="Times New Roman" w:eastAsia="Times New Roman" w:hAnsi="Times New Roman" w:cs="Times New Roman"/>
                <w:color w:val="000000"/>
                <w:sz w:val="18"/>
                <w:szCs w:val="18"/>
                <w:vertAlign w:val="subscript"/>
              </w:rPr>
              <w:t>it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0.231**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0.249**</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(2.41)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(2.34)</w:t>
            </w:r>
          </w:p>
        </w:tc>
      </w:tr>
      <w:tr w:rsidR="008F5A2A" w:rsidRPr="008F5A2A" w:rsidTr="003065D2">
        <w:trPr>
          <w:trHeight w:hRule="exac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∆For</w:t>
            </w:r>
            <w:r w:rsidRPr="008F5A2A">
              <w:rPr>
                <w:rFonts w:ascii="Times New Roman" w:eastAsia="Times New Roman" w:hAnsi="Times New Roman" w:cs="Times New Roman"/>
                <w:color w:val="000000"/>
                <w:sz w:val="18"/>
                <w:szCs w:val="18"/>
                <w:vertAlign w:val="subscript"/>
              </w:rPr>
              <w:t xml:space="preserve"> s,t/t-1</w:t>
            </w:r>
            <w:r w:rsidRPr="008F5A2A">
              <w:rPr>
                <w:rFonts w:ascii="Times New Roman" w:eastAsia="Times New Roman" w:hAnsi="Times New Roman" w:cs="Times New Roman"/>
                <w:color w:val="000000"/>
                <w:sz w:val="18"/>
                <w:szCs w:val="18"/>
              </w:rPr>
              <w:t>× K</w:t>
            </w:r>
            <w:r w:rsidRPr="008F5A2A">
              <w:rPr>
                <w:rFonts w:ascii="Times New Roman" w:eastAsia="Times New Roman" w:hAnsi="Times New Roman" w:cs="Times New Roman"/>
                <w:color w:val="000000"/>
                <w:sz w:val="18"/>
                <w:szCs w:val="18"/>
                <w:vertAlign w:val="subscript"/>
              </w:rPr>
              <w:t>it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-0.0864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-0.0803</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(-1.38)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(-1.23)</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∆Dom</w:t>
            </w:r>
            <w:r w:rsidRPr="008F5A2A">
              <w:rPr>
                <w:rFonts w:ascii="Times New Roman" w:eastAsia="Times New Roman" w:hAnsi="Times New Roman" w:cs="Times New Roman"/>
                <w:color w:val="000000"/>
                <w:sz w:val="18"/>
                <w:szCs w:val="18"/>
                <w:vertAlign w:val="subscript"/>
              </w:rPr>
              <w:t xml:space="preserve"> s,t/t-1</w:t>
            </w:r>
            <w:r w:rsidRPr="008F5A2A">
              <w:rPr>
                <w:rFonts w:ascii="Times New Roman" w:eastAsia="Times New Roman" w:hAnsi="Times New Roman" w:cs="Times New Roman"/>
                <w:color w:val="000000"/>
                <w:sz w:val="18"/>
                <w:szCs w:val="18"/>
              </w:rPr>
              <w:t>×TFPit−1</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-0.0881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-0.146</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(-0.84)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(-1.25)</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∆For</w:t>
            </w:r>
            <w:r w:rsidRPr="008F5A2A">
              <w:rPr>
                <w:rFonts w:ascii="Times New Roman" w:eastAsia="Times New Roman" w:hAnsi="Times New Roman" w:cs="Times New Roman"/>
                <w:color w:val="000000"/>
                <w:sz w:val="18"/>
                <w:szCs w:val="18"/>
                <w:vertAlign w:val="subscript"/>
              </w:rPr>
              <w:t>s,t/t-1</w:t>
            </w:r>
            <w:r w:rsidRPr="008F5A2A">
              <w:rPr>
                <w:rFonts w:ascii="Times New Roman" w:eastAsia="Times New Roman" w:hAnsi="Times New Roman" w:cs="Times New Roman"/>
                <w:color w:val="000000"/>
                <w:sz w:val="18"/>
                <w:szCs w:val="18"/>
              </w:rPr>
              <w:t>×TFPit−1</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-0.0651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-0.0744</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(-1.07)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(-1.13)</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∆Dom</w:t>
            </w:r>
            <w:r w:rsidRPr="008F5A2A">
              <w:rPr>
                <w:rFonts w:ascii="Times New Roman" w:eastAsia="Times New Roman" w:hAnsi="Times New Roman" w:cs="Times New Roman"/>
                <w:color w:val="000000"/>
                <w:sz w:val="18"/>
                <w:szCs w:val="18"/>
                <w:vertAlign w:val="subscript"/>
              </w:rPr>
              <w:t xml:space="preserve"> s,t/t-1</w:t>
            </w:r>
            <w:r w:rsidRPr="008F5A2A">
              <w:rPr>
                <w:rFonts w:ascii="Times New Roman" w:eastAsia="Times New Roman" w:hAnsi="Times New Roman" w:cs="Times New Roman"/>
                <w:color w:val="000000"/>
                <w:sz w:val="18"/>
                <w:szCs w:val="18"/>
              </w:rPr>
              <w:t>× emp</w:t>
            </w:r>
            <w:r w:rsidRPr="008F5A2A">
              <w:rPr>
                <w:rFonts w:ascii="Times New Roman" w:eastAsia="Times New Roman" w:hAnsi="Times New Roman" w:cs="Times New Roman"/>
                <w:color w:val="000000"/>
                <w:sz w:val="18"/>
                <w:szCs w:val="18"/>
                <w:vertAlign w:val="subscript"/>
              </w:rPr>
              <w:t>it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0.00197</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0.0202</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(0.03)</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(0.26)</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∆For</w:t>
            </w:r>
            <w:r w:rsidRPr="008F5A2A">
              <w:rPr>
                <w:rFonts w:ascii="Times New Roman" w:eastAsia="Times New Roman" w:hAnsi="Times New Roman" w:cs="Times New Roman"/>
                <w:color w:val="000000"/>
                <w:sz w:val="18"/>
                <w:szCs w:val="18"/>
                <w:vertAlign w:val="subscript"/>
              </w:rPr>
              <w:t>s,t/t-1</w:t>
            </w:r>
            <w:r w:rsidRPr="008F5A2A">
              <w:rPr>
                <w:rFonts w:ascii="Times New Roman" w:eastAsia="Times New Roman" w:hAnsi="Times New Roman" w:cs="Times New Roman"/>
                <w:color w:val="000000"/>
                <w:sz w:val="18"/>
                <w:szCs w:val="18"/>
              </w:rPr>
              <w:t>× emp</w:t>
            </w:r>
            <w:r w:rsidRPr="008F5A2A">
              <w:rPr>
                <w:rFonts w:ascii="Times New Roman" w:eastAsia="Times New Roman" w:hAnsi="Times New Roman" w:cs="Times New Roman"/>
                <w:color w:val="000000"/>
                <w:sz w:val="18"/>
                <w:szCs w:val="18"/>
                <w:vertAlign w:val="subscript"/>
              </w:rPr>
              <w:t>it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0.000655</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0.0238</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(0.01)</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(0.40)</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∆Dom</w:t>
            </w:r>
            <w:r w:rsidRPr="008F5A2A">
              <w:rPr>
                <w:rFonts w:ascii="Times New Roman" w:eastAsia="Times New Roman" w:hAnsi="Times New Roman" w:cs="Times New Roman"/>
                <w:color w:val="000000"/>
                <w:sz w:val="18"/>
                <w:szCs w:val="18"/>
                <w:vertAlign w:val="subscript"/>
              </w:rPr>
              <w:t xml:space="preserve"> s,0</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0.209***</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0.208***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0.210***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0.208***</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0.211***</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(2.63)</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(2.65)</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∆For</w:t>
            </w:r>
            <w:r w:rsidRPr="008F5A2A">
              <w:rPr>
                <w:rFonts w:ascii="Times New Roman" w:eastAsia="Times New Roman" w:hAnsi="Times New Roman" w:cs="Times New Roman"/>
                <w:color w:val="000000"/>
                <w:sz w:val="18"/>
                <w:szCs w:val="18"/>
                <w:vertAlign w:val="subscript"/>
              </w:rPr>
              <w:t xml:space="preserve"> s,0</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-0.119*</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-0.122*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-0.120*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-0.119*</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-0.119*</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-0.125*</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(-1.70)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(-1.73)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(-1.72)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(-1.70)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(-1.70)</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(-1.77)</w:t>
            </w:r>
          </w:p>
        </w:tc>
      </w:tr>
      <w:tr w:rsidR="008F5A2A" w:rsidRPr="008F5A2A" w:rsidTr="003065D2">
        <w:trPr>
          <w:trHeight w:val="300"/>
          <w:jc w:val="center"/>
        </w:trPr>
        <w:tc>
          <w:tcPr>
            <w:tcW w:w="1136" w:type="pct"/>
            <w:tcBorders>
              <w:top w:val="nil"/>
              <w:left w:val="nil"/>
              <w:bottom w:val="nil"/>
              <w:right w:val="nil"/>
            </w:tcBorders>
            <w:noWrap/>
            <w:vAlign w:val="center"/>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TFP</w:t>
            </w:r>
            <w:r w:rsidRPr="008F5A2A">
              <w:rPr>
                <w:rFonts w:ascii="Times New Roman" w:eastAsia="Times New Roman" w:hAnsi="Times New Roman" w:cs="Times New Roman"/>
                <w:color w:val="000000"/>
                <w:sz w:val="18"/>
                <w:szCs w:val="18"/>
                <w:vertAlign w:val="subscript"/>
              </w:rPr>
              <w:t>i,0</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-0.0545***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-0.0546***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-0.0543***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-0.0546***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-0.0545***</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-0.0544***</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(-2.66)</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(-2.65)</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MS Mincho" w:hAnsi="Times New Roman" w:cs="Times New Roman"/>
                <w:color w:val="000000"/>
                <w:sz w:val="18"/>
                <w:szCs w:val="18"/>
                <w:lang w:val="en-US"/>
              </w:rPr>
              <w:t>(-2.64)</w:t>
            </w:r>
          </w:p>
        </w:tc>
      </w:tr>
      <w:tr w:rsidR="008F5A2A" w:rsidRPr="008F5A2A" w:rsidTr="003065D2">
        <w:trPr>
          <w:trHeight w:val="300"/>
          <w:jc w:val="center"/>
        </w:trPr>
        <w:tc>
          <w:tcPr>
            <w:tcW w:w="1136" w:type="pct"/>
            <w:tcBorders>
              <w:top w:val="nil"/>
              <w:left w:val="nil"/>
              <w:bottom w:val="nil"/>
              <w:right w:val="nil"/>
            </w:tcBorders>
            <w:noWrap/>
            <w:vAlign w:val="bottom"/>
          </w:tcPr>
          <w:p w:rsidR="008F5A2A" w:rsidRPr="008F5A2A" w:rsidRDefault="008F5A2A" w:rsidP="008F5A2A">
            <w:pPr>
              <w:jc w:val="left"/>
              <w:rPr>
                <w:rFonts w:ascii="Times New Roman" w:eastAsia="Times New Roman" w:hAnsi="Times New Roman" w:cs="Times New Roman"/>
                <w:b/>
                <w:color w:val="000000"/>
                <w:sz w:val="18"/>
                <w:szCs w:val="18"/>
                <w:lang w:eastAsia="it-IT"/>
              </w:rPr>
            </w:pPr>
            <w:r w:rsidRPr="008F5A2A">
              <w:rPr>
                <w:rFonts w:ascii="Times New Roman" w:eastAsia="Times New Roman" w:hAnsi="Times New Roman" w:cs="Times New Roman"/>
                <w:b/>
                <w:color w:val="000000"/>
                <w:sz w:val="18"/>
                <w:szCs w:val="18"/>
                <w:lang w:eastAsia="it-IT"/>
              </w:rPr>
              <w:t xml:space="preserve">Mundlak additional </w:t>
            </w:r>
          </w:p>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b/>
                <w:color w:val="000000"/>
                <w:sz w:val="18"/>
                <w:szCs w:val="18"/>
                <w:lang w:eastAsia="it-IT"/>
              </w:rPr>
              <w:t>controls</w:t>
            </w:r>
          </w:p>
        </w:tc>
        <w:tc>
          <w:tcPr>
            <w:tcW w:w="586" w:type="pct"/>
            <w:tcBorders>
              <w:top w:val="nil"/>
              <w:left w:val="nil"/>
              <w:bottom w:val="nil"/>
              <w:right w:val="nil"/>
            </w:tcBorders>
            <w:noWrap/>
            <w:vAlign w:val="bottom"/>
          </w:tcPr>
          <w:p w:rsidR="008F5A2A" w:rsidRPr="008F5A2A" w:rsidRDefault="008F5A2A" w:rsidP="008F5A2A">
            <w:pPr>
              <w:jc w:val="left"/>
              <w:rPr>
                <w:rFonts w:ascii="Times New Roman" w:eastAsia="MS Mincho" w:hAnsi="Times New Roman" w:cs="Times New Roman"/>
                <w:color w:val="000000"/>
                <w:sz w:val="18"/>
                <w:szCs w:val="18"/>
                <w:lang w:val="en-US"/>
              </w:rPr>
            </w:pPr>
          </w:p>
        </w:tc>
        <w:tc>
          <w:tcPr>
            <w:tcW w:w="656" w:type="pct"/>
            <w:tcBorders>
              <w:top w:val="nil"/>
              <w:left w:val="nil"/>
              <w:bottom w:val="nil"/>
              <w:right w:val="nil"/>
            </w:tcBorders>
            <w:noWrap/>
            <w:vAlign w:val="bottom"/>
          </w:tcPr>
          <w:p w:rsidR="008F5A2A" w:rsidRPr="008F5A2A" w:rsidRDefault="008F5A2A" w:rsidP="008F5A2A">
            <w:pPr>
              <w:jc w:val="left"/>
              <w:rPr>
                <w:rFonts w:ascii="Times New Roman" w:eastAsia="MS Mincho" w:hAnsi="Times New Roman" w:cs="Times New Roman"/>
                <w:color w:val="000000"/>
                <w:sz w:val="18"/>
                <w:szCs w:val="18"/>
                <w:lang w:val="en-US"/>
              </w:rPr>
            </w:pPr>
          </w:p>
        </w:tc>
        <w:tc>
          <w:tcPr>
            <w:tcW w:w="656" w:type="pct"/>
            <w:tcBorders>
              <w:top w:val="nil"/>
              <w:left w:val="nil"/>
              <w:bottom w:val="nil"/>
              <w:right w:val="nil"/>
            </w:tcBorders>
            <w:noWrap/>
            <w:vAlign w:val="bottom"/>
          </w:tcPr>
          <w:p w:rsidR="008F5A2A" w:rsidRPr="008F5A2A" w:rsidRDefault="008F5A2A" w:rsidP="008F5A2A">
            <w:pPr>
              <w:jc w:val="left"/>
              <w:rPr>
                <w:rFonts w:ascii="Times New Roman" w:eastAsia="MS Mincho" w:hAnsi="Times New Roman" w:cs="Times New Roman"/>
                <w:color w:val="000000"/>
                <w:sz w:val="18"/>
                <w:szCs w:val="18"/>
                <w:lang w:val="en-US"/>
              </w:rPr>
            </w:pPr>
          </w:p>
        </w:tc>
        <w:tc>
          <w:tcPr>
            <w:tcW w:w="656" w:type="pct"/>
            <w:tcBorders>
              <w:top w:val="nil"/>
              <w:left w:val="nil"/>
              <w:bottom w:val="nil"/>
              <w:right w:val="nil"/>
            </w:tcBorders>
            <w:noWrap/>
            <w:vAlign w:val="bottom"/>
          </w:tcPr>
          <w:p w:rsidR="008F5A2A" w:rsidRPr="008F5A2A" w:rsidRDefault="008F5A2A" w:rsidP="008F5A2A">
            <w:pPr>
              <w:jc w:val="left"/>
              <w:rPr>
                <w:rFonts w:ascii="Times New Roman" w:eastAsia="MS Mincho" w:hAnsi="Times New Roman" w:cs="Times New Roman"/>
                <w:color w:val="000000"/>
                <w:sz w:val="18"/>
                <w:szCs w:val="18"/>
                <w:lang w:val="en-US"/>
              </w:rPr>
            </w:pPr>
          </w:p>
        </w:tc>
        <w:tc>
          <w:tcPr>
            <w:tcW w:w="656" w:type="pct"/>
            <w:tcBorders>
              <w:top w:val="nil"/>
              <w:left w:val="nil"/>
              <w:bottom w:val="nil"/>
              <w:right w:val="nil"/>
            </w:tcBorders>
            <w:noWrap/>
            <w:vAlign w:val="bottom"/>
          </w:tcPr>
          <w:p w:rsidR="008F5A2A" w:rsidRPr="008F5A2A" w:rsidRDefault="008F5A2A" w:rsidP="008F5A2A">
            <w:pPr>
              <w:jc w:val="left"/>
              <w:rPr>
                <w:rFonts w:ascii="Times New Roman" w:eastAsia="MS Mincho" w:hAnsi="Times New Roman" w:cs="Times New Roman"/>
                <w:color w:val="000000"/>
                <w:sz w:val="18"/>
                <w:szCs w:val="18"/>
                <w:lang w:val="en-US"/>
              </w:rPr>
            </w:pPr>
          </w:p>
        </w:tc>
        <w:tc>
          <w:tcPr>
            <w:tcW w:w="654" w:type="pct"/>
            <w:tcBorders>
              <w:top w:val="nil"/>
              <w:left w:val="nil"/>
              <w:bottom w:val="nil"/>
              <w:right w:val="nil"/>
            </w:tcBorders>
            <w:noWrap/>
            <w:vAlign w:val="bottom"/>
          </w:tcPr>
          <w:p w:rsidR="008F5A2A" w:rsidRPr="008F5A2A" w:rsidRDefault="008F5A2A" w:rsidP="008F5A2A">
            <w:pPr>
              <w:jc w:val="left"/>
              <w:rPr>
                <w:rFonts w:ascii="Times New Roman" w:eastAsia="MS Mincho" w:hAnsi="Times New Roman" w:cs="Times New Roman"/>
                <w:color w:val="000000"/>
                <w:sz w:val="18"/>
                <w:szCs w:val="18"/>
                <w:lang w:val="en-US"/>
              </w:rPr>
            </w:pP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m_capint</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0.0197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0.0197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0.0188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0.0193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0.0197</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0.0183</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(1.09)</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(1.09)</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(1.05)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(1.07)</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(1.09)</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(1.01)</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m_lempl</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-0.0990***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-0.0990***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-0.0995***</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-0.0990***</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-0.101***</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(-4.22)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(-4.22)</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(-4.30)</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(-4.24)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(-4.22)</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(-4.32)</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m_ltfp</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0.134***</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0.134***</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0.132***</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(3.91)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(3.91)</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(3.89)</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(3.88)</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(3.91)</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MS Mincho" w:hAnsi="Times New Roman" w:cs="Times New Roman"/>
                <w:color w:val="000000"/>
                <w:sz w:val="18"/>
                <w:szCs w:val="18"/>
                <w:lang w:val="en-US"/>
              </w:rPr>
              <w:t>(3.86)</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Times New Roman" w:hAnsi="Times New Roman" w:cs="Times New Roman"/>
                <w:color w:val="000000"/>
                <w:sz w:val="18"/>
                <w:szCs w:val="18"/>
              </w:rPr>
            </w:pPr>
            <w:r w:rsidRPr="008F5A2A">
              <w:rPr>
                <w:rFonts w:ascii="Times New Roman" w:eastAsia="Times New Roman" w:hAnsi="Times New Roman" w:cs="Times New Roman"/>
                <w:color w:val="000000"/>
                <w:sz w:val="18"/>
                <w:szCs w:val="18"/>
              </w:rPr>
              <w:t>Obs.</w:t>
            </w: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Times New Roman" w:hAnsi="Times New Roman" w:cs="Times New Roman"/>
                <w:color w:val="000000"/>
                <w:sz w:val="18"/>
                <w:szCs w:val="18"/>
              </w:rPr>
              <w:t>80933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Times New Roman" w:hAnsi="Times New Roman" w:cs="Times New Roman"/>
                <w:color w:val="000000"/>
                <w:sz w:val="18"/>
                <w:szCs w:val="18"/>
              </w:rPr>
              <w:t>80933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Times New Roman" w:hAnsi="Times New Roman" w:cs="Times New Roman"/>
                <w:color w:val="000000"/>
                <w:sz w:val="18"/>
                <w:szCs w:val="18"/>
              </w:rPr>
              <w:t>80933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Times New Roman" w:hAnsi="Times New Roman" w:cs="Times New Roman"/>
                <w:color w:val="000000"/>
                <w:sz w:val="18"/>
                <w:szCs w:val="18"/>
              </w:rPr>
              <w:t>80933</w:t>
            </w: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Times New Roman" w:hAnsi="Times New Roman" w:cs="Times New Roman"/>
                <w:color w:val="000000"/>
                <w:sz w:val="18"/>
                <w:szCs w:val="18"/>
              </w:rPr>
              <w:t>80933</w:t>
            </w: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color w:val="000000"/>
                <w:sz w:val="18"/>
                <w:szCs w:val="18"/>
                <w:lang w:val="en-US"/>
              </w:rPr>
            </w:pPr>
            <w:r w:rsidRPr="008F5A2A">
              <w:rPr>
                <w:rFonts w:ascii="Times New Roman" w:eastAsia="Times New Roman" w:hAnsi="Times New Roman" w:cs="Times New Roman"/>
                <w:color w:val="000000"/>
                <w:sz w:val="18"/>
                <w:szCs w:val="18"/>
              </w:rPr>
              <w:t>80933</w:t>
            </w:r>
          </w:p>
        </w:tc>
      </w:tr>
      <w:tr w:rsidR="008F5A2A" w:rsidRPr="008F5A2A" w:rsidTr="003065D2">
        <w:trPr>
          <w:trHeight w:val="300"/>
          <w:jc w:val="center"/>
        </w:trPr>
        <w:tc>
          <w:tcPr>
            <w:tcW w:w="113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58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6"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c>
          <w:tcPr>
            <w:tcW w:w="654" w:type="pct"/>
            <w:tcBorders>
              <w:top w:val="nil"/>
              <w:left w:val="nil"/>
              <w:bottom w:val="nil"/>
              <w:right w:val="nil"/>
            </w:tcBorders>
            <w:noWrap/>
            <w:vAlign w:val="bottom"/>
            <w:hideMark/>
          </w:tcPr>
          <w:p w:rsidR="008F5A2A" w:rsidRPr="008F5A2A" w:rsidRDefault="008F5A2A" w:rsidP="008F5A2A">
            <w:pPr>
              <w:jc w:val="left"/>
              <w:rPr>
                <w:rFonts w:ascii="Times New Roman" w:eastAsia="MS Mincho" w:hAnsi="Times New Roman" w:cs="Times New Roman"/>
                <w:sz w:val="18"/>
                <w:szCs w:val="18"/>
                <w:lang w:val="en-US"/>
              </w:rPr>
            </w:pPr>
          </w:p>
        </w:tc>
      </w:tr>
      <w:tr w:rsidR="008F5A2A" w:rsidRPr="008F5A2A" w:rsidTr="003065D2">
        <w:trPr>
          <w:trHeight w:val="300"/>
          <w:jc w:val="center"/>
        </w:trPr>
        <w:tc>
          <w:tcPr>
            <w:tcW w:w="1136" w:type="pct"/>
            <w:tcBorders>
              <w:top w:val="nil"/>
              <w:left w:val="nil"/>
              <w:bottom w:val="single" w:sz="4" w:space="0" w:color="auto"/>
              <w:right w:val="nil"/>
            </w:tcBorders>
            <w:noWrap/>
            <w:vAlign w:val="bottom"/>
            <w:hideMark/>
          </w:tcPr>
          <w:p w:rsidR="008F5A2A" w:rsidRPr="008F5A2A" w:rsidRDefault="008F5A2A" w:rsidP="008F5A2A">
            <w:pPr>
              <w:jc w:val="left"/>
              <w:rPr>
                <w:rFonts w:ascii="Cambria" w:eastAsia="MS Mincho" w:hAnsi="Cambria" w:cs="Times New Roman"/>
                <w:sz w:val="24"/>
                <w:szCs w:val="24"/>
                <w:lang w:val="en-US"/>
              </w:rPr>
            </w:pPr>
          </w:p>
        </w:tc>
        <w:tc>
          <w:tcPr>
            <w:tcW w:w="586" w:type="pct"/>
            <w:tcBorders>
              <w:top w:val="nil"/>
              <w:left w:val="nil"/>
              <w:bottom w:val="single" w:sz="4" w:space="0" w:color="auto"/>
              <w:right w:val="nil"/>
            </w:tcBorders>
            <w:noWrap/>
            <w:vAlign w:val="bottom"/>
            <w:hideMark/>
          </w:tcPr>
          <w:p w:rsidR="008F5A2A" w:rsidRPr="008F5A2A" w:rsidRDefault="008F5A2A" w:rsidP="008F5A2A">
            <w:pPr>
              <w:jc w:val="left"/>
              <w:rPr>
                <w:rFonts w:ascii="Cambria" w:eastAsia="MS Mincho" w:hAnsi="Cambria" w:cs="Times New Roman"/>
                <w:sz w:val="24"/>
                <w:szCs w:val="24"/>
                <w:lang w:val="en-US"/>
              </w:rPr>
            </w:pPr>
          </w:p>
        </w:tc>
        <w:tc>
          <w:tcPr>
            <w:tcW w:w="656" w:type="pct"/>
            <w:tcBorders>
              <w:top w:val="nil"/>
              <w:left w:val="nil"/>
              <w:bottom w:val="single" w:sz="4" w:space="0" w:color="auto"/>
              <w:right w:val="nil"/>
            </w:tcBorders>
            <w:noWrap/>
            <w:vAlign w:val="bottom"/>
            <w:hideMark/>
          </w:tcPr>
          <w:p w:rsidR="008F5A2A" w:rsidRPr="008F5A2A" w:rsidRDefault="008F5A2A" w:rsidP="008F5A2A">
            <w:pPr>
              <w:jc w:val="left"/>
              <w:rPr>
                <w:rFonts w:ascii="Cambria" w:eastAsia="MS Mincho" w:hAnsi="Cambria" w:cs="Times New Roman"/>
                <w:sz w:val="24"/>
                <w:szCs w:val="24"/>
                <w:lang w:val="en-US"/>
              </w:rPr>
            </w:pPr>
          </w:p>
        </w:tc>
        <w:tc>
          <w:tcPr>
            <w:tcW w:w="656" w:type="pct"/>
            <w:tcBorders>
              <w:top w:val="nil"/>
              <w:left w:val="nil"/>
              <w:bottom w:val="single" w:sz="4" w:space="0" w:color="auto"/>
              <w:right w:val="nil"/>
            </w:tcBorders>
            <w:noWrap/>
            <w:vAlign w:val="bottom"/>
            <w:hideMark/>
          </w:tcPr>
          <w:p w:rsidR="008F5A2A" w:rsidRPr="008F5A2A" w:rsidRDefault="008F5A2A" w:rsidP="008F5A2A">
            <w:pPr>
              <w:jc w:val="left"/>
              <w:rPr>
                <w:rFonts w:ascii="Cambria" w:eastAsia="MS Mincho" w:hAnsi="Cambria" w:cs="Times New Roman"/>
                <w:sz w:val="24"/>
                <w:szCs w:val="24"/>
                <w:lang w:val="en-US"/>
              </w:rPr>
            </w:pPr>
          </w:p>
        </w:tc>
        <w:tc>
          <w:tcPr>
            <w:tcW w:w="656" w:type="pct"/>
            <w:tcBorders>
              <w:top w:val="nil"/>
              <w:left w:val="nil"/>
              <w:bottom w:val="single" w:sz="4" w:space="0" w:color="auto"/>
              <w:right w:val="nil"/>
            </w:tcBorders>
            <w:noWrap/>
            <w:vAlign w:val="bottom"/>
            <w:hideMark/>
          </w:tcPr>
          <w:p w:rsidR="008F5A2A" w:rsidRPr="008F5A2A" w:rsidRDefault="008F5A2A" w:rsidP="008F5A2A">
            <w:pPr>
              <w:jc w:val="left"/>
              <w:rPr>
                <w:rFonts w:ascii="Cambria" w:eastAsia="MS Mincho" w:hAnsi="Cambria" w:cs="Times New Roman"/>
                <w:sz w:val="24"/>
                <w:szCs w:val="24"/>
                <w:lang w:val="en-US"/>
              </w:rPr>
            </w:pPr>
          </w:p>
        </w:tc>
        <w:tc>
          <w:tcPr>
            <w:tcW w:w="656" w:type="pct"/>
            <w:tcBorders>
              <w:top w:val="nil"/>
              <w:left w:val="nil"/>
              <w:bottom w:val="single" w:sz="4" w:space="0" w:color="auto"/>
              <w:right w:val="nil"/>
            </w:tcBorders>
            <w:noWrap/>
            <w:vAlign w:val="bottom"/>
            <w:hideMark/>
          </w:tcPr>
          <w:p w:rsidR="008F5A2A" w:rsidRPr="008F5A2A" w:rsidRDefault="008F5A2A" w:rsidP="008F5A2A">
            <w:pPr>
              <w:jc w:val="left"/>
              <w:rPr>
                <w:rFonts w:ascii="Cambria" w:eastAsia="MS Mincho" w:hAnsi="Cambria" w:cs="Times New Roman"/>
                <w:sz w:val="24"/>
                <w:szCs w:val="24"/>
                <w:lang w:val="en-US"/>
              </w:rPr>
            </w:pPr>
          </w:p>
        </w:tc>
        <w:tc>
          <w:tcPr>
            <w:tcW w:w="654" w:type="pct"/>
            <w:tcBorders>
              <w:top w:val="nil"/>
              <w:left w:val="nil"/>
              <w:bottom w:val="single" w:sz="4" w:space="0" w:color="auto"/>
              <w:right w:val="nil"/>
            </w:tcBorders>
            <w:noWrap/>
            <w:vAlign w:val="bottom"/>
            <w:hideMark/>
          </w:tcPr>
          <w:p w:rsidR="008F5A2A" w:rsidRPr="008F5A2A" w:rsidRDefault="008F5A2A" w:rsidP="008F5A2A">
            <w:pPr>
              <w:jc w:val="left"/>
              <w:rPr>
                <w:rFonts w:ascii="Cambria" w:eastAsia="MS Mincho" w:hAnsi="Cambria" w:cs="Times New Roman"/>
                <w:sz w:val="24"/>
                <w:szCs w:val="24"/>
                <w:lang w:val="en-US"/>
              </w:rPr>
            </w:pPr>
          </w:p>
        </w:tc>
      </w:tr>
    </w:tbl>
    <w:p w:rsidR="008F5A2A" w:rsidRPr="008F5A2A" w:rsidRDefault="008F5A2A" w:rsidP="008F5A2A">
      <w:pPr>
        <w:jc w:val="left"/>
        <w:rPr>
          <w:rFonts w:ascii="Cambria" w:eastAsia="MS Mincho" w:hAnsi="Cambria" w:cs="Times New Roman"/>
          <w:sz w:val="24"/>
          <w:szCs w:val="24"/>
          <w:lang w:val="en-US"/>
        </w:rPr>
      </w:pPr>
    </w:p>
    <w:p w:rsidR="008F5A2A" w:rsidRPr="008F5A2A" w:rsidRDefault="008F5A2A" w:rsidP="008F5A2A">
      <w:pPr>
        <w:jc w:val="left"/>
        <w:rPr>
          <w:rFonts w:ascii="Times New Roman" w:eastAsia="MS Mincho" w:hAnsi="Times New Roman" w:cs="Times New Roman"/>
          <w:sz w:val="18"/>
          <w:szCs w:val="18"/>
          <w:lang w:val="en-US"/>
        </w:rPr>
      </w:pPr>
      <w:r w:rsidRPr="008F5A2A">
        <w:rPr>
          <w:rFonts w:ascii="Times New Roman" w:eastAsia="MS Mincho" w:hAnsi="Times New Roman" w:cs="Times New Roman"/>
          <w:b/>
          <w:sz w:val="18"/>
          <w:szCs w:val="18"/>
          <w:lang w:val="en-US"/>
        </w:rPr>
        <w:t>Notes.</w:t>
      </w:r>
      <w:r w:rsidRPr="008F5A2A">
        <w:rPr>
          <w:rFonts w:ascii="Times New Roman" w:eastAsia="MS Mincho" w:hAnsi="Times New Roman" w:cs="Times New Roman"/>
          <w:sz w:val="18"/>
          <w:szCs w:val="18"/>
          <w:lang w:val="en-US"/>
        </w:rPr>
        <w:t xml:space="preserve"> The table reports the estimates from random-effects Probit models on a dummy variable assuming value one in the year of export exit. t-values are reported in parentheses. The estimation sample includes exporters observed over their first export spell. The panel unit is set at the firm-level. For firms that stop exporting we retain the first year without foreign sales in the sample. This year is defined as the `exit' year. Each model include 2-digit ISIC industry and year-specific fixed effects. Heteroscedastic-robust standard errors are employed . Significance levels: * 0.1, ** 0.05, *** 0.001.</w:t>
      </w:r>
    </w:p>
    <w:p w:rsidR="008F5A2A" w:rsidRPr="008F5A2A" w:rsidRDefault="008F5A2A" w:rsidP="008F5A2A">
      <w:pPr>
        <w:rPr>
          <w:rFonts w:eastAsiaTheme="minorEastAsia"/>
          <w:sz w:val="24"/>
          <w:szCs w:val="24"/>
          <w:lang w:val="en-US"/>
        </w:rPr>
      </w:pPr>
      <w:r w:rsidRPr="008F5A2A">
        <w:rPr>
          <w:rFonts w:eastAsiaTheme="minorEastAsia"/>
          <w:sz w:val="24"/>
          <w:szCs w:val="24"/>
          <w:lang w:val="en-US"/>
        </w:rPr>
        <w:br w:type="page"/>
      </w:r>
    </w:p>
    <w:p w:rsidR="008F5A2A" w:rsidRPr="008F5A2A" w:rsidRDefault="008F5A2A" w:rsidP="008F5A2A">
      <w:pPr>
        <w:widowControl w:val="0"/>
        <w:autoSpaceDE w:val="0"/>
        <w:autoSpaceDN w:val="0"/>
        <w:adjustRightInd w:val="0"/>
        <w:jc w:val="left"/>
        <w:rPr>
          <w:rFonts w:ascii="Times New Roman" w:eastAsia="MS Mincho" w:hAnsi="Times New Roman" w:cs="Times New Roman"/>
          <w:color w:val="1A1A1A"/>
          <w:sz w:val="24"/>
          <w:szCs w:val="24"/>
        </w:rPr>
      </w:pPr>
    </w:p>
    <w:p w:rsidR="008F5A2A" w:rsidRPr="008F5A2A" w:rsidRDefault="008F5A2A" w:rsidP="008F5A2A">
      <w:pPr>
        <w:widowControl w:val="0"/>
        <w:autoSpaceDE w:val="0"/>
        <w:autoSpaceDN w:val="0"/>
        <w:adjustRightInd w:val="0"/>
        <w:jc w:val="left"/>
        <w:rPr>
          <w:rFonts w:ascii="Times New Roman" w:eastAsia="MS Mincho" w:hAnsi="Times New Roman" w:cs="Times New Roman"/>
          <w:color w:val="1A1A1A"/>
          <w:sz w:val="24"/>
          <w:szCs w:val="24"/>
        </w:rPr>
      </w:pPr>
      <w:r w:rsidRPr="008F5A2A">
        <w:rPr>
          <w:rFonts w:ascii="Times New Roman" w:eastAsia="MS Mincho" w:hAnsi="Times New Roman" w:cs="Times New Roman"/>
          <w:b/>
          <w:color w:val="1A1A1A"/>
          <w:sz w:val="24"/>
          <w:szCs w:val="24"/>
        </w:rPr>
        <w:t>References</w:t>
      </w:r>
    </w:p>
    <w:p w:rsidR="008F5A2A" w:rsidRPr="008F5A2A" w:rsidRDefault="008F5A2A" w:rsidP="008F5A2A">
      <w:pPr>
        <w:widowControl w:val="0"/>
        <w:autoSpaceDE w:val="0"/>
        <w:autoSpaceDN w:val="0"/>
        <w:adjustRightInd w:val="0"/>
        <w:jc w:val="left"/>
        <w:rPr>
          <w:rFonts w:ascii="Times New Roman" w:eastAsia="MS Mincho" w:hAnsi="Times New Roman" w:cs="Times New Roman"/>
          <w:color w:val="1A1A1A"/>
          <w:sz w:val="24"/>
          <w:szCs w:val="24"/>
        </w:rPr>
      </w:pPr>
    </w:p>
    <w:p w:rsidR="00E74BA5" w:rsidRPr="00E74BA5" w:rsidRDefault="00E74BA5" w:rsidP="00E74BA5">
      <w:pPr>
        <w:widowControl w:val="0"/>
        <w:autoSpaceDE w:val="0"/>
        <w:autoSpaceDN w:val="0"/>
        <w:adjustRightInd w:val="0"/>
        <w:jc w:val="left"/>
        <w:rPr>
          <w:rFonts w:ascii="Times New Roman" w:eastAsia="MS Mincho" w:hAnsi="Times New Roman" w:cs="Times New Roman"/>
          <w:color w:val="1A1A1A"/>
          <w:sz w:val="24"/>
          <w:szCs w:val="24"/>
          <w:lang w:val="en-US"/>
        </w:rPr>
      </w:pPr>
      <w:r w:rsidRPr="00E74BA5">
        <w:rPr>
          <w:rFonts w:ascii="Times New Roman" w:eastAsia="MS Mincho" w:hAnsi="Times New Roman" w:cs="Times New Roman"/>
          <w:color w:val="1A1A1A"/>
          <w:sz w:val="24"/>
          <w:szCs w:val="24"/>
          <w:lang w:val="en-US"/>
        </w:rPr>
        <w:t>Eaton, J. Kortum, S. Kramarz, F. 2004. "</w:t>
      </w:r>
      <w:hyperlink r:id="rId6" w:history="1">
        <w:r w:rsidRPr="00E74BA5">
          <w:rPr>
            <w:rFonts w:ascii="Times New Roman" w:eastAsia="MS Mincho" w:hAnsi="Times New Roman" w:cs="Times New Roman"/>
            <w:color w:val="1A1A1A"/>
            <w:sz w:val="24"/>
            <w:szCs w:val="24"/>
            <w:lang w:val="en-US"/>
          </w:rPr>
          <w:t>Dissecting Trade: Firms, Industries, and Export Destinations</w:t>
        </w:r>
      </w:hyperlink>
      <w:r w:rsidRPr="00E74BA5">
        <w:rPr>
          <w:rFonts w:ascii="Times New Roman" w:eastAsia="MS Mincho" w:hAnsi="Times New Roman" w:cs="Times New Roman"/>
          <w:i/>
          <w:color w:val="1A1A1A"/>
          <w:sz w:val="24"/>
          <w:szCs w:val="24"/>
          <w:lang w:val="en-US"/>
        </w:rPr>
        <w:t xml:space="preserve">," </w:t>
      </w:r>
      <w:hyperlink r:id="rId7" w:history="1">
        <w:r w:rsidRPr="00E74BA5">
          <w:rPr>
            <w:rFonts w:ascii="Times New Roman" w:eastAsia="MS Mincho" w:hAnsi="Times New Roman" w:cs="Times New Roman"/>
            <w:i/>
            <w:color w:val="1A1A1A"/>
            <w:sz w:val="24"/>
            <w:szCs w:val="24"/>
            <w:lang w:val="en-US"/>
          </w:rPr>
          <w:t>American Economic Review</w:t>
        </w:r>
      </w:hyperlink>
      <w:r w:rsidRPr="00E74BA5">
        <w:rPr>
          <w:rFonts w:ascii="Times New Roman" w:eastAsia="MS Mincho" w:hAnsi="Times New Roman" w:cs="Times New Roman"/>
          <w:color w:val="1A1A1A"/>
          <w:sz w:val="24"/>
          <w:szCs w:val="24"/>
          <w:lang w:val="en-US"/>
        </w:rPr>
        <w:t>, 94, 150-154.</w:t>
      </w:r>
    </w:p>
    <w:p w:rsidR="00E74BA5" w:rsidRDefault="00E74BA5" w:rsidP="008F5A2A">
      <w:pPr>
        <w:widowControl w:val="0"/>
        <w:autoSpaceDE w:val="0"/>
        <w:autoSpaceDN w:val="0"/>
        <w:adjustRightInd w:val="0"/>
        <w:jc w:val="left"/>
        <w:rPr>
          <w:rFonts w:ascii="Times New Roman" w:eastAsiaTheme="minorEastAsia" w:hAnsi="Times New Roman" w:cs="Times New Roman"/>
          <w:color w:val="1A1A1A"/>
          <w:sz w:val="24"/>
          <w:szCs w:val="24"/>
          <w:lang w:val="en-US"/>
        </w:rPr>
      </w:pPr>
    </w:p>
    <w:p w:rsidR="008F5A2A" w:rsidRPr="008F5A2A" w:rsidRDefault="008F5A2A" w:rsidP="008F5A2A">
      <w:pPr>
        <w:widowControl w:val="0"/>
        <w:autoSpaceDE w:val="0"/>
        <w:autoSpaceDN w:val="0"/>
        <w:adjustRightInd w:val="0"/>
        <w:jc w:val="left"/>
        <w:rPr>
          <w:rFonts w:ascii="Times New Roman" w:eastAsiaTheme="minorEastAsia" w:hAnsi="Times New Roman" w:cs="Times New Roman"/>
          <w:color w:val="1A1A1A"/>
          <w:sz w:val="24"/>
          <w:szCs w:val="24"/>
          <w:lang w:val="en-US"/>
        </w:rPr>
      </w:pPr>
      <w:r w:rsidRPr="008F5A2A">
        <w:rPr>
          <w:rFonts w:ascii="Times New Roman" w:eastAsiaTheme="minorEastAsia" w:hAnsi="Times New Roman" w:cs="Times New Roman"/>
          <w:color w:val="1A1A1A"/>
          <w:sz w:val="24"/>
          <w:szCs w:val="24"/>
          <w:lang w:val="en-US"/>
        </w:rPr>
        <w:t>Green, W. H. 2012 “Econometric Analysis.” Chapter 11. Seventh Edition, Pearson.</w:t>
      </w:r>
    </w:p>
    <w:p w:rsidR="008F5A2A" w:rsidRPr="008F5A2A" w:rsidRDefault="008F5A2A" w:rsidP="008F5A2A">
      <w:pPr>
        <w:widowControl w:val="0"/>
        <w:autoSpaceDE w:val="0"/>
        <w:autoSpaceDN w:val="0"/>
        <w:adjustRightInd w:val="0"/>
        <w:jc w:val="left"/>
        <w:rPr>
          <w:rFonts w:ascii="Times New Roman" w:eastAsiaTheme="minorEastAsia" w:hAnsi="Times New Roman" w:cs="Times New Roman"/>
          <w:color w:val="1A1A1A"/>
          <w:sz w:val="24"/>
          <w:szCs w:val="24"/>
          <w:lang w:val="en-US"/>
        </w:rPr>
      </w:pPr>
    </w:p>
    <w:p w:rsidR="008F5A2A" w:rsidRPr="008F5A2A" w:rsidRDefault="008F5A2A" w:rsidP="008F5A2A">
      <w:pPr>
        <w:widowControl w:val="0"/>
        <w:autoSpaceDE w:val="0"/>
        <w:autoSpaceDN w:val="0"/>
        <w:adjustRightInd w:val="0"/>
        <w:jc w:val="left"/>
        <w:rPr>
          <w:rFonts w:eastAsiaTheme="minorEastAsia"/>
          <w:color w:val="1A1A1A"/>
          <w:sz w:val="24"/>
          <w:szCs w:val="24"/>
          <w:lang w:val="en-US"/>
        </w:rPr>
      </w:pPr>
      <w:r w:rsidRPr="008F5A2A">
        <w:rPr>
          <w:rFonts w:ascii="Times New Roman" w:eastAsiaTheme="minorEastAsia" w:hAnsi="Times New Roman" w:cs="Times New Roman"/>
          <w:color w:val="1A1A1A"/>
          <w:sz w:val="24"/>
          <w:szCs w:val="24"/>
          <w:lang w:val="en-US"/>
        </w:rPr>
        <w:t xml:space="preserve">Green, W. H. 2004 “The behavior of the maximum likelihood estimator of limited dependent variable models in the presence of fixed effects.” </w:t>
      </w:r>
      <w:r w:rsidRPr="008F5A2A">
        <w:rPr>
          <w:rFonts w:ascii="Times New Roman" w:eastAsiaTheme="minorEastAsia" w:hAnsi="Times New Roman" w:cs="Times New Roman"/>
          <w:i/>
          <w:color w:val="1A1A1A"/>
          <w:sz w:val="24"/>
          <w:szCs w:val="24"/>
          <w:lang w:val="en-US"/>
        </w:rPr>
        <w:t>The Econometrics Journal</w:t>
      </w:r>
      <w:r w:rsidRPr="008F5A2A">
        <w:rPr>
          <w:rFonts w:ascii="Times New Roman" w:eastAsiaTheme="minorEastAsia" w:hAnsi="Times New Roman" w:cs="Times New Roman"/>
          <w:color w:val="1A1A1A"/>
          <w:sz w:val="24"/>
          <w:szCs w:val="24"/>
          <w:lang w:val="en-US"/>
        </w:rPr>
        <w:t>, 7, 98-119.</w:t>
      </w:r>
    </w:p>
    <w:p w:rsidR="008F5A2A" w:rsidRPr="008F5A2A" w:rsidRDefault="008F5A2A" w:rsidP="008F5A2A">
      <w:pPr>
        <w:widowControl w:val="0"/>
        <w:autoSpaceDE w:val="0"/>
        <w:autoSpaceDN w:val="0"/>
        <w:adjustRightInd w:val="0"/>
        <w:jc w:val="left"/>
        <w:rPr>
          <w:rFonts w:ascii="Times New Roman" w:eastAsia="MS Mincho" w:hAnsi="Times New Roman" w:cs="Times New Roman"/>
          <w:color w:val="1A1A1A"/>
          <w:sz w:val="24"/>
          <w:szCs w:val="24"/>
        </w:rPr>
      </w:pPr>
    </w:p>
    <w:p w:rsidR="008F5A2A" w:rsidRPr="008F5A2A" w:rsidRDefault="008F5A2A" w:rsidP="008F5A2A">
      <w:pPr>
        <w:widowControl w:val="0"/>
        <w:autoSpaceDE w:val="0"/>
        <w:autoSpaceDN w:val="0"/>
        <w:adjustRightInd w:val="0"/>
        <w:jc w:val="left"/>
        <w:rPr>
          <w:rFonts w:ascii="Times New Roman" w:eastAsia="MS Mincho" w:hAnsi="Times New Roman" w:cs="Times New Roman"/>
          <w:color w:val="1A1A1A"/>
          <w:sz w:val="24"/>
          <w:szCs w:val="24"/>
        </w:rPr>
      </w:pPr>
      <w:r w:rsidRPr="008F5A2A">
        <w:rPr>
          <w:rFonts w:ascii="Times New Roman" w:eastAsia="MS Mincho" w:hAnsi="Times New Roman" w:cs="Times New Roman"/>
          <w:color w:val="1A1A1A"/>
          <w:sz w:val="24"/>
          <w:szCs w:val="24"/>
        </w:rPr>
        <w:t xml:space="preserve">Head K and Reiss J (2003) ‘Heterogeneity and the FDI versus export decision of Japanese manufacturers’,  </w:t>
      </w:r>
      <w:r w:rsidRPr="008F5A2A">
        <w:rPr>
          <w:rFonts w:ascii="Times New Roman" w:eastAsia="MS Mincho" w:hAnsi="Times New Roman" w:cs="Times New Roman"/>
          <w:i/>
          <w:color w:val="1A1A1A"/>
          <w:sz w:val="24"/>
          <w:szCs w:val="24"/>
        </w:rPr>
        <w:t>Journal of the Japanese and International Economies</w:t>
      </w:r>
      <w:r w:rsidRPr="008F5A2A">
        <w:rPr>
          <w:rFonts w:ascii="Times New Roman" w:eastAsia="MS Mincho" w:hAnsi="Times New Roman" w:cs="Times New Roman"/>
          <w:color w:val="1A1A1A"/>
          <w:sz w:val="24"/>
          <w:szCs w:val="24"/>
        </w:rPr>
        <w:t>, 17, 448–467.</w:t>
      </w:r>
    </w:p>
    <w:p w:rsidR="008F5A2A" w:rsidRPr="008F5A2A" w:rsidRDefault="008F5A2A" w:rsidP="008F5A2A">
      <w:pPr>
        <w:widowControl w:val="0"/>
        <w:autoSpaceDE w:val="0"/>
        <w:autoSpaceDN w:val="0"/>
        <w:adjustRightInd w:val="0"/>
        <w:jc w:val="left"/>
        <w:rPr>
          <w:rFonts w:ascii="Times New Roman" w:eastAsia="MS Mincho" w:hAnsi="Times New Roman" w:cs="Times New Roman"/>
          <w:color w:val="1A1A1A"/>
          <w:sz w:val="24"/>
          <w:szCs w:val="24"/>
        </w:rPr>
      </w:pPr>
    </w:p>
    <w:p w:rsidR="008F5A2A" w:rsidRPr="008F5A2A" w:rsidRDefault="008F5A2A" w:rsidP="008F5A2A">
      <w:pPr>
        <w:widowControl w:val="0"/>
        <w:autoSpaceDE w:val="0"/>
        <w:autoSpaceDN w:val="0"/>
        <w:adjustRightInd w:val="0"/>
        <w:jc w:val="left"/>
        <w:rPr>
          <w:rFonts w:ascii="Times New Roman" w:eastAsia="MS Mincho" w:hAnsi="Times New Roman" w:cs="Times New Roman"/>
          <w:color w:val="1A1A1A"/>
          <w:sz w:val="24"/>
          <w:szCs w:val="24"/>
        </w:rPr>
      </w:pPr>
      <w:r w:rsidRPr="008F5A2A">
        <w:rPr>
          <w:rFonts w:ascii="Times New Roman" w:eastAsia="MS Mincho" w:hAnsi="Times New Roman" w:cs="Times New Roman"/>
          <w:color w:val="1A1A1A"/>
          <w:sz w:val="24"/>
          <w:szCs w:val="24"/>
        </w:rPr>
        <w:t xml:space="preserve">Head K and Reiss J (2004) ‘Exporting and FDI as alternative strategies’, </w:t>
      </w:r>
      <w:r w:rsidRPr="008F5A2A">
        <w:rPr>
          <w:rFonts w:ascii="Times New Roman" w:eastAsia="MS Mincho" w:hAnsi="Times New Roman" w:cs="Times New Roman"/>
          <w:i/>
          <w:color w:val="1A1A1A"/>
          <w:sz w:val="24"/>
          <w:szCs w:val="24"/>
        </w:rPr>
        <w:t>Oxford Review of Economic Policy</w:t>
      </w:r>
      <w:r w:rsidRPr="008F5A2A">
        <w:rPr>
          <w:rFonts w:ascii="Times New Roman" w:eastAsia="MS Mincho" w:hAnsi="Times New Roman" w:cs="Times New Roman"/>
          <w:color w:val="1A1A1A"/>
          <w:sz w:val="24"/>
          <w:szCs w:val="24"/>
        </w:rPr>
        <w:t>, 20, 409-423.</w:t>
      </w:r>
    </w:p>
    <w:p w:rsidR="008F5A2A" w:rsidRPr="008F5A2A" w:rsidRDefault="008F5A2A" w:rsidP="008F5A2A">
      <w:pPr>
        <w:jc w:val="left"/>
        <w:rPr>
          <w:rFonts w:ascii="Times New Roman" w:eastAsiaTheme="minorEastAsia" w:hAnsi="Times New Roman" w:cs="Times New Roman"/>
          <w:sz w:val="24"/>
          <w:szCs w:val="24"/>
          <w:lang w:val="en-US"/>
        </w:rPr>
      </w:pPr>
    </w:p>
    <w:p w:rsidR="008F5A2A" w:rsidRPr="008F5A2A" w:rsidRDefault="008F5A2A" w:rsidP="008F5A2A">
      <w:pPr>
        <w:jc w:val="left"/>
        <w:rPr>
          <w:rFonts w:ascii="Times New Roman" w:eastAsiaTheme="minorEastAsia" w:hAnsi="Times New Roman" w:cs="Times New Roman"/>
          <w:sz w:val="24"/>
          <w:szCs w:val="24"/>
        </w:rPr>
      </w:pPr>
      <w:r w:rsidRPr="008F5A2A">
        <w:rPr>
          <w:rFonts w:ascii="Times New Roman" w:eastAsiaTheme="minorEastAsia" w:hAnsi="Times New Roman" w:cs="Times New Roman"/>
          <w:sz w:val="24"/>
          <w:szCs w:val="24"/>
        </w:rPr>
        <w:t xml:space="preserve">Tomiura, E. 2007.  “Foreign outsourcing, exporting, and FDI: A productivity comparison at the firm level”. </w:t>
      </w:r>
      <w:r w:rsidRPr="008F5A2A">
        <w:rPr>
          <w:rFonts w:ascii="Times New Roman" w:eastAsiaTheme="minorEastAsia" w:hAnsi="Times New Roman" w:cs="Times New Roman"/>
          <w:i/>
          <w:iCs/>
          <w:sz w:val="24"/>
          <w:szCs w:val="24"/>
        </w:rPr>
        <w:t xml:space="preserve">Journal of International Economics </w:t>
      </w:r>
      <w:r w:rsidRPr="008F5A2A">
        <w:rPr>
          <w:rFonts w:ascii="Times New Roman" w:eastAsiaTheme="minorEastAsia" w:hAnsi="Times New Roman" w:cs="Times New Roman"/>
          <w:sz w:val="24"/>
          <w:szCs w:val="24"/>
        </w:rPr>
        <w:t>72, 113–127.</w:t>
      </w:r>
    </w:p>
    <w:p w:rsidR="008F5A2A" w:rsidRPr="008F5A2A" w:rsidRDefault="008F5A2A" w:rsidP="008F5A2A">
      <w:pPr>
        <w:jc w:val="left"/>
        <w:rPr>
          <w:rFonts w:ascii="Times New Roman" w:eastAsiaTheme="minorEastAsia" w:hAnsi="Times New Roman" w:cs="Times New Roman"/>
          <w:sz w:val="24"/>
          <w:szCs w:val="24"/>
        </w:rPr>
      </w:pPr>
    </w:p>
    <w:p w:rsidR="008F5A2A" w:rsidRPr="008F5A2A" w:rsidRDefault="008F5A2A" w:rsidP="008F5A2A">
      <w:pPr>
        <w:widowControl w:val="0"/>
        <w:autoSpaceDE w:val="0"/>
        <w:autoSpaceDN w:val="0"/>
        <w:adjustRightInd w:val="0"/>
        <w:jc w:val="left"/>
        <w:rPr>
          <w:rFonts w:ascii="Times New Roman" w:eastAsiaTheme="minorEastAsia" w:hAnsi="Times New Roman" w:cs="Times New Roman"/>
          <w:color w:val="1A1A1A"/>
          <w:sz w:val="24"/>
          <w:szCs w:val="24"/>
          <w:lang w:val="en-US"/>
        </w:rPr>
      </w:pPr>
      <w:r w:rsidRPr="008F5A2A">
        <w:rPr>
          <w:rFonts w:ascii="Times New Roman" w:eastAsiaTheme="minorEastAsia" w:hAnsi="Times New Roman" w:cs="Times New Roman"/>
          <w:color w:val="1A1A1A"/>
          <w:sz w:val="24"/>
          <w:szCs w:val="24"/>
          <w:lang w:val="en-US"/>
        </w:rPr>
        <w:t xml:space="preserve">Wagner, J. 2012, "International trade and firm performance: a survey of empirical studies since 2006." </w:t>
      </w:r>
      <w:r w:rsidRPr="008F5A2A">
        <w:rPr>
          <w:rFonts w:ascii="Times New Roman" w:eastAsiaTheme="minorEastAsia" w:hAnsi="Times New Roman" w:cs="Times New Roman"/>
          <w:i/>
          <w:color w:val="1A1A1A"/>
          <w:sz w:val="24"/>
          <w:szCs w:val="24"/>
          <w:lang w:val="en-US"/>
        </w:rPr>
        <w:t>Review of World Economics,</w:t>
      </w:r>
      <w:r w:rsidRPr="008F5A2A">
        <w:rPr>
          <w:rFonts w:ascii="Times New Roman" w:eastAsiaTheme="minorEastAsia" w:hAnsi="Times New Roman" w:cs="Times New Roman"/>
          <w:color w:val="1A1A1A"/>
          <w:sz w:val="24"/>
          <w:szCs w:val="24"/>
          <w:lang w:val="en-US"/>
        </w:rPr>
        <w:t xml:space="preserve"> 148. 235-267.</w:t>
      </w:r>
    </w:p>
    <w:p w:rsidR="008F5A2A" w:rsidRPr="008F5A2A" w:rsidRDefault="008F5A2A" w:rsidP="008F5A2A">
      <w:pPr>
        <w:jc w:val="left"/>
        <w:rPr>
          <w:rFonts w:ascii="Times New Roman" w:eastAsiaTheme="minorEastAsia" w:hAnsi="Times New Roman" w:cs="Times New Roman"/>
          <w:sz w:val="24"/>
          <w:szCs w:val="24"/>
          <w:lang w:val="en-US"/>
        </w:rPr>
      </w:pPr>
    </w:p>
    <w:p w:rsidR="008F5A2A" w:rsidRDefault="008F5A2A" w:rsidP="00D01047">
      <w:pPr>
        <w:jc w:val="left"/>
      </w:pPr>
    </w:p>
    <w:sectPr w:rsidR="008F5A2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4B0" w:rsidRDefault="005B34B0" w:rsidP="00D01047">
      <w:r>
        <w:separator/>
      </w:r>
    </w:p>
  </w:endnote>
  <w:endnote w:type="continuationSeparator" w:id="0">
    <w:p w:rsidR="005B34B0" w:rsidRDefault="005B34B0" w:rsidP="00D0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317044"/>
      <w:docPartObj>
        <w:docPartGallery w:val="Page Numbers (Bottom of Page)"/>
        <w:docPartUnique/>
      </w:docPartObj>
    </w:sdtPr>
    <w:sdtEndPr>
      <w:rPr>
        <w:noProof/>
      </w:rPr>
    </w:sdtEndPr>
    <w:sdtContent>
      <w:p w:rsidR="005F3CD4" w:rsidRDefault="005F3CD4">
        <w:pPr>
          <w:pStyle w:val="Footer"/>
        </w:pPr>
        <w:r>
          <w:fldChar w:fldCharType="begin"/>
        </w:r>
        <w:r>
          <w:instrText xml:space="preserve"> PAGE   \* MERGEFORMAT </w:instrText>
        </w:r>
        <w:r>
          <w:fldChar w:fldCharType="separate"/>
        </w:r>
        <w:r w:rsidR="00861486">
          <w:rPr>
            <w:noProof/>
          </w:rPr>
          <w:t>1</w:t>
        </w:r>
        <w:r>
          <w:rPr>
            <w:noProof/>
          </w:rPr>
          <w:fldChar w:fldCharType="end"/>
        </w:r>
      </w:p>
    </w:sdtContent>
  </w:sdt>
  <w:p w:rsidR="005F3CD4" w:rsidRDefault="005F3C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4B0" w:rsidRDefault="005B34B0" w:rsidP="00D01047">
      <w:r>
        <w:separator/>
      </w:r>
    </w:p>
  </w:footnote>
  <w:footnote w:type="continuationSeparator" w:id="0">
    <w:p w:rsidR="005B34B0" w:rsidRDefault="005B34B0" w:rsidP="00D01047">
      <w:r>
        <w:continuationSeparator/>
      </w:r>
    </w:p>
  </w:footnote>
  <w:footnote w:id="1">
    <w:p w:rsidR="00161496" w:rsidRPr="002379FE" w:rsidRDefault="00161496" w:rsidP="00161496">
      <w:pPr>
        <w:pStyle w:val="FootnoteText"/>
        <w:rPr>
          <w:lang w:val="en-US"/>
        </w:rPr>
      </w:pPr>
      <w:r>
        <w:rPr>
          <w:rStyle w:val="FootnoteReference"/>
        </w:rPr>
        <w:footnoteRef/>
      </w:r>
      <w:r>
        <w:t xml:space="preserve"> </w:t>
      </w:r>
      <w:r>
        <w:rPr>
          <w:lang w:val="en-US"/>
        </w:rPr>
        <w:t>Although we use the same regressors in the first and in the second model, their values refer to different periods in time.</w:t>
      </w:r>
    </w:p>
  </w:footnote>
  <w:footnote w:id="2">
    <w:p w:rsidR="008F5A2A" w:rsidRDefault="008F5A2A" w:rsidP="008F5A2A">
      <w:pPr>
        <w:pStyle w:val="FootnoteText"/>
      </w:pPr>
      <w:r>
        <w:rPr>
          <w:rStyle w:val="FootnoteReference"/>
        </w:rPr>
        <w:footnoteRef/>
      </w:r>
      <w:r>
        <w:t xml:space="preserve"> T</w:t>
      </w:r>
      <w:r w:rsidRPr="00942304">
        <w:t>omiura</w:t>
      </w:r>
      <w:r>
        <w:t xml:space="preserve"> (2007) shows that this is largely because the productivity advantage required for various forms of internationalisation, including exporting and FDI, tends to be greater for small firms than for their larger counterparts.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047"/>
    <w:rsid w:val="00161496"/>
    <w:rsid w:val="001A7534"/>
    <w:rsid w:val="001B710E"/>
    <w:rsid w:val="003D706D"/>
    <w:rsid w:val="003E67CF"/>
    <w:rsid w:val="004C2236"/>
    <w:rsid w:val="005B34B0"/>
    <w:rsid w:val="005F3CD4"/>
    <w:rsid w:val="00643F60"/>
    <w:rsid w:val="00686D93"/>
    <w:rsid w:val="00861486"/>
    <w:rsid w:val="008F5A2A"/>
    <w:rsid w:val="00922170"/>
    <w:rsid w:val="0093750E"/>
    <w:rsid w:val="009968BC"/>
    <w:rsid w:val="00CB5F77"/>
    <w:rsid w:val="00D01047"/>
    <w:rsid w:val="00E74BA5"/>
    <w:rsid w:val="00E96EEB"/>
    <w:rsid w:val="00ED4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96A6EB-BEF0-4BDB-9F6A-C8413281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S"/>
    <w:basedOn w:val="Normal"/>
    <w:link w:val="FootnoteTextChar"/>
    <w:uiPriority w:val="99"/>
    <w:semiHidden/>
    <w:rsid w:val="00D01047"/>
    <w:pPr>
      <w:jc w:val="left"/>
    </w:pPr>
    <w:rPr>
      <w:rFonts w:ascii="Times New Roman" w:eastAsia="Times New Roman" w:hAnsi="Times New Roman" w:cs="Times New Roman"/>
      <w:sz w:val="20"/>
      <w:szCs w:val="20"/>
      <w:lang w:eastAsia="en-GB"/>
    </w:rPr>
  </w:style>
  <w:style w:type="character" w:customStyle="1" w:styleId="FootnoteTextChar">
    <w:name w:val="Footnote Text Char"/>
    <w:aliases w:val="FOOTNOTES Char"/>
    <w:basedOn w:val="DefaultParagraphFont"/>
    <w:link w:val="FootnoteText"/>
    <w:uiPriority w:val="99"/>
    <w:semiHidden/>
    <w:rsid w:val="00D01047"/>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sid w:val="00D01047"/>
    <w:rPr>
      <w:rFonts w:cs="Times New Roman"/>
      <w:vertAlign w:val="superscript"/>
    </w:rPr>
  </w:style>
  <w:style w:type="paragraph" w:styleId="BalloonText">
    <w:name w:val="Balloon Text"/>
    <w:basedOn w:val="Normal"/>
    <w:link w:val="BalloonTextChar"/>
    <w:uiPriority w:val="99"/>
    <w:semiHidden/>
    <w:unhideWhenUsed/>
    <w:rsid w:val="00D01047"/>
    <w:rPr>
      <w:rFonts w:ascii="Tahoma" w:hAnsi="Tahoma" w:cs="Tahoma"/>
      <w:sz w:val="16"/>
      <w:szCs w:val="16"/>
    </w:rPr>
  </w:style>
  <w:style w:type="character" w:customStyle="1" w:styleId="BalloonTextChar">
    <w:name w:val="Balloon Text Char"/>
    <w:basedOn w:val="DefaultParagraphFont"/>
    <w:link w:val="BalloonText"/>
    <w:uiPriority w:val="99"/>
    <w:semiHidden/>
    <w:rsid w:val="00D01047"/>
    <w:rPr>
      <w:rFonts w:ascii="Tahoma" w:hAnsi="Tahoma" w:cs="Tahoma"/>
      <w:sz w:val="16"/>
      <w:szCs w:val="16"/>
    </w:rPr>
  </w:style>
  <w:style w:type="paragraph" w:styleId="Header">
    <w:name w:val="header"/>
    <w:basedOn w:val="Normal"/>
    <w:link w:val="HeaderChar"/>
    <w:uiPriority w:val="99"/>
    <w:unhideWhenUsed/>
    <w:rsid w:val="005F3CD4"/>
    <w:pPr>
      <w:tabs>
        <w:tab w:val="center" w:pos="4513"/>
        <w:tab w:val="right" w:pos="9026"/>
      </w:tabs>
    </w:pPr>
  </w:style>
  <w:style w:type="character" w:customStyle="1" w:styleId="HeaderChar">
    <w:name w:val="Header Char"/>
    <w:basedOn w:val="DefaultParagraphFont"/>
    <w:link w:val="Header"/>
    <w:uiPriority w:val="99"/>
    <w:rsid w:val="005F3CD4"/>
  </w:style>
  <w:style w:type="paragraph" w:styleId="Footer">
    <w:name w:val="footer"/>
    <w:basedOn w:val="Normal"/>
    <w:link w:val="FooterChar"/>
    <w:uiPriority w:val="99"/>
    <w:unhideWhenUsed/>
    <w:rsid w:val="005F3CD4"/>
    <w:pPr>
      <w:tabs>
        <w:tab w:val="center" w:pos="4513"/>
        <w:tab w:val="right" w:pos="9026"/>
      </w:tabs>
    </w:pPr>
  </w:style>
  <w:style w:type="character" w:customStyle="1" w:styleId="FooterChar">
    <w:name w:val="Footer Char"/>
    <w:basedOn w:val="DefaultParagraphFont"/>
    <w:link w:val="Footer"/>
    <w:uiPriority w:val="99"/>
    <w:rsid w:val="005F3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ideas.repec.org/s/aea/aecrev.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deas.repec.org/a/aea/aecrev/v94y2004i2p150-154.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2876</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Anne Hoekman</cp:lastModifiedBy>
  <cp:revision>2</cp:revision>
  <cp:lastPrinted>2016-05-28T13:16:00Z</cp:lastPrinted>
  <dcterms:created xsi:type="dcterms:W3CDTF">2016-06-10T20:16:00Z</dcterms:created>
  <dcterms:modified xsi:type="dcterms:W3CDTF">2016-06-10T20:16:00Z</dcterms:modified>
</cp:coreProperties>
</file>