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3A59" w14:textId="77777777" w:rsidR="009307C3" w:rsidRPr="00E56159" w:rsidRDefault="00AB13AE" w:rsidP="00EE0BCA">
      <w:pPr>
        <w:spacing w:after="0" w:line="240" w:lineRule="auto"/>
        <w:jc w:val="center"/>
        <w:rPr>
          <w:rFonts w:ascii="Times New Roman" w:hAnsi="Times New Roman" w:cs="Times New Roman"/>
          <w:szCs w:val="22"/>
        </w:rPr>
      </w:pPr>
      <w:r w:rsidRPr="00E56159">
        <w:rPr>
          <w:rFonts w:ascii="Times New Roman" w:hAnsi="Times New Roman" w:cs="Times New Roman"/>
          <w:szCs w:val="22"/>
        </w:rPr>
        <w:t>Online Appendix to</w:t>
      </w:r>
    </w:p>
    <w:p w14:paraId="1F933702" w14:textId="1C51A90C" w:rsidR="009307C3" w:rsidRPr="00713D9A" w:rsidRDefault="00AB13AE" w:rsidP="00EE0BCA">
      <w:pPr>
        <w:spacing w:after="0" w:line="240" w:lineRule="auto"/>
        <w:jc w:val="center"/>
        <w:rPr>
          <w:rFonts w:ascii="Times New Roman" w:hAnsi="Times New Roman" w:cs="Times New Roman"/>
          <w:b/>
          <w:sz w:val="24"/>
        </w:rPr>
      </w:pPr>
      <w:bookmarkStart w:id="0" w:name="_Hlk171979885"/>
      <w:bookmarkEnd w:id="0"/>
      <w:r w:rsidRPr="00713D9A">
        <w:rPr>
          <w:rFonts w:ascii="Times New Roman" w:hAnsi="Times New Roman" w:cs="Times New Roman"/>
          <w:b/>
          <w:sz w:val="24"/>
        </w:rPr>
        <w:t>Artificial States, Ethnicity, and the Survival of Private Participation Infrastructure Projects in Africa</w:t>
      </w:r>
    </w:p>
    <w:p w14:paraId="6DB216EC" w14:textId="77777777" w:rsidR="009307C3" w:rsidRPr="00E56159" w:rsidRDefault="009307C3" w:rsidP="00EE0BCA">
      <w:pPr>
        <w:spacing w:after="0" w:line="240" w:lineRule="auto"/>
        <w:jc w:val="center"/>
        <w:rPr>
          <w:rFonts w:ascii="Times New Roman" w:hAnsi="Times New Roman" w:cs="Times New Roman"/>
          <w:b/>
          <w:bCs/>
          <w:szCs w:val="22"/>
        </w:rPr>
      </w:pPr>
    </w:p>
    <w:p w14:paraId="64265BB6" w14:textId="77777777" w:rsidR="009307C3" w:rsidRPr="00E56159" w:rsidRDefault="009307C3" w:rsidP="00EE0BCA">
      <w:pPr>
        <w:spacing w:after="0" w:line="240" w:lineRule="auto"/>
        <w:jc w:val="center"/>
        <w:rPr>
          <w:rFonts w:ascii="Times New Roman" w:hAnsi="Times New Roman" w:cs="Times New Roman"/>
          <w:b/>
          <w:bCs/>
          <w:szCs w:val="22"/>
        </w:rPr>
      </w:pPr>
    </w:p>
    <w:p w14:paraId="2815FEF7" w14:textId="77777777" w:rsidR="00EE0BCA" w:rsidRPr="00E56159" w:rsidRDefault="00EE0BCA" w:rsidP="00EE0BCA">
      <w:pPr>
        <w:pStyle w:val="ListParagraph"/>
        <w:widowControl/>
        <w:numPr>
          <w:ilvl w:val="0"/>
          <w:numId w:val="1"/>
        </w:numPr>
        <w:spacing w:after="0" w:line="480" w:lineRule="auto"/>
        <w:rPr>
          <w:rFonts w:ascii="Times New Roman" w:hAnsi="Times New Roman" w:cs="Times New Roman"/>
          <w:b/>
          <w:bCs/>
          <w:szCs w:val="22"/>
        </w:rPr>
      </w:pPr>
      <w:r>
        <w:rPr>
          <w:rFonts w:ascii="Times New Roman" w:hAnsi="Times New Roman" w:cs="Times New Roman"/>
          <w:b/>
          <w:bCs/>
          <w:szCs w:val="22"/>
        </w:rPr>
        <w:t>Details on</w:t>
      </w:r>
      <w:r w:rsidRPr="00E56159">
        <w:rPr>
          <w:rFonts w:ascii="Times New Roman" w:hAnsi="Times New Roman" w:cs="Times New Roman"/>
          <w:b/>
          <w:bCs/>
          <w:szCs w:val="22"/>
        </w:rPr>
        <w:t xml:space="preserve"> the Tuareg and Massai cases</w:t>
      </w:r>
    </w:p>
    <w:p w14:paraId="6EE30838" w14:textId="77777777" w:rsidR="00EE0BCA" w:rsidRPr="00E56159" w:rsidRDefault="00EE0BCA" w:rsidP="00EE0BCA">
      <w:pPr>
        <w:pStyle w:val="ListParagraph"/>
        <w:widowControl/>
        <w:numPr>
          <w:ilvl w:val="0"/>
          <w:numId w:val="2"/>
        </w:numPr>
        <w:spacing w:after="0" w:line="480" w:lineRule="auto"/>
        <w:ind w:left="799" w:hanging="442"/>
        <w:rPr>
          <w:rFonts w:ascii="Times New Roman" w:hAnsi="Times New Roman" w:cs="Times New Roman"/>
          <w:szCs w:val="22"/>
        </w:rPr>
      </w:pPr>
      <w:r w:rsidRPr="00E56159">
        <w:rPr>
          <w:rFonts w:ascii="Times New Roman" w:hAnsi="Times New Roman" w:cs="Times New Roman"/>
          <w:szCs w:val="22"/>
        </w:rPr>
        <w:t>The Tuareg case</w:t>
      </w:r>
    </w:p>
    <w:p w14:paraId="16BF38EB" w14:textId="2F9BDC35" w:rsidR="00EE0BCA" w:rsidRPr="00E56159" w:rsidRDefault="00EE0BCA" w:rsidP="00EE0BCA">
      <w:pPr>
        <w:spacing w:after="0" w:line="480" w:lineRule="auto"/>
        <w:ind w:firstLineChars="202" w:firstLine="420"/>
        <w:rPr>
          <w:rFonts w:ascii="Times New Roman" w:hAnsi="Times New Roman" w:cs="Times New Roman"/>
          <w:spacing w:val="-6"/>
          <w:szCs w:val="22"/>
        </w:rPr>
      </w:pPr>
      <w:bookmarkStart w:id="1" w:name="_Hlk180242682"/>
      <w:r w:rsidRPr="00E56159">
        <w:rPr>
          <w:rFonts w:ascii="Times New Roman" w:hAnsi="Times New Roman" w:cs="Times New Roman"/>
          <w:spacing w:val="-6"/>
          <w:szCs w:val="22"/>
        </w:rPr>
        <w:t xml:space="preserve">A compelling example of ethnic partitioning leading to long-lasting regional conflicts can be found in the history of the Tuareg people. Traditionally traders and semi-nomads, the Tuareg are part of the broader Berber people residing primarily in the Sahara Desert </w:t>
      </w:r>
      <w:r w:rsidRPr="00E56159">
        <w:rPr>
          <w:rFonts w:ascii="Times New Roman" w:hAnsi="Times New Roman" w:cs="Times New Roman"/>
          <w:spacing w:val="-6"/>
          <w:szCs w:val="22"/>
        </w:rPr>
        <w:fldChar w:fldCharType="begin"/>
      </w:r>
      <w:r w:rsidR="00521019">
        <w:rPr>
          <w:rFonts w:ascii="Times New Roman" w:hAnsi="Times New Roman" w:cs="Times New Roman"/>
          <w:spacing w:val="-6"/>
          <w:szCs w:val="22"/>
        </w:rPr>
        <w:instrText xml:space="preserve"> ADDIN EN.CITE &lt;EndNote&gt;&lt;Cite&gt;&lt;Author&gt;Alesbury&lt;/Author&gt;&lt;Year&gt;2013&lt;/Year&gt;&lt;RecNum&gt;524&lt;/RecNum&gt;&lt;DisplayText&gt;(Alesbury, 2013)&lt;/DisplayText&gt;&lt;record&gt;&lt;rec-number&gt;524&lt;/rec-number&gt;&lt;foreign-keys&gt;&lt;key app="EN" db-id="9rv05s2taeez0oe22x2xw5dcsta5x2e0v0zz" timestamp="1719886221"&gt;524&lt;/key&gt;&lt;/foreign-keys&gt;&lt;ref-type name="Journal Article"&gt;17&lt;/ref-type&gt;&lt;contributors&gt;&lt;authors&gt;&lt;author&gt;Alesbury, Andrew&lt;/author&gt;&lt;/authors&gt;&lt;/contributors&gt;&lt;titles&gt;&lt;title&gt;A society in motion: the Tuareg from the pre-colonial era to today&lt;/title&gt;&lt;secondary-title&gt;Nomadic Peoples&lt;/secondary-title&gt;&lt;/titles&gt;&lt;periodical&gt;&lt;full-title&gt;Nomadic Peoples&lt;/full-title&gt;&lt;/periodical&gt;&lt;pages&gt;106-125&lt;/pages&gt;&lt;volume&gt;17&lt;/volume&gt;&lt;number&gt;1&lt;/number&gt;&lt;section&gt;106&lt;/section&gt;&lt;dates&gt;&lt;year&gt;2013&lt;/year&gt;&lt;/dates&gt;&lt;isbn&gt;0822-7942&amp;#xD;1752-2366&lt;/isbn&gt;&lt;urls&gt;&lt;/urls&gt;&lt;electronic-resource-num&gt;10.3167/np.2013.170106&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(Alesbury, 2013)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During the Scramble for Africa, European powers arbitrarily divided their territory, splitting them across five countries: Algeria, Libya, Mali, Niger, and Burkina Faso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&lt;EndNote&gt;&lt;Cite&gt;&lt;Author&gt;Keita&lt;/Author&gt;&lt;Year&gt;1998&lt;/Year&gt;&lt;RecNum&gt;521&lt;/RecNum&gt;&lt;DisplayText&gt;(Keita, 1998)&lt;/DisplayText&gt;&lt;record&gt;&lt;rec-number&gt;521&lt;/rec-number&gt;&lt;foreign-keys&gt;&lt;key app="EN" db-id="9rv05s2taeez0oe22x2xw5dcsta5x2e0v0zz" timestamp="1719816182"&gt;521&lt;/key&gt;&lt;/foreign-keys&gt;&lt;ref-type name="Journal Article"&gt;17&lt;/ref-type&gt;&lt;contributors&gt;&lt;authors&gt;&lt;author&gt;Keita, Kalifa&lt;/author&gt;&lt;/authors&gt;&lt;/contributors&gt;&lt;titles&gt;&lt;title&gt;Conflict and conflict resolution in the Sahel: The Tuareg insurgency in Mali&lt;/title&gt;&lt;secondary-title&gt;Small Wars &amp;amp; Insurgencies&lt;/secondary-title&gt;&lt;/titles&gt;&lt;periodical&gt;&lt;full-title&gt;Small Wars &amp;amp; Insurgencies&lt;/full-title&gt;&lt;/periodical&gt;&lt;pages&gt;102-128&lt;/pages&gt;&lt;volume&gt;9&lt;/volume&gt;&lt;number&gt;3&lt;/number&gt;&lt;dates&gt;&lt;year&gt;1998&lt;/year&gt;&lt;/dates&gt;&lt;isbn&gt;0959-2318&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(Keita, 1998)</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The colonial legacy of partitioning their lands and the subsequent political and economic marginalization in modern states have significantly contributed to their desire for self-determination and preservation of their nomadic way of life </w:t>
      </w:r>
      <w:r w:rsidRPr="00E56159">
        <w:rPr>
          <w:rFonts w:ascii="Times New Roman" w:hAnsi="Times New Roman" w:cs="Times New Roman"/>
          <w:spacing w:val="-6"/>
          <w:szCs w:val="22"/>
        </w:rPr>
        <w:fldChar w:fldCharType="begin"/>
      </w:r>
      <w:r w:rsidR="00521019">
        <w:rPr>
          <w:rFonts w:ascii="Times New Roman" w:hAnsi="Times New Roman" w:cs="Times New Roman"/>
          <w:spacing w:val="-6"/>
          <w:szCs w:val="22"/>
        </w:rPr>
        <w:instrText xml:space="preserve"> ADDIN EN.CITE &lt;EndNote&gt;&lt;Cite&gt;&lt;Author&gt;Claudot-Hawad&lt;/Author&gt;&lt;Year&gt;2006&lt;/Year&gt;&lt;RecNum&gt;523&lt;/RecNum&gt;&lt;DisplayText&gt;(Claudot-Hawad, 2006)&lt;/DisplayText&gt;&lt;record&gt;&lt;rec-number&gt;523&lt;/rec-number&gt;&lt;foreign-keys&gt;&lt;key app="EN" db-id="9rv05s2taeez0oe22x2xw5dcsta5x2e0v0zz" timestamp="1719817458"&gt;523&lt;/key&gt;&lt;/foreign-keys&gt;&lt;ref-type name="Book Section"&gt;5&lt;/ref-type&gt;&lt;contributors&gt;&lt;authors&gt;&lt;author&gt;Claudot-Hawad, Hélène&lt;/author&gt;&lt;/authors&gt;&lt;secondary-authors&gt;&lt;author&gt;Chatty, D.&lt;/author&gt;&lt;/secondary-authors&gt;&lt;/contributors&gt;&lt;titles&gt;&lt;title&gt;A nomadic fight against immobility: the Tuareg in the modern state&lt;/title&gt;&lt;secondary-title&gt;Nomadic Societies in The Middle East and North Africa: Entering the 21st Century&lt;/secondary-title&gt;&lt;/titles&gt;&lt;pages&gt;654-681&lt;/pages&gt;&lt;dates&gt;&lt;year&gt;2006&lt;/year&gt;&lt;/dates&gt;&lt;publisher&gt;Brill&lt;/publisher&gt;&lt;urls&gt;&lt;/urls&gt;&lt;/record&gt;&lt;/Cite&gt;&lt;/EndNote&gt;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(Claudot-Hawad, 2006)</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The Malian Tuaregs, for example, resented being separated from their Tuareg kin in neighboring countries such as Niger, Burkina Faso, Algeria, and Libya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&lt;EndNote&gt;&lt;Cite&gt;&lt;Author&gt;Keita&lt;/Author&gt;&lt;Year&gt;1998&lt;/Year&gt;&lt;RecNum&gt;521&lt;/RecNum&gt;&lt;DisplayText&gt;(Keita, 1998)&lt;/DisplayText&gt;&lt;record&gt;&lt;rec-number&gt;521&lt;/rec-number&gt;&lt;foreign-keys&gt;&lt;key app="EN" db-id="9rv05s2taeez0oe22x2xw5dcsta5x2e0v0zz" timestamp="1719816182"&gt;521&lt;/key&gt;&lt;/foreign-keys&gt;&lt;ref-type name="Journal Article"&gt;17&lt;/ref-type&gt;&lt;contributors&gt;&lt;authors&gt;&lt;author&gt;Keita, Kalifa&lt;/author&gt;&lt;/authors&gt;&lt;/contributors&gt;&lt;titles&gt;&lt;title&gt;Conflict and conflict resolution in the Sahel: The Tuareg insurgency in Mali&lt;/title&gt;&lt;secondary-title&gt;Small Wars &amp;amp; Insurgencies&lt;/secondary-title&gt;&lt;/titles&gt;&lt;periodical&gt;&lt;full-title&gt;Small Wars &amp;amp; Insurgencies&lt;/full-title&gt;&lt;/periodical&gt;&lt;pages&gt;102-128&lt;/pages&gt;&lt;volume&gt;9&lt;/volume&gt;&lt;number&gt;3&lt;/number&gt;&lt;dates&gt;&lt;year&gt;1998&lt;/year&gt;&lt;/dates&gt;&lt;isbn&gt;0959-2318&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(Keita, 1998)</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As Nina Wallet </w:t>
      </w:r>
      <w:proofErr w:type="spellStart"/>
      <w:r w:rsidRPr="00E56159">
        <w:rPr>
          <w:rFonts w:ascii="Times New Roman" w:hAnsi="Times New Roman" w:cs="Times New Roman"/>
          <w:spacing w:val="-6"/>
          <w:szCs w:val="22"/>
        </w:rPr>
        <w:t>Intallou</w:t>
      </w:r>
      <w:proofErr w:type="spellEnd"/>
      <w:r w:rsidRPr="00E56159">
        <w:rPr>
          <w:rFonts w:ascii="Times New Roman" w:hAnsi="Times New Roman" w:cs="Times New Roman"/>
          <w:spacing w:val="-6"/>
          <w:szCs w:val="22"/>
        </w:rPr>
        <w:t>, a Tuareg ex-Malian politician and member of the executive council</w:t>
      </w:r>
      <w:r w:rsidRPr="00E56159">
        <w:rPr>
          <w:rFonts w:ascii="Times New Roman" w:hAnsi="Times New Roman" w:cs="Times New Roman"/>
          <w:szCs w:val="22"/>
        </w:rPr>
        <w:t xml:space="preserve"> of the National Movement for the Liberation of Azawad (MNLA)</w:t>
      </w:r>
      <w:bookmarkEnd w:id="1"/>
      <w:r w:rsidRPr="00E56159">
        <w:rPr>
          <w:rStyle w:val="FootnoteReference"/>
          <w:rFonts w:ascii="Times New Roman" w:hAnsi="Times New Roman" w:cs="Times New Roman"/>
          <w:spacing w:val="-6"/>
          <w:szCs w:val="22"/>
        </w:rPr>
        <w:footnoteReference w:id="1"/>
      </w:r>
      <w:r w:rsidRPr="00E56159">
        <w:rPr>
          <w:rFonts w:ascii="Times New Roman" w:hAnsi="Times New Roman" w:cs="Times New Roman"/>
          <w:spacing w:val="-6"/>
          <w:szCs w:val="22"/>
        </w:rPr>
        <w:t xml:space="preserve"> stated in an interview with Al Jazeera, a global media network: “the new nation (Mali) was a mistake”</w:t>
      </w:r>
      <w:r w:rsidR="00EC419C">
        <w:rPr>
          <w:rFonts w:ascii="Times New Roman" w:hAnsi="Times New Roman" w:cs="Times New Roman" w:hint="eastAsia"/>
          <w:spacing w:val="-6"/>
          <w:szCs w:val="22"/>
        </w:rPr>
        <w:t xml:space="preserve"> </w:t>
      </w:r>
      <w:r w:rsidR="00EC419C">
        <w:rPr>
          <w:rFonts w:ascii="Times New Roman" w:hAnsi="Times New Roman" w:cs="Times New Roman"/>
          <w:spacing w:val="-6"/>
          <w:szCs w:val="22"/>
        </w:rPr>
        <w:fldChar w:fldCharType="begin"/>
      </w:r>
      <w:r w:rsidR="00EC419C">
        <w:rPr>
          <w:rFonts w:ascii="Times New Roman" w:hAnsi="Times New Roman" w:cs="Times New Roman"/>
          <w:spacing w:val="-6"/>
          <w:szCs w:val="22"/>
        </w:rPr>
        <w:instrText xml:space="preserve"> ADDIN EN.CITE &lt;EndNote&gt;&lt;Cite&gt;&lt;Author&gt;Morgan&lt;/Author&gt;&lt;Year&gt;2014&lt;/Year&gt;&lt;RecNum&gt;639&lt;/RecNum&gt;&lt;DisplayText&gt;(Morgan, 2014)&lt;/DisplayText&gt;&lt;record&gt;&lt;rec-number&gt;639&lt;/rec-number&gt;&lt;foreign-keys&gt;&lt;key app="EN" db-id="9rv05s2taeez0oe22x2xw5dcsta5x2e0v0zz" timestamp="1730355313"&gt;639&lt;/key&gt;&lt;/foreign-keys&gt;&lt;ref-type name="Newspaper Article"&gt;23&lt;/ref-type&gt;&lt;contributors&gt;&lt;authors&gt;&lt;author&gt;Morgan, A.&lt;/author&gt;&lt;/authors&gt;&lt;/contributors&gt;&lt;titles&gt;&lt;title&gt;What do the Tuareg want?&lt;/title&gt;&lt;secondary-title&gt;Al Jazeera&lt;/secondary-title&gt;&lt;/titles&gt;&lt;dates&gt;&lt;year&gt;2014&lt;/year&gt;&lt;/dates&gt;&lt;urls&gt;&lt;related-urls&gt;&lt;url&gt;https://www.aljazeera.com/opinions/2014/1/9/what-do-the-tuareg-want&lt;/url&gt;&lt;/related-urls&gt;&lt;/urls&gt;&lt;access-date&gt;Jan 14, 2024&lt;/access-date&gt;&lt;/record&gt;&lt;/Cite&gt;&lt;/EndNote&gt;</w:instrText>
      </w:r>
      <w:r w:rsidR="00EC419C">
        <w:rPr>
          <w:rFonts w:ascii="Times New Roman" w:hAnsi="Times New Roman" w:cs="Times New Roman"/>
          <w:spacing w:val="-6"/>
          <w:szCs w:val="22"/>
        </w:rPr>
        <w:fldChar w:fldCharType="separate"/>
      </w:r>
      <w:r w:rsidR="00EC419C">
        <w:rPr>
          <w:rFonts w:ascii="Times New Roman" w:hAnsi="Times New Roman" w:cs="Times New Roman"/>
          <w:noProof/>
          <w:spacing w:val="-6"/>
          <w:szCs w:val="22"/>
        </w:rPr>
        <w:t>(Morgan, 2014)</w:t>
      </w:r>
      <w:r w:rsidR="00EC419C">
        <w:rPr>
          <w:rFonts w:ascii="Times New Roman" w:hAnsi="Times New Roman" w:cs="Times New Roman"/>
          <w:spacing w:val="-6"/>
          <w:szCs w:val="22"/>
        </w:rPr>
        <w:fldChar w:fldCharType="end"/>
      </w:r>
      <w:r w:rsidR="00EC419C">
        <w:rPr>
          <w:rFonts w:ascii="Times New Roman" w:hAnsi="Times New Roman" w:cs="Times New Roman" w:hint="eastAsia"/>
          <w:spacing w:val="-6"/>
          <w:szCs w:val="22"/>
        </w:rPr>
        <w:t>.</w:t>
      </w:r>
      <w:r w:rsidRPr="00E56159">
        <w:rPr>
          <w:rFonts w:ascii="Times New Roman" w:hAnsi="Times New Roman" w:cs="Times New Roman"/>
          <w:spacing w:val="-6"/>
          <w:szCs w:val="22"/>
        </w:rPr>
        <w:t xml:space="preserve"> What she means is that the new borders of Mali divided the Tuareg of north-eastern Mali from the Berber-dominated desert lands further north, with which they had deep economic, cultural, and historical ties. </w:t>
      </w:r>
    </w:p>
    <w:p w14:paraId="40F74A7D" w14:textId="352AC4EE" w:rsidR="00EE0BCA" w:rsidRPr="00E56159" w:rsidRDefault="00EE0BCA" w:rsidP="00EE0BCA">
      <w:pPr>
        <w:spacing w:after="0" w:line="480" w:lineRule="auto"/>
        <w:ind w:firstLineChars="202" w:firstLine="420"/>
        <w:rPr>
          <w:rFonts w:ascii="Times New Roman" w:hAnsi="Times New Roman" w:cs="Times New Roman"/>
          <w:spacing w:val="-6"/>
          <w:szCs w:val="22"/>
        </w:rPr>
      </w:pPr>
      <w:r w:rsidRPr="00E56159">
        <w:rPr>
          <w:rFonts w:ascii="Times New Roman" w:hAnsi="Times New Roman" w:cs="Times New Roman"/>
          <w:spacing w:val="-6"/>
          <w:szCs w:val="22"/>
        </w:rPr>
        <w:t xml:space="preserve">The Tuareg people have fought for autonomy and reunification throughout history </w:t>
      </w:r>
      <w:r w:rsidRPr="00E56159">
        <w:rPr>
          <w:rFonts w:ascii="Times New Roman" w:hAnsi="Times New Roman" w:cs="Times New Roman"/>
          <w:spacing w:val="-6"/>
          <w:szCs w:val="22"/>
        </w:rPr>
        <w:fldChar w:fldCharType="begin">
          <w:fldData xml:space="preserve">PEVuZE5vdGU+PENpdGU+PEF1dGhvcj5LZWVuYW48L0F1dGhvcj48WWVhcj4yMDA0PC9ZZWFyPjxS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</w:fldData>
        </w:fldChar>
      </w:r>
      <w:r w:rsidR="00521019">
        <w:rPr>
          <w:rFonts w:ascii="Times New Roman" w:hAnsi="Times New Roman" w:cs="Times New Roman"/>
          <w:spacing w:val="-6"/>
          <w:szCs w:val="22"/>
        </w:rPr>
        <w:instrText xml:space="preserve"> ADDIN EN.CITE </w:instrText>
      </w:r>
      <w:r w:rsidR="00521019">
        <w:rPr>
          <w:rFonts w:ascii="Times New Roman" w:hAnsi="Times New Roman" w:cs="Times New Roman"/>
          <w:spacing w:val="-6"/>
          <w:szCs w:val="22"/>
        </w:rPr>
        <w:fldChar w:fldCharType="begin">
          <w:fldData xml:space="preserve">PEVuZE5vdGU+PENpdGU+PEF1dGhvcj5LZWVuYW48L0F1dGhvcj48WWVhcj4yMDA0PC9ZZWFyPjxS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</w:fldData>
        </w:fldChar>
      </w:r>
      <w:r w:rsidR="00521019">
        <w:rPr>
          <w:rFonts w:ascii="Times New Roman" w:hAnsi="Times New Roman" w:cs="Times New Roman"/>
          <w:spacing w:val="-6"/>
          <w:szCs w:val="22"/>
        </w:rPr>
        <w:instrText xml:space="preserve"> ADDIN EN.CITE.DATA </w:instrText>
      </w:r>
      <w:r w:rsidR="00521019">
        <w:rPr>
          <w:rFonts w:ascii="Times New Roman" w:hAnsi="Times New Roman" w:cs="Times New Roman"/>
          <w:spacing w:val="-6"/>
          <w:szCs w:val="22"/>
        </w:rPr>
      </w:r>
      <w:r w:rsidR="00521019">
        <w:rPr>
          <w:rFonts w:ascii="Times New Roman" w:hAnsi="Times New Roman" w:cs="Times New Roman"/>
          <w:spacing w:val="-6"/>
          <w:szCs w:val="22"/>
        </w:rPr>
        <w:fldChar w:fldCharType="end"/>
      </w:r>
      <w:r w:rsidRPr="00E56159">
        <w:rPr>
          <w:rFonts w:ascii="Times New Roman" w:hAnsi="Times New Roman" w:cs="Times New Roman"/>
          <w:spacing w:val="-6"/>
          <w:szCs w:val="22"/>
        </w:rPr>
      </w:r>
      <w:r w:rsidRPr="00E56159">
        <w:rPr>
          <w:rFonts w:ascii="Times New Roman" w:hAnsi="Times New Roman" w:cs="Times New Roman"/>
          <w:spacing w:val="-6"/>
          <w:szCs w:val="22"/>
        </w:rPr>
        <w:fldChar w:fldCharType="separate"/>
      </w:r>
      <w:r>
        <w:rPr>
          <w:rFonts w:ascii="Times New Roman" w:hAnsi="Times New Roman" w:cs="Times New Roman"/>
          <w:noProof/>
          <w:spacing w:val="-6"/>
          <w:szCs w:val="22"/>
        </w:rPr>
        <w:t>(Alesbury, 2013; Ananyev &amp; Poyker, 2023; Keenan, 2004)</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Major post-independence uprisings in the 1960s and 1990s sought </w:t>
      </w:r>
      <w:r w:rsidRPr="00E56159">
        <w:rPr>
          <w:rFonts w:ascii="Times New Roman" w:hAnsi="Times New Roman" w:cs="Times New Roman"/>
          <w:spacing w:val="-6"/>
          <w:szCs w:val="22"/>
        </w:rPr>
        <w:lastRenderedPageBreak/>
        <w:t xml:space="preserve">self-governance within existing borders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&lt;EndNote&gt;&lt;Cite&gt;&lt;Author&gt;Keita&lt;/Author&gt;&lt;Year&gt;1998&lt;/Year&gt;&lt;RecNum&gt;521&lt;/RecNum&gt;&lt;DisplayText&gt;(Keita, 1998)&lt;/DisplayText&gt;&lt;record&gt;&lt;rec-number&gt;521&lt;/rec-number&gt;&lt;foreign-keys&gt;&lt;key app="EN" db-id="9rv05s2taeez0oe22x2xw5dcsta5x2e0v0zz" timestamp="1719816182"&gt;521&lt;/key&gt;&lt;/foreign-keys&gt;&lt;ref-type name="Journal Article"&gt;17&lt;/ref-type&gt;&lt;contributors&gt;&lt;authors&gt;&lt;author&gt;Keita, Kalifa&lt;/author&gt;&lt;/authors&gt;&lt;/contributors&gt;&lt;titles&gt;&lt;title&gt;Conflict and conflict resolution in the Sahel: The Tuareg insurgency in Mali&lt;/title&gt;&lt;secondary-title&gt;Small Wars &amp;amp; Insurgencies&lt;/secondary-title&gt;&lt;/titles&gt;&lt;periodical&gt;&lt;full-title&gt;Small Wars &amp;amp; Insurgencies&lt;/full-title&gt;&lt;/periodical&gt;&lt;pages&gt;102-128&lt;/pages&gt;&lt;volume&gt;9&lt;/volume&gt;&lt;number&gt;3&lt;/number&gt;&lt;dates&gt;&lt;year&gt;1998&lt;/year&gt;&lt;/dates&gt;&lt;isbn&gt;0959-2318&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(Keita, 1998)</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and most recently, in 2012, they aimed to establish an independent state called Azawad </w:t>
      </w:r>
      <w:r w:rsidRPr="00E56159">
        <w:rPr>
          <w:rFonts w:ascii="Times New Roman" w:hAnsi="Times New Roman" w:cs="Times New Roman"/>
          <w:spacing w:val="-6"/>
          <w:szCs w:val="22"/>
        </w:rPr>
        <w:fldChar w:fldCharType="begin"/>
      </w:r>
      <w:r w:rsidR="00F7167D">
        <w:rPr>
          <w:rFonts w:ascii="Times New Roman" w:hAnsi="Times New Roman" w:cs="Times New Roman"/>
          <w:spacing w:val="-6"/>
          <w:szCs w:val="22"/>
        </w:rPr>
        <w:instrText xml:space="preserve"> ADDIN EN.CITE &lt;EndNote&gt;&lt;Cite&gt;&lt;Author&gt;Livermore&lt;/Author&gt;&lt;Year&gt;2013&lt;/Year&gt;&lt;RecNum&gt;520&lt;/RecNum&gt;&lt;DisplayText&gt;(Livermore, 2013)&lt;/DisplayText&gt;&lt;record&gt;&lt;rec-number&gt;520&lt;/rec-number&gt;&lt;foreign-keys&gt;&lt;key app="EN" db-id="9rv05s2taeez0oe22x2xw5dcsta5x2e0v0zz" timestamp="1719816111"&gt;520&lt;/key&gt;&lt;/foreign-keys&gt;&lt;ref-type name="Journal Article"&gt;17&lt;/ref-type&gt;&lt;contributors&gt;&lt;authors&gt;&lt;author&gt;Livermore, Douglas&lt;/author&gt;&lt;/authors&gt;&lt;/contributors&gt;&lt;titles&gt;&lt;title&gt;The case for Azawad: rectifying the past to save the future in Northern Africa&lt;/title&gt;&lt;secondary-title&gt;African Security Review&lt;/secondary-title&gt;&lt;/titles&gt;&lt;periodical&gt;&lt;full-title&gt;African Security Review&lt;/full-title&gt;&lt;/periodical&gt;&lt;pages&gt;282-293&lt;/pages&gt;&lt;volume&gt;22&lt;/volume&gt;&lt;number&gt;4&lt;/number&gt;&lt;dates&gt;&lt;year&gt;2013&lt;/year&gt;&lt;/dates&gt;&lt;isbn&gt;1024-6029&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(Livermore, 2013)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This persistent marginalization and resistance have contributed to regional instability, extending beyond modern state borders and profoundly affecting economic activities in the related regions.</w:t>
      </w:r>
    </w:p>
    <w:p w14:paraId="69F1834F" w14:textId="0966B782" w:rsidR="00EE0BCA" w:rsidRPr="00E56159" w:rsidRDefault="00EE0BCA" w:rsidP="00EE0BCA">
      <w:pPr>
        <w:spacing w:after="0" w:line="480" w:lineRule="auto"/>
        <w:ind w:firstLineChars="202" w:firstLine="420"/>
        <w:rPr>
          <w:rFonts w:ascii="Times New Roman" w:hAnsi="Times New Roman" w:cs="Times New Roman"/>
          <w:spacing w:val="-6"/>
          <w:szCs w:val="22"/>
        </w:rPr>
      </w:pPr>
      <w:r w:rsidRPr="00E56159">
        <w:rPr>
          <w:rFonts w:ascii="Times New Roman" w:hAnsi="Times New Roman" w:cs="Times New Roman"/>
          <w:spacing w:val="-6"/>
          <w:szCs w:val="22"/>
        </w:rPr>
        <w:t xml:space="preserve">Oil and gas are major economic drivers in Saharan nations, including those where the Tuareg reside. Algeria, one of Africa’s largest oil producers, relies on hydrocarbon production for roughly 19% of its GDP and a staggering 93% of product exports between 2016 and 2021 </w:t>
      </w:r>
      <w:r w:rsidRPr="00E56159">
        <w:rPr>
          <w:rFonts w:ascii="Times New Roman" w:hAnsi="Times New Roman" w:cs="Times New Roman"/>
          <w:spacing w:val="-6"/>
          <w:szCs w:val="22"/>
        </w:rPr>
        <w:fldChar w:fldCharType="begin"/>
      </w:r>
      <w:r w:rsidR="00ED016A">
        <w:rPr>
          <w:rFonts w:ascii="Times New Roman" w:hAnsi="Times New Roman" w:cs="Times New Roman"/>
          <w:spacing w:val="-6"/>
          <w:szCs w:val="22"/>
        </w:rPr>
        <w:instrText xml:space="preserve"> ADDIN EN.CITE &lt;EndNote&gt;&lt;Cite&gt;&lt;Author&gt;World Bank&lt;/Author&gt;&lt;Year&gt;2024&lt;/Year&gt;&lt;RecNum&gt;574&lt;/RecNum&gt;&lt;DisplayText&gt;(World Bank, 2024)&lt;/DisplayText&gt;&lt;record&gt;&lt;rec-number&gt;574&lt;/rec-number&gt;&lt;foreign-keys&gt;&lt;key app="EN" db-id="9rv05s2taeez0oe22x2xw5dcsta5x2e0v0zz" timestamp="1721527913"&gt;574&lt;/key&gt;&lt;/foreign-keys&gt;&lt;ref-type name="Newspaper Article"&gt;23&lt;/ref-type&gt;&lt;contributors&gt;&lt;authors&gt;&lt;author&gt;World Bank,&lt;/author&gt;&lt;/authors&gt;&lt;/contributors&gt;&lt;titles&gt;&lt;title&gt;The World Bank in Algeria&lt;/title&gt;&lt;/titles&gt;&lt;volume&gt;2024&lt;/volume&gt;&lt;dates&gt;&lt;year&gt;2024&lt;/year&gt;&lt;/dates&gt;&lt;publisher&gt;World Bank&lt;/publisher&gt;&lt;urls&gt;&lt;related-urls&gt;&lt;url&gt;https://www.worldbank.org/en/country/algeria/overview&lt;/url&gt;&lt;/related-urls&gt;&lt;/urls&gt;&lt;access-date&gt;July 1, 2024&lt;/access-date&gt;&lt;/record&gt;&lt;/Cite&gt;&lt;/EndNote&gt;</w:instrText>
      </w:r>
      <w:r w:rsidRPr="00E56159">
        <w:rPr>
          <w:rFonts w:ascii="Times New Roman" w:hAnsi="Times New Roman" w:cs="Times New Roman"/>
          <w:spacing w:val="-6"/>
          <w:szCs w:val="22"/>
        </w:rPr>
        <w:fldChar w:fldCharType="separate"/>
      </w:r>
      <w:r w:rsidR="00D37CF9">
        <w:rPr>
          <w:rFonts w:ascii="Times New Roman" w:hAnsi="Times New Roman" w:cs="Times New Roman"/>
          <w:noProof/>
          <w:spacing w:val="-6"/>
          <w:szCs w:val="22"/>
        </w:rPr>
        <w:t>(World Bank, 2024)</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The Maghreb–Europe Gas Pipeline</w:t>
      </w:r>
      <w:r w:rsidRPr="00E56159">
        <w:rPr>
          <w:rStyle w:val="FootnoteReference"/>
          <w:rFonts w:ascii="Times New Roman" w:hAnsi="Times New Roman" w:cs="Times New Roman"/>
          <w:spacing w:val="-6"/>
          <w:szCs w:val="22"/>
        </w:rPr>
        <w:footnoteReference w:id="2"/>
      </w:r>
      <w:r w:rsidRPr="00E56159">
        <w:rPr>
          <w:rFonts w:ascii="Times New Roman" w:hAnsi="Times New Roman" w:cs="Times New Roman"/>
          <w:spacing w:val="-6"/>
          <w:szCs w:val="22"/>
        </w:rPr>
        <w:t xml:space="preserve">, for example, is a crucial PPI project for transporting natural gas from Algeria to Europe, spanning 1,403 kilometers from Algeria’s Hassi </w:t>
      </w:r>
      <w:proofErr w:type="spellStart"/>
      <w:r w:rsidRPr="00E56159">
        <w:rPr>
          <w:rFonts w:ascii="Times New Roman" w:hAnsi="Times New Roman" w:cs="Times New Roman"/>
          <w:spacing w:val="-6"/>
          <w:szCs w:val="22"/>
        </w:rPr>
        <w:t>R’Mel</w:t>
      </w:r>
      <w:proofErr w:type="spellEnd"/>
      <w:r w:rsidRPr="00E56159">
        <w:rPr>
          <w:rFonts w:ascii="Times New Roman" w:hAnsi="Times New Roman" w:cs="Times New Roman"/>
          <w:spacing w:val="-6"/>
          <w:szCs w:val="22"/>
        </w:rPr>
        <w:t xml:space="preserve"> natural gas fields through Morocco, across the Strait of Gibraltar to Spain </w:t>
      </w:r>
      <w:r w:rsidR="00BB7044">
        <w:rPr>
          <w:rFonts w:ascii="Times New Roman" w:hAnsi="Times New Roman" w:cs="Times New Roman"/>
          <w:spacing w:val="-6"/>
          <w:szCs w:val="22"/>
        </w:rPr>
        <w:fldChar w:fldCharType="begin"/>
      </w:r>
      <w:r w:rsidR="00BB7044">
        <w:rPr>
          <w:rFonts w:ascii="Times New Roman" w:hAnsi="Times New Roman" w:cs="Times New Roman"/>
          <w:spacing w:val="-6"/>
          <w:szCs w:val="22"/>
        </w:rPr>
        <w:instrText xml:space="preserve"> ADDIN EN.CITE &lt;EndNote&gt;&lt;Cite&gt;&lt;Author&gt;Global Energy Monitor&lt;/Author&gt;&lt;Year&gt;2024&lt;/Year&gt;&lt;RecNum&gt;640&lt;/RecNum&gt;&lt;DisplayText&gt;(Global Energy Monitor, 2024)&lt;/DisplayText&gt;&lt;record&gt;&lt;rec-number&gt;640&lt;/rec-number&gt;&lt;foreign-keys&gt;&lt;key app="EN" db-id="9rv05s2taeez0oe22x2xw5dcsta5x2e0v0zz" timestamp="1730356031"&gt;640&lt;/key&gt;&lt;/foreign-keys&gt;&lt;ref-type name="Web Page"&gt;12&lt;/ref-type&gt;&lt;contributors&gt;&lt;authors&gt;&lt;author&gt;Global Energy Monitor,&lt;/author&gt;&lt;/authors&gt;&lt;/contributors&gt;&lt;titles&gt;&lt;title&gt;Maghreb-Europe Gas Pipeline - Global Energy Monitor&lt;/title&gt;&lt;/titles&gt;&lt;volume&gt;2024&lt;/volume&gt;&lt;number&gt;July 7&lt;/number&gt;&lt;dates&gt;&lt;year&gt;2024&lt;/year&gt;&lt;/dates&gt;&lt;urls&gt;&lt;related-urls&gt;&lt;url&gt;https://www.gem.wiki/Maghreb-Europe_Gas_Pipeline#:~:text=The%20Maghreb%2DEurope%20Gas%20Pipeline%20links%20the%20Hassi%20R&amp;apos;mel,Spanish%20and%20Portuguese%20gas%20grids.&lt;/url&gt;&lt;/related-urls&gt;&lt;/urls&gt;&lt;/record&gt;&lt;/Cite&gt;&lt;/EndNote&gt;</w:instrText>
      </w:r>
      <w:r w:rsidR="00BB7044">
        <w:rPr>
          <w:rFonts w:ascii="Times New Roman" w:hAnsi="Times New Roman" w:cs="Times New Roman"/>
          <w:spacing w:val="-6"/>
          <w:szCs w:val="22"/>
        </w:rPr>
        <w:fldChar w:fldCharType="separate"/>
      </w:r>
      <w:r w:rsidR="00BB7044">
        <w:rPr>
          <w:rFonts w:ascii="Times New Roman" w:hAnsi="Times New Roman" w:cs="Times New Roman"/>
          <w:noProof/>
          <w:spacing w:val="-6"/>
          <w:szCs w:val="22"/>
        </w:rPr>
        <w:t>(Global Energy Monitor, 2024)</w:t>
      </w:r>
      <w:r w:rsidR="00BB7044">
        <w:rPr>
          <w:rFonts w:ascii="Times New Roman" w:hAnsi="Times New Roman" w:cs="Times New Roman"/>
          <w:spacing w:val="-6"/>
          <w:szCs w:val="22"/>
        </w:rPr>
        <w:fldChar w:fldCharType="end"/>
      </w:r>
      <w:r w:rsidRPr="00E56159">
        <w:rPr>
          <w:rFonts w:ascii="Times New Roman" w:hAnsi="Times New Roman" w:cs="Times New Roman"/>
          <w:spacing w:val="-6"/>
          <w:szCs w:val="22"/>
        </w:rPr>
        <w:t>. The gas and oil for the Maghreb–Europe Gas Pipeline are sourced from various oil fields, with the Hassi R</w:t>
      </w:r>
      <w:r w:rsidRPr="00E56159">
        <w:rPr>
          <w:rFonts w:ascii="Times New Roman" w:hAnsi="Times New Roman" w:cs="Times New Roman"/>
          <w:spacing w:val="-6"/>
          <w:szCs w:val="22"/>
          <w:lang w:val="en-CA"/>
        </w:rPr>
        <w:t>’</w:t>
      </w:r>
      <w:r w:rsidRPr="00E56159">
        <w:rPr>
          <w:rFonts w:ascii="Times New Roman" w:hAnsi="Times New Roman" w:cs="Times New Roman"/>
          <w:spacing w:val="-6"/>
          <w:szCs w:val="22"/>
        </w:rPr>
        <w:t xml:space="preserve">Mel field serving as a hub that connects projects in southern Algeria, such as the In </w:t>
      </w:r>
      <w:proofErr w:type="spellStart"/>
      <w:r w:rsidRPr="00E56159">
        <w:rPr>
          <w:rFonts w:ascii="Times New Roman" w:hAnsi="Times New Roman" w:cs="Times New Roman"/>
          <w:spacing w:val="-6"/>
          <w:szCs w:val="22"/>
        </w:rPr>
        <w:t>Amenas</w:t>
      </w:r>
      <w:proofErr w:type="spellEnd"/>
      <w:r w:rsidRPr="00E56159">
        <w:rPr>
          <w:rFonts w:ascii="Times New Roman" w:hAnsi="Times New Roman" w:cs="Times New Roman"/>
          <w:spacing w:val="-6"/>
          <w:szCs w:val="22"/>
        </w:rPr>
        <w:t xml:space="preserve"> Gas Project. The gas from these projects is transmitted and ultimately feeds into the Maghreb–Europe Gas Pipeline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&lt;EndNote&gt;&lt;Cite&gt;&lt;Author&gt;Voytyuk&lt;/Author&gt;&lt;Year&gt;2023&lt;/Year&gt;&lt;RecNum&gt;497&lt;/RecNum&gt;&lt;DisplayText&gt;(Voytyuk, 2023)&lt;/DisplayText&gt;&lt;record&gt;&lt;rec-number&gt;497&lt;/rec-number&gt;&lt;foreign-keys&gt;&lt;key app="EN" db-id="9rv05s2taeez0oe22x2xw5dcsta5x2e0v0zz" timestamp="1718602202"&gt;497&lt;/key&gt;&lt;/foreign-keys&gt;&lt;ref-type name="Journal Article"&gt;17&lt;/ref-type&gt;&lt;contributors&gt;&lt;authors&gt;&lt;author&gt;Voytyuk, Oksana&lt;/author&gt;&lt;/authors&gt;&lt;/contributors&gt;&lt;titles&gt;&lt;title&gt;New Gas Pipelines as an Element of the Geopolitical Competition of Algeria and Morocco in Africa&lt;/title&gt;&lt;secondary-title&gt;African Journal of Economics, Politics and Social Studies&lt;/secondary-title&gt;&lt;/titles&gt;&lt;periodical&gt;&lt;full-title&gt;African Journal of Economics, Politics and Social Studies&lt;/full-title&gt;&lt;/periodical&gt;&lt;pages&gt;21-44&lt;/pages&gt;&lt;volume&gt;2&lt;/volume&gt;&lt;number&gt;1&lt;/number&gt;&lt;section&gt;21&lt;/section&gt;&lt;dates&gt;&lt;year&gt;2023&lt;/year&gt;&lt;/dates&gt;&lt;isbn&gt;29562686&lt;/isbn&gt;&lt;urls&gt;&lt;/urls&gt;&lt;electronic-resource-num&gt;10.15804/ajepss.2023.1.02&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(Voytyuk, 2023)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w:t>
      </w:r>
    </w:p>
    <w:p w14:paraId="71476F19" w14:textId="5A94C700" w:rsidR="00EE0BCA" w:rsidRPr="00E56159" w:rsidRDefault="00EE0BCA" w:rsidP="00EE0BCA">
      <w:pPr>
        <w:spacing w:after="0" w:line="480" w:lineRule="auto"/>
        <w:ind w:firstLineChars="202" w:firstLine="420"/>
        <w:rPr>
          <w:rFonts w:ascii="Times New Roman" w:hAnsi="Times New Roman" w:cs="Times New Roman"/>
          <w:spacing w:val="-6"/>
          <w:szCs w:val="22"/>
        </w:rPr>
      </w:pPr>
      <w:r w:rsidRPr="00E56159">
        <w:rPr>
          <w:rFonts w:ascii="Times New Roman" w:hAnsi="Times New Roman" w:cs="Times New Roman"/>
          <w:spacing w:val="-6"/>
          <w:szCs w:val="22"/>
        </w:rPr>
        <w:t xml:space="preserve">The Tuareg rebellions in southern Algeria and northern Mali have created an extremely complex geopolitical environment in these oil-rich areas, and the divided Tuareg regions have also become zones of interest for various external actors </w:t>
      </w:r>
      <w:r w:rsidRPr="00E56159">
        <w:rPr>
          <w:rFonts w:ascii="Times New Roman" w:hAnsi="Times New Roman" w:cs="Times New Roman"/>
          <w:spacing w:val="-6"/>
          <w:szCs w:val="22"/>
        </w:rPr>
        <w:fldChar w:fldCharType="begin"/>
      </w:r>
      <w:r w:rsidR="00521019">
        <w:rPr>
          <w:rFonts w:ascii="Times New Roman" w:hAnsi="Times New Roman" w:cs="Times New Roman"/>
          <w:spacing w:val="-6"/>
          <w:szCs w:val="22"/>
        </w:rPr>
        <w:instrText xml:space="preserve"> ADDIN EN.CITE &lt;EndNote&gt;&lt;Cite&gt;&lt;Author&gt;Ananyev&lt;/Author&gt;&lt;Year&gt;2023&lt;/Year&gt;&lt;RecNum&gt;522&lt;/RecNum&gt;&lt;DisplayText&gt;(Ananyev &amp;amp; Poyker, 2023)&lt;/DisplayText&gt;&lt;record&gt;&lt;rec-number&gt;522&lt;/rec-number&gt;&lt;foreign-keys&gt;&lt;key app="EN" db-id="9rv05s2taeez0oe22x2xw5dcsta5x2e0v0zz" timestamp="1719816387"&gt;522&lt;/key&gt;&lt;/foreign-keys&gt;&lt;ref-type name="Journal Article"&gt;17&lt;/ref-type&gt;&lt;contributors&gt;&lt;authors&gt;&lt;author&gt;Ananyev, Maxim&lt;/author&gt;&lt;author&gt;Poyker, Michael&lt;/author&gt;&lt;/authors&gt;&lt;/contributors&gt;&lt;titles&gt;&lt;title&gt;Identity and conflict: evidence from Tuareg rebellion in Mali&lt;/title&gt;&lt;secondary-title&gt;World Development&lt;/secondary-title&gt;&lt;/titles&gt;&lt;periodical&gt;&lt;full-title&gt;World Development&lt;/full-title&gt;&lt;/periodical&gt;&lt;volume&gt;161&lt;/volume&gt;&lt;section&gt;106108&lt;/section&gt;&lt;dates&gt;&lt;year&gt;2023&lt;/year&gt;&lt;/dates&gt;&lt;isbn&gt;0305750X&lt;/isbn&gt;&lt;urls&gt;&lt;/urls&gt;&lt;electronic-resource-num&gt;10.1016/j.worlddev.2022.106108&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(Ananyev &amp; Poyker, 2023)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For example, during Muammar Gaddafi</w:t>
      </w:r>
      <w:r w:rsidRPr="00E56159">
        <w:rPr>
          <w:rFonts w:ascii="Times New Roman" w:hAnsi="Times New Roman" w:cs="Times New Roman"/>
          <w:spacing w:val="-6"/>
          <w:szCs w:val="22"/>
          <w:lang w:val="en-CA"/>
        </w:rPr>
        <w:t>’</w:t>
      </w:r>
      <w:r w:rsidRPr="00E56159">
        <w:rPr>
          <w:rFonts w:ascii="Times New Roman" w:hAnsi="Times New Roman" w:cs="Times New Roman"/>
          <w:spacing w:val="-6"/>
          <w:szCs w:val="22"/>
        </w:rPr>
        <w:t xml:space="preserve">s regime in Libya, support was extended to Tuareg rebels as part of broader geopolitical strategies </w:t>
      </w:r>
      <w:r w:rsidRPr="00E56159">
        <w:rPr>
          <w:rFonts w:ascii="Times New Roman" w:hAnsi="Times New Roman" w:cs="Times New Roman"/>
          <w:spacing w:val="-6"/>
          <w:szCs w:val="22"/>
        </w:rPr>
        <w:fldChar w:fldCharType="begin"/>
      </w:r>
      <w:r w:rsidR="00B50A3E">
        <w:rPr>
          <w:rFonts w:ascii="Times New Roman" w:hAnsi="Times New Roman" w:cs="Times New Roman"/>
          <w:spacing w:val="-6"/>
          <w:szCs w:val="22"/>
        </w:rPr>
        <w:instrText xml:space="preserve"> ADDIN EN.CITE &lt;EndNote&gt;&lt;Cite&gt;&lt;Author&gt;Reeve&lt;/Author&gt;&lt;Year&gt;2015&lt;/Year&gt;&lt;RecNum&gt;512&lt;/RecNum&gt;&lt;DisplayText&gt;(Ananyev &amp;amp; Poyker, 2023; Reeve, 2015)&lt;/DisplayText&gt;&lt;record&gt;&lt;rec-number&gt;512&lt;/rec-number&gt;&lt;foreign-keys&gt;&lt;key app="EN" db-id="9rv05s2taeez0oe22x2xw5dcsta5x2e0v0zz" timestamp="1719736796"&gt;512&lt;/key&gt;&lt;/foreign-keys&gt;&lt;ref-type name="Web Page"&gt;12&lt;/ref-type&gt;&lt;contributors&gt;&lt;authors&gt;&lt;author&gt;Richard Reeve&lt;/author&gt;&lt;/authors&gt;&lt;/contributors&gt;&lt;titles&gt;&lt;title&gt;Libya&amp;apos;s Proxy Battlefield&lt;/title&gt;&lt;secondary-title&gt;Oxford Research Group&lt;/secondary-title&gt;&lt;/titles&gt;&lt;volume&gt;2024&lt;/volume&gt;&lt;number&gt;Oct 23&lt;/number&gt;&lt;dates&gt;&lt;year&gt;2015&lt;/year&gt;&lt;/dates&gt;&lt;urls&gt;&lt;related-urls&gt;&lt;url&gt;https://www.files.ethz.ch/isn/187322/ORGJan15LibyaProxyBattlefield.pdf&lt;/url&gt;&lt;/related-urls&gt;&lt;/urls&gt;&lt;/record&gt;&lt;/Cite&gt;&lt;Cite&gt;&lt;Author&gt;Ananyev&lt;/Author&gt;&lt;Year&gt;2023&lt;/Year&gt;&lt;RecNum&gt;522&lt;/RecNum&gt;&lt;record&gt;&lt;rec-number&gt;522&lt;/rec-number&gt;&lt;foreign-keys&gt;&lt;key app="EN" db-id="9rv05s2taeez0oe22x2xw5dcsta5x2e0v0zz" timestamp="1719816387"&gt;522&lt;/key&gt;&lt;/foreign-keys&gt;&lt;ref-type name="Journal Article"&gt;17&lt;/ref-type&gt;&lt;contributors&gt;&lt;authors&gt;&lt;author&gt;Ananyev, Maxim&lt;/author&gt;&lt;author&gt;Poyker, Michael&lt;/author&gt;&lt;/authors&gt;&lt;/contributors&gt;&lt;titles&gt;&lt;title&gt;Identity and conflict: evidence from Tuareg rebellion in Mali&lt;/title&gt;&lt;secondary-title&gt;World Development&lt;/secondary-title&gt;&lt;/titles&gt;&lt;periodical&gt;&lt;full-title&gt;World Development&lt;/full-title&gt;&lt;/periodical&gt;&lt;volume&gt;161&lt;/volume&gt;&lt;section&gt;106108&lt;/section&gt;&lt;dates&gt;&lt;year&gt;2023&lt;/year&gt;&lt;/dates&gt;&lt;isbn&gt;0305750X&lt;/isbn&gt;&lt;urls&gt;&lt;/urls&gt;&lt;electronic-resource-num&gt;10.1016/j.worlddev.2022.106108&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(Ananyev &amp; Poyker, 2023; Reeve, 2015)</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This external interference was evident in the backing of the 2012 Tuareg insurgencies against Malian governments, led by the National Movement for the Liberation of Azawad (MNLA). Tuareg fighters who had been integrated into Gaddafi’s military forces returned to Mali heavily </w:t>
      </w:r>
      <w:r w:rsidRPr="00E56159">
        <w:rPr>
          <w:rFonts w:ascii="Times New Roman" w:hAnsi="Times New Roman" w:cs="Times New Roman"/>
          <w:spacing w:val="-6"/>
          <w:szCs w:val="22"/>
        </w:rPr>
        <w:lastRenderedPageBreak/>
        <w:t xml:space="preserve">armed </w:t>
      </w:r>
      <w:r w:rsidR="005F1884">
        <w:rPr>
          <w:rFonts w:ascii="Times New Roman" w:hAnsi="Times New Roman" w:cs="Times New Roman"/>
          <w:spacing w:val="-6"/>
          <w:szCs w:val="22"/>
        </w:rPr>
        <w:fldChar w:fldCharType="begin"/>
      </w:r>
      <w:r w:rsidR="005F1884">
        <w:rPr>
          <w:rFonts w:ascii="Times New Roman" w:hAnsi="Times New Roman" w:cs="Times New Roman"/>
          <w:spacing w:val="-6"/>
          <w:szCs w:val="22"/>
        </w:rPr>
        <w:instrText xml:space="preserve"> ADDIN EN.CITE &lt;EndNote&gt;&lt;Cite&gt;&lt;Author&gt;Lewis&lt;/Author&gt;&lt;Year&gt;2012&lt;/Year&gt;&lt;RecNum&gt;641&lt;/RecNum&gt;&lt;DisplayText&gt;(Lewis &amp;amp; Diarra, 2012)&lt;/DisplayText&gt;&lt;record&gt;&lt;rec-number&gt;641&lt;/rec-number&gt;&lt;foreign-keys&gt;&lt;key app="EN" db-id="9rv05s2taeez0oe22x2xw5dcsta5x2e0v0zz" timestamp="1730356393"&gt;641&lt;/key&gt;&lt;/foreign-keys&gt;&lt;ref-type name="Newspaper Article"&gt;23&lt;/ref-type&gt;&lt;contributors&gt;&lt;authors&gt;&lt;author&gt; David Lewis&lt;/author&gt;&lt;author&gt;Adama Diarra&lt;/author&gt;&lt;/authors&gt;&lt;/contributors&gt;&lt;titles&gt;&lt;title&gt;Arms and men out of Libya fortify Mali rebellion&lt;/title&gt;&lt;secondary-title&gt;Reuters&lt;/secondary-title&gt;&lt;/titles&gt;&lt;dates&gt;&lt;year&gt;2012&lt;/year&gt;&lt;/dates&gt;&lt;urls&gt;&lt;related-urls&gt;&lt;url&gt;https://www.reuters.com/article/world/arms-and-men-out-of-libya-fortify-mali-rebellion-idUSTRE8190UY/&lt;/url&gt;&lt;/related-urls&gt;&lt;/urls&gt;&lt;access-date&gt;June 25, 2024&lt;/access-date&gt;&lt;/record&gt;&lt;/Cite&gt;&lt;/EndNote&gt;</w:instrText>
      </w:r>
      <w:r w:rsidR="005F1884">
        <w:rPr>
          <w:rFonts w:ascii="Times New Roman" w:hAnsi="Times New Roman" w:cs="Times New Roman"/>
          <w:spacing w:val="-6"/>
          <w:szCs w:val="22"/>
        </w:rPr>
        <w:fldChar w:fldCharType="separate"/>
      </w:r>
      <w:r w:rsidR="005F1884">
        <w:rPr>
          <w:rFonts w:ascii="Times New Roman" w:hAnsi="Times New Roman" w:cs="Times New Roman"/>
          <w:noProof/>
          <w:spacing w:val="-6"/>
          <w:szCs w:val="22"/>
        </w:rPr>
        <w:t>(Lewis &amp; Diarra, 2012)</w:t>
      </w:r>
      <w:r w:rsidR="005F1884">
        <w:rPr>
          <w:rFonts w:ascii="Times New Roman" w:hAnsi="Times New Roman" w:cs="Times New Roman"/>
          <w:spacing w:val="-6"/>
          <w:szCs w:val="22"/>
        </w:rPr>
        <w:fldChar w:fldCharType="end"/>
      </w:r>
      <w:r w:rsidR="005F1884">
        <w:rPr>
          <w:rFonts w:ascii="Times New Roman" w:hAnsi="Times New Roman" w:cs="Times New Roman" w:hint="eastAsia"/>
          <w:spacing w:val="-6"/>
          <w:szCs w:val="22"/>
        </w:rPr>
        <w:t xml:space="preserve"> </w:t>
      </w:r>
      <w:r w:rsidRPr="00E56159">
        <w:rPr>
          <w:rFonts w:ascii="Times New Roman" w:hAnsi="Times New Roman" w:cs="Times New Roman"/>
          <w:spacing w:val="-6"/>
          <w:szCs w:val="22"/>
        </w:rPr>
        <w:t>after Gaddafi’s regime collapsed in 2011 and played a crucial role in the early successes of the 2012 insurgency</w:t>
      </w:r>
      <w:r w:rsidR="006A4984">
        <w:rPr>
          <w:rFonts w:ascii="Times New Roman" w:hAnsi="Times New Roman" w:cs="Times New Roman" w:hint="eastAsia"/>
          <w:spacing w:val="-6"/>
          <w:szCs w:val="22"/>
        </w:rPr>
        <w:t xml:space="preserve"> </w:t>
      </w:r>
      <w:r w:rsidR="006A4984">
        <w:rPr>
          <w:rFonts w:ascii="Times New Roman" w:hAnsi="Times New Roman" w:cs="Times New Roman"/>
          <w:spacing w:val="-6"/>
          <w:szCs w:val="22"/>
        </w:rPr>
        <w:fldChar w:fldCharType="begin"/>
      </w:r>
      <w:r w:rsidR="006A4984">
        <w:rPr>
          <w:rFonts w:ascii="Times New Roman" w:hAnsi="Times New Roman" w:cs="Times New Roman"/>
          <w:spacing w:val="-6"/>
          <w:szCs w:val="22"/>
        </w:rPr>
        <w:instrText xml:space="preserve"> ADDIN EN.CITE &lt;EndNote&gt;&lt;Cite&gt;&lt;Author&gt;BBC News&lt;/Author&gt;&lt;Year&gt;2011&lt;/Year&gt;&lt;RecNum&gt;642&lt;/RecNum&gt;&lt;DisplayText&gt;(BBC News, 2011)&lt;/DisplayText&gt;&lt;record&gt;&lt;rec-number&gt;642&lt;/rec-number&gt;&lt;foreign-keys&gt;&lt;key app="EN" db-id="9rv05s2taeez0oe22x2xw5dcsta5x2e0v0zz" timestamp="1730356727"&gt;642&lt;/key&gt;&lt;/foreign-keys&gt;&lt;ref-type name="Newspaper Article"&gt;23&lt;/ref-type&gt;&lt;contributors&gt;&lt;authors&gt;&lt;author&gt;BBC News,&lt;/author&gt;&lt;/authors&gt;&lt;/contributors&gt;&lt;titles&gt;&lt;title&gt;Ex-Gaddafi Tuareg fighters boost Mali rebels&lt;/title&gt;&lt;secondary-title&gt;BBC News&lt;/secondary-title&gt;&lt;/titles&gt;&lt;dates&gt;&lt;year&gt;2011&lt;/year&gt;&lt;/dates&gt;&lt;urls&gt;&lt;related-urls&gt;&lt;url&gt; https://www.bbc.com/news/world-africa-15334088&lt;/url&gt;&lt;/related-urls&gt;&lt;/urls&gt;&lt;access-date&gt;June 2, 2024&lt;/access-date&gt;&lt;/record&gt;&lt;/Cite&gt;&lt;/EndNote&gt;</w:instrText>
      </w:r>
      <w:r w:rsidR="006A4984">
        <w:rPr>
          <w:rFonts w:ascii="Times New Roman" w:hAnsi="Times New Roman" w:cs="Times New Roman"/>
          <w:spacing w:val="-6"/>
          <w:szCs w:val="22"/>
        </w:rPr>
        <w:fldChar w:fldCharType="separate"/>
      </w:r>
      <w:r w:rsidR="006A4984">
        <w:rPr>
          <w:rFonts w:ascii="Times New Roman" w:hAnsi="Times New Roman" w:cs="Times New Roman"/>
          <w:noProof/>
          <w:spacing w:val="-6"/>
          <w:szCs w:val="22"/>
        </w:rPr>
        <w:t>(BBC News, 2011)</w:t>
      </w:r>
      <w:r w:rsidR="006A4984">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The MNLA sought independence for northern Mali, resulting in the declaration of the independent state of Azawad </w:t>
      </w:r>
      <w:r w:rsidRPr="00E56159">
        <w:rPr>
          <w:rFonts w:ascii="Times New Roman" w:hAnsi="Times New Roman" w:cs="Times New Roman"/>
          <w:spacing w:val="-6"/>
          <w:szCs w:val="22"/>
        </w:rPr>
        <w:fldChar w:fldCharType="begin"/>
      </w:r>
      <w:r w:rsidR="00F7167D">
        <w:rPr>
          <w:rFonts w:ascii="Times New Roman" w:hAnsi="Times New Roman" w:cs="Times New Roman"/>
          <w:spacing w:val="-6"/>
          <w:szCs w:val="22"/>
        </w:rPr>
        <w:instrText xml:space="preserve"> ADDIN EN.CITE &lt;EndNote&gt;&lt;Cite&gt;&lt;Author&gt;Livermore&lt;/Author&gt;&lt;Year&gt;2013&lt;/Year&gt;&lt;RecNum&gt;520&lt;/RecNum&gt;&lt;DisplayText&gt;(Livermore, 2013)&lt;/DisplayText&gt;&lt;record&gt;&lt;rec-number&gt;520&lt;/rec-number&gt;&lt;foreign-keys&gt;&lt;key app="EN" db-id="9rv05s2taeez0oe22x2xw5dcsta5x2e0v0zz" timestamp="1719816111"&gt;520&lt;/key&gt;&lt;/foreign-keys&gt;&lt;ref-type name="Journal Article"&gt;17&lt;/ref-type&gt;&lt;contributors&gt;&lt;authors&gt;&lt;author&gt;Livermore, Douglas&lt;/author&gt;&lt;/authors&gt;&lt;/contributors&gt;&lt;titles&gt;&lt;title&gt;The case for Azawad: rectifying the past to save the future in Northern Africa&lt;/title&gt;&lt;secondary-title&gt;African Security Review&lt;/secondary-title&gt;&lt;/titles&gt;&lt;periodical&gt;&lt;full-title&gt;African Security Review&lt;/full-title&gt;&lt;/periodical&gt;&lt;pages&gt;282-293&lt;/pages&gt;&lt;volume&gt;22&lt;/volume&gt;&lt;number&gt;4&lt;/number&gt;&lt;dates&gt;&lt;year&gt;2013&lt;/year&gt;&lt;/dates&gt;&lt;isbn&gt;1024-6029&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(Livermore, 2013)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This rebellion created a power vacuum as the Malian government forces were unable to maintain control over the region, allowing Islamist militant groups to gain control and leading to severe instability in the Tuareg regions of northern Mali and southern Algeria </w:t>
      </w:r>
      <w:r w:rsidRPr="00E56159">
        <w:rPr>
          <w:rFonts w:ascii="Times New Roman" w:hAnsi="Times New Roman" w:cs="Times New Roman"/>
          <w:spacing w:val="-6"/>
          <w:szCs w:val="22"/>
        </w:rPr>
        <w:fldChar w:fldCharType="begin"/>
      </w:r>
      <w:r w:rsidR="00FB6477">
        <w:rPr>
          <w:rFonts w:ascii="Times New Roman" w:hAnsi="Times New Roman" w:cs="Times New Roman"/>
          <w:spacing w:val="-6"/>
          <w:szCs w:val="22"/>
        </w:rPr>
        <w:instrText xml:space="preserve"> ADDIN EN.CITE &lt;EndNote&gt;&lt;Cite&gt;&lt;Author&gt;Barducci&lt;/Author&gt;&lt;Year&gt;2012&lt;/Year&gt;&lt;RecNum&gt;525&lt;/RecNum&gt;&lt;DisplayText&gt;(Barducci, 2012)&lt;/DisplayText&gt;&lt;record&gt;&lt;rec-number&gt;525&lt;/rec-number&gt;&lt;foreign-keys&gt;&lt;key app="EN" db-id="9rv05s2taeez0oe22x2xw5dcsta5x2e0v0zz" timestamp="1719886403"&gt;525&lt;/key&gt;&lt;/foreign-keys&gt;&lt;ref-type name="Web Page"&gt;12&lt;/ref-type&gt;&lt;contributors&gt;&lt;authors&gt;&lt;author&gt;Barducci, Anna Mahjar&lt;/author&gt;&lt;/authors&gt;&lt;/contributors&gt;&lt;titles&gt;&lt;title&gt;The MLNA’s Fight for a Secular State of Azawad&lt;/title&gt;&lt;secondary-title&gt;Inquiry and Analysis Series. IDC Herzliya: International Institute for Counter-Terrorism&lt;/secondary-title&gt;&lt;/titles&gt;&lt;periodical&gt;&lt;full-title&gt;Inquiry and Analysis Series. IDC Herzliya: International Institute for Counter-Terrorism&lt;/full-title&gt;&lt;/periodical&gt;&lt;volume&gt;2024&lt;/volume&gt;&lt;number&gt;Oct 28th&lt;/number&gt;&lt;dates&gt;&lt;year&gt;2012&lt;/year&gt;&lt;/dates&gt;&lt;urls&gt;&lt;related-urls&gt;&lt;url&gt;https://www.ict.org.il/UserFiles/AzawadICT%20-%20Barducci%20final.pdf&lt;/url&gt;&lt;/related-urls&gt;&lt;/urls&gt;&lt;/record&gt;&lt;/Cite&gt;&lt;/EndNote&gt;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(Barducci, 2012)</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w:t>
      </w:r>
    </w:p>
    <w:p w14:paraId="5C7E0685" w14:textId="37162923" w:rsidR="00EE0BCA" w:rsidRPr="00E56159" w:rsidRDefault="00EE0BCA" w:rsidP="00EE0BCA">
      <w:pPr>
        <w:spacing w:after="0" w:line="480" w:lineRule="auto"/>
        <w:ind w:firstLineChars="202" w:firstLine="420"/>
        <w:rPr>
          <w:rFonts w:ascii="Times New Roman" w:hAnsi="Times New Roman" w:cs="Times New Roman"/>
          <w:spacing w:val="-6"/>
          <w:szCs w:val="22"/>
        </w:rPr>
      </w:pPr>
      <w:r w:rsidRPr="00E56159">
        <w:rPr>
          <w:rFonts w:ascii="Times New Roman" w:hAnsi="Times New Roman" w:cs="Times New Roman"/>
          <w:spacing w:val="-6"/>
          <w:szCs w:val="22"/>
        </w:rPr>
        <w:t>A prominent Algerian jihadist and leader of the al-</w:t>
      </w:r>
      <w:proofErr w:type="spellStart"/>
      <w:r w:rsidRPr="00E56159">
        <w:rPr>
          <w:rFonts w:ascii="Times New Roman" w:hAnsi="Times New Roman" w:cs="Times New Roman"/>
          <w:spacing w:val="-6"/>
          <w:szCs w:val="22"/>
        </w:rPr>
        <w:t>Mulathameen</w:t>
      </w:r>
      <w:proofErr w:type="spellEnd"/>
      <w:r w:rsidRPr="00E56159">
        <w:rPr>
          <w:rFonts w:ascii="Times New Roman" w:hAnsi="Times New Roman" w:cs="Times New Roman"/>
          <w:spacing w:val="-6"/>
          <w:szCs w:val="22"/>
        </w:rPr>
        <w:t xml:space="preserve"> Brigade, Mokhtar Belmokhtar, took advantage of this instability. His groups benefited from the local knowledge and support of Tuareg and other local tribes </w:t>
      </w:r>
      <w:r w:rsidRPr="00E56159">
        <w:rPr>
          <w:rFonts w:ascii="Times New Roman" w:hAnsi="Times New Roman" w:cs="Times New Roman"/>
          <w:spacing w:val="-6"/>
          <w:szCs w:val="22"/>
        </w:rPr>
        <w:fldChar w:fldCharType="begin"/>
      </w:r>
      <w:r w:rsidR="00F7167D">
        <w:rPr>
          <w:rFonts w:ascii="Times New Roman" w:hAnsi="Times New Roman" w:cs="Times New Roman"/>
          <w:spacing w:val="-6"/>
          <w:szCs w:val="22"/>
        </w:rPr>
        <w:instrText xml:space="preserve"> ADDIN EN.CITE &lt;EndNote&gt;&lt;Cite&gt;&lt;Author&gt;Guido&lt;/Author&gt;&lt;Year&gt;2018&lt;/Year&gt;&lt;RecNum&gt;527&lt;/RecNum&gt;&lt;DisplayText&gt;(Guido, 2018)&lt;/DisplayText&gt;&lt;record&gt;&lt;rec-number&gt;527&lt;/rec-number&gt;&lt;foreign-keys&gt;&lt;key app="EN" db-id="9rv05s2taeez0oe22x2xw5dcsta5x2e0v0zz" timestamp="1719904362"&gt;527&lt;/key&gt;&lt;/foreign-keys&gt;&lt;ref-type name="Book"&gt;6&lt;/ref-type&gt;&lt;contributors&gt;&lt;authors&gt;&lt;author&gt; Joseph Guido&lt;/author&gt;&lt;/authors&gt;&lt;/contributors&gt;&lt;titles&gt;&lt;title&gt;Terrorist Sanctuary in the Sahara: A Case Study&lt;/title&gt;&lt;/titles&gt;&lt;dates&gt;&lt;year&gt;2018&lt;/year&gt;&lt;/dates&gt;&lt;publisher&gt;Department of the Army&lt;/publisher&gt;&lt;urls&gt;&lt;/urls&gt;&lt;/record&gt;&lt;/Cite&gt;&lt;/EndNote&gt;</w:instrText>
      </w:r>
      <w:r w:rsidRPr="00E56159">
        <w:rPr>
          <w:rFonts w:ascii="Times New Roman" w:hAnsi="Times New Roman" w:cs="Times New Roman"/>
          <w:spacing w:val="-6"/>
          <w:szCs w:val="22"/>
        </w:rPr>
        <w:fldChar w:fldCharType="separate"/>
      </w:r>
      <w:r w:rsidR="00F7167D">
        <w:rPr>
          <w:rFonts w:ascii="Times New Roman" w:hAnsi="Times New Roman" w:cs="Times New Roman"/>
          <w:noProof/>
          <w:spacing w:val="-6"/>
          <w:szCs w:val="22"/>
        </w:rPr>
        <w:t>(Guido, 2018)</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Some Tuareg fighters, marginalized by the political situation, allied with Islamist groups for tactical reasons, bolstering their ranks. The operational base provided by the instability in northern Mali enabled Belmokhtar to plan and execute attacks beyond Mali’s borders </w:t>
      </w:r>
      <w:r w:rsidRPr="00E56159">
        <w:rPr>
          <w:rFonts w:ascii="Times New Roman" w:hAnsi="Times New Roman" w:cs="Times New Roman"/>
          <w:spacing w:val="-6"/>
          <w:szCs w:val="22"/>
        </w:rPr>
        <w:fldChar w:fldCharType="begin"/>
      </w:r>
      <w:r w:rsidR="00521019">
        <w:rPr>
          <w:rFonts w:ascii="Times New Roman" w:hAnsi="Times New Roman" w:cs="Times New Roman"/>
          <w:spacing w:val="-6"/>
          <w:szCs w:val="22"/>
        </w:rPr>
        <w:instrText xml:space="preserve"> ADDIN EN.CITE &lt;EndNote&gt;&lt;Cite&gt;&lt;Author&gt;Ananyev&lt;/Author&gt;&lt;Year&gt;2023&lt;/Year&gt;&lt;RecNum&gt;522&lt;/RecNum&gt;&lt;DisplayText&gt;(Ananyev &amp;amp; Poyker, 2023)&lt;/DisplayText&gt;&lt;record&gt;&lt;rec-number&gt;522&lt;/rec-number&gt;&lt;foreign-keys&gt;&lt;key app="EN" db-id="9rv05s2taeez0oe22x2xw5dcsta5x2e0v0zz" timestamp="1719816387"&gt;522&lt;/key&gt;&lt;/foreign-keys&gt;&lt;ref-type name="Journal Article"&gt;17&lt;/ref-type&gt;&lt;contributors&gt;&lt;authors&gt;&lt;author&gt;Ananyev, Maxim&lt;/author&gt;&lt;author&gt;Poyker, Michael&lt;/author&gt;&lt;/authors&gt;&lt;/contributors&gt;&lt;titles&gt;&lt;title&gt;Identity and conflict: evidence from Tuareg rebellion in Mali&lt;/title&gt;&lt;secondary-title&gt;World Development&lt;/secondary-title&gt;&lt;/titles&gt;&lt;periodical&gt;&lt;full-title&gt;World Development&lt;/full-title&gt;&lt;/periodical&gt;&lt;volume&gt;161&lt;/volume&gt;&lt;section&gt;106108&lt;/section&gt;&lt;dates&gt;&lt;year&gt;2023&lt;/year&gt;&lt;/dates&gt;&lt;isbn&gt;0305750X&lt;/isbn&gt;&lt;urls&gt;&lt;/urls&gt;&lt;electronic-resource-num&gt;10.1016/j.worlddev.2022.106108&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(Ananyev &amp; Poyker, 2023)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w:t>
      </w:r>
    </w:p>
    <w:p w14:paraId="69CD00A5" w14:textId="113E9DB0" w:rsidR="00EE0BCA" w:rsidRPr="00E56159" w:rsidRDefault="00EE0BCA" w:rsidP="00EE0BCA">
      <w:pPr>
        <w:spacing w:after="0" w:line="480" w:lineRule="auto"/>
        <w:ind w:firstLine="420"/>
        <w:rPr>
          <w:rFonts w:ascii="Times New Roman" w:hAnsi="Times New Roman" w:cs="Times New Roman"/>
          <w:spacing w:val="-6"/>
          <w:szCs w:val="22"/>
          <w:lang w:val="en-CA"/>
        </w:rPr>
      </w:pPr>
      <w:r w:rsidRPr="00E56159">
        <w:rPr>
          <w:rFonts w:ascii="Times New Roman" w:hAnsi="Times New Roman" w:cs="Times New Roman"/>
          <w:spacing w:val="-6"/>
          <w:szCs w:val="22"/>
        </w:rPr>
        <w:t>In January 2013, the al-</w:t>
      </w:r>
      <w:proofErr w:type="spellStart"/>
      <w:r w:rsidRPr="00E56159">
        <w:rPr>
          <w:rFonts w:ascii="Times New Roman" w:hAnsi="Times New Roman" w:cs="Times New Roman"/>
          <w:spacing w:val="-6"/>
          <w:szCs w:val="22"/>
        </w:rPr>
        <w:t>Mulathameen</w:t>
      </w:r>
      <w:proofErr w:type="spellEnd"/>
      <w:r w:rsidRPr="00E56159">
        <w:rPr>
          <w:rFonts w:ascii="Times New Roman" w:hAnsi="Times New Roman" w:cs="Times New Roman"/>
          <w:spacing w:val="-6"/>
          <w:szCs w:val="22"/>
        </w:rPr>
        <w:t xml:space="preserve"> Brigade, a militant organization also known as “Brigade of the Masked Ones” led by Mokhtar Belmokhtar, launched an attack on the In </w:t>
      </w:r>
      <w:proofErr w:type="spellStart"/>
      <w:r w:rsidRPr="00E56159">
        <w:rPr>
          <w:rFonts w:ascii="Times New Roman" w:hAnsi="Times New Roman" w:cs="Times New Roman"/>
          <w:spacing w:val="-6"/>
          <w:szCs w:val="22"/>
        </w:rPr>
        <w:t>Amenas</w:t>
      </w:r>
      <w:proofErr w:type="spellEnd"/>
      <w:r w:rsidRPr="00E56159">
        <w:rPr>
          <w:rFonts w:ascii="Times New Roman" w:hAnsi="Times New Roman" w:cs="Times New Roman"/>
          <w:spacing w:val="-6"/>
          <w:szCs w:val="22"/>
        </w:rPr>
        <w:t xml:space="preserve"> gas facility in Algeria</w:t>
      </w:r>
      <w:r w:rsidR="00D97A1E">
        <w:rPr>
          <w:rFonts w:ascii="Times New Roman" w:hAnsi="Times New Roman" w:cs="Times New Roman" w:hint="eastAsia"/>
          <w:spacing w:val="-6"/>
          <w:szCs w:val="22"/>
        </w:rPr>
        <w:t xml:space="preserve"> </w:t>
      </w:r>
      <w:r w:rsidR="00D97A1E">
        <w:rPr>
          <w:rFonts w:ascii="Times New Roman" w:hAnsi="Times New Roman" w:cs="Times New Roman"/>
          <w:spacing w:val="-6"/>
          <w:szCs w:val="22"/>
        </w:rPr>
        <w:fldChar w:fldCharType="begin"/>
      </w:r>
      <w:r w:rsidR="00D97A1E">
        <w:rPr>
          <w:rFonts w:ascii="Times New Roman" w:hAnsi="Times New Roman" w:cs="Times New Roman"/>
          <w:spacing w:val="-6"/>
          <w:szCs w:val="22"/>
        </w:rPr>
        <w:instrText xml:space="preserve"> ADDIN EN.CITE &lt;EndNote&gt;&lt;Cite&gt;&lt;Author&gt;Smith-Spark&lt;/Author&gt;&lt;Year&gt;2013&lt;/Year&gt;&lt;RecNum&gt;644&lt;/RecNum&gt;&lt;DisplayText&gt;(Smith-Spark &amp;amp; Sterling, 2013)&lt;/DisplayText&gt;&lt;record&gt;&lt;rec-number&gt;644&lt;/rec-number&gt;&lt;foreign-keys&gt;&lt;key app="EN" db-id="9rv05s2taeez0oe22x2xw5dcsta5x2e0v0zz" timestamp="1730357376"&gt;644&lt;/key&gt;&lt;/foreign-keys&gt;&lt;ref-type name="Newspaper Article"&gt;23&lt;/ref-type&gt;&lt;contributors&gt;&lt;authors&gt;&lt;author&gt;Laura Smith-Spark&lt;/author&gt;&lt;author&gt;Joe Sterling&lt;/author&gt;&lt;/authors&gt;&lt;/contributors&gt;&lt;titles&gt;&lt;title&gt;Bloody Algeria hostage crisis ends after ‘final’ assault, officials say&lt;/title&gt;&lt;secondary-title&gt;CNN&lt;/secondary-title&gt;&lt;/titles&gt;&lt;dates&gt;&lt;year&gt;2013&lt;/year&gt;&lt;/dates&gt;&lt;urls&gt;&lt;related-urls&gt;&lt;url&gt;https://edition.cnn.com/2013/01/19/world/africa/algeria-hostage-crisis/index.html&lt;/url&gt;&lt;/related-urls&gt;&lt;/urls&gt;&lt;access-date&gt;June 2, 2024&lt;/access-date&gt;&lt;/record&gt;&lt;/Cite&gt;&lt;/EndNote&gt;</w:instrText>
      </w:r>
      <w:r w:rsidR="00D97A1E">
        <w:rPr>
          <w:rFonts w:ascii="Times New Roman" w:hAnsi="Times New Roman" w:cs="Times New Roman"/>
          <w:spacing w:val="-6"/>
          <w:szCs w:val="22"/>
        </w:rPr>
        <w:fldChar w:fldCharType="separate"/>
      </w:r>
      <w:r w:rsidR="00D97A1E">
        <w:rPr>
          <w:rFonts w:ascii="Times New Roman" w:hAnsi="Times New Roman" w:cs="Times New Roman"/>
          <w:noProof/>
          <w:spacing w:val="-6"/>
          <w:szCs w:val="22"/>
        </w:rPr>
        <w:t>(Smith-Spark &amp; Sterling, 2013)</w:t>
      </w:r>
      <w:r w:rsidR="00D97A1E">
        <w:rPr>
          <w:rFonts w:ascii="Times New Roman" w:hAnsi="Times New Roman" w:cs="Times New Roman"/>
          <w:spacing w:val="-6"/>
          <w:szCs w:val="22"/>
        </w:rPr>
        <w:fldChar w:fldCharType="end"/>
      </w:r>
      <w:r w:rsidRPr="00E56159">
        <w:rPr>
          <w:rFonts w:ascii="Times New Roman" w:hAnsi="Times New Roman" w:cs="Times New Roman"/>
          <w:spacing w:val="-6"/>
          <w:szCs w:val="22"/>
        </w:rPr>
        <w:t>. This facility is a PPI project operated by a joint venture between British Petroleum (BP), Statoil (now Equinor, a Norwegian multinational energy company), and Sonatrach (Algeria’s state-owned oil company). It plays a crucial role in the Maghreb–Europe Gas Pipeline project. During the attack, more than 800 people were taken hostage, including around 130 foreign nationals</w:t>
      </w:r>
      <w:r w:rsidR="00D97A1E">
        <w:rPr>
          <w:rFonts w:ascii="Times New Roman" w:hAnsi="Times New Roman" w:cs="Times New Roman" w:hint="eastAsia"/>
          <w:spacing w:val="-6"/>
          <w:szCs w:val="22"/>
        </w:rPr>
        <w:t xml:space="preserve"> </w:t>
      </w:r>
      <w:r w:rsidR="00D97A1E">
        <w:rPr>
          <w:rFonts w:ascii="Times New Roman" w:hAnsi="Times New Roman" w:cs="Times New Roman"/>
          <w:spacing w:val="-6"/>
          <w:szCs w:val="22"/>
        </w:rPr>
        <w:fldChar w:fldCharType="begin"/>
      </w:r>
      <w:r w:rsidR="002B4DD5">
        <w:rPr>
          <w:rFonts w:ascii="Times New Roman" w:hAnsi="Times New Roman" w:cs="Times New Roman"/>
          <w:spacing w:val="-6"/>
          <w:szCs w:val="22"/>
        </w:rPr>
        <w:instrText xml:space="preserve"> ADDIN EN.CITE &lt;EndNote&gt;&lt;Cite&gt;&lt;Author&gt;Chrisafis&lt;/Author&gt;&lt;Year&gt;2015&lt;/Year&gt;&lt;RecNum&gt;645&lt;/RecNum&gt;&lt;DisplayText&gt;(Chrisafis, Borger, McCurry, &amp;amp; Macalister, 2015)&lt;/DisplayText&gt;&lt;record&gt;&lt;rec-number&gt;645&lt;/rec-number&gt;&lt;foreign-keys&gt;&lt;key app="EN" db-id="9rv05s2taeez0oe22x2xw5dcsta5x2e0v0zz" timestamp="1730357548"&gt;645&lt;/key&gt;&lt;/foreign-keys&gt;&lt;ref-type name="Newspaper Article"&gt;23&lt;/ref-type&gt;&lt;contributors&gt;&lt;authors&gt;&lt;author&gt;Chrisafis, A.&lt;/author&gt;&lt;author&gt;Borger, J.&lt;/author&gt;&lt;author&gt;McCurry, J.&lt;/author&gt;&lt;author&gt;Macalister, T. &lt;/author&gt;&lt;/authors&gt;&lt;/contributors&gt;&lt;titles&gt;&lt;title&gt; Algeria hostage crisis: the full story of the kidnapping in the desert&lt;/title&gt;&lt;secondary-title&gt;The Guardian&lt;/secondary-title&gt;&lt;/titles&gt;&lt;dates&gt;&lt;year&gt;2015&lt;/year&gt;&lt;/dates&gt;&lt;urls&gt;&lt;related-urls&gt;&lt;url&gt;https://www.theguardian.com/world/2013/jan/25/in-amenas-timeline-siege-algeria&lt;/url&gt;&lt;/related-urls&gt;&lt;/urls&gt;&lt;access-date&gt;June 2, 2024&lt;/access-date&gt;&lt;/record&gt;&lt;/Cite&gt;&lt;/EndNote&gt;</w:instrText>
      </w:r>
      <w:r w:rsidR="00D97A1E">
        <w:rPr>
          <w:rFonts w:ascii="Times New Roman" w:hAnsi="Times New Roman" w:cs="Times New Roman"/>
          <w:spacing w:val="-6"/>
          <w:szCs w:val="22"/>
        </w:rPr>
        <w:fldChar w:fldCharType="separate"/>
      </w:r>
      <w:r w:rsidR="00D97A1E">
        <w:rPr>
          <w:rFonts w:ascii="Times New Roman" w:hAnsi="Times New Roman" w:cs="Times New Roman"/>
          <w:noProof/>
          <w:spacing w:val="-6"/>
          <w:szCs w:val="22"/>
        </w:rPr>
        <w:t>(Chrisafis, Borger, McCurry, &amp; Macalister, 2015)</w:t>
      </w:r>
      <w:r w:rsidR="00D97A1E">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It resulted in the deaths of 40 hostages, including several foreign workers and 29 militants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&lt;EndNote&gt;&lt;Cite&gt;&lt;Author&gt;Wolf&lt;/Author&gt;&lt;Year&gt;2013&lt;/Year&gt;&lt;RecNum&gt;514&lt;/RecNum&gt;&lt;DisplayText&gt;(Wolf &amp;amp; Lefevre, 2013)&lt;/DisplayText&gt;&lt;record&gt;&lt;rec-number&gt;514&lt;/rec-number&gt;&lt;foreign-keys&gt;&lt;key app="EN" db-id="9rv05s2taeez0oe22x2xw5dcsta5x2e0v0zz" timestamp="1719809092"&gt;514&lt;/key&gt;&lt;/foreign-keys&gt;&lt;ref-type name="Journal Article"&gt;17&lt;/ref-type&gt;&lt;contributors&gt;&lt;authors&gt;&lt;author&gt;Wolf, Anne&lt;/author&gt;&lt;author&gt;Lefevre, Raphael&lt;/author&gt;&lt;/authors&gt;&lt;/contributors&gt;&lt;titles&gt;&lt;title&gt;Algeria: no easy times for the generals&lt;/title&gt;&lt;secondary-title&gt;The Journal of North African Studies&lt;/secondary-title&gt;&lt;/titles&gt;&lt;periodical&gt;&lt;full-title&gt;The Journal of North African Studies&lt;/full-title&gt;&lt;/periodical&gt;&lt;pages&gt;509-513&lt;/pages&gt;&lt;volume&gt;18&lt;/volume&gt;&lt;number&gt;3&lt;/number&gt;&lt;section&gt;509&lt;/section&gt;&lt;dates&gt;&lt;year&gt;2013&lt;/year&gt;&lt;/dates&gt;&lt;isbn&gt;1362-9387&amp;#xD;1743-9345&lt;/isbn&gt;&lt;urls&gt;&lt;/urls&gt;&lt;electronic-resource-num&gt;10.1080/13629387.2013.795850&lt;/electronic-resource-num&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(Wolf &amp; Lefevre, 2013)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In an investigation report conducted by Statoil </w:t>
      </w:r>
      <w:r w:rsidRPr="00E56159">
        <w:rPr>
          <w:rFonts w:ascii="Times New Roman" w:hAnsi="Times New Roman" w:cs="Times New Roman"/>
          <w:spacing w:val="-6"/>
          <w:szCs w:val="22"/>
        </w:rPr>
        <w:fldChar w:fldCharType="begin"/>
      </w:r>
      <w:r w:rsidR="00ED016A">
        <w:rPr>
          <w:rFonts w:ascii="Times New Roman" w:hAnsi="Times New Roman" w:cs="Times New Roman"/>
          <w:spacing w:val="-6"/>
          <w:szCs w:val="22"/>
        </w:rPr>
        <w:instrText xml:space="preserve"> ADDIN EN.CITE &lt;EndNote&gt;&lt;Cite ExcludeAuth="1"&gt;&lt;Author&gt;Statoil&lt;/Author&gt;&lt;Year&gt;2013&lt;/Year&gt;&lt;RecNum&gt;516&lt;/RecNum&gt;&lt;DisplayText&gt;(2013)&lt;/DisplayText&gt;&lt;record&gt;&lt;rec-number&gt;516&lt;/rec-number&gt;&lt;foreign-keys&gt;&lt;key app="EN" db-id="9rv05s2taeez0oe22x2xw5dcsta5x2e0v0zz" timestamp="1719810547"&gt;516&lt;/key&gt;&lt;/foreign-keys&gt;&lt;ref-type name="Report"&gt;27&lt;/ref-type&gt;&lt;contributors&gt;&lt;authors&gt;&lt;author&gt;Statoil&lt;/author&gt;&lt;/authors&gt;&lt;/contributors&gt;&lt;titles&gt;&lt;title&gt;The in Amenas Attack: Report of the Investigation into the Terrorist Attack on in Amenas&lt;/title&gt;&lt;/titles&gt;&lt;dates&gt;&lt;year&gt;2013&lt;/year&gt;&lt;/dates&gt;&lt;urls&gt;&lt;related-urls&gt;&lt;url&gt;https://www.equinor.com/news/archive/2013/09/12/12SepInAmenasreport&lt;/url&gt;&lt;/related-urls&gt;&lt;/urls&gt;&lt;access-date&gt;Oct 4th, 2024&lt;/access-date&gt;&lt;/record&gt;&lt;/Cite&gt;&lt;/EndNote&gt;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(2013)</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it was reported that the facility suffered physical damage, and gas supplies to the Maghreb–Europe Gas Pipeline were temporarily halted. The halt in production led to financial losses for the operators. In response, BP, Statoil, and Sonatrach conducted comprehensive reviews of their security protocols and emergency response strategies, </w:t>
      </w:r>
      <w:r w:rsidRPr="00E56159">
        <w:rPr>
          <w:rFonts w:ascii="Times New Roman" w:hAnsi="Times New Roman" w:cs="Times New Roman"/>
          <w:spacing w:val="-6"/>
          <w:szCs w:val="22"/>
        </w:rPr>
        <w:lastRenderedPageBreak/>
        <w:t xml:space="preserve">which have increased security costs for subsequent operations </w:t>
      </w:r>
      <w:r w:rsidRPr="00E56159">
        <w:rPr>
          <w:rFonts w:ascii="Times New Roman" w:hAnsi="Times New Roman" w:cs="Times New Roman"/>
          <w:spacing w:val="-6"/>
          <w:szCs w:val="22"/>
        </w:rPr>
        <w:fldChar w:fldCharType="begin"/>
      </w:r>
      <w:r w:rsidRPr="00E56159">
        <w:rPr>
          <w:rFonts w:ascii="Times New Roman" w:hAnsi="Times New Roman" w:cs="Times New Roman"/>
          <w:spacing w:val="-6"/>
          <w:szCs w:val="22"/>
        </w:rPr>
        <w:instrText xml:space="preserve"> ADDIN EN.CITE &lt;EndNote&gt;&lt;Cite&gt;&lt;Author&gt;Coote&lt;/Author&gt;&lt;Year&gt;2017&lt;/Year&gt;&lt;RecNum&gt;528&lt;/RecNum&gt;&lt;DisplayText&gt;(Coote &amp;amp; Hopkins, 2017)&lt;/DisplayText&gt;&lt;record&gt;&lt;rec-number&gt;528&lt;/rec-number&gt;&lt;foreign-keys&gt;&lt;key app="EN" db-id="9rv05s2taeez0oe22x2xw5dcsta5x2e0v0zz" timestamp="1719907374"&gt;528&lt;/key&gt;&lt;/foreign-keys&gt;&lt;ref-type name="Book"&gt;6&lt;/ref-type&gt;&lt;contributors&gt;&lt;authors&gt;&lt;author&gt;Coote, Bud&lt;/author&gt;&lt;author&gt;Hopkins, Karl V&lt;/author&gt;&lt;/authors&gt;&lt;/contributors&gt;&lt;titles&gt;&lt;title&gt;Key Risks Companies Face in Petroleum Investment and Operations&lt;/title&gt;&lt;/titles&gt;&lt;dates&gt;&lt;year&gt;2017&lt;/year&gt;&lt;/dates&gt;&lt;publisher&gt;Atlantic Council&lt;/publisher&gt;&lt;isbn&gt;1619774429&lt;/isbn&gt;&lt;urls&gt;&lt;/urls&gt;&lt;/record&gt;&lt;/Cite&gt;&lt;/EndNote&gt;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(Coote &amp; Hopkins, 2017)</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 The attack also led to a temporary reduction in foreign staff at Algerian facilities due to safety concerns</w:t>
      </w:r>
      <w:r w:rsidR="002B4DD5">
        <w:rPr>
          <w:rFonts w:ascii="Times New Roman" w:hAnsi="Times New Roman" w:cs="Times New Roman" w:hint="eastAsia"/>
          <w:spacing w:val="-6"/>
          <w:szCs w:val="22"/>
        </w:rPr>
        <w:t xml:space="preserve"> </w:t>
      </w:r>
      <w:r w:rsidR="002B4DD5">
        <w:rPr>
          <w:rFonts w:ascii="Times New Roman" w:hAnsi="Times New Roman" w:cs="Times New Roman"/>
          <w:spacing w:val="-6"/>
          <w:szCs w:val="22"/>
        </w:rPr>
        <w:fldChar w:fldCharType="begin"/>
      </w:r>
      <w:r w:rsidR="002B4DD5">
        <w:rPr>
          <w:rFonts w:ascii="Times New Roman" w:hAnsi="Times New Roman" w:cs="Times New Roman"/>
          <w:spacing w:val="-6"/>
          <w:szCs w:val="22"/>
        </w:rPr>
        <w:instrText xml:space="preserve"> ADDIN EN.CITE &lt;EndNote&gt;&lt;Cite&gt;&lt;Author&gt;Chrisafis&lt;/Author&gt;&lt;Year&gt;2015&lt;/Year&gt;&lt;RecNum&gt;645&lt;/RecNum&gt;&lt;DisplayText&gt;(Chrisafis, Borger, McCurry, &amp;amp; Macalister, 2015)&lt;/DisplayText&gt;&lt;record&gt;&lt;rec-number&gt;645&lt;/rec-number&gt;&lt;foreign-keys&gt;&lt;key app="EN" db-id="9rv05s2taeez0oe22x2xw5dcsta5x2e0v0zz" timestamp="1730357548"&gt;645&lt;/key&gt;&lt;/foreign-keys&gt;&lt;ref-type name="Newspaper Article"&gt;23&lt;/ref-type&gt;&lt;contributors&gt;&lt;authors&gt;&lt;author&gt;Chrisafis, A.&lt;/author&gt;&lt;author&gt;Borger, J.&lt;/author&gt;&lt;author&gt;McCurry, J.&lt;/author&gt;&lt;author&gt;Macalister, T. &lt;/author&gt;&lt;/authors&gt;&lt;/contributors&gt;&lt;titles&gt;&lt;title&gt; Algeria hostage crisis: the full story of the kidnapping in the desert&lt;/title&gt;&lt;secondary-title&gt;The Guardian&lt;/secondary-title&gt;&lt;/titles&gt;&lt;dates&gt;&lt;year&gt;2015&lt;/year&gt;&lt;/dates&gt;&lt;urls&gt;&lt;related-urls&gt;&lt;url&gt;https://www.theguardian.com/world/2013/jan/25/in-amenas-timeline-siege-algeria&lt;/url&gt;&lt;/related-urls&gt;&lt;/urls&gt;&lt;access-date&gt;June 2, 2024&lt;/access-date&gt;&lt;/record&gt;&lt;/Cite&gt;&lt;/EndNote&gt;</w:instrText>
      </w:r>
      <w:r w:rsidR="002B4DD5">
        <w:rPr>
          <w:rFonts w:ascii="Times New Roman" w:hAnsi="Times New Roman" w:cs="Times New Roman"/>
          <w:spacing w:val="-6"/>
          <w:szCs w:val="22"/>
        </w:rPr>
        <w:fldChar w:fldCharType="separate"/>
      </w:r>
      <w:r w:rsidR="002B4DD5">
        <w:rPr>
          <w:rFonts w:ascii="Times New Roman" w:hAnsi="Times New Roman" w:cs="Times New Roman"/>
          <w:noProof/>
          <w:spacing w:val="-6"/>
          <w:szCs w:val="22"/>
        </w:rPr>
        <w:t>(Chrisafis, Borger, McCurry, &amp; Macalister, 2015)</w:t>
      </w:r>
      <w:r w:rsidR="002B4DD5">
        <w:rPr>
          <w:rFonts w:ascii="Times New Roman" w:hAnsi="Times New Roman" w:cs="Times New Roman"/>
          <w:spacing w:val="-6"/>
          <w:szCs w:val="22"/>
        </w:rPr>
        <w:fldChar w:fldCharType="end"/>
      </w:r>
      <w:r w:rsidRPr="00E56159">
        <w:rPr>
          <w:rFonts w:ascii="Times New Roman" w:hAnsi="Times New Roman" w:cs="Times New Roman"/>
          <w:spacing w:val="-6"/>
          <w:szCs w:val="22"/>
        </w:rPr>
        <w:t xml:space="preserve">. The complex situations originating from the colonial partitioning of the Tuareg, compounded by cross-border interferences from governmental and militant organizations, have created significant chaos, posing severe threats to business activities across West Africa </w:t>
      </w:r>
      <w:r w:rsidRPr="00E56159">
        <w:rPr>
          <w:rFonts w:ascii="Times New Roman" w:hAnsi="Times New Roman" w:cs="Times New Roman"/>
          <w:spacing w:val="-6"/>
          <w:szCs w:val="22"/>
        </w:rPr>
        <w:fldChar w:fldCharType="begin"/>
      </w:r>
      <w:r w:rsidR="00C853D2">
        <w:rPr>
          <w:rFonts w:ascii="Times New Roman" w:hAnsi="Times New Roman" w:cs="Times New Roman"/>
          <w:spacing w:val="-6"/>
          <w:szCs w:val="22"/>
        </w:rPr>
        <w:instrText xml:space="preserve"> ADDIN EN.CITE &lt;EndNote&gt;&lt;Cite&gt;&lt;Author&gt;Solomon&lt;/Author&gt;&lt;Year&gt;2015&lt;/Year&gt;&lt;RecNum&gt;526&lt;/RecNum&gt;&lt;DisplayText&gt;(Solomon, 2015)&lt;/DisplayText&gt;&lt;record&gt;&lt;rec-number&gt;526&lt;/rec-number&gt;&lt;foreign-keys&gt;&lt;key app="EN" db-id="9rv05s2taeez0oe22x2xw5dcsta5x2e0v0zz" timestamp="1719900999"&gt;526&lt;/key&gt;&lt;/foreign-keys&gt;&lt;ref-type name="Book Section"&gt;5&lt;/ref-type&gt;&lt;contributors&gt;&lt;authors&gt;&lt;author&gt;Solomon, H.&lt;/author&gt;&lt;/authors&gt;&lt;/contributors&gt;&lt;titles&gt;&lt;title&gt;Ansar Dine in Mali: Between Tuareg Nationalism and Islamism&lt;/title&gt;&lt;secondary-title&gt;Terrorism and Counter-Terrorism in Africa&lt;/secondary-title&gt;&lt;/titles&gt;&lt;pages&gt;67-84&lt;/pages&gt;&lt;dates&gt;&lt;year&gt;2015&lt;/year&gt;&lt;/dates&gt;&lt;publisher&gt;Springer&lt;/publisher&gt;&lt;urls&gt;&lt;/urls&gt;&lt;/record&gt;&lt;/Cite&gt;&lt;/EndNote&gt;</w:instrText>
      </w:r>
      <w:r w:rsidRPr="00E56159">
        <w:rPr>
          <w:rFonts w:ascii="Times New Roman" w:hAnsi="Times New Roman" w:cs="Times New Roman"/>
          <w:spacing w:val="-6"/>
          <w:szCs w:val="22"/>
        </w:rPr>
        <w:fldChar w:fldCharType="separate"/>
      </w:r>
      <w:r w:rsidRPr="00E56159">
        <w:rPr>
          <w:rFonts w:ascii="Times New Roman" w:hAnsi="Times New Roman" w:cs="Times New Roman"/>
          <w:noProof/>
          <w:spacing w:val="-6"/>
          <w:szCs w:val="22"/>
        </w:rPr>
        <w:t>(Solomon, 2015)</w:t>
      </w:r>
      <w:r w:rsidRPr="00E56159">
        <w:rPr>
          <w:rFonts w:ascii="Times New Roman" w:hAnsi="Times New Roman" w:cs="Times New Roman"/>
          <w:spacing w:val="-6"/>
          <w:szCs w:val="22"/>
        </w:rPr>
        <w:fldChar w:fldCharType="end"/>
      </w:r>
      <w:r w:rsidRPr="00E56159">
        <w:rPr>
          <w:rFonts w:ascii="Times New Roman" w:hAnsi="Times New Roman" w:cs="Times New Roman"/>
          <w:spacing w:val="-6"/>
          <w:szCs w:val="22"/>
        </w:rPr>
        <w:t>.</w:t>
      </w:r>
    </w:p>
    <w:p w14:paraId="789E9C18" w14:textId="7321FA95" w:rsidR="00EE0BCA" w:rsidRPr="00E56159" w:rsidRDefault="00EE0BCA" w:rsidP="00EE0BCA">
      <w:pPr>
        <w:spacing w:after="0" w:line="480" w:lineRule="auto"/>
        <w:ind w:firstLineChars="202" w:firstLine="444"/>
        <w:rPr>
          <w:rFonts w:ascii="Times New Roman" w:hAnsi="Times New Roman" w:cs="Times New Roman"/>
          <w:szCs w:val="22"/>
        </w:rPr>
      </w:pPr>
      <w:r w:rsidRPr="00E56159">
        <w:rPr>
          <w:rFonts w:ascii="Times New Roman" w:hAnsi="Times New Roman" w:cs="Times New Roman"/>
          <w:szCs w:val="22"/>
        </w:rPr>
        <w:t xml:space="preserve">It should be noted that the “Scramble for Africa” extended beyond the mere delineation of state borders; it established divisive colonial policies such as “divide and rule” </w:t>
      </w:r>
      <w:r w:rsidRPr="00E56159">
        <w:rPr>
          <w:rFonts w:ascii="Times New Roman" w:hAnsi="Times New Roman" w:cs="Times New Roman"/>
          <w:szCs w:val="22"/>
        </w:rPr>
        <w:fldChar w:fldCharType="begin"/>
      </w:r>
      <w:r w:rsidR="00521019">
        <w:rPr>
          <w:rFonts w:ascii="Times New Roman" w:hAnsi="Times New Roman" w:cs="Times New Roman"/>
          <w:szCs w:val="22"/>
        </w:rPr>
        <w:instrText xml:space="preserve"> ADDIN EN.CITE &lt;EndNote&gt;&lt;Cite&gt;&lt;Author&gt;Bolt&lt;/Author&gt;&lt;Year&gt;2013&lt;/Year&gt;&lt;RecNum&gt;415&lt;/RecNum&gt;&lt;DisplayText&gt;(Bolt, 2013)&lt;/DisplayText&gt;&lt;record&gt;&lt;rec-number&gt;415&lt;/rec-number&gt;&lt;foreign-keys&gt;&lt;key app="EN" db-id="9rv05s2taeez0oe22x2xw5dcsta5x2e0v0zz" timestamp="1705676241"&gt;415&lt;/key&gt;&lt;/foreign-keys&gt;&lt;ref-type name="Book Section"&gt;5&lt;/ref-type&gt;&lt;contributors&gt;&lt;authors&gt;&lt;author&gt;Bolt, Jutta&lt;/author&gt;&lt;/authors&gt;&lt;secondary-authors&gt;&lt;author&gt;E. Frankema, and E. Hillbom&lt;/author&gt;&lt;/secondary-authors&gt;&lt;/contributors&gt;&lt;titles&gt;&lt;title&gt;The partitioning of Africa&lt;/title&gt;&lt;secondary-title&gt;The History of African Development Textbook&lt;/secondary-title&gt;&lt;/titles&gt;&lt;pages&gt;78-95&lt;/pages&gt;&lt;dates&gt;&lt;year&gt;2013&lt;/year&gt;&lt;/dates&gt;&lt;publisher&gt;African Economic History Network&lt;/publisher&gt;&lt;urls&gt;&lt;/urls&gt;&lt;/record&gt;&lt;/Cite&gt;&lt;/EndNote&gt;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(Bolt, 2013)</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Colonial administrators and European settlers systematically leveraged these tactics, intensifying ethnic divisions and planting the seeds of mistrust and competition. By granting preferential access to resources, education, and administrative positions to certain groups, colonial powers consolidated a hierarchy that fostered resentment and conflict, which persisted both during and after colonization </w:t>
      </w:r>
      <w:r w:rsidRPr="00E56159">
        <w:rPr>
          <w:rFonts w:ascii="Times New Roman" w:hAnsi="Times New Roman" w:cs="Times New Roman"/>
          <w:szCs w:val="22"/>
        </w:rPr>
        <w:fldChar w:fldCharType="begin"/>
      </w:r>
      <w:r w:rsidR="00B50A3E">
        <w:rPr>
          <w:rFonts w:ascii="Times New Roman" w:hAnsi="Times New Roman" w:cs="Times New Roman"/>
          <w:szCs w:val="22"/>
        </w:rPr>
        <w:instrText xml:space="preserve"> ADDIN EN.CITE &lt;EndNote&gt;&lt;Cite&gt;&lt;Author&gt;Michalopoulos&lt;/Author&gt;&lt;Year&gt;2011&lt;/Year&gt;&lt;RecNum&gt;31&lt;/RecNum&gt;&lt;DisplayText&gt;(Michalopoulos &amp;amp; Papaioannou, 2011)&lt;/DisplayText&gt;&lt;record&gt;&lt;rec-number&gt;31&lt;/rec-number&gt;&lt;foreign-keys&gt;&lt;key app="EN" db-id="9rv05s2taeez0oe22x2xw5dcsta5x2e0v0zz" timestamp="1546741662"&gt;31&lt;/key&gt;&lt;/foreign-keys&gt;&lt;ref-type name="Web Page"&gt;12&lt;/ref-type&gt;&lt;contributors&gt;&lt;authors&gt;&lt;author&gt;Michalopoulos, Stelios&lt;/author&gt;&lt;author&gt;Papaioannou, Elias&lt;/author&gt;&lt;/authors&gt;&lt;/contributors&gt;&lt;titles&gt;&lt;title&gt;Divide and rule or the rule of the divided? evidence from Africa&lt;/title&gt;&lt;secondary-title&gt;National Bureau of Economic Research&lt;/secondary-title&gt;&lt;/titles&gt;&lt;periodical&gt;&lt;full-title&gt;National Bureau of Economic Research&lt;/full-title&gt;&lt;/periodical&gt;&lt;volume&gt;2024&lt;/volume&gt;&lt;number&gt;Oct 28th&lt;/number&gt;&lt;dates&gt;&lt;year&gt;2011&lt;/year&gt;&lt;/dates&gt;&lt;publisher&gt;National Bureau of Economic Research&lt;/publisher&gt;&lt;urls&gt;&lt;related-urls&gt;&lt;url&gt;https://www.nber.org/papers/w17184&lt;/url&gt;&lt;/related-urls&gt;&lt;/urls&gt;&lt;/record&gt;&lt;/Cite&gt;&lt;/EndNote&gt;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(Michalopoulos &amp; Papaioannou, 2011)</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These extractive strategies have laid the foundation for enduring conflicts. Contemporary governments in African nations often grapple with these inherited structures, which continue to significantly influence ethnic identities, state sovereignty, and the dynamics of borderland communities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&lt;EndNote&gt;&lt;Cite&gt;&lt;Author&gt;Miles&lt;/Author&gt;&lt;Year&gt;2015&lt;/Year&gt;&lt;RecNum&gt;122&lt;/RecNum&gt;&lt;DisplayText&gt;(Miles, 2015)&lt;/DisplayText&gt;&lt;record&gt;&lt;rec-number&gt;122&lt;/rec-number&gt;&lt;foreign-keys&gt;&lt;key app="EN" db-id="9rv05s2taeez0oe22x2xw5dcsta5x2e0v0zz" timestamp="1689768193"&gt;122&lt;/key&gt;&lt;/foreign-keys&gt;&lt;ref-type name="Journal Article"&gt;17&lt;/ref-type&gt;&lt;contributors&gt;&lt;authors&gt;&lt;author&gt;Miles, William FS&lt;/author&gt;&lt;/authors&gt;&lt;/contributors&gt;&lt;titles&gt;&lt;title&gt;Postcolonial borderland legacies of Anglo–French partition in West Africa&lt;/title&gt;&lt;secondary-title&gt;African Studies Review&lt;/secondary-title&gt;&lt;/titles&gt;&lt;periodical&gt;&lt;full-title&gt;African Studies Review&lt;/full-title&gt;&lt;/periodical&gt;&lt;pages&gt;191-213&lt;/pages&gt;&lt;volume&gt;58&lt;/volume&gt;&lt;number&gt;3&lt;/number&gt;&lt;dates&gt;&lt;year&gt;2015&lt;/year&gt;&lt;/dates&gt;&lt;isbn&gt;0002-0206&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(Miles, 2015)</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w:t>
      </w:r>
    </w:p>
    <w:p w14:paraId="77D742F8" w14:textId="6435E897" w:rsidR="00EE0BCA" w:rsidRPr="00E56159" w:rsidRDefault="00EE0BCA" w:rsidP="00EE0BCA">
      <w:pPr>
        <w:spacing w:after="0" w:line="480" w:lineRule="auto"/>
        <w:ind w:firstLineChars="202" w:firstLine="444"/>
        <w:rPr>
          <w:rFonts w:ascii="Times New Roman" w:hAnsi="Times New Roman" w:cs="Times New Roman"/>
          <w:szCs w:val="22"/>
        </w:rPr>
      </w:pPr>
      <w:r w:rsidRPr="00E56159">
        <w:rPr>
          <w:rFonts w:ascii="Times New Roman" w:hAnsi="Times New Roman" w:cs="Times New Roman"/>
          <w:szCs w:val="22"/>
        </w:rPr>
        <w:t xml:space="preserve">Nonetheless, during the colonial period, some indigenous populations were able to preserve core aspects of their traditional lifestyles.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&lt;EndNote&gt;&lt;Cite&gt;&lt;Author&gt;Cappelen&lt;/Author&gt;&lt;Year&gt;2018&lt;/Year&gt;&lt;RecNum&gt;126&lt;/RecNum&gt;&lt;DisplayText&gt;(Cappelen &amp;amp; Sorens, 2018)&lt;/DisplayText&gt;&lt;record&gt;&lt;rec-number&gt;126&lt;/rec-number&gt;&lt;foreign-keys&gt;&lt;key app="EN" db-id="9rv05s2taeez0oe22x2xw5dcsta5x2e0v0zz" timestamp="1689780909"&gt;126&lt;/key&gt;&lt;/foreign-keys&gt;&lt;ref-type name="Journal Article"&gt;17&lt;/ref-type&gt;&lt;contributors&gt;&lt;authors&gt;&lt;author&gt;Cappelen, Christoffer&lt;/author&gt;&lt;author&gt;Sorens, Jason&lt;/author&gt;&lt;/authors&gt;&lt;/contributors&gt;&lt;titles&gt;&lt;title&gt;Pre-colonial centralisation, traditional indirect rule, and state capacity in Africa&lt;/title&gt;&lt;secondary-title&gt;Commonwealth &amp;amp; Comparative Politics&lt;/secondary-title&gt;&lt;/titles&gt;&lt;periodical&gt;&lt;full-title&gt;Commonwealth &amp;amp; Comparative Politics&lt;/full-title&gt;&lt;/periodical&gt;&lt;pages&gt;195-215&lt;/pages&gt;&lt;volume&gt;56&lt;/volume&gt;&lt;number&gt;2&lt;/number&gt;&lt;dates&gt;&lt;year&gt;2018&lt;/year&gt;&lt;/dates&gt;&lt;isbn&gt;1466-2043&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(Cappelen &amp; Sorens, 2018)</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This persistence was partly facilitated by the indistinct and poorly enforced borders between colonial territories, permitting ethnic groups to sustain their traditional lifestyles across these regions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&lt;EndNote&gt;&lt;Cite&gt;&lt;Author&gt;Griffiths&lt;/Author&gt;&lt;Year&gt;1986&lt;/Year&gt;&lt;RecNum&gt;2&lt;/RecNum&gt;&lt;DisplayText&gt;(Griffiths, 1986)&lt;/DisplayText&gt;&lt;record&gt;&lt;rec-number&gt;2&lt;/rec-number&gt;&lt;foreign-keys&gt;&lt;key app="EN" db-id="9rv05s2taeez0oe22x2xw5dcsta5x2e0v0zz" timestamp="1531301021"&gt;2&lt;/key&gt;&lt;/foreign-keys&gt;&lt;ref-type name="Journal Article"&gt;17&lt;/ref-type&gt;&lt;contributors&gt;&lt;authors&gt;&lt;author&gt;Griffiths, Ieuan&lt;/author&gt;&lt;/authors&gt;&lt;/contributors&gt;&lt;titles&gt;&lt;title&gt;The scramble for Africa: Inherited political boundaries&lt;/title&gt;&lt;secondary-title&gt;The Geographical Journal&lt;/secondary-title&gt;&lt;/titles&gt;&lt;periodical&gt;&lt;full-title&gt;The Geographical Journal&lt;/full-title&gt;&lt;/periodical&gt;&lt;pages&gt;204-216&lt;/pages&gt;&lt;volume&gt;152&lt;/volume&gt;&lt;number&gt;2&lt;/number&gt;&lt;dates&gt;&lt;year&gt;1986&lt;/year&gt;&lt;/dates&gt;&lt;isbn&gt;0016-7398&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(Griffiths, 1986)</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w:t>
      </w:r>
      <w:bookmarkStart w:id="2" w:name="OLE_LINK8"/>
      <w:bookmarkStart w:id="3" w:name="OLE_LINK9"/>
      <w:r w:rsidRPr="00E56159">
        <w:rPr>
          <w:rFonts w:ascii="Times New Roman" w:hAnsi="Times New Roman" w:cs="Times New Roman"/>
          <w:szCs w:val="22"/>
        </w:rPr>
        <w:t xml:space="preserve">However, the “Scramble for Africa” and the subsequent delineation of modern state borders significantly disrupted these traditional lifestyles, making it increasingly difficult, if not impossible, for some indigenous people to sustain their customary practices </w:t>
      </w:r>
      <w:r w:rsidRPr="00E56159">
        <w:rPr>
          <w:rFonts w:ascii="Times New Roman" w:hAnsi="Times New Roman" w:cs="Times New Roman"/>
          <w:szCs w:val="22"/>
        </w:rPr>
        <w:fldChar w:fldCharType="begin"/>
      </w:r>
      <w:r w:rsidR="00B50A3E">
        <w:rPr>
          <w:rFonts w:ascii="Times New Roman" w:hAnsi="Times New Roman" w:cs="Times New Roman"/>
          <w:szCs w:val="22"/>
        </w:rPr>
        <w:instrText xml:space="preserve"> ADDIN EN.CITE &lt;EndNote&gt;&lt;Cite&gt;&lt;Author&gt;Michalopoulos&lt;/Author&gt;&lt;Year&gt;2015&lt;/Year&gt;&lt;RecNum&gt;106&lt;/RecNum&gt;&lt;DisplayText&gt;(Michalopoulos &amp;amp; Papaioannou, 2015)&lt;/DisplayText&gt;&lt;record&gt;&lt;rec-number&gt;106&lt;/rec-number&gt;&lt;foreign-keys&gt;&lt;key app="EN" db-id="9rv05s2taeez0oe22x2xw5dcsta5x2e0v0zz" timestamp="1689660940"&gt;106&lt;/key&gt;&lt;/foreign-keys&gt;&lt;ref-type name="Journal Article"&gt;17&lt;/ref-type&gt;&lt;contributors&gt;&lt;authors&gt;&lt;author&gt;Michalopoulos, Stelios&lt;/author&gt;&lt;author&gt;Papaioannou, Elias&lt;/author&gt;&lt;/authors&gt;&lt;/contributors&gt;&lt;titles&gt;&lt;title&gt;On the ethnic origins of African development: chiefs and precolonial political centralization&lt;/title&gt;&lt;secondary-title&gt;Academy of Management Perspectives&lt;/secondary-title&gt;&lt;/titles&gt;&lt;periodical&gt;&lt;full-title&gt;Academy of Management Perspectives&lt;/full-title&gt;&lt;/periodical&gt;&lt;pages&gt;32-71&lt;/pages&gt;&lt;volume&gt;29&lt;/volume&gt;&lt;number&gt;1&lt;/number&gt;&lt;dates&gt;&lt;year&gt;2015&lt;/year&gt;&lt;/dates&gt;&lt;isbn&gt;1558-9080&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(Michalopoulos &amp; Papaioannou, 2015)</w:t>
      </w:r>
      <w:r w:rsidRPr="00E56159">
        <w:rPr>
          <w:rFonts w:ascii="Times New Roman" w:hAnsi="Times New Roman" w:cs="Times New Roman"/>
          <w:szCs w:val="22"/>
        </w:rPr>
        <w:fldChar w:fldCharType="end"/>
      </w:r>
      <w:r w:rsidRPr="00E56159">
        <w:rPr>
          <w:rFonts w:ascii="Times New Roman" w:hAnsi="Times New Roman" w:cs="Times New Roman"/>
          <w:szCs w:val="22"/>
        </w:rPr>
        <w:t>.</w:t>
      </w:r>
      <w:bookmarkEnd w:id="2"/>
      <w:bookmarkEnd w:id="3"/>
      <w:r w:rsidRPr="00E56159">
        <w:rPr>
          <w:rFonts w:ascii="Times New Roman" w:hAnsi="Times New Roman" w:cs="Times New Roman"/>
          <w:szCs w:val="22"/>
        </w:rPr>
        <w:t xml:space="preserve"> For certain </w:t>
      </w:r>
      <w:r w:rsidRPr="00E56159">
        <w:rPr>
          <w:rFonts w:ascii="Times New Roman" w:hAnsi="Times New Roman" w:cs="Times New Roman"/>
          <w:szCs w:val="22"/>
        </w:rPr>
        <w:lastRenderedPageBreak/>
        <w:t xml:space="preserve">nomadic ethnic groups, the imposition of new international borders disrupted their traditional migratory routes and confined their activities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&lt;EndNote&gt;&lt;Cite&gt;&lt;Author&gt;Unruh&lt;/Author&gt;&lt;Year&gt;2019&lt;/Year&gt;&lt;RecNum&gt;319&lt;/RecNum&gt;&lt;DisplayText&gt;(Unruh, Pritchard, Savage, Wade, Nair, Adenwala, Lee, Malloy, Taner, &amp;amp; Frilander, 2019)&lt;/DisplayText&gt;&lt;record&gt;&lt;rec-number&gt;319&lt;/rec-number&gt;&lt;foreign-keys&gt;&lt;key app="EN" db-id="9rv05s2taeez0oe22x2xw5dcsta5x2e0v0zz" timestamp="1702721566"&gt;319&lt;/key&gt;&lt;/foreign-keys&gt;&lt;ref-type name="Journal Article"&gt;17&lt;/ref-type&gt;&lt;contributors&gt;&lt;authors&gt;&lt;author&gt;Unruh, Jon&lt;/author&gt;&lt;author&gt;Pritchard, Matthew&lt;/author&gt;&lt;author&gt;Savage, Emily&lt;/author&gt;&lt;author&gt;Wade, Chris&lt;/author&gt;&lt;author&gt;Nair, Priya&lt;/author&gt;&lt;author&gt;Adenwala, Ammar&lt;/author&gt;&lt;author&gt;Lee, Lowan&lt;/author&gt;&lt;author&gt;Malloy, Max&lt;/author&gt;&lt;author&gt;Taner, Irmak&lt;/author&gt;&lt;author&gt;Frilander, Mads&lt;/author&gt;&lt;/authors&gt;&lt;/contributors&gt;&lt;titles&gt;&lt;title&gt;Linkages Between Large-scale Infrastructure Development and Conflict Dynamics in East Africa&lt;/title&gt;&lt;secondary-title&gt;Journal of Infrastructure Development&lt;/secondary-title&gt;&lt;/titles&gt;&lt;periodical&gt;&lt;full-title&gt;Journal of Infrastructure Development&lt;/full-title&gt;&lt;/periodical&gt;&lt;pages&gt;1-13&lt;/pages&gt;&lt;volume&gt;11&lt;/volume&gt;&lt;number&gt;1-2&lt;/number&gt;&lt;section&gt;1&lt;/section&gt;&lt;dates&gt;&lt;year&gt;2019&lt;/year&gt;&lt;/dates&gt;&lt;isbn&gt;0974-9306&amp;#xD;0975-5969&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(Unruh, Pritchard, Savage, Wade, Nair, Adenwala, Lee, Malloy, Taner, &amp; Frilander, 2019)</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This disruption not only fostered a desire for reunification with their counterparts across these borders but also necessitated a search for alternative resources for the split groups. The loss of traditional lands due to the establishment of these borders compelled these groups to compete with other ethnic communities for resources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&lt;EndNote&gt;&lt;Cite&gt;&lt;Author&gt;Seno&lt;/Author&gt;&lt;Year&gt;2011&lt;/Year&gt;&lt;RecNum&gt;324&lt;/RecNum&gt;&lt;DisplayText&gt;(Seno &amp;amp; Shaw, 2011)&lt;/DisplayText&gt;&lt;record&gt;&lt;rec-number&gt;324&lt;/rec-number&gt;&lt;foreign-keys&gt;&lt;key app="EN" db-id="9rv05s2taeez0oe22x2xw5dcsta5x2e0v0zz" timestamp="1703043713"&gt;324&lt;/key&gt;&lt;/foreign-keys&gt;&lt;ref-type name="Journal Article"&gt;17&lt;/ref-type&gt;&lt;contributors&gt;&lt;authors&gt;&lt;author&gt;Seno, Simon K.&lt;/author&gt;&lt;author&gt;Shaw, W. W.&lt;/author&gt;&lt;/authors&gt;&lt;/contributors&gt;&lt;titles&gt;&lt;title&gt;Land Tenure Policies, Maasai Traditions, and Wildlife Conservation in Kenya&lt;/title&gt;&lt;secondary-title&gt;Society &amp;amp; Natural Resources&lt;/secondary-title&gt;&lt;/titles&gt;&lt;periodical&gt;&lt;full-title&gt;Society &amp;amp; Natural Resources&lt;/full-title&gt;&lt;/periodical&gt;&lt;pages&gt;79-88&lt;/pages&gt;&lt;volume&gt;15&lt;/volume&gt;&lt;number&gt;1&lt;/number&gt;&lt;section&gt;79&lt;/section&gt;&lt;dates&gt;&lt;year&gt;2011&lt;/year&gt;&lt;/dates&gt;&lt;isbn&gt;0894-1920&amp;#xD;1521-0723&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(Seno &amp; Shaw, 2011)</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Such dynamics have not only fueled conflicts in borderland areas but have also significantly intensified the disparities between the affected ethnic groups and governmental authorities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&lt;EndNote&gt;&lt;Cite&gt;&lt;Author&gt;Ito&lt;/Author&gt;&lt;Year&gt;2020&lt;/Year&gt;&lt;RecNum&gt;322&lt;/RecNum&gt;&lt;DisplayText&gt;(Ito, 2020)&lt;/DisplayText&gt;&lt;record&gt;&lt;rec-number&gt;322&lt;/rec-number&gt;&lt;foreign-keys&gt;&lt;key app="EN" db-id="9rv05s2taeez0oe22x2xw5dcsta5x2e0v0zz" timestamp="1702790892"&gt;322&lt;/key&gt;&lt;/foreign-keys&gt;&lt;ref-type name="Journal Article"&gt;17&lt;/ref-type&gt;&lt;contributors&gt;&lt;authors&gt;&lt;author&gt;Ito, Gaku&lt;/author&gt;&lt;/authors&gt;&lt;/contributors&gt;&lt;titles&gt;&lt;title&gt;Why does ethnic partition foster violence? Unpacking the deep historical roots of civil conflicts&lt;/title&gt;&lt;secondary-title&gt;Journal of Peace Research&lt;/secondary-title&gt;&lt;/titles&gt;&lt;periodical&gt;&lt;full-title&gt;Journal of Peace Research&lt;/full-title&gt;&lt;/periodical&gt;&lt;pages&gt;986-1003&lt;/pages&gt;&lt;volume&gt;58&lt;/volume&gt;&lt;number&gt;5&lt;/number&gt;&lt;section&gt;986&lt;/section&gt;&lt;dates&gt;&lt;year&gt;2020&lt;/year&gt;&lt;/dates&gt;&lt;isbn&gt;0022-3433&amp;#xD;1460-3578&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(Ito, 2020)</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The persistence of colonial administrative practices in post-colonial Africa, frequently embraced by contemporary African leaders, further exacerbated these issues. These practices often result in the unequal distribution and withholding of resources among specific ethnic groups, thereby aggravating conflicts and deepening distrust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&lt;EndNote&gt;&lt;Cite&gt;&lt;Author&gt;Michalopoulos&lt;/Author&gt;&lt;Year&gt;2013&lt;/Year&gt;&lt;RecNum&gt;23&lt;/RecNum&gt;&lt;DisplayText&gt;(Michalopoulos &amp;amp; Papaioannou, 2013)&lt;/DisplayText&gt;&lt;record&gt;&lt;rec-number&gt;23&lt;/rec-number&gt;&lt;foreign-keys&gt;&lt;key app="EN" db-id="9rv05s2taeez0oe22x2xw5dcsta5x2e0v0zz" timestamp="1544429775"&gt;23&lt;/key&gt;&lt;/foreign-keys&gt;&lt;ref-type name="Journal Article"&gt;17&lt;/ref-type&gt;&lt;contributors&gt;&lt;authors&gt;&lt;author&gt;Michalopoulos, Stelios&lt;/author&gt;&lt;author&gt;Papaioannou, Elias&lt;/author&gt;&lt;/authors&gt;&lt;/contributors&gt;&lt;titles&gt;&lt;title&gt;National institutions and subnational development in Africa&lt;/title&gt;&lt;secondary-title&gt;The Quarterly Journal of Economics&lt;/secondary-title&gt;&lt;/titles&gt;&lt;periodical&gt;&lt;full-title&gt;The quarterly journal of economics&lt;/full-title&gt;&lt;/periodical&gt;&lt;pages&gt;151-213&lt;/pages&gt;&lt;volume&gt;129&lt;/volume&gt;&lt;number&gt;1&lt;/number&gt;&lt;dates&gt;&lt;year&gt;2013&lt;/year&gt;&lt;/dates&gt;&lt;isbn&gt;0033-5533&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(Michalopoulos &amp; Papaioannou, 2013)</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The convergence of inherited colonial administrative practices, the establishment of modern state boundaries, and the disturbance of traditional ethnic ways of life have rendered the environment incredibly complex, intertwining grievances, </w:t>
      </w:r>
      <w:r w:rsidRPr="00E56159">
        <w:rPr>
          <w:rFonts w:ascii="Times New Roman" w:hAnsi="Times New Roman" w:cs="Times New Roman"/>
          <w:spacing w:val="-2"/>
          <w:szCs w:val="22"/>
        </w:rPr>
        <w:t xml:space="preserve">irredentism demand, and political maneuvering. Consequently, the introduction of large-scale infrastructure initiatives, including PPI projects, in these regions often meets with contentious circumstances, encountering resistance from local communities. Therefore, these projects frequently confront substantial impediments and may, in certain cases, be compelled to cease operations due to community opposition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&lt;EndNote&gt;&lt;Cite&gt;&lt;Author&gt;Tariq&lt;/Author&gt;&lt;Year&gt;2021&lt;/Year&gt;&lt;RecNum&gt;332&lt;/RecNum&gt;&lt;DisplayText&gt;(Tariq &amp;amp; Zhang, 2021)&lt;/DisplayText&gt;&lt;record&gt;&lt;rec-number&gt;332&lt;/rec-number&gt;&lt;foreign-keys&gt;&lt;key app="EN" db-id="9rv05s2taeez0oe22x2xw5dcsta5x2e0v0zz" timestamp="1703140644"&gt;332&lt;/key&gt;&lt;/foreign-keys&gt;&lt;ref-type name="Journal Article"&gt;17&lt;/ref-type&gt;&lt;contributors&gt;&lt;authors&gt;&lt;author&gt;Tariq, Salman&lt;/author&gt;&lt;author&gt;Zhang, Xueqing&lt;/author&gt;&lt;/authors&gt;&lt;/contributors&gt;&lt;titles&gt;&lt;title&gt;A critical analysis of water PPP failures in sub-Saharan Africa&lt;/title&gt;&lt;secondary-title&gt;Engineering, Construction and Architectural Management&lt;/secondary-title&gt;&lt;/titles&gt;&lt;periodical&gt;&lt;full-title&gt;Engineering, Construction and Architectural Management&lt;/full-title&gt;&lt;/periodical&gt;&lt;pages&gt;3157-3180&lt;/pages&gt;&lt;volume&gt;29&lt;/volume&gt;&lt;number&gt;8&lt;/number&gt;&lt;section&gt;3157&lt;/section&gt;&lt;dates&gt;&lt;year&gt;2021&lt;/year&gt;&lt;/dates&gt;&lt;isbn&gt;0969-9988&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(Tariq &amp; Zhang, 2021)</w:t>
      </w:r>
      <w:r w:rsidRPr="00E56159">
        <w:rPr>
          <w:rFonts w:ascii="Times New Roman" w:hAnsi="Times New Roman" w:cs="Times New Roman"/>
          <w:spacing w:val="-2"/>
          <w:szCs w:val="22"/>
        </w:rPr>
        <w:fldChar w:fldCharType="end"/>
      </w:r>
      <w:r w:rsidRPr="00E56159">
        <w:rPr>
          <w:rFonts w:ascii="Times New Roman" w:hAnsi="Times New Roman" w:cs="Times New Roman"/>
          <w:szCs w:val="22"/>
        </w:rPr>
        <w:t>.</w:t>
      </w:r>
    </w:p>
    <w:p w14:paraId="183126D9" w14:textId="77777777" w:rsidR="00EE0BCA" w:rsidRPr="00E56159" w:rsidRDefault="00EE0BCA" w:rsidP="00EE0BCA">
      <w:pPr>
        <w:widowControl/>
        <w:spacing w:after="0" w:line="480" w:lineRule="auto"/>
        <w:rPr>
          <w:rFonts w:ascii="Times New Roman" w:hAnsi="Times New Roman" w:cs="Times New Roman"/>
          <w:spacing w:val="-6"/>
          <w:szCs w:val="22"/>
        </w:rPr>
      </w:pPr>
    </w:p>
    <w:p w14:paraId="30AC04F6" w14:textId="77777777" w:rsidR="00EE0BCA" w:rsidRDefault="00EE0BCA" w:rsidP="00EE0BCA">
      <w:pPr>
        <w:widowControl/>
        <w:spacing w:after="0" w:line="240" w:lineRule="auto"/>
        <w:rPr>
          <w:rFonts w:ascii="Times New Roman" w:eastAsia="DengXian" w:hAnsi="Times New Roman" w:cs="Times New Roman"/>
          <w:spacing w:val="-6"/>
          <w:szCs w:val="22"/>
        </w:rPr>
      </w:pPr>
    </w:p>
    <w:p w14:paraId="7B81B269" w14:textId="77777777" w:rsidR="008B2975" w:rsidRDefault="008B2975" w:rsidP="00EE0BCA">
      <w:pPr>
        <w:widowControl/>
        <w:spacing w:after="0" w:line="240" w:lineRule="auto"/>
        <w:rPr>
          <w:rFonts w:ascii="Times New Roman" w:eastAsia="DengXian" w:hAnsi="Times New Roman" w:cs="Times New Roman"/>
          <w:spacing w:val="-6"/>
          <w:szCs w:val="22"/>
        </w:rPr>
      </w:pPr>
    </w:p>
    <w:p w14:paraId="3FF912C5" w14:textId="77777777" w:rsidR="008B2975" w:rsidRPr="00E56159" w:rsidRDefault="008B2975" w:rsidP="00EE0BCA">
      <w:pPr>
        <w:widowControl/>
        <w:spacing w:after="0" w:line="240" w:lineRule="auto"/>
        <w:rPr>
          <w:rFonts w:ascii="Times New Roman" w:eastAsia="DengXian" w:hAnsi="Times New Roman" w:cs="Times New Roman"/>
          <w:spacing w:val="-6"/>
          <w:szCs w:val="22"/>
        </w:rPr>
      </w:pPr>
    </w:p>
    <w:p w14:paraId="0C8B61DF" w14:textId="77777777" w:rsidR="00EE0BCA" w:rsidRPr="00E56159" w:rsidRDefault="00EE0BCA" w:rsidP="00EE0BCA">
      <w:pPr>
        <w:pStyle w:val="ListParagraph"/>
        <w:numPr>
          <w:ilvl w:val="0"/>
          <w:numId w:val="2"/>
        </w:numPr>
        <w:spacing w:after="0" w:line="480" w:lineRule="auto"/>
        <w:rPr>
          <w:rFonts w:ascii="Times New Roman" w:hAnsi="Times New Roman" w:cs="Times New Roman"/>
          <w:spacing w:val="-2"/>
          <w:szCs w:val="22"/>
        </w:rPr>
      </w:pPr>
      <w:r w:rsidRPr="00E56159">
        <w:rPr>
          <w:rFonts w:ascii="Times New Roman" w:hAnsi="Times New Roman" w:cs="Times New Roman"/>
          <w:spacing w:val="-2"/>
          <w:szCs w:val="22"/>
        </w:rPr>
        <w:lastRenderedPageBreak/>
        <w:t>The Massai case</w:t>
      </w:r>
    </w:p>
    <w:p w14:paraId="5A366F7E" w14:textId="428BAF45" w:rsidR="00EE0BCA" w:rsidRPr="00E56159" w:rsidRDefault="00EE0BCA" w:rsidP="00EE0BCA">
      <w:pPr>
        <w:spacing w:after="0" w:line="480" w:lineRule="auto"/>
        <w:ind w:firstLineChars="202" w:firstLine="436"/>
        <w:rPr>
          <w:rFonts w:ascii="Times New Roman" w:hAnsi="Times New Roman" w:cs="Times New Roman"/>
          <w:spacing w:val="-2"/>
          <w:szCs w:val="22"/>
        </w:rPr>
      </w:pPr>
      <w:r w:rsidRPr="00E56159">
        <w:rPr>
          <w:rFonts w:ascii="Times New Roman" w:hAnsi="Times New Roman" w:cs="Times New Roman"/>
          <w:spacing w:val="-2"/>
          <w:szCs w:val="22"/>
        </w:rPr>
        <w:t xml:space="preserve">Many conflicts stemming from partitioning arose due to the relocation of ethnic tribes and land rights disputes over areas traditionally occupied by those people. One typical example is the partitioning of the Maasai people by the borders of Tanzania and Kenya. Inhabiting southern Kenya and northern Tanzania in East Africa, the Maasai, an indigenous ethnic group, are recognized for their pastoral lifestyle, predominantly focused on cattle herding, and have maintained their traditional way of life and cultural identity despite external pressures and societal changes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&lt;EndNote&gt;&lt;Cite&gt;&lt;Author&gt;Seno&lt;/Author&gt;&lt;Year&gt;2011&lt;/Year&gt;&lt;RecNum&gt;324&lt;/RecNum&gt;&lt;DisplayText&gt;(Seno &amp;amp; Shaw, 2011)&lt;/DisplayText&gt;&lt;record&gt;&lt;rec-number&gt;324&lt;/rec-number&gt;&lt;foreign-keys&gt;&lt;key app="EN" db-id="9rv05s2taeez0oe22x2xw5dcsta5x2e0v0zz" timestamp="1703043713"&gt;324&lt;/key&gt;&lt;/foreign-keys&gt;&lt;ref-type name="Journal Article"&gt;17&lt;/ref-type&gt;&lt;contributors&gt;&lt;authors&gt;&lt;author&gt;Seno, Simon K.&lt;/author&gt;&lt;author&gt;Shaw, W. W.&lt;/author&gt;&lt;/authors&gt;&lt;/contributors&gt;&lt;titles&gt;&lt;title&gt;Land Tenure Policies, Maasai Traditions, and Wildlife Conservation in Kenya&lt;/title&gt;&lt;secondary-title&gt;Society &amp;amp; Natural Resources&lt;/secondary-title&gt;&lt;/titles&gt;&lt;periodical&gt;&lt;full-title&gt;Society &amp;amp; Natural Resources&lt;/full-title&gt;&lt;/periodical&gt;&lt;pages&gt;79-88&lt;/pages&gt;&lt;volume&gt;15&lt;/volume&gt;&lt;number&gt;1&lt;/number&gt;&lt;section&gt;79&lt;/section&gt;&lt;dates&gt;&lt;year&gt;2011&lt;/year&gt;&lt;/dates&gt;&lt;isbn&gt;0894-1920&amp;#xD;1521-0723&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(Seno &amp; Shaw, 2011)</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xml:space="preserve">. The Heligoland–Zanzibar Treaty of 1890, a pact between Germany and Britain, delineated spheres of influence in Eastern Africa and established an almost linear border dividing Maasai territory </w:t>
      </w:r>
      <w:r w:rsidRPr="00E56159">
        <w:rPr>
          <w:rFonts w:ascii="Times New Roman" w:hAnsi="Times New Roman" w:cs="Times New Roman"/>
          <w:spacing w:val="-2"/>
          <w:szCs w:val="22"/>
        </w:rPr>
        <w:fldChar w:fldCharType="begin"/>
      </w:r>
      <w:r w:rsidR="00521019">
        <w:rPr>
          <w:rFonts w:ascii="Times New Roman" w:hAnsi="Times New Roman" w:cs="Times New Roman"/>
          <w:spacing w:val="-2"/>
          <w:szCs w:val="22"/>
        </w:rPr>
        <w:instrText xml:space="preserve"> ADDIN EN.CITE &lt;EndNote&gt;&lt;Cite&gt;&lt;Author&gt;Berntsen&lt;/Author&gt;&lt;Year&gt;1976&lt;/Year&gt;&lt;RecNum&gt;416&lt;/RecNum&gt;&lt;DisplayText&gt;(Berntsen, 1976)&lt;/DisplayText&gt;&lt;record&gt;&lt;rec-number&gt;416&lt;/rec-number&gt;&lt;foreign-keys&gt;&lt;key app="EN" db-id="9rv05s2taeez0oe22x2xw5dcsta5x2e0v0zz" timestamp="1705728808"&gt;416&lt;/key&gt;&lt;/foreign-keys&gt;&lt;ref-type name="Journal Article"&gt;17&lt;/ref-type&gt;&lt;contributors&gt;&lt;authors&gt;&lt;author&gt;Berntsen, John L&lt;/author&gt;&lt;/authors&gt;&lt;/contributors&gt;&lt;titles&gt;&lt;title&gt;The Maasai and their neighbors: variables of interaction&lt;/title&gt;&lt;secondary-title&gt;African Economic History&lt;/secondary-title&gt;&lt;/titles&gt;&lt;periodical&gt;&lt;full-title&gt;African Economic History&lt;/full-title&gt;&lt;/periodical&gt;&lt;pages&gt;1-11&lt;/pages&gt;&lt;volume&gt;2&lt;/volume&gt;&lt;dates&gt;&lt;year&gt;1976&lt;/year&gt;&lt;/dates&gt;&lt;isbn&gt;0145-2258&lt;/isbn&gt;&lt;urls&gt;&lt;/urls&gt;&lt;/record&gt;&lt;/Cite&gt;&lt;/EndNote&gt;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noProof/>
          <w:spacing w:val="-2"/>
          <w:szCs w:val="22"/>
        </w:rPr>
        <w:t>(Berntsen, 1976)</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This division segmented Maasai communities into distinct colonial domains—precursors to the modern nations of Kenya and Tanzania.</w:t>
      </w:r>
    </w:p>
    <w:p w14:paraId="7560198D" w14:textId="53CBC2DC" w:rsidR="00EE0BCA" w:rsidRPr="00E56159" w:rsidRDefault="00EE0BCA" w:rsidP="00EE0BCA">
      <w:pPr>
        <w:spacing w:after="0" w:line="480" w:lineRule="auto"/>
        <w:ind w:firstLineChars="202" w:firstLine="436"/>
        <w:rPr>
          <w:rFonts w:ascii="Times New Roman" w:hAnsi="Times New Roman" w:cs="Times New Roman"/>
          <w:spacing w:val="-2"/>
          <w:szCs w:val="22"/>
        </w:rPr>
      </w:pPr>
      <w:r w:rsidRPr="00E56159">
        <w:rPr>
          <w:rFonts w:ascii="Times New Roman" w:hAnsi="Times New Roman" w:cs="Times New Roman"/>
          <w:spacing w:val="-2"/>
          <w:szCs w:val="22"/>
        </w:rPr>
        <w:t xml:space="preserve">Before and during the initial phase of colonial rule, despite facing suppression and resource deprivation by colonizers, the Maasai people managed to preserve their nomadic lifestyle, centered around vast grazing territories across regions that presently demarcate the border areas of Kenya and Tanzania </w:t>
      </w:r>
      <w:r w:rsidRPr="00E56159">
        <w:rPr>
          <w:rFonts w:ascii="Times New Roman" w:hAnsi="Times New Roman" w:cs="Times New Roman"/>
          <w:spacing w:val="-2"/>
          <w:szCs w:val="22"/>
        </w:rPr>
        <w:fldChar w:fldCharType="begin"/>
      </w:r>
      <w:r w:rsidR="00F7167D">
        <w:rPr>
          <w:rFonts w:ascii="Times New Roman" w:hAnsi="Times New Roman" w:cs="Times New Roman"/>
          <w:spacing w:val="-2"/>
          <w:szCs w:val="22"/>
        </w:rPr>
        <w:instrText xml:space="preserve"> ADDIN EN.CITE &lt;EndNote&gt;&lt;Cite&gt;&lt;Author&gt;Coast&lt;/Author&gt;&lt;Year&gt;2001&lt;/Year&gt;&lt;RecNum&gt;417&lt;/RecNum&gt;&lt;DisplayText&gt;(Coast, 2001)&lt;/DisplayText&gt;&lt;record&gt;&lt;rec-number&gt;417&lt;/rec-number&gt;&lt;foreign-keys&gt;&lt;key app="EN" db-id="9rv05s2taeez0oe22x2xw5dcsta5x2e0v0zz" timestamp="1705731437"&gt;417&lt;/key&gt;&lt;/foreign-keys&gt;&lt;ref-type name="Book"&gt;6&lt;/ref-type&gt;&lt;contributors&gt;&lt;authors&gt;&lt;author&gt;Coast, Ernestina Elizabeth&lt;/author&gt;&lt;/authors&gt;&lt;/contributors&gt;&lt;titles&gt;&lt;title&gt;Maasai demography&lt;/title&gt;&lt;/titles&gt;&lt;dates&gt;&lt;year&gt;2001&lt;/year&gt;&lt;/dates&gt;&lt;publisher&gt;University of London, University College London&lt;/publisher&gt;&lt;isbn&gt;1339463091&lt;/isbn&gt;&lt;urls&gt;&lt;/urls&gt;&lt;/record&gt;&lt;/Cite&gt;&lt;/EndNote&gt;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noProof/>
          <w:spacing w:val="-2"/>
          <w:szCs w:val="22"/>
        </w:rPr>
        <w:t>(Coast, 2001)</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xml:space="preserve">. After the establishment of the border, the movements of the Maasai across this boundary became increasingly complicated due to the imposed national borders and the subsequent immigration regulations. This scenario precipitated conflicts and disputes, especially regarding grazing rights and water resource access, which are pivotal to the nomadic lifestyle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&lt;EndNote&gt;&lt;Cite&gt;&lt;Author&gt;Mwangi&lt;/Author&gt;&lt;Year&gt;2006&lt;/Year&gt;&lt;RecNum&gt;327&lt;/RecNum&gt;&lt;DisplayText&gt;(Mwangi, 2006)&lt;/DisplayText&gt;&lt;record&gt;&lt;rec-number&gt;327&lt;/rec-number&gt;&lt;foreign-keys&gt;&lt;key app="EN" db-id="9rv05s2taeez0oe22x2xw5dcsta5x2e0v0zz" timestamp="1703046674"&gt;327&lt;/key&gt;&lt;/foreign-keys&gt;&lt;ref-type name="Journal Article"&gt;17&lt;/ref-type&gt;&lt;contributors&gt;&lt;authors&gt;&lt;author&gt;Mwangi, Esther&lt;/author&gt;&lt;/authors&gt;&lt;/contributors&gt;&lt;titles&gt;&lt;title&gt;The footprints of history: path dependence in the transformation of property rights in Kenya&amp;apos;s Maasailand&lt;/title&gt;&lt;secondary-title&gt;Journal of Institutional Economics&lt;/secondary-title&gt;&lt;/titles&gt;&lt;periodical&gt;&lt;full-title&gt;Journal of Institutional Economics&lt;/full-title&gt;&lt;/periodical&gt;&lt;pages&gt;157-180&lt;/pages&gt;&lt;volume&gt;2&lt;/volume&gt;&lt;number&gt;2&lt;/number&gt;&lt;section&gt;157&lt;/section&gt;&lt;dates&gt;&lt;year&gt;2006&lt;/year&gt;&lt;/dates&gt;&lt;isbn&gt;1744-1374&amp;#xD;1744-1382&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(Mwangi, 2006)</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xml:space="preserve">. Traditionally, the Maasai perceive land as a communal asset for the entire community rather than as individual property. Their profound connection to ancestral territories underscores their significance to their cultural identity and sustenance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&lt;EndNote&gt;&lt;Cite&gt;&lt;Author&gt;Spear&lt;/Author&gt;&lt;Year&gt;1993&lt;/Year&gt;&lt;RecNum&gt;418&lt;/RecNum&gt;&lt;DisplayText&gt;(Spear &amp;amp; Waller, 1993)&lt;/DisplayText&gt;&lt;record&gt;&lt;rec-number&gt;418&lt;/rec-number&gt;&lt;foreign-keys&gt;&lt;key app="EN" db-id="9rv05s2taeez0oe22x2xw5dcsta5x2e0v0zz" timestamp="1705731490"&gt;418&lt;/key&gt;&lt;/foreign-keys&gt;&lt;ref-type name="Book"&gt;6&lt;/ref-type&gt;&lt;contributors&gt;&lt;authors&gt;&lt;author&gt;Spear, Thomas&lt;/author&gt;&lt;author&gt;Waller, Richard&lt;/author&gt;&lt;/authors&gt;&lt;/contributors&gt;&lt;titles&gt;&lt;title&gt;Being Maasai: ethnicity and identity in East Africa&lt;/title&gt;&lt;/titles&gt;&lt;dates&gt;&lt;year&gt;1993&lt;/year&gt;&lt;/dates&gt;&lt;publisher&gt;Ohio University Press&lt;/publisher&gt;&lt;isbn&gt;0821445685&lt;/isbn&gt;&lt;urls&gt;&lt;/urls&gt;&lt;/record&gt;&lt;/Cite&gt;&lt;/EndNote&gt;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(Spear &amp; Waller, 1993)</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w:t>
      </w:r>
    </w:p>
    <w:p w14:paraId="02C11BD4" w14:textId="77777777" w:rsidR="00EE0BCA" w:rsidRPr="00E56159" w:rsidRDefault="00EE0BCA" w:rsidP="00EE0BCA">
      <w:pPr>
        <w:spacing w:after="0" w:line="480" w:lineRule="auto"/>
        <w:ind w:firstLineChars="202" w:firstLine="436"/>
        <w:rPr>
          <w:rFonts w:ascii="Times New Roman" w:hAnsi="Times New Roman" w:cs="Times New Roman"/>
          <w:spacing w:val="-2"/>
          <w:szCs w:val="22"/>
        </w:rPr>
      </w:pPr>
      <w:r w:rsidRPr="00E56159">
        <w:rPr>
          <w:rFonts w:ascii="Times New Roman" w:hAnsi="Times New Roman" w:cs="Times New Roman"/>
          <w:spacing w:val="-2"/>
          <w:szCs w:val="22"/>
        </w:rPr>
        <w:t xml:space="preserve">In </w:t>
      </w:r>
      <w:r w:rsidRPr="00E56159">
        <w:rPr>
          <w:rFonts w:ascii="Times New Roman" w:hAnsi="Times New Roman" w:cs="Times New Roman"/>
          <w:i/>
          <w:iCs/>
          <w:spacing w:val="-2"/>
          <w:szCs w:val="22"/>
        </w:rPr>
        <w:t>Moving the Maasai: A Colonial Misadventure</w:t>
      </w:r>
      <w:r w:rsidRPr="00E56159">
        <w:rPr>
          <w:rFonts w:ascii="Times New Roman" w:hAnsi="Times New Roman" w:cs="Times New Roman"/>
          <w:spacing w:val="-2"/>
          <w:szCs w:val="22"/>
        </w:rPr>
        <w:t xml:space="preserve">,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 AuthorYear="1"&gt;&lt;Author&gt;Hughes&lt;/Author&gt;&lt;Year&gt;2006&lt;/Year&gt;&lt;RecNum&gt;329&lt;/RecNum&gt;&lt;DisplayText&gt;Hughes (2006)&lt;/DisplayText&gt;&lt;record&gt;&lt;rec-number&gt;329&lt;/rec-number&gt;&lt;foreign-keys&gt;&lt;key app="EN" db-id="9rv05s2taeez0oe22x2xw5dcsta5x2e0v0zz" timestamp="1703124107"&gt;329&lt;/key&gt;&lt;/foreign-keys&gt;&lt;ref-type name="Book"&gt;6&lt;/ref-type&gt;&lt;contributors&gt;&lt;authors&gt;&lt;author&gt;Hughes, Lotte&lt;/author&gt;&lt;/authors&gt;&lt;/contributors&gt;&lt;titles&gt;&lt;title&gt;Moving the Maasai: a colonial misadventure&lt;/title&gt;&lt;/titles&gt;&lt;dates&gt;&lt;year&gt;2006&lt;/year&gt;&lt;/dates&gt;&lt;publisher&gt;Springer&lt;/publisher&gt;&lt;isbn&gt;023024663X&lt;/isbn&gt;&lt;urls&gt;&lt;/urls&gt;&lt;/record&gt;&lt;/Cite&gt;&lt;/EndNote&gt;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Hughes (2006)</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xml:space="preserve"> provides a detailed account of this </w:t>
      </w:r>
      <w:r w:rsidRPr="00E56159">
        <w:rPr>
          <w:rFonts w:ascii="Times New Roman" w:hAnsi="Times New Roman" w:cs="Times New Roman"/>
          <w:spacing w:val="-2"/>
          <w:szCs w:val="22"/>
        </w:rPr>
        <w:lastRenderedPageBreak/>
        <w:t xml:space="preserve">historical period, documenting that, in Kenya, the 1904 and 1911 agreements between Maasai leaders and the British colonial government resulted in the resettlement of the Maasai into two reserves with less fertile lands. The demarcation of the Kenya–Tanzania border further restricted the Kenya Maasai’s access to essential resources for their pastoral lifestyle on the other side of the border. Subsequent policies by post-independence Kenya, such as the nationalization and individualization of land tenure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&lt;EndNote&gt;&lt;Cite&gt;&lt;Author&gt;Mwangi&lt;/Author&gt;&lt;Year&gt;2006&lt;/Year&gt;&lt;RecNum&gt;327&lt;/RecNum&gt;&lt;DisplayText&gt;(Mwangi, 2006)&lt;/DisplayText&gt;&lt;record&gt;&lt;rec-number&gt;327&lt;/rec-number&gt;&lt;foreign-keys&gt;&lt;key app="EN" db-id="9rv05s2taeez0oe22x2xw5dcsta5x2e0v0zz" timestamp="1703046674"&gt;327&lt;/key&gt;&lt;/foreign-keys&gt;&lt;ref-type name="Journal Article"&gt;17&lt;/ref-type&gt;&lt;contributors&gt;&lt;authors&gt;&lt;author&gt;Mwangi, Esther&lt;/author&gt;&lt;/authors&gt;&lt;/contributors&gt;&lt;titles&gt;&lt;title&gt;The footprints of history: path dependence in the transformation of property rights in Kenya&amp;apos;s Maasailand&lt;/title&gt;&lt;secondary-title&gt;Journal of Institutional Economics&lt;/secondary-title&gt;&lt;/titles&gt;&lt;periodical&gt;&lt;full-title&gt;Journal of Institutional Economics&lt;/full-title&gt;&lt;/periodical&gt;&lt;pages&gt;157-180&lt;/pages&gt;&lt;volume&gt;2&lt;/volume&gt;&lt;number&gt;2&lt;/number&gt;&lt;section&gt;157&lt;/section&gt;&lt;dates&gt;&lt;year&gt;2006&lt;/year&gt;&lt;/dates&gt;&lt;isbn&gt;1744-1374&amp;#xD;1744-1382&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(Mwangi, 2006)</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xml:space="preserve">, exacerbated this alienation from their traditional lands. Consequently, the Maasai were forced to relinquish vast stretches of fertile land essential to their herding activities. This not only disrupted their traditional lifestyle but also led to their political marginalization, resulting in diminished representation in government structures during both the colonial and post-independence periods. As a result, the Maasai community in Kenya harbors significant grievances against the government, primarily due to continuous land dispossession </w:t>
      </w:r>
      <w:r w:rsidRPr="00E56159">
        <w:rPr>
          <w:rFonts w:ascii="Times New Roman" w:hAnsi="Times New Roman" w:cs="Times New Roman"/>
          <w:spacing w:val="-2"/>
          <w:szCs w:val="22"/>
        </w:rPr>
        <w:fldChar w:fldCharType="begin"/>
      </w:r>
      <w:r w:rsidRPr="00E56159">
        <w:rPr>
          <w:rFonts w:ascii="Times New Roman" w:hAnsi="Times New Roman" w:cs="Times New Roman"/>
          <w:spacing w:val="-2"/>
          <w:szCs w:val="22"/>
        </w:rPr>
        <w:instrText xml:space="preserve"> ADDIN EN.CITE &lt;EndNote&gt;&lt;Cite&gt;&lt;Author&gt;Mwangi&lt;/Author&gt;&lt;Year&gt;2006&lt;/Year&gt;&lt;RecNum&gt;327&lt;/RecNum&gt;&lt;DisplayText&gt;(Mwangi, 2006)&lt;/DisplayText&gt;&lt;record&gt;&lt;rec-number&gt;327&lt;/rec-number&gt;&lt;foreign-keys&gt;&lt;key app="EN" db-id="9rv05s2taeez0oe22x2xw5dcsta5x2e0v0zz" timestamp="1703046674"&gt;327&lt;/key&gt;&lt;/foreign-keys&gt;&lt;ref-type name="Journal Article"&gt;17&lt;/ref-type&gt;&lt;contributors&gt;&lt;authors&gt;&lt;author&gt;Mwangi, Esther&lt;/author&gt;&lt;/authors&gt;&lt;/contributors&gt;&lt;titles&gt;&lt;title&gt;The footprints of history: path dependence in the transformation of property rights in Kenya&amp;apos;s Maasailand&lt;/title&gt;&lt;secondary-title&gt;Journal of Institutional Economics&lt;/secondary-title&gt;&lt;/titles&gt;&lt;periodical&gt;&lt;full-title&gt;Journal of Institutional Economics&lt;/full-title&gt;&lt;/periodical&gt;&lt;pages&gt;157-180&lt;/pages&gt;&lt;volume&gt;2&lt;/volume&gt;&lt;number&gt;2&lt;/number&gt;&lt;section&gt;157&lt;/section&gt;&lt;dates&gt;&lt;year&gt;2006&lt;/year&gt;&lt;/dates&gt;&lt;isbn&gt;1744-1374&amp;#xD;1744-1382&lt;/isbn&gt;&lt;urls&gt;&lt;/urls&gt;&lt;/record&gt;&lt;/Cite&gt;&lt;/EndNote&gt;</w:instrText>
      </w:r>
      <w:r w:rsidRPr="00E56159">
        <w:rPr>
          <w:rFonts w:ascii="Times New Roman" w:hAnsi="Times New Roman" w:cs="Times New Roman"/>
          <w:spacing w:val="-2"/>
          <w:szCs w:val="22"/>
        </w:rPr>
        <w:fldChar w:fldCharType="separate"/>
      </w:r>
      <w:r w:rsidRPr="00E56159">
        <w:rPr>
          <w:rFonts w:ascii="Times New Roman" w:hAnsi="Times New Roman" w:cs="Times New Roman"/>
          <w:spacing w:val="-2"/>
          <w:szCs w:val="22"/>
        </w:rPr>
        <w:t>(Mwangi, 2006)</w:t>
      </w:r>
      <w:r w:rsidRPr="00E56159">
        <w:rPr>
          <w:rFonts w:ascii="Times New Roman" w:hAnsi="Times New Roman" w:cs="Times New Roman"/>
          <w:spacing w:val="-2"/>
          <w:szCs w:val="22"/>
        </w:rPr>
        <w:fldChar w:fldCharType="end"/>
      </w:r>
      <w:r w:rsidRPr="00E56159">
        <w:rPr>
          <w:rFonts w:ascii="Times New Roman" w:hAnsi="Times New Roman" w:cs="Times New Roman"/>
          <w:spacing w:val="-2"/>
          <w:szCs w:val="22"/>
        </w:rPr>
        <w:t>. Further territorial encroachments by other ethnic groups, often supported by the government, exacerbate this situation, leading to heightened intercommunal tensions and conflicts, which underscore the complex and strained relationships between the Maasai, neighboring groups, and government entities.</w:t>
      </w:r>
    </w:p>
    <w:p w14:paraId="4555532E" w14:textId="0AF4EE46" w:rsidR="00EE0BCA" w:rsidRPr="00E56159" w:rsidRDefault="00EE0BCA" w:rsidP="00EE0BCA">
      <w:pPr>
        <w:spacing w:after="0" w:line="480" w:lineRule="auto"/>
        <w:ind w:firstLineChars="202" w:firstLine="432"/>
        <w:rPr>
          <w:rFonts w:ascii="Times New Roman" w:hAnsi="Times New Roman" w:cs="Times New Roman"/>
          <w:spacing w:val="-3"/>
          <w:szCs w:val="22"/>
        </w:rPr>
      </w:pPr>
      <w:r w:rsidRPr="00E56159">
        <w:rPr>
          <w:rFonts w:ascii="Times New Roman" w:hAnsi="Times New Roman" w:cs="Times New Roman"/>
          <w:spacing w:val="-3"/>
          <w:szCs w:val="22"/>
        </w:rPr>
        <w:t xml:space="preserve">The legacy of the partitioning of Maasai land has notably hindered infrastructure project implementations in this region </w:t>
      </w:r>
      <w:r w:rsidRPr="00E56159">
        <w:rPr>
          <w:rFonts w:ascii="Times New Roman" w:hAnsi="Times New Roman" w:cs="Times New Roman"/>
          <w:spacing w:val="-3"/>
          <w:szCs w:val="22"/>
        </w:rPr>
        <w:fldChar w:fldCharType="begin"/>
      </w:r>
      <w:r w:rsidRPr="00E56159">
        <w:rPr>
          <w:rFonts w:ascii="Times New Roman" w:hAnsi="Times New Roman" w:cs="Times New Roman"/>
          <w:spacing w:val="-3"/>
          <w:szCs w:val="22"/>
        </w:rPr>
        <w:instrText xml:space="preserve"> ADDIN EN.CITE &lt;EndNote&gt;&lt;Cite&gt;&lt;Author&gt;Mwangi&lt;/Author&gt;&lt;Year&gt;2006&lt;/Year&gt;&lt;RecNum&gt;327&lt;/RecNum&gt;&lt;DisplayText&gt;(Mwangi, 2006)&lt;/DisplayText&gt;&lt;record&gt;&lt;rec-number&gt;327&lt;/rec-number&gt;&lt;foreign-keys&gt;&lt;key app="EN" db-id="9rv05s2taeez0oe22x2xw5dcsta5x2e0v0zz" timestamp="1703046674"&gt;327&lt;/key&gt;&lt;/foreign-keys&gt;&lt;ref-type name="Journal Article"&gt;17&lt;/ref-type&gt;&lt;contributors&gt;&lt;authors&gt;&lt;author&gt;Mwangi, Esther&lt;/author&gt;&lt;/authors&gt;&lt;/contributors&gt;&lt;titles&gt;&lt;title&gt;The footprints of history: path dependence in the transformation of property rights in Kenya&amp;apos;s Maasailand&lt;/title&gt;&lt;secondary-title&gt;Journal of Institutional Economics&lt;/secondary-title&gt;&lt;/titles&gt;&lt;periodical&gt;&lt;full-title&gt;Journal of Institutional Economics&lt;/full-title&gt;&lt;/periodical&gt;&lt;pages&gt;157-180&lt;/pages&gt;&lt;volume&gt;2&lt;/volume&gt;&lt;number&gt;2&lt;/number&gt;&lt;section&gt;157&lt;/section&gt;&lt;dates&gt;&lt;year&gt;2006&lt;/year&gt;&lt;/dates&gt;&lt;isbn&gt;1744-1374&amp;#xD;1744-1382&lt;/isbn&gt;&lt;urls&gt;&lt;/urls&gt;&lt;/record&gt;&lt;/Cite&gt;&lt;/EndNote&gt;</w:instrText>
      </w:r>
      <w:r w:rsidRPr="00E56159">
        <w:rPr>
          <w:rFonts w:ascii="Times New Roman" w:hAnsi="Times New Roman" w:cs="Times New Roman"/>
          <w:spacing w:val="-3"/>
          <w:szCs w:val="22"/>
        </w:rPr>
        <w:fldChar w:fldCharType="separate"/>
      </w:r>
      <w:r w:rsidRPr="00E56159">
        <w:rPr>
          <w:rFonts w:ascii="Times New Roman" w:hAnsi="Times New Roman" w:cs="Times New Roman"/>
          <w:spacing w:val="-3"/>
          <w:szCs w:val="22"/>
        </w:rPr>
        <w:t>(Mwangi, 2006)</w:t>
      </w:r>
      <w:r w:rsidRPr="00E56159">
        <w:rPr>
          <w:rFonts w:ascii="Times New Roman" w:hAnsi="Times New Roman" w:cs="Times New Roman"/>
          <w:spacing w:val="-3"/>
          <w:szCs w:val="22"/>
        </w:rPr>
        <w:fldChar w:fldCharType="end"/>
      </w:r>
      <w:r w:rsidRPr="00E56159">
        <w:rPr>
          <w:rFonts w:ascii="Times New Roman" w:hAnsi="Times New Roman" w:cs="Times New Roman"/>
          <w:spacing w:val="-3"/>
          <w:szCs w:val="22"/>
        </w:rPr>
        <w:t xml:space="preserve">. A key instance is represented by the </w:t>
      </w:r>
      <w:proofErr w:type="spellStart"/>
      <w:r w:rsidRPr="00E56159">
        <w:rPr>
          <w:rFonts w:ascii="Times New Roman" w:hAnsi="Times New Roman" w:cs="Times New Roman"/>
          <w:spacing w:val="-3"/>
          <w:szCs w:val="22"/>
        </w:rPr>
        <w:t>Olkaria</w:t>
      </w:r>
      <w:proofErr w:type="spellEnd"/>
      <w:r w:rsidRPr="00E56159">
        <w:rPr>
          <w:rFonts w:ascii="Times New Roman" w:hAnsi="Times New Roman" w:cs="Times New Roman"/>
          <w:spacing w:val="-3"/>
          <w:szCs w:val="22"/>
        </w:rPr>
        <w:t xml:space="preserve"> Geothermal Power Plant projects</w:t>
      </w:r>
      <w:r w:rsidRPr="00E56159">
        <w:rPr>
          <w:rStyle w:val="FootnoteReference"/>
          <w:rFonts w:ascii="Times New Roman" w:hAnsi="Times New Roman" w:cs="Times New Roman"/>
          <w:spacing w:val="-3"/>
          <w:szCs w:val="22"/>
        </w:rPr>
        <w:footnoteReference w:id="3"/>
      </w:r>
      <w:r w:rsidRPr="00E56159">
        <w:rPr>
          <w:rFonts w:ascii="Times New Roman" w:hAnsi="Times New Roman" w:cs="Times New Roman"/>
          <w:spacing w:val="-3"/>
          <w:szCs w:val="22"/>
        </w:rPr>
        <w:t xml:space="preserve"> (hereafter referred to as the </w:t>
      </w:r>
      <w:proofErr w:type="spellStart"/>
      <w:r w:rsidRPr="00E56159">
        <w:rPr>
          <w:rFonts w:ascii="Times New Roman" w:hAnsi="Times New Roman" w:cs="Times New Roman"/>
          <w:spacing w:val="-3"/>
          <w:szCs w:val="22"/>
        </w:rPr>
        <w:t>Olkaria</w:t>
      </w:r>
      <w:proofErr w:type="spellEnd"/>
      <w:r w:rsidRPr="00E56159">
        <w:rPr>
          <w:rFonts w:ascii="Times New Roman" w:hAnsi="Times New Roman" w:cs="Times New Roman"/>
          <w:spacing w:val="-3"/>
          <w:szCs w:val="22"/>
        </w:rPr>
        <w:t xml:space="preserve"> projects), the implementation of which experienced significant interruptions due to this historical context. The </w:t>
      </w:r>
      <w:proofErr w:type="spellStart"/>
      <w:r w:rsidRPr="00E56159">
        <w:rPr>
          <w:rFonts w:ascii="Times New Roman" w:hAnsi="Times New Roman" w:cs="Times New Roman"/>
          <w:spacing w:val="-3"/>
          <w:szCs w:val="22"/>
        </w:rPr>
        <w:t>Olkaria</w:t>
      </w:r>
      <w:proofErr w:type="spellEnd"/>
      <w:r w:rsidRPr="00E56159">
        <w:rPr>
          <w:rFonts w:ascii="Times New Roman" w:hAnsi="Times New Roman" w:cs="Times New Roman"/>
          <w:spacing w:val="-3"/>
          <w:szCs w:val="22"/>
        </w:rPr>
        <w:t xml:space="preserve"> projects, located in the Great Rift Valley of Kenya, where the Maasai community resides, are a series of geothermal projects important for realizing Kenya’s Vision 2030 concerning the nation’s green transition </w:t>
      </w:r>
      <w:r w:rsidRPr="00E56159">
        <w:rPr>
          <w:rFonts w:ascii="Times New Roman" w:hAnsi="Times New Roman" w:cs="Times New Roman"/>
          <w:spacing w:val="-3"/>
          <w:szCs w:val="22"/>
        </w:rPr>
        <w:fldChar w:fldCharType="begin"/>
      </w:r>
      <w:r w:rsidR="00F7167D">
        <w:rPr>
          <w:rFonts w:ascii="Times New Roman" w:hAnsi="Times New Roman" w:cs="Times New Roman"/>
          <w:spacing w:val="-3"/>
          <w:szCs w:val="22"/>
        </w:rPr>
        <w:instrText xml:space="preserve"> ADDIN EN.CITE &lt;EndNote&gt;&lt;Cite&gt;&lt;Author&gt;Koissaba&lt;/Author&gt;&lt;Year&gt;2018&lt;/Year&gt;&lt;RecNum&gt;351&lt;/RecNum&gt;&lt;DisplayText&gt;(Koissaba, 2018)&lt;/DisplayText&gt;&lt;record&gt;&lt;rec-number&gt;351&lt;/rec-number&gt;&lt;foreign-keys&gt;&lt;key app="EN" db-id="9rv05s2taeez0oe22x2xw5dcsta5x2e0v0zz" timestamp="1703328283"&gt;351&lt;/key&gt;&lt;/foreign-keys&gt;&lt;ref-type name="Report"&gt;27&lt;/ref-type&gt;&lt;contributors&gt;&lt;authors&gt;&lt;author&gt;Koissaba, Ben R Ole&lt;/author&gt;&lt;/authors&gt;&lt;/contributors&gt;&lt;titles&gt;&lt;title&gt;Geothermal Energy and Indigenous Communities: The Olkaria Projects in Kenya&lt;/title&gt;&lt;/titles&gt;&lt;dates&gt;&lt;year&gt;2018&lt;/year&gt;&lt;/dates&gt;&lt;pub-location&gt;Brussels&lt;/pub-location&gt;&lt;urls&gt;&lt;related-urls&gt;&lt;url&gt;https://eu.boell.org/sites/default/files/geothermal-energy-and-indigenous-communities-olkariaproject-kenya.pdf&lt;/url&gt;&lt;/related-urls&gt;&lt;/urls&gt;&lt;access-date&gt;Jan 24th, 2024&lt;/access-date&gt;&lt;/record&gt;&lt;/Cite&gt;&lt;/EndNote&gt;</w:instrText>
      </w:r>
      <w:r w:rsidRPr="00E56159">
        <w:rPr>
          <w:rFonts w:ascii="Times New Roman" w:hAnsi="Times New Roman" w:cs="Times New Roman"/>
          <w:spacing w:val="-3"/>
          <w:szCs w:val="22"/>
        </w:rPr>
        <w:fldChar w:fldCharType="separate"/>
      </w:r>
      <w:r w:rsidRPr="00E56159">
        <w:rPr>
          <w:rFonts w:ascii="Times New Roman" w:hAnsi="Times New Roman" w:cs="Times New Roman"/>
          <w:noProof/>
          <w:spacing w:val="-3"/>
          <w:szCs w:val="22"/>
        </w:rPr>
        <w:t>(Koissaba, 2018)</w:t>
      </w:r>
      <w:r w:rsidRPr="00E56159">
        <w:rPr>
          <w:rFonts w:ascii="Times New Roman" w:hAnsi="Times New Roman" w:cs="Times New Roman"/>
          <w:spacing w:val="-3"/>
          <w:szCs w:val="22"/>
        </w:rPr>
        <w:fldChar w:fldCharType="end"/>
      </w:r>
      <w:r w:rsidRPr="00E56159">
        <w:rPr>
          <w:rFonts w:ascii="Times New Roman" w:hAnsi="Times New Roman" w:cs="Times New Roman"/>
          <w:spacing w:val="-3"/>
          <w:szCs w:val="22"/>
        </w:rPr>
        <w:t xml:space="preserve">. </w:t>
      </w:r>
      <w:r w:rsidRPr="00E56159">
        <w:rPr>
          <w:rFonts w:ascii="Times New Roman" w:hAnsi="Times New Roman" w:cs="Times New Roman"/>
          <w:spacing w:val="-3"/>
          <w:szCs w:val="22"/>
        </w:rPr>
        <w:lastRenderedPageBreak/>
        <w:t>However, the introduction of this project has encountered challenges and opposition linked to the Maasai people’s historical grievances regarding land rights and deprivation.</w:t>
      </w:r>
    </w:p>
    <w:p w14:paraId="7564EA45" w14:textId="4C85F9F2" w:rsidR="00EE0BCA" w:rsidRPr="00E56159" w:rsidRDefault="00EE0BCA" w:rsidP="00EE0BCA">
      <w:pPr>
        <w:spacing w:after="0" w:line="480" w:lineRule="auto"/>
        <w:ind w:firstLineChars="202" w:firstLine="444"/>
        <w:rPr>
          <w:rFonts w:ascii="Times New Roman" w:hAnsi="Times New Roman" w:cs="Times New Roman"/>
          <w:szCs w:val="22"/>
        </w:rPr>
      </w:pPr>
      <w:r w:rsidRPr="00E56159">
        <w:rPr>
          <w:rFonts w:ascii="Times New Roman" w:hAnsi="Times New Roman" w:cs="Times New Roman"/>
          <w:szCs w:val="22"/>
        </w:rPr>
        <w:t xml:space="preserve">The establishment of this project has further infringed upon traditional Maasai territories, disrupting their established migration routes and impeding access to critical pastoral resources. This infringement has significantly intensified the competition for already scarce grazing lands among the Maasai, further exacerbating the challenges they face in sustaining a pastoral lifestyle. The land acquisition companies involved in this project, including the </w:t>
      </w:r>
      <w:proofErr w:type="spellStart"/>
      <w:r w:rsidRPr="00E56159">
        <w:rPr>
          <w:rFonts w:ascii="Times New Roman" w:hAnsi="Times New Roman" w:cs="Times New Roman"/>
          <w:szCs w:val="22"/>
        </w:rPr>
        <w:t>Ngati</w:t>
      </w:r>
      <w:proofErr w:type="spellEnd"/>
      <w:r w:rsidRPr="00E56159">
        <w:rPr>
          <w:rFonts w:ascii="Times New Roman" w:hAnsi="Times New Roman" w:cs="Times New Roman"/>
          <w:szCs w:val="22"/>
        </w:rPr>
        <w:t xml:space="preserve"> Farmer Cooperative Society, have been the subject of protests and legal actions </w:t>
      </w:r>
      <w:r w:rsidRPr="00E56159">
        <w:rPr>
          <w:rFonts w:ascii="Times New Roman" w:hAnsi="Times New Roman" w:cs="Times New Roman"/>
          <w:szCs w:val="22"/>
        </w:rPr>
        <w:fldChar w:fldCharType="begin"/>
      </w:r>
      <w:r w:rsidR="00F7167D">
        <w:rPr>
          <w:rFonts w:ascii="Times New Roman" w:hAnsi="Times New Roman" w:cs="Times New Roman"/>
          <w:szCs w:val="22"/>
        </w:rPr>
        <w:instrText xml:space="preserve"> ADDIN EN.CITE &lt;EndNote&gt;&lt;Cite&gt;&lt;Author&gt;Koissaba&lt;/Author&gt;&lt;Year&gt;2018&lt;/Year&gt;&lt;RecNum&gt;351&lt;/RecNum&gt;&lt;DisplayText&gt;(Koissaba, 2018)&lt;/DisplayText&gt;&lt;record&gt;&lt;rec-number&gt;351&lt;/rec-number&gt;&lt;foreign-keys&gt;&lt;key app="EN" db-id="9rv05s2taeez0oe22x2xw5dcsta5x2e0v0zz" timestamp="1703328283"&gt;351&lt;/key&gt;&lt;/foreign-keys&gt;&lt;ref-type name="Report"&gt;27&lt;/ref-type&gt;&lt;contributors&gt;&lt;authors&gt;&lt;author&gt;Koissaba, Ben R Ole&lt;/author&gt;&lt;/authors&gt;&lt;/contributors&gt;&lt;titles&gt;&lt;title&gt;Geothermal Energy and Indigenous Communities: The Olkaria Projects in Kenya&lt;/title&gt;&lt;/titles&gt;&lt;dates&gt;&lt;year&gt;2018&lt;/year&gt;&lt;/dates&gt;&lt;pub-location&gt;Brussels&lt;/pub-location&gt;&lt;urls&gt;&lt;related-urls&gt;&lt;url&gt;https://eu.boell.org/sites/default/files/geothermal-energy-and-indigenous-communities-olkariaproject-kenya.pdf&lt;/url&gt;&lt;/related-urls&gt;&lt;/urls&gt;&lt;access-date&gt;Jan 24th, 2024&lt;/access-date&gt;&lt;/record&gt;&lt;/Cite&gt;&lt;/EndNote&gt;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(Koissaba, 2018)</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Media outlets and non-governmental organizations focusing on indigenous rights, such as Cultural Survival (https://www.culturalsurvival.org/), have demonstrated high attention and concern regarding this matter. The projects faced many challenges </w:t>
      </w:r>
      <w:proofErr w:type="gramStart"/>
      <w:r w:rsidRPr="00E56159">
        <w:rPr>
          <w:rFonts w:ascii="Times New Roman" w:hAnsi="Times New Roman" w:cs="Times New Roman"/>
          <w:szCs w:val="22"/>
        </w:rPr>
        <w:t>in light of</w:t>
      </w:r>
      <w:proofErr w:type="gramEnd"/>
      <w:r w:rsidRPr="00E56159">
        <w:rPr>
          <w:rFonts w:ascii="Times New Roman" w:hAnsi="Times New Roman" w:cs="Times New Roman"/>
          <w:szCs w:val="22"/>
        </w:rPr>
        <w:t xml:space="preserve"> these unresolved land rights issues, impacting their implementation. For example, the projects have faced persistent resistance and opposition from the Maasai community. The construction of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V plant was halted in 2016 due to protests by the Maasai</w:t>
      </w:r>
      <w:r w:rsidR="002B4DD5">
        <w:rPr>
          <w:rFonts w:ascii="Times New Roman" w:hAnsi="Times New Roman" w:cs="Times New Roman" w:hint="eastAsia"/>
          <w:szCs w:val="22"/>
        </w:rPr>
        <w:t xml:space="preserve"> </w:t>
      </w:r>
      <w:r w:rsidR="002B4DD5">
        <w:rPr>
          <w:rFonts w:ascii="Times New Roman" w:hAnsi="Times New Roman" w:cs="Times New Roman"/>
          <w:szCs w:val="22"/>
        </w:rPr>
        <w:fldChar w:fldCharType="begin"/>
      </w:r>
      <w:r w:rsidR="002B4DD5">
        <w:rPr>
          <w:rFonts w:ascii="Times New Roman" w:hAnsi="Times New Roman" w:cs="Times New Roman"/>
          <w:szCs w:val="22"/>
        </w:rPr>
        <w:instrText xml:space="preserve"> ADDIN EN.CITE &lt;EndNote&gt;&lt;Cite&gt;&lt;Author&gt;Mwanza&lt;/Author&gt;&lt;Year&gt;2018&lt;/Year&gt;&lt;RecNum&gt;646&lt;/RecNum&gt;&lt;DisplayText&gt;(Mwanza, 2018)&lt;/DisplayText&gt;&lt;record&gt;&lt;rec-number&gt;646&lt;/rec-number&gt;&lt;foreign-keys&gt;&lt;key app="EN" db-id="9rv05s2taeez0oe22x2xw5dcsta5x2e0v0zz" timestamp="1730358363"&gt;646&lt;/key&gt;&lt;/foreign-keys&gt;&lt;ref-type name="Newspaper Article"&gt;23&lt;/ref-type&gt;&lt;contributors&gt;&lt;authors&gt;&lt;author&gt;Kevin Mwanza&lt;/author&gt;&lt;/authors&gt;&lt;/contributors&gt;&lt;titles&gt;&lt;title&gt;When the Maasai met the Maori: Kenya seeks to end geothermal land conflicts&lt;/title&gt;&lt;secondary-title&gt;IPMG&lt;/secondary-title&gt;&lt;/titles&gt;&lt;dates&gt;&lt;year&gt;2018&lt;/year&gt;&lt;/dates&gt;&lt;urls&gt;&lt;related-urls&gt;&lt;url&gt;https://indigenouspeoples-sdg.org/index.php/english/all-global-news/553-when-the-maasai-met-the-maori-kenya-seeks-to-end-geothermal-land-conflicts&lt;/url&gt;&lt;/related-urls&gt;&lt;/urls&gt;&lt;access-date&gt;May 29, 2024&lt;/access-date&gt;&lt;/record&gt;&lt;/Cite&gt;&lt;/EndNote&gt;</w:instrText>
      </w:r>
      <w:r w:rsidR="002B4DD5">
        <w:rPr>
          <w:rFonts w:ascii="Times New Roman" w:hAnsi="Times New Roman" w:cs="Times New Roman"/>
          <w:szCs w:val="22"/>
        </w:rPr>
        <w:fldChar w:fldCharType="separate"/>
      </w:r>
      <w:r w:rsidR="002B4DD5">
        <w:rPr>
          <w:rFonts w:ascii="Times New Roman" w:hAnsi="Times New Roman" w:cs="Times New Roman"/>
          <w:noProof/>
          <w:szCs w:val="22"/>
        </w:rPr>
        <w:t>(Mwanza, 2018)</w:t>
      </w:r>
      <w:r w:rsidR="002B4DD5">
        <w:rPr>
          <w:rFonts w:ascii="Times New Roman" w:hAnsi="Times New Roman" w:cs="Times New Roman"/>
          <w:szCs w:val="22"/>
        </w:rPr>
        <w:fldChar w:fldCharType="end"/>
      </w:r>
      <w:r w:rsidRPr="00E56159">
        <w:rPr>
          <w:rFonts w:ascii="Times New Roman" w:hAnsi="Times New Roman" w:cs="Times New Roman"/>
          <w:szCs w:val="22"/>
        </w:rPr>
        <w:t>. In a case study</w:t>
      </w:r>
      <w:r w:rsidRPr="00E56159">
        <w:rPr>
          <w:rFonts w:ascii="Times New Roman" w:hAnsi="Times New Roman" w:cs="Times New Roman"/>
          <w:szCs w:val="22"/>
          <w:vertAlign w:val="superscript"/>
        </w:rPr>
        <w:t xml:space="preserve"> </w:t>
      </w:r>
      <w:r w:rsidRPr="00E56159">
        <w:rPr>
          <w:rFonts w:ascii="Times New Roman" w:hAnsi="Times New Roman" w:cs="Times New Roman"/>
          <w:szCs w:val="22"/>
        </w:rPr>
        <w:t>by Kenya Electricity Generating Company (</w:t>
      </w:r>
      <w:proofErr w:type="spellStart"/>
      <w:r w:rsidRPr="00E56159">
        <w:rPr>
          <w:rFonts w:ascii="Times New Roman" w:hAnsi="Times New Roman" w:cs="Times New Roman"/>
          <w:szCs w:val="22"/>
        </w:rPr>
        <w:t>KenGen</w:t>
      </w:r>
      <w:proofErr w:type="spellEnd"/>
      <w:r w:rsidRPr="00E56159">
        <w:rPr>
          <w:rFonts w:ascii="Times New Roman" w:hAnsi="Times New Roman" w:cs="Times New Roman"/>
          <w:szCs w:val="22"/>
        </w:rPr>
        <w:t xml:space="preserve">), one of the main sponsors of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Geothermal Project, the company acknowledged the influence of the Maasai community in the area on the project, indicating that “the community around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region is a hostile one. It becomes very hard to convince them not to interfere with their land in the name of a project. To them, we destroyed their grazing grounds, and they had to do all they could to prevent the project from being implemented” </w:t>
      </w:r>
      <w:r w:rsidR="00232929">
        <w:rPr>
          <w:rFonts w:ascii="Times New Roman" w:hAnsi="Times New Roman" w:cs="Times New Roman"/>
          <w:szCs w:val="22"/>
        </w:rPr>
        <w:fldChar w:fldCharType="begin"/>
      </w:r>
      <w:r w:rsidR="00232929">
        <w:rPr>
          <w:rFonts w:ascii="Times New Roman" w:hAnsi="Times New Roman" w:cs="Times New Roman"/>
          <w:szCs w:val="22"/>
        </w:rPr>
        <w:instrText xml:space="preserve"> ADDIN EN.CITE &lt;EndNote&gt;&lt;Cite&gt;&lt;Author&gt;Mukeu&lt;/Author&gt;&lt;Year&gt;2016&lt;/Year&gt;&lt;RecNum&gt;647&lt;/RecNum&gt;&lt;Suffix&gt;: 88&lt;/Suffix&gt;&lt;DisplayText&gt;(Mukeu &amp;amp; Langat, 2016: 88)&lt;/DisplayText&gt;&lt;record&gt;&lt;rec-number&gt;647&lt;/rec-number&gt;&lt;foreign-keys&gt;&lt;key app="EN" db-id="9rv05s2taeez0oe22x2xw5dcsta5x2e0v0zz" timestamp="1730359589"&gt;647&lt;/key&gt;&lt;/foreign-keys&gt;&lt;ref-type name="Web Page"&gt;12&lt;/ref-type&gt;&lt;contributors&gt;&lt;authors&gt;&lt;author&gt;Pharis Mukeu&lt;/author&gt;&lt;author&gt;Reuben Langat&lt;/author&gt;&lt;/authors&gt;&lt;/contributors&gt;&lt;titles&gt;&lt;title&gt;Olkaria (Kenya) Geothermal Project Case Study&lt;/title&gt;&lt;/titles&gt;&lt;volume&gt;2024&lt;/volume&gt;&lt;number&gt;Jan 15&lt;/number&gt;&lt;dates&gt;&lt;year&gt;2016&lt;/year&gt;&lt;/dates&gt;&lt;urls&gt;&lt;related-urls&gt;&lt;url&gt;http://pubs.geothermal-library.org/lib/grc/1032311.pdf&lt;/url&gt;&lt;/related-urls&gt;&lt;/urls&gt;&lt;/record&gt;&lt;/Cite&gt;&lt;/EndNote&gt;</w:instrText>
      </w:r>
      <w:r w:rsidR="00232929">
        <w:rPr>
          <w:rFonts w:ascii="Times New Roman" w:hAnsi="Times New Roman" w:cs="Times New Roman"/>
          <w:szCs w:val="22"/>
        </w:rPr>
        <w:fldChar w:fldCharType="separate"/>
      </w:r>
      <w:r w:rsidR="00232929">
        <w:rPr>
          <w:rFonts w:ascii="Times New Roman" w:hAnsi="Times New Roman" w:cs="Times New Roman"/>
          <w:noProof/>
          <w:szCs w:val="22"/>
        </w:rPr>
        <w:t>(Mukeu &amp; Langat, 2016: 88)</w:t>
      </w:r>
      <w:r w:rsidR="00232929">
        <w:rPr>
          <w:rFonts w:ascii="Times New Roman" w:hAnsi="Times New Roman" w:cs="Times New Roman"/>
          <w:szCs w:val="22"/>
        </w:rPr>
        <w:fldChar w:fldCharType="end"/>
      </w:r>
      <w:r w:rsidRPr="00E56159">
        <w:rPr>
          <w:rFonts w:ascii="Times New Roman" w:hAnsi="Times New Roman" w:cs="Times New Roman"/>
          <w:szCs w:val="22"/>
        </w:rPr>
        <w:t>. This clean energy project was accused of “dirty” development by aggrieved community members</w:t>
      </w:r>
      <w:r w:rsidR="00232929">
        <w:rPr>
          <w:rFonts w:ascii="Times New Roman" w:hAnsi="Times New Roman" w:cs="Times New Roman" w:hint="eastAsia"/>
          <w:szCs w:val="22"/>
        </w:rPr>
        <w:t xml:space="preserve"> </w:t>
      </w:r>
      <w:r w:rsidR="00232929">
        <w:rPr>
          <w:rFonts w:ascii="Times New Roman" w:hAnsi="Times New Roman" w:cs="Times New Roman"/>
          <w:szCs w:val="22"/>
        </w:rPr>
        <w:fldChar w:fldCharType="begin"/>
      </w:r>
      <w:r w:rsidR="00232929">
        <w:rPr>
          <w:rFonts w:ascii="Times New Roman" w:hAnsi="Times New Roman" w:cs="Times New Roman"/>
          <w:szCs w:val="22"/>
        </w:rPr>
        <w:instrText xml:space="preserve"> ADDIN EN.CITE &lt;EndNote&gt;&lt;Cite&gt;&lt;Author&gt;Heinrich Böll Stiftung&lt;/Author&gt;&lt;Year&gt;2017&lt;/Year&gt;&lt;RecNum&gt;648&lt;/RecNum&gt;&lt;Suffix&gt;: 27&lt;/Suffix&gt;&lt;DisplayText&gt;(Heinrich Böll Stiftung, 2017: 27)&lt;/DisplayText&gt;&lt;record&gt;&lt;rec-number&gt;648&lt;/rec-number&gt;&lt;foreign-keys&gt;&lt;key app="EN" db-id="9rv05s2taeez0oe22x2xw5dcsta5x2e0v0zz" timestamp="1730359902"&gt;648&lt;/key&gt;&lt;/foreign-keys&gt;&lt;ref-type name="Web Page"&gt;12&lt;/ref-type&gt;&lt;contributors&gt;&lt;authors&gt;&lt;author&gt;Heinrich Böll Stiftung,&lt;/author&gt;&lt;/authors&gt;&lt;/contributors&gt;&lt;titles&gt;&lt;title&gt;Perspectives: Putting People Back Into Infrastructure&lt;/title&gt;&lt;/titles&gt;&lt;volume&gt;2024&lt;/volume&gt;&lt;number&gt;Jan 6&lt;/number&gt;&lt;dates&gt;&lt;year&gt;2017&lt;/year&gt;&lt;/dates&gt;&lt;urls&gt;&lt;related-urls&gt;&lt;url&gt;https://www.boell.de/en/2017/06/13/perspectives-022017-putting-people-back-infrastructure&lt;/url&gt;&lt;/related-urls&gt;&lt;/urls&gt;&lt;/record&gt;&lt;/Cite&gt;&lt;/EndNote&gt;</w:instrText>
      </w:r>
      <w:r w:rsidR="00232929">
        <w:rPr>
          <w:rFonts w:ascii="Times New Roman" w:hAnsi="Times New Roman" w:cs="Times New Roman"/>
          <w:szCs w:val="22"/>
        </w:rPr>
        <w:fldChar w:fldCharType="separate"/>
      </w:r>
      <w:r w:rsidR="00232929">
        <w:rPr>
          <w:rFonts w:ascii="Times New Roman" w:hAnsi="Times New Roman" w:cs="Times New Roman"/>
          <w:noProof/>
          <w:szCs w:val="22"/>
        </w:rPr>
        <w:t>(Heinrich Böll Stiftung, 2017: 27)</w:t>
      </w:r>
      <w:r w:rsidR="00232929">
        <w:rPr>
          <w:rFonts w:ascii="Times New Roman" w:hAnsi="Times New Roman" w:cs="Times New Roman"/>
          <w:szCs w:val="22"/>
        </w:rPr>
        <w:fldChar w:fldCharType="end"/>
      </w:r>
      <w:r w:rsidR="00232929">
        <w:rPr>
          <w:rFonts w:ascii="Times New Roman" w:hAnsi="Times New Roman" w:cs="Times New Roman" w:hint="eastAsia"/>
          <w:szCs w:val="22"/>
          <w:vertAlign w:val="superscript"/>
        </w:rPr>
        <w:t xml:space="preserve"> </w:t>
      </w:r>
      <w:r w:rsidRPr="00E56159">
        <w:rPr>
          <w:rFonts w:ascii="Times New Roman" w:hAnsi="Times New Roman" w:cs="Times New Roman"/>
          <w:szCs w:val="22"/>
        </w:rPr>
        <w:t>.</w:t>
      </w:r>
    </w:p>
    <w:p w14:paraId="3B7C52C0" w14:textId="71C8ABC8" w:rsidR="00EE0BCA" w:rsidRPr="00E56159" w:rsidRDefault="00EE0BCA" w:rsidP="00EE0BCA">
      <w:pPr>
        <w:spacing w:after="0" w:line="480" w:lineRule="auto"/>
        <w:ind w:firstLineChars="202" w:firstLine="444"/>
        <w:rPr>
          <w:rFonts w:ascii="Times New Roman" w:hAnsi="Times New Roman" w:cs="Times New Roman"/>
          <w:szCs w:val="22"/>
        </w:rPr>
      </w:pPr>
      <w:r w:rsidRPr="00E56159">
        <w:rPr>
          <w:rFonts w:ascii="Times New Roman" w:hAnsi="Times New Roman" w:cs="Times New Roman"/>
          <w:szCs w:val="22"/>
        </w:rPr>
        <w:t xml:space="preserve">Despite the partitioning of the Maasai by the border enforced over a century ago, its ramifications </w:t>
      </w:r>
      <w:r w:rsidRPr="00E56159">
        <w:rPr>
          <w:rFonts w:ascii="Times New Roman" w:hAnsi="Times New Roman" w:cs="Times New Roman"/>
          <w:szCs w:val="22"/>
        </w:rPr>
        <w:lastRenderedPageBreak/>
        <w:t xml:space="preserve">persist and have indirectly influenced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projects. The </w:t>
      </w:r>
      <w:proofErr w:type="spellStart"/>
      <w:r w:rsidRPr="00E56159">
        <w:rPr>
          <w:rFonts w:ascii="Times New Roman" w:hAnsi="Times New Roman" w:cs="Times New Roman"/>
          <w:szCs w:val="22"/>
        </w:rPr>
        <w:t>resul</w:t>
      </w:r>
      <w:proofErr w:type="spellEnd"/>
      <w:r w:rsidRPr="00E56159">
        <w:rPr>
          <w:rFonts w:ascii="Times New Roman" w:hAnsi="Times New Roman" w:cs="Times New Roman"/>
          <w:szCs w:val="22"/>
          <w:lang w:val="en-CA"/>
        </w:rPr>
        <w:t xml:space="preserve">ting </w:t>
      </w:r>
      <w:r w:rsidRPr="00E56159">
        <w:rPr>
          <w:rFonts w:ascii="Times New Roman" w:hAnsi="Times New Roman" w:cs="Times New Roman"/>
          <w:szCs w:val="22"/>
        </w:rPr>
        <w:t>land rights disputes have evolved beyond mere protests and legal actions, escalating into violent conflicts between the Maasai and other ethnic groups, particularly the Kikuyu, who historically received preferential treatment from the Kenya</w:t>
      </w:r>
      <w:r w:rsidR="00556758">
        <w:rPr>
          <w:rFonts w:ascii="Times New Roman" w:hAnsi="Times New Roman" w:cs="Times New Roman"/>
          <w:szCs w:val="22"/>
        </w:rPr>
        <w:t>n</w:t>
      </w:r>
      <w:r w:rsidRPr="00E56159">
        <w:rPr>
          <w:rFonts w:ascii="Times New Roman" w:hAnsi="Times New Roman" w:cs="Times New Roman"/>
          <w:szCs w:val="22"/>
        </w:rPr>
        <w:t xml:space="preserve"> government </w:t>
      </w:r>
      <w:r w:rsidRPr="00E56159">
        <w:rPr>
          <w:rFonts w:ascii="Times New Roman" w:hAnsi="Times New Roman" w:cs="Times New Roman"/>
          <w:szCs w:val="22"/>
        </w:rPr>
        <w:fldChar w:fldCharType="begin"/>
      </w:r>
      <w:r w:rsidR="00B50A3E">
        <w:rPr>
          <w:rFonts w:ascii="Times New Roman" w:hAnsi="Times New Roman" w:cs="Times New Roman"/>
          <w:szCs w:val="22"/>
        </w:rPr>
        <w:instrText xml:space="preserve"> ADDIN EN.CITE &lt;EndNote&gt;&lt;Cite&gt;&lt;Author&gt;Shanguhyia&lt;/Author&gt;&lt;Year&gt;2014&lt;/Year&gt;&lt;RecNum&gt;375&lt;/RecNum&gt;&lt;DisplayText&gt;(Shanguhyia &amp;amp; Koster, 2014)&lt;/DisplayText&gt;&lt;record&gt;&lt;rec-number&gt;375&lt;/rec-number&gt;&lt;foreign-keys&gt;&lt;key app="EN" db-id="9rv05s2taeez0oe22x2xw5dcsta5x2e0v0zz" timestamp="1703990083"&gt;375&lt;/key&gt;&lt;/foreign-keys&gt;&lt;ref-type name="Book Section"&gt;5&lt;/ref-type&gt;&lt;contributors&gt;&lt;authors&gt;&lt;author&gt;Shanguhyia, Martin&lt;/author&gt;&lt;author&gt;Koster, Mickie Mwanzia&lt;/author&gt;&lt;/authors&gt;&lt;secondary-authors&gt;&lt;author&gt;Falola, T.&lt;/author&gt;&lt;author&gt;Mbah, E.&lt;/author&gt;&lt;/secondary-authors&gt;&lt;/contributors&gt;&lt;titles&gt;&lt;title&gt;Land and Conflict in Kenya’s Rift Valley: Historical and Contemporary Perspectives&lt;/title&gt;&lt;secondary-title&gt;Contemporary Africa: Challenges and Opportunities&lt;/secondary-title&gt;&lt;/titles&gt;&lt;pages&gt;191-223&lt;/pages&gt;&lt;dates&gt;&lt;year&gt;2014&lt;/year&gt;&lt;/dates&gt;&lt;publisher&gt;Springer&lt;/publisher&gt;&lt;urls&gt;&lt;/urls&gt;&lt;/record&gt;&lt;/Cite&gt;&lt;/EndNote&gt;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(Shanguhyia &amp; Koster, 2014)</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Prior to the “Scramble for Africa,” although there was competition around land and resources, the relationship between the Kikuyu and Maasai was characterized by a mix of peaceful and contentious interactions </w:t>
      </w:r>
      <w:r w:rsidRPr="00E56159">
        <w:rPr>
          <w:rFonts w:ascii="Times New Roman" w:hAnsi="Times New Roman" w:cs="Times New Roman"/>
          <w:szCs w:val="22"/>
        </w:rPr>
        <w:fldChar w:fldCharType="begin"/>
      </w:r>
      <w:r w:rsidR="00F7167D">
        <w:rPr>
          <w:rFonts w:ascii="Times New Roman" w:hAnsi="Times New Roman" w:cs="Times New Roman"/>
          <w:szCs w:val="22"/>
        </w:rPr>
        <w:instrText xml:space="preserve"> ADDIN EN.CITE &lt;EndNote&gt;&lt;Cite&gt;&lt;Author&gt;Hughes&lt;/Author&gt;&lt;Year&gt;2005&lt;/Year&gt;&lt;RecNum&gt;459&lt;/RecNum&gt;&lt;DisplayText&gt;(Hughes, 2005)&lt;/DisplayText&gt;&lt;record&gt;&lt;rec-number&gt;459&lt;/rec-number&gt;&lt;foreign-keys&gt;&lt;key app="EN" db-id="9rv05s2taeez0oe22x2xw5dcsta5x2e0v0zz" timestamp="1708664363"&gt;459&lt;/key&gt;&lt;/foreign-keys&gt;&lt;ref-type name="Journal Article"&gt;17&lt;/ref-type&gt;&lt;contributors&gt;&lt;authors&gt;&lt;author&gt;Hughes, Lotte&lt;/author&gt;&lt;/authors&gt;&lt;/contributors&gt;&lt;titles&gt;&lt;title&gt;Malice in Maasailand: the historical roots of current political struggles&lt;/title&gt;&lt;secondary-title&gt;African Affairs&lt;/secondary-title&gt;&lt;/titles&gt;&lt;periodical&gt;&lt;full-title&gt;African Affairs&lt;/full-title&gt;&lt;/periodical&gt;&lt;pages&gt;207-224&lt;/pages&gt;&lt;volume&gt;104&lt;/volume&gt;&lt;number&gt;415&lt;/number&gt;&lt;dates&gt;&lt;year&gt;2005&lt;/year&gt;&lt;/dates&gt;&lt;isbn&gt;1468-2621&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(Hughes, 2005)</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These interactions have mainly been symbolic and localized; traditionally, the Kikuyu, primarily agriculturalists, and the Maasai, primarily pastoralists, have had distinct economic and social systems </w:t>
      </w:r>
      <w:r w:rsidRPr="00E56159">
        <w:rPr>
          <w:rFonts w:ascii="Times New Roman" w:hAnsi="Times New Roman" w:cs="Times New Roman"/>
          <w:szCs w:val="22"/>
        </w:rPr>
        <w:fldChar w:fldCharType="begin"/>
      </w:r>
      <w:r w:rsidRPr="00E56159">
        <w:rPr>
          <w:rFonts w:ascii="Times New Roman" w:hAnsi="Times New Roman" w:cs="Times New Roman"/>
          <w:szCs w:val="22"/>
        </w:rPr>
        <w:instrText xml:space="preserve"> ADDIN EN.CITE &lt;EndNote&gt;&lt;Cite&gt;&lt;Author&gt;Mwangi&lt;/Author&gt;&lt;Year&gt;2006&lt;/Year&gt;&lt;RecNum&gt;327&lt;/RecNum&gt;&lt;DisplayText&gt;(Mwangi, 2006)&lt;/DisplayText&gt;&lt;record&gt;&lt;rec-number&gt;327&lt;/rec-number&gt;&lt;foreign-keys&gt;&lt;key app="EN" db-id="9rv05s2taeez0oe22x2xw5dcsta5x2e0v0zz" timestamp="1703046674"&gt;327&lt;/key&gt;&lt;/foreign-keys&gt;&lt;ref-type name="Journal Article"&gt;17&lt;/ref-type&gt;&lt;contributors&gt;&lt;authors&gt;&lt;author&gt;Mwangi, Esther&lt;/author&gt;&lt;/authors&gt;&lt;/contributors&gt;&lt;titles&gt;&lt;title&gt;The footprints of history: path dependence in the transformation of property rights in Kenya&amp;apos;s Maasailand&lt;/title&gt;&lt;secondary-title&gt;Journal of Institutional Economics&lt;/secondary-title&gt;&lt;/titles&gt;&lt;periodical&gt;&lt;full-title&gt;Journal of Institutional Economics&lt;/full-title&gt;&lt;/periodical&gt;&lt;pages&gt;157-180&lt;/pages&gt;&lt;volume&gt;2&lt;/volume&gt;&lt;number&gt;2&lt;/number&gt;&lt;section&gt;157&lt;/section&gt;&lt;dates&gt;&lt;year&gt;2006&lt;/year&gt;&lt;/dates&gt;&lt;isbn&gt;1744-1374&amp;#xD;1744-1382&lt;/isbn&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szCs w:val="22"/>
        </w:rPr>
        <w:t>(Mwangi, 2006)</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With their grazing lands reduced by border demarcation and unfair land policies favoring agricultural communities, the Maasai have found themselves in increased conflicts with neighboring communities, including the Kikuyu </w:t>
      </w:r>
      <w:r w:rsidRPr="00E56159">
        <w:rPr>
          <w:rFonts w:ascii="Times New Roman" w:hAnsi="Times New Roman" w:cs="Times New Roman"/>
          <w:szCs w:val="22"/>
        </w:rPr>
        <w:fldChar w:fldCharType="begin"/>
      </w:r>
      <w:r w:rsidR="00F7167D">
        <w:rPr>
          <w:rFonts w:ascii="Times New Roman" w:hAnsi="Times New Roman" w:cs="Times New Roman"/>
          <w:szCs w:val="22"/>
        </w:rPr>
        <w:instrText xml:space="preserve"> ADDIN EN.CITE &lt;EndNote&gt;&lt;Cite&gt;&lt;Author&gt;Goldsmith&lt;/Author&gt;&lt;Year&gt;2013&lt;/Year&gt;&lt;RecNum&gt;379&lt;/RecNum&gt;&lt;DisplayText&gt;(Goldsmith, 2013)&lt;/DisplayText&gt;&lt;record&gt;&lt;rec-number&gt;379&lt;/rec-number&gt;&lt;foreign-keys&gt;&lt;key app="EN" db-id="9rv05s2taeez0oe22x2xw5dcsta5x2e0v0zz" timestamp="1704121226"&gt;379&lt;/key&gt;&lt;/foreign-keys&gt;&lt;ref-type name="Book Section"&gt;5&lt;/ref-type&gt;&lt;contributors&gt;&lt;authors&gt;&lt;author&gt;Goldsmith, Paul&lt;/author&gt;&lt;/authors&gt;&lt;secondary-authors&gt;&lt;author&gt;Andy Catley,&lt;/author&gt;&lt;author&gt;Jeremy Lind,&lt;/author&gt;&lt;author&gt;Ian Scoones&lt;/author&gt;&lt;/secondary-authors&gt;&lt;/contributors&gt;&lt;titles&gt;&lt;title&gt;The future of pastoralist conflict in the Horn of Africa&lt;/title&gt;&lt;secondary-title&gt;Pastoralism and development in Africa&lt;/secondary-title&gt;&lt;/titles&gt;&lt;pages&gt;131-142&lt;/pages&gt;&lt;dates&gt;&lt;year&gt;2013&lt;/year&gt;&lt;/dates&gt;&lt;publisher&gt;Routledge&lt;/publisher&gt;&lt;urls&gt;&lt;/urls&gt;&lt;/record&gt;&lt;/Cite&gt;&lt;/EndNote&gt;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(Goldsmith, 2013)</w:t>
      </w:r>
      <w:r w:rsidRPr="00E56159">
        <w:rPr>
          <w:rFonts w:ascii="Times New Roman" w:hAnsi="Times New Roman" w:cs="Times New Roman"/>
          <w:szCs w:val="22"/>
        </w:rPr>
        <w:fldChar w:fldCharType="end"/>
      </w:r>
      <w:r w:rsidRPr="00E56159">
        <w:rPr>
          <w:rFonts w:ascii="Times New Roman" w:hAnsi="Times New Roman" w:cs="Times New Roman"/>
          <w:szCs w:val="22"/>
        </w:rPr>
        <w:t>. The Uppsala Conflict Data Program (UCDP) has recorded a total of 22 conflicts with battle-related deaths of 25 or more between the Kikuyu and Maasai from 1993 to 2022</w:t>
      </w:r>
      <w:r w:rsidR="00232929">
        <w:rPr>
          <w:rFonts w:ascii="Times New Roman" w:hAnsi="Times New Roman" w:cs="Times New Roman" w:hint="eastAsia"/>
          <w:szCs w:val="22"/>
        </w:rPr>
        <w:t xml:space="preserve"> </w:t>
      </w:r>
      <w:r w:rsidR="00232929">
        <w:rPr>
          <w:rFonts w:ascii="Times New Roman" w:hAnsi="Times New Roman" w:cs="Times New Roman"/>
          <w:szCs w:val="22"/>
        </w:rPr>
        <w:fldChar w:fldCharType="begin"/>
      </w:r>
      <w:r w:rsidR="00ED016A">
        <w:rPr>
          <w:rFonts w:ascii="Times New Roman" w:hAnsi="Times New Roman" w:cs="Times New Roman"/>
          <w:szCs w:val="22"/>
        </w:rPr>
        <w:instrText xml:space="preserve"> ADDIN EN.CITE &lt;EndNote&gt;&lt;Cite&gt;&lt;Author&gt;UCDP&lt;/Author&gt;&lt;Year&gt;2023&lt;/Year&gt;&lt;RecNum&gt;649&lt;/RecNum&gt;&lt;DisplayText&gt;(UCDP, 2023)&lt;/DisplayText&gt;&lt;record&gt;&lt;rec-number&gt;649&lt;/rec-number&gt;&lt;foreign-keys&gt;&lt;key app="EN" db-id="9rv05s2taeez0oe22x2xw5dcsta5x2e0v0zz" timestamp="1730360176"&gt;649&lt;/key&gt;&lt;/foreign-keys&gt;&lt;ref-type name="Newspaper Article"&gt;23&lt;/ref-type&gt;&lt;contributors&gt;&lt;authors&gt;&lt;author&gt;UCDP&lt;/author&gt;&lt;/authors&gt;&lt;/contributors&gt;&lt;titles&gt;&lt;title&gt;Uppsala Conflict Data Program&lt;/title&gt;&lt;/titles&gt;&lt;volume&gt;2023&lt;/volume&gt;&lt;number&gt;Dec 28&lt;/number&gt;&lt;dates&gt;&lt;year&gt;2023&lt;/year&gt;&lt;/dates&gt;&lt;urls&gt;&lt;related-urls&gt;&lt;url&gt;https://ucdp.uu.se/nonstate/5376&lt;/url&gt;&lt;/related-urls&gt;&lt;/urls&gt;&lt;access-date&gt;Dec 28, 2023&lt;/access-date&gt;&lt;/record&gt;&lt;/Cite&gt;&lt;/EndNote&gt;</w:instrText>
      </w:r>
      <w:r w:rsidR="00232929">
        <w:rPr>
          <w:rFonts w:ascii="Times New Roman" w:hAnsi="Times New Roman" w:cs="Times New Roman"/>
          <w:szCs w:val="22"/>
        </w:rPr>
        <w:fldChar w:fldCharType="separate"/>
      </w:r>
      <w:r w:rsidR="00232929">
        <w:rPr>
          <w:rFonts w:ascii="Times New Roman" w:hAnsi="Times New Roman" w:cs="Times New Roman"/>
          <w:noProof/>
          <w:szCs w:val="22"/>
        </w:rPr>
        <w:t>(UCDP, 2023)</w:t>
      </w:r>
      <w:r w:rsidR="00232929">
        <w:rPr>
          <w:rFonts w:ascii="Times New Roman" w:hAnsi="Times New Roman" w:cs="Times New Roman"/>
          <w:szCs w:val="22"/>
        </w:rPr>
        <w:fldChar w:fldCharType="end"/>
      </w:r>
      <w:r w:rsidRPr="00E56159">
        <w:rPr>
          <w:rFonts w:ascii="Times New Roman" w:hAnsi="Times New Roman" w:cs="Times New Roman"/>
          <w:szCs w:val="22"/>
        </w:rPr>
        <w:t xml:space="preserve">. Notably, in 2013, armed conflicts broke out in Narasha, Rift Valley, the center of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projects, involving forced evictions and violence</w:t>
      </w:r>
      <w:r w:rsidR="00FB6477">
        <w:rPr>
          <w:rFonts w:ascii="Times New Roman" w:hAnsi="Times New Roman" w:cs="Times New Roman" w:hint="eastAsia"/>
          <w:szCs w:val="22"/>
        </w:rPr>
        <w:t xml:space="preserve"> </w:t>
      </w:r>
      <w:r w:rsidR="00FB6477">
        <w:rPr>
          <w:rFonts w:ascii="Times New Roman" w:hAnsi="Times New Roman" w:cs="Times New Roman"/>
          <w:szCs w:val="22"/>
        </w:rPr>
        <w:fldChar w:fldCharType="begin"/>
      </w:r>
      <w:r w:rsidR="00ED016A">
        <w:rPr>
          <w:rFonts w:ascii="Times New Roman" w:hAnsi="Times New Roman" w:cs="Times New Roman"/>
          <w:szCs w:val="22"/>
        </w:rPr>
        <w:instrText xml:space="preserve"> ADDIN EN.CITE &lt;EndNote&gt;&lt;Cite&gt;&lt;Author&gt;Koissaba&lt;/Author&gt;&lt;Year&gt;2013&lt;/Year&gt;&lt;RecNum&gt;650&lt;/RecNum&gt;&lt;DisplayText&gt;(Koissaba, 2013)&lt;/DisplayText&gt;&lt;record&gt;&lt;rec-number&gt;650&lt;/rec-number&gt;&lt;foreign-keys&gt;&lt;key app="EN" db-id="9rv05s2taeez0oe22x2xw5dcsta5x2e0v0zz" timestamp="1730360340"&gt;650&lt;/key&gt;&lt;/foreign-keys&gt;&lt;ref-type name="Newspaper Article"&gt;23&lt;/ref-type&gt;&lt;contributors&gt;&lt;authors&gt;&lt;author&gt;Ben Ole Koissaba&lt;/author&gt;&lt;/authors&gt;&lt;/contributors&gt;&lt;titles&gt;&lt;title&gt;Forceful Evictions of Maasai from Narasha: A Recipe for Tribal Clashes in Kenya&lt;/title&gt;&lt;secondary-title&gt;Cultural Survival&lt;/secondary-title&gt;&lt;/titles&gt;&lt;volume&gt;2023&lt;/volume&gt;&lt;dates&gt;&lt;year&gt;2013&lt;/year&gt;&lt;/dates&gt;&lt;urls&gt;&lt;related-urls&gt;&lt;url&gt;https://www.culturalsurvival.org/news/forceful-evictions-maasai-narasha-recipe-tribal-clashes-kenya&lt;/url&gt;&lt;/related-urls&gt;&lt;/urls&gt;&lt;access-date&gt;Dec 25, 2023&lt;/access-date&gt;&lt;/record&gt;&lt;/Cite&gt;&lt;/EndNote&gt;</w:instrText>
      </w:r>
      <w:r w:rsidR="00FB6477">
        <w:rPr>
          <w:rFonts w:ascii="Times New Roman" w:hAnsi="Times New Roman" w:cs="Times New Roman"/>
          <w:szCs w:val="22"/>
        </w:rPr>
        <w:fldChar w:fldCharType="separate"/>
      </w:r>
      <w:r w:rsidR="00FB6477">
        <w:rPr>
          <w:rFonts w:ascii="Times New Roman" w:hAnsi="Times New Roman" w:cs="Times New Roman"/>
          <w:noProof/>
          <w:szCs w:val="22"/>
        </w:rPr>
        <w:t>(Koissaba, 2013)</w:t>
      </w:r>
      <w:r w:rsidR="00FB6477">
        <w:rPr>
          <w:rFonts w:ascii="Times New Roman" w:hAnsi="Times New Roman" w:cs="Times New Roman"/>
          <w:szCs w:val="22"/>
        </w:rPr>
        <w:fldChar w:fldCharType="end"/>
      </w:r>
      <w:r w:rsidRPr="00E56159">
        <w:rPr>
          <w:rFonts w:ascii="Times New Roman" w:hAnsi="Times New Roman" w:cs="Times New Roman"/>
          <w:szCs w:val="22"/>
        </w:rPr>
        <w:t xml:space="preserve">. The Maasai community expressed discontent toward the involvement of Kikuyu-owned </w:t>
      </w:r>
      <w:proofErr w:type="spellStart"/>
      <w:r w:rsidRPr="00E56159">
        <w:rPr>
          <w:rFonts w:ascii="Times New Roman" w:hAnsi="Times New Roman" w:cs="Times New Roman"/>
          <w:szCs w:val="22"/>
        </w:rPr>
        <w:t>Kedong</w:t>
      </w:r>
      <w:proofErr w:type="spellEnd"/>
      <w:r w:rsidRPr="00E56159">
        <w:rPr>
          <w:rFonts w:ascii="Times New Roman" w:hAnsi="Times New Roman" w:cs="Times New Roman"/>
          <w:szCs w:val="22"/>
        </w:rPr>
        <w:t xml:space="preserve"> Ranch Ltd. in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projects, as the company managed over 74,000 acres of ancestral Maasai land </w:t>
      </w:r>
      <w:r w:rsidRPr="00E56159">
        <w:rPr>
          <w:rFonts w:ascii="Times New Roman" w:hAnsi="Times New Roman" w:cs="Times New Roman"/>
          <w:szCs w:val="22"/>
        </w:rPr>
        <w:fldChar w:fldCharType="begin"/>
      </w:r>
      <w:r w:rsidR="00F7167D">
        <w:rPr>
          <w:rFonts w:ascii="Times New Roman" w:hAnsi="Times New Roman" w:cs="Times New Roman"/>
          <w:szCs w:val="22"/>
        </w:rPr>
        <w:instrText xml:space="preserve"> ADDIN EN.CITE &lt;EndNote&gt;&lt;Cite&gt;&lt;Author&gt;Koissaba&lt;/Author&gt;&lt;Year&gt;2018&lt;/Year&gt;&lt;RecNum&gt;351&lt;/RecNum&gt;&lt;DisplayText&gt;(Koissaba, 2018)&lt;/DisplayText&gt;&lt;record&gt;&lt;rec-number&gt;351&lt;/rec-number&gt;&lt;foreign-keys&gt;&lt;key app="EN" db-id="9rv05s2taeez0oe22x2xw5dcsta5x2e0v0zz" timestamp="1703328283"&gt;351&lt;/key&gt;&lt;/foreign-keys&gt;&lt;ref-type name="Report"&gt;27&lt;/ref-type&gt;&lt;contributors&gt;&lt;authors&gt;&lt;author&gt;Koissaba, Ben R Ole&lt;/author&gt;&lt;/authors&gt;&lt;/contributors&gt;&lt;titles&gt;&lt;title&gt;Geothermal Energy and Indigenous Communities: The Olkaria Projects in Kenya&lt;/title&gt;&lt;/titles&gt;&lt;dates&gt;&lt;year&gt;2018&lt;/year&gt;&lt;/dates&gt;&lt;pub-location&gt;Brussels&lt;/pub-location&gt;&lt;urls&gt;&lt;related-urls&gt;&lt;url&gt;https://eu.boell.org/sites/default/files/geothermal-energy-and-indigenous-communities-olkariaproject-kenya.pdf&lt;/url&gt;&lt;/related-urls&gt;&lt;/urls&gt;&lt;access-date&gt;Jan 24th, 2024&lt;/access-date&gt;&lt;/record&gt;&lt;/Cite&gt;&lt;/EndNote&gt;</w:instrText>
      </w:r>
      <w:r w:rsidRPr="00E56159">
        <w:rPr>
          <w:rFonts w:ascii="Times New Roman" w:hAnsi="Times New Roman" w:cs="Times New Roman"/>
          <w:szCs w:val="22"/>
        </w:rPr>
        <w:fldChar w:fldCharType="separate"/>
      </w:r>
      <w:r w:rsidRPr="00E56159">
        <w:rPr>
          <w:rFonts w:ascii="Times New Roman" w:hAnsi="Times New Roman" w:cs="Times New Roman"/>
          <w:noProof/>
          <w:szCs w:val="22"/>
        </w:rPr>
        <w:t>(Koissaba, 2018)</w:t>
      </w:r>
      <w:r w:rsidRPr="00E56159">
        <w:rPr>
          <w:rFonts w:ascii="Times New Roman" w:hAnsi="Times New Roman" w:cs="Times New Roman"/>
          <w:szCs w:val="22"/>
        </w:rPr>
        <w:fldChar w:fldCharType="end"/>
      </w:r>
      <w:r w:rsidRPr="00E56159">
        <w:rPr>
          <w:rFonts w:ascii="Times New Roman" w:hAnsi="Times New Roman" w:cs="Times New Roman"/>
          <w:szCs w:val="22"/>
        </w:rPr>
        <w:t xml:space="preserve">. The grievances raised by the Maasai community have also drawn attention to human rights concerns, leading to the withdrawal of financial support from one of the project’s funders, the European Investment Bank (EIB), which had initially approved a EUR 155 million loan for the </w:t>
      </w:r>
      <w:proofErr w:type="spellStart"/>
      <w:r w:rsidRPr="00E56159">
        <w:rPr>
          <w:rFonts w:ascii="Times New Roman" w:hAnsi="Times New Roman" w:cs="Times New Roman"/>
          <w:szCs w:val="22"/>
        </w:rPr>
        <w:t>Olkaria</w:t>
      </w:r>
      <w:proofErr w:type="spellEnd"/>
      <w:r w:rsidRPr="00E56159">
        <w:rPr>
          <w:rFonts w:ascii="Times New Roman" w:hAnsi="Times New Roman" w:cs="Times New Roman"/>
          <w:szCs w:val="22"/>
        </w:rPr>
        <w:t xml:space="preserve"> project</w:t>
      </w:r>
      <w:r w:rsidR="00FB6477">
        <w:rPr>
          <w:rFonts w:ascii="Times New Roman" w:hAnsi="Times New Roman" w:cs="Times New Roman" w:hint="eastAsia"/>
          <w:szCs w:val="22"/>
        </w:rPr>
        <w:t xml:space="preserve"> </w:t>
      </w:r>
      <w:r w:rsidR="00FB6477">
        <w:rPr>
          <w:rFonts w:ascii="Times New Roman" w:hAnsi="Times New Roman" w:cs="Times New Roman"/>
          <w:szCs w:val="22"/>
        </w:rPr>
        <w:fldChar w:fldCharType="begin"/>
      </w:r>
      <w:r w:rsidR="00ED016A">
        <w:rPr>
          <w:rFonts w:ascii="Times New Roman" w:hAnsi="Times New Roman" w:cs="Times New Roman"/>
          <w:szCs w:val="22"/>
        </w:rPr>
        <w:instrText xml:space="preserve"> ADDIN EN.CITE &lt;EndNote&gt;&lt;Cite&gt;&lt;Author&gt;International Accountability Project&lt;/Author&gt;&lt;Year&gt;2019&lt;/Year&gt;&lt;RecNum&gt;651&lt;/RecNum&gt;&lt;DisplayText&gt;(International Accountability Project, 2019)&lt;/DisplayText&gt;&lt;record&gt;&lt;rec-number&gt;651&lt;/rec-number&gt;&lt;foreign-keys&gt;&lt;key app="EN" db-id="9rv05s2taeez0oe22x2xw5dcsta5x2e0v0zz" timestamp="1730360468"&gt;651&lt;/key&gt;&lt;/foreign-keys&gt;&lt;ref-type name="Newspaper Article"&gt;23&lt;/ref-type&gt;&lt;contributors&gt;&lt;authors&gt;&lt;author&gt;International Accountability Project,&lt;/author&gt;&lt;/authors&gt;&lt;/contributors&gt;&lt;titles&gt;&lt;title&gt;Community campaign leads the European Investment Bank to withdraw from geothermal project in Kenya&lt;/title&gt;&lt;/titles&gt;&lt;volume&gt;2023&lt;/volume&gt;&lt;number&gt;Dec 21&lt;/number&gt;&lt;dates&gt;&lt;year&gt;2019&lt;/year&gt;&lt;/dates&gt;&lt;urls&gt;&lt;related-urls&gt;&lt;url&gt;https://accountability.medium.com/community-campaign-leads-the-european-investment-bank-to-withdraw-from-geothermal-project-in-kenya-2348c76748a2&lt;/url&gt;&lt;/related-urls&gt;&lt;/urls&gt;&lt;access-date&gt;Dec 21, 2023&lt;/access-date&gt;&lt;/record&gt;&lt;/Cite&gt;&lt;/EndNote&gt;</w:instrText>
      </w:r>
      <w:r w:rsidR="00FB6477">
        <w:rPr>
          <w:rFonts w:ascii="Times New Roman" w:hAnsi="Times New Roman" w:cs="Times New Roman"/>
          <w:szCs w:val="22"/>
        </w:rPr>
        <w:fldChar w:fldCharType="separate"/>
      </w:r>
      <w:r w:rsidR="00FB6477">
        <w:rPr>
          <w:rFonts w:ascii="Times New Roman" w:hAnsi="Times New Roman" w:cs="Times New Roman"/>
          <w:noProof/>
          <w:szCs w:val="22"/>
        </w:rPr>
        <w:t>(International Accountability Project, 2019)</w:t>
      </w:r>
      <w:r w:rsidR="00FB6477">
        <w:rPr>
          <w:rFonts w:ascii="Times New Roman" w:hAnsi="Times New Roman" w:cs="Times New Roman"/>
          <w:szCs w:val="22"/>
        </w:rPr>
        <w:fldChar w:fldCharType="end"/>
      </w:r>
      <w:r w:rsidRPr="00E56159">
        <w:rPr>
          <w:rFonts w:ascii="Times New Roman" w:hAnsi="Times New Roman" w:cs="Times New Roman"/>
          <w:szCs w:val="22"/>
        </w:rPr>
        <w:t xml:space="preserve">. </w:t>
      </w:r>
    </w:p>
    <w:p w14:paraId="2E993840" w14:textId="77777777" w:rsidR="009307C3" w:rsidRPr="00EE0BCA" w:rsidRDefault="009307C3" w:rsidP="00EE0BCA">
      <w:pPr>
        <w:spacing w:after="0" w:line="240" w:lineRule="auto"/>
        <w:jc w:val="center"/>
        <w:rPr>
          <w:rFonts w:ascii="Times New Roman" w:hAnsi="Times New Roman" w:cs="Times New Roman"/>
          <w:b/>
          <w:bCs/>
          <w:szCs w:val="22"/>
        </w:rPr>
      </w:pPr>
    </w:p>
    <w:p w14:paraId="67CB46A6" w14:textId="77777777" w:rsidR="00EE0BCA" w:rsidRDefault="00EE0BCA">
      <w:pPr>
        <w:widowControl/>
        <w:spacing w:after="0" w:line="240" w:lineRule="auto"/>
        <w:rPr>
          <w:rFonts w:ascii="Times New Roman" w:hAnsi="Times New Roman" w:cs="Times New Roman"/>
          <w:b/>
          <w:bCs/>
          <w:szCs w:val="22"/>
        </w:rPr>
      </w:pPr>
      <w:r>
        <w:rPr>
          <w:rFonts w:ascii="Times New Roman" w:hAnsi="Times New Roman" w:cs="Times New Roman"/>
          <w:b/>
          <w:bCs/>
          <w:szCs w:val="22"/>
        </w:rPr>
        <w:br w:type="page"/>
      </w:r>
    </w:p>
    <w:p w14:paraId="470FAEA4" w14:textId="2A144C99" w:rsidR="009307C3" w:rsidRPr="00502E4F" w:rsidRDefault="00AB13AE" w:rsidP="00EE0BCA">
      <w:pPr>
        <w:pStyle w:val="ListParagraph"/>
        <w:numPr>
          <w:ilvl w:val="0"/>
          <w:numId w:val="1"/>
        </w:numPr>
        <w:spacing w:after="0" w:line="480" w:lineRule="auto"/>
        <w:rPr>
          <w:rFonts w:ascii="Times New Roman" w:hAnsi="Times New Roman" w:cs="Times New Roman"/>
          <w:b/>
          <w:bCs/>
          <w:szCs w:val="22"/>
        </w:rPr>
      </w:pPr>
      <w:r w:rsidRPr="00502E4F">
        <w:rPr>
          <w:rFonts w:ascii="Times New Roman" w:hAnsi="Times New Roman" w:cs="Times New Roman"/>
          <w:b/>
          <w:bCs/>
          <w:szCs w:val="22"/>
        </w:rPr>
        <w:lastRenderedPageBreak/>
        <w:t xml:space="preserve">Breakdown of the final sample </w:t>
      </w:r>
      <w:r w:rsidR="00502E4F" w:rsidRPr="00502E4F">
        <w:rPr>
          <w:rFonts w:ascii="Times New Roman" w:hAnsi="Times New Roman" w:cs="Times New Roman"/>
          <w:b/>
          <w:bCs/>
          <w:szCs w:val="22"/>
        </w:rPr>
        <w:t xml:space="preserve">of PPI projects </w:t>
      </w:r>
      <w:r w:rsidRPr="00502E4F">
        <w:rPr>
          <w:rFonts w:ascii="Times New Roman" w:hAnsi="Times New Roman" w:cs="Times New Roman"/>
          <w:b/>
          <w:bCs/>
          <w:szCs w:val="22"/>
        </w:rPr>
        <w:t>by:</w:t>
      </w:r>
    </w:p>
    <w:p w14:paraId="3FAB96AE" w14:textId="77777777" w:rsidR="009307C3" w:rsidRPr="00E56159" w:rsidRDefault="00AB13AE" w:rsidP="00EE0BCA">
      <w:pPr>
        <w:pStyle w:val="ListParagraph"/>
        <w:widowControl/>
        <w:numPr>
          <w:ilvl w:val="1"/>
          <w:numId w:val="1"/>
        </w:numPr>
        <w:spacing w:after="0" w:line="480" w:lineRule="auto"/>
        <w:rPr>
          <w:rFonts w:ascii="Times New Roman" w:hAnsi="Times New Roman" w:cs="Times New Roman"/>
          <w:szCs w:val="22"/>
        </w:rPr>
      </w:pPr>
      <w:r w:rsidRPr="00E56159">
        <w:rPr>
          <w:rFonts w:ascii="Times New Roman" w:hAnsi="Times New Roman" w:cs="Times New Roman"/>
          <w:szCs w:val="22"/>
        </w:rPr>
        <w:t>Primary sectors (see Figure A1)</w:t>
      </w:r>
    </w:p>
    <w:p w14:paraId="34C06788" w14:textId="172ECF4C" w:rsidR="009307C3" w:rsidRPr="00E56159" w:rsidRDefault="00502E4F" w:rsidP="00EE0BCA">
      <w:pPr>
        <w:pStyle w:val="ListParagraph"/>
        <w:widowControl/>
        <w:numPr>
          <w:ilvl w:val="1"/>
          <w:numId w:val="1"/>
        </w:numPr>
        <w:spacing w:after="0" w:line="480" w:lineRule="auto"/>
        <w:rPr>
          <w:rFonts w:ascii="Times New Roman" w:hAnsi="Times New Roman" w:cs="Times New Roman"/>
          <w:szCs w:val="22"/>
        </w:rPr>
      </w:pPr>
      <w:r>
        <w:rPr>
          <w:rFonts w:ascii="Times New Roman" w:hAnsi="Times New Roman" w:cs="Times New Roman"/>
          <w:szCs w:val="22"/>
        </w:rPr>
        <w:t>F</w:t>
      </w:r>
      <w:r w:rsidR="00AB13AE" w:rsidRPr="00E56159">
        <w:rPr>
          <w:rFonts w:ascii="Times New Roman" w:hAnsi="Times New Roman" w:cs="Times New Roman"/>
          <w:szCs w:val="22"/>
        </w:rPr>
        <w:t>ounding year (see Figure A2).</w:t>
      </w:r>
    </w:p>
    <w:p w14:paraId="54508979" w14:textId="79D3638F" w:rsidR="009307C3" w:rsidRPr="00E56159" w:rsidRDefault="00502E4F" w:rsidP="00EE0BCA">
      <w:pPr>
        <w:pStyle w:val="ListParagraph"/>
        <w:widowControl/>
        <w:numPr>
          <w:ilvl w:val="1"/>
          <w:numId w:val="1"/>
        </w:numPr>
        <w:spacing w:after="0" w:line="480" w:lineRule="auto"/>
        <w:rPr>
          <w:rFonts w:ascii="Times New Roman" w:hAnsi="Times New Roman" w:cs="Times New Roman"/>
          <w:szCs w:val="22"/>
        </w:rPr>
      </w:pPr>
      <w:r>
        <w:rPr>
          <w:rFonts w:ascii="Times New Roman" w:hAnsi="Times New Roman" w:cs="Times New Roman"/>
          <w:szCs w:val="22"/>
        </w:rPr>
        <w:t>I</w:t>
      </w:r>
      <w:r w:rsidR="00AB13AE" w:rsidRPr="00E56159">
        <w:rPr>
          <w:rFonts w:ascii="Times New Roman" w:hAnsi="Times New Roman" w:cs="Times New Roman"/>
          <w:szCs w:val="22"/>
        </w:rPr>
        <w:t>nvestment size (see Figure A3).</w:t>
      </w:r>
    </w:p>
    <w:p w14:paraId="30B6C239" w14:textId="77777777" w:rsidR="009307C3" w:rsidRPr="00E56159" w:rsidRDefault="009307C3" w:rsidP="00EE0BCA">
      <w:pPr>
        <w:pStyle w:val="ListParagraph"/>
        <w:widowControl/>
        <w:spacing w:after="0"/>
        <w:ind w:left="880"/>
        <w:rPr>
          <w:rFonts w:ascii="Times New Roman" w:hAnsi="Times New Roman" w:cs="Times New Roman"/>
          <w:szCs w:val="22"/>
        </w:rPr>
      </w:pPr>
    </w:p>
    <w:p w14:paraId="6E45C152" w14:textId="5991FC72" w:rsidR="009307C3" w:rsidRPr="00556758" w:rsidRDefault="00AB13AE" w:rsidP="00EE0BCA">
      <w:pPr>
        <w:widowControl/>
        <w:spacing w:after="0"/>
        <w:rPr>
          <w:rFonts w:ascii="Times New Roman" w:hAnsi="Times New Roman" w:cs="Times New Roman"/>
          <w:b/>
          <w:szCs w:val="22"/>
        </w:rPr>
      </w:pPr>
      <w:r w:rsidRPr="00556758">
        <w:rPr>
          <w:rFonts w:ascii="Times New Roman" w:hAnsi="Times New Roman" w:cs="Times New Roman"/>
          <w:b/>
          <w:szCs w:val="22"/>
        </w:rPr>
        <w:t>Figure A1</w:t>
      </w:r>
      <w:r w:rsidR="00556758">
        <w:rPr>
          <w:rFonts w:ascii="Times New Roman" w:hAnsi="Times New Roman" w:cs="Times New Roman"/>
          <w:b/>
          <w:szCs w:val="22"/>
        </w:rPr>
        <w:t>:</w:t>
      </w:r>
      <w:r w:rsidRPr="00556758">
        <w:rPr>
          <w:rFonts w:ascii="Times New Roman" w:hAnsi="Times New Roman" w:cs="Times New Roman"/>
          <w:b/>
          <w:szCs w:val="22"/>
        </w:rPr>
        <w:t xml:space="preserve"> Project distribution by sector</w:t>
      </w:r>
    </w:p>
    <w:p w14:paraId="051664F9" w14:textId="77777777" w:rsidR="009307C3" w:rsidRPr="00E56159" w:rsidRDefault="00AB13AE" w:rsidP="00EE0BCA">
      <w:pPr>
        <w:widowControl/>
        <w:spacing w:after="0"/>
        <w:rPr>
          <w:rFonts w:ascii="Times New Roman" w:hAnsi="Times New Roman" w:cs="Times New Roman"/>
          <w:szCs w:val="22"/>
        </w:rPr>
      </w:pPr>
      <w:r w:rsidRPr="00E56159">
        <w:rPr>
          <w:rFonts w:ascii="Times New Roman" w:hAnsi="Times New Roman" w:cs="Times New Roman"/>
          <w:noProof/>
          <w:szCs w:val="22"/>
        </w:rPr>
        <w:drawing>
          <wp:inline distT="0" distB="0" distL="0" distR="0" wp14:anchorId="13F281C9" wp14:editId="5969C35A">
            <wp:extent cx="5274310" cy="3290570"/>
            <wp:effectExtent l="0" t="0" r="2540" b="5080"/>
            <wp:docPr id="62300589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2C5370" w14:textId="77777777" w:rsidR="009307C3" w:rsidRPr="00E56159" w:rsidRDefault="009307C3" w:rsidP="00EE0BCA">
      <w:pPr>
        <w:widowControl/>
        <w:spacing w:after="0"/>
        <w:rPr>
          <w:rFonts w:ascii="Times New Roman" w:hAnsi="Times New Roman" w:cs="Times New Roman"/>
          <w:szCs w:val="22"/>
        </w:rPr>
      </w:pPr>
    </w:p>
    <w:p w14:paraId="0A89C542" w14:textId="32D400F5" w:rsidR="009307C3" w:rsidRPr="00556758" w:rsidRDefault="00AB13AE" w:rsidP="00EE0BCA">
      <w:pPr>
        <w:widowControl/>
        <w:spacing w:after="0"/>
        <w:rPr>
          <w:rFonts w:ascii="Times New Roman" w:hAnsi="Times New Roman" w:cs="Times New Roman"/>
          <w:b/>
          <w:szCs w:val="22"/>
        </w:rPr>
      </w:pPr>
      <w:r w:rsidRPr="00556758">
        <w:rPr>
          <w:rFonts w:ascii="Times New Roman" w:hAnsi="Times New Roman" w:cs="Times New Roman"/>
          <w:b/>
          <w:szCs w:val="22"/>
        </w:rPr>
        <w:lastRenderedPageBreak/>
        <w:t>Figure A2</w:t>
      </w:r>
      <w:r w:rsidR="00556758">
        <w:rPr>
          <w:rFonts w:ascii="Times New Roman" w:hAnsi="Times New Roman" w:cs="Times New Roman"/>
          <w:b/>
          <w:szCs w:val="22"/>
        </w:rPr>
        <w:t>:</w:t>
      </w:r>
      <w:r w:rsidRPr="00556758">
        <w:rPr>
          <w:rFonts w:ascii="Times New Roman" w:hAnsi="Times New Roman" w:cs="Times New Roman"/>
          <w:b/>
          <w:szCs w:val="22"/>
        </w:rPr>
        <w:t xml:space="preserve"> Project distribution by founding year</w:t>
      </w:r>
      <w:r w:rsidRPr="00556758">
        <w:rPr>
          <w:rFonts w:ascii="Times New Roman" w:hAnsi="Times New Roman" w:cs="Times New Roman"/>
          <w:b/>
          <w:noProof/>
          <w:szCs w:val="22"/>
        </w:rPr>
        <w:drawing>
          <wp:anchor distT="0" distB="0" distL="114300" distR="114300" simplePos="0" relativeHeight="251659264" behindDoc="0" locked="0" layoutInCell="1" allowOverlap="1" wp14:anchorId="49782A89" wp14:editId="2204B79E">
            <wp:simplePos x="0" y="0"/>
            <wp:positionH relativeFrom="margin">
              <wp:posOffset>-457200</wp:posOffset>
            </wp:positionH>
            <wp:positionV relativeFrom="paragraph">
              <wp:posOffset>330835</wp:posOffset>
            </wp:positionV>
            <wp:extent cx="6257925" cy="2962275"/>
            <wp:effectExtent l="0" t="0" r="9525" b="9525"/>
            <wp:wrapTopAndBottom/>
            <wp:docPr id="86665528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2613916" w14:textId="77777777" w:rsidR="009307C3" w:rsidRPr="00E56159" w:rsidRDefault="009307C3" w:rsidP="00EE0BCA">
      <w:pPr>
        <w:widowControl/>
        <w:spacing w:after="0"/>
        <w:rPr>
          <w:rFonts w:ascii="Times New Roman" w:hAnsi="Times New Roman" w:cs="Times New Roman"/>
          <w:szCs w:val="22"/>
        </w:rPr>
      </w:pPr>
    </w:p>
    <w:p w14:paraId="46D7DF1A" w14:textId="508E830C" w:rsidR="009307C3" w:rsidRPr="00556758" w:rsidRDefault="00AB13AE" w:rsidP="00EE0BCA">
      <w:pPr>
        <w:widowControl/>
        <w:spacing w:after="0"/>
        <w:rPr>
          <w:rFonts w:ascii="Times New Roman" w:hAnsi="Times New Roman" w:cs="Times New Roman"/>
          <w:b/>
          <w:szCs w:val="22"/>
        </w:rPr>
      </w:pPr>
      <w:r w:rsidRPr="00556758">
        <w:rPr>
          <w:rFonts w:ascii="Times New Roman" w:hAnsi="Times New Roman" w:cs="Times New Roman"/>
          <w:b/>
          <w:szCs w:val="22"/>
        </w:rPr>
        <w:t>Figure A3</w:t>
      </w:r>
      <w:r w:rsidR="00556758">
        <w:rPr>
          <w:rFonts w:ascii="Times New Roman" w:hAnsi="Times New Roman" w:cs="Times New Roman"/>
          <w:b/>
          <w:szCs w:val="22"/>
        </w:rPr>
        <w:t>:</w:t>
      </w:r>
      <w:r w:rsidRPr="00556758">
        <w:rPr>
          <w:rFonts w:ascii="Times New Roman" w:hAnsi="Times New Roman" w:cs="Times New Roman"/>
          <w:b/>
          <w:szCs w:val="22"/>
        </w:rPr>
        <w:t xml:space="preserve"> Project distribution by investment size (US$ million)</w:t>
      </w:r>
    </w:p>
    <w:p w14:paraId="6296C7AD" w14:textId="77777777" w:rsidR="009307C3" w:rsidRPr="00E56159" w:rsidRDefault="00AB13AE" w:rsidP="00EE0BCA">
      <w:pPr>
        <w:spacing w:after="0"/>
        <w:jc w:val="center"/>
        <w:rPr>
          <w:rFonts w:ascii="Times New Roman" w:hAnsi="Times New Roman" w:cs="Times New Roman"/>
          <w:szCs w:val="22"/>
        </w:rPr>
      </w:pPr>
      <w:r w:rsidRPr="00E56159">
        <w:rPr>
          <w:rFonts w:ascii="Times New Roman" w:hAnsi="Times New Roman" w:cs="Times New Roman"/>
          <w:noProof/>
          <w:szCs w:val="22"/>
        </w:rPr>
        <w:drawing>
          <wp:inline distT="0" distB="0" distL="0" distR="0" wp14:anchorId="2A04E6D1" wp14:editId="19179F2B">
            <wp:extent cx="5203825" cy="3378200"/>
            <wp:effectExtent l="0" t="0" r="15875" b="12700"/>
            <wp:docPr id="20802469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7732E1" w14:textId="77777777" w:rsidR="009307C3" w:rsidRPr="00E56159" w:rsidRDefault="009307C3" w:rsidP="00EE0BCA">
      <w:pPr>
        <w:widowControl/>
        <w:spacing w:after="0"/>
        <w:rPr>
          <w:rFonts w:ascii="Times New Roman" w:hAnsi="Times New Roman" w:cs="Times New Roman"/>
          <w:szCs w:val="22"/>
        </w:rPr>
      </w:pPr>
    </w:p>
    <w:p w14:paraId="70E7C551" w14:textId="77777777" w:rsidR="009307C3" w:rsidRPr="00E56159" w:rsidRDefault="009307C3" w:rsidP="00EE0BCA">
      <w:pPr>
        <w:spacing w:after="0" w:line="240" w:lineRule="auto"/>
        <w:rPr>
          <w:rFonts w:ascii="Times New Roman" w:hAnsi="Times New Roman" w:cs="Times New Roman"/>
          <w:color w:val="000000"/>
          <w:kern w:val="0"/>
          <w:szCs w:val="22"/>
          <w14:ligatures w14:val="none"/>
        </w:rPr>
      </w:pPr>
    </w:p>
    <w:p w14:paraId="06899DA1" w14:textId="77777777" w:rsidR="009307C3" w:rsidRPr="00E56159" w:rsidRDefault="009307C3" w:rsidP="00EE0BCA">
      <w:pPr>
        <w:spacing w:after="0" w:line="240" w:lineRule="auto"/>
        <w:rPr>
          <w:rFonts w:ascii="Times New Roman" w:hAnsi="Times New Roman" w:cs="Times New Roman"/>
          <w:color w:val="000000"/>
          <w:kern w:val="0"/>
          <w:szCs w:val="22"/>
          <w14:ligatures w14:val="none"/>
        </w:rPr>
      </w:pPr>
    </w:p>
    <w:p w14:paraId="6870DDDC" w14:textId="77777777" w:rsidR="009307C3" w:rsidRDefault="009307C3" w:rsidP="00EE0BCA">
      <w:pPr>
        <w:spacing w:after="0" w:line="240" w:lineRule="auto"/>
        <w:rPr>
          <w:rFonts w:ascii="Times New Roman" w:hAnsi="Times New Roman" w:cs="Times New Roman"/>
          <w:color w:val="000000"/>
          <w:kern w:val="0"/>
          <w:szCs w:val="22"/>
          <w14:ligatures w14:val="none"/>
        </w:rPr>
      </w:pPr>
    </w:p>
    <w:p w14:paraId="512D32AA" w14:textId="77777777" w:rsidR="00FB6477" w:rsidRDefault="00FB6477" w:rsidP="00EE0BCA">
      <w:pPr>
        <w:spacing w:after="0" w:line="240" w:lineRule="auto"/>
        <w:rPr>
          <w:rFonts w:ascii="Times New Roman" w:hAnsi="Times New Roman" w:cs="Times New Roman"/>
          <w:color w:val="000000"/>
          <w:kern w:val="0"/>
          <w:szCs w:val="22"/>
          <w14:ligatures w14:val="none"/>
        </w:rPr>
      </w:pPr>
    </w:p>
    <w:p w14:paraId="14997C49" w14:textId="77777777" w:rsidR="00FB6477" w:rsidRDefault="00FB6477" w:rsidP="00EE0BCA">
      <w:pPr>
        <w:spacing w:after="0" w:line="240" w:lineRule="auto"/>
        <w:rPr>
          <w:rFonts w:ascii="Times New Roman" w:hAnsi="Times New Roman" w:cs="Times New Roman"/>
          <w:color w:val="000000"/>
          <w:kern w:val="0"/>
          <w:szCs w:val="22"/>
          <w14:ligatures w14:val="none"/>
        </w:rPr>
      </w:pPr>
    </w:p>
    <w:p w14:paraId="78B5BC87" w14:textId="77777777" w:rsidR="00FB6477" w:rsidRPr="00E56159" w:rsidRDefault="00FB6477" w:rsidP="00EE0BCA">
      <w:pPr>
        <w:spacing w:after="0" w:line="240" w:lineRule="auto"/>
        <w:rPr>
          <w:rFonts w:ascii="Times New Roman" w:hAnsi="Times New Roman" w:cs="Times New Roman"/>
          <w:color w:val="000000"/>
          <w:kern w:val="0"/>
          <w:szCs w:val="22"/>
          <w14:ligatures w14:val="none"/>
        </w:rPr>
      </w:pPr>
    </w:p>
    <w:p w14:paraId="159776FD" w14:textId="152F131B" w:rsidR="009307C3" w:rsidRPr="00EE0BCA" w:rsidRDefault="00AB13AE" w:rsidP="00EE0BCA">
      <w:pPr>
        <w:pStyle w:val="ListParagraph"/>
        <w:numPr>
          <w:ilvl w:val="0"/>
          <w:numId w:val="1"/>
        </w:numPr>
        <w:spacing w:after="0" w:line="240" w:lineRule="auto"/>
        <w:rPr>
          <w:rFonts w:ascii="Times New Roman" w:hAnsi="Times New Roman" w:cs="Times New Roman"/>
          <w:bCs/>
          <w:i/>
          <w:szCs w:val="22"/>
        </w:rPr>
      </w:pPr>
      <w:r w:rsidRPr="00EE0BCA">
        <w:rPr>
          <w:rFonts w:ascii="Times New Roman" w:hAnsi="Times New Roman" w:cs="Times New Roman"/>
          <w:b/>
          <w:bCs/>
          <w:szCs w:val="22"/>
        </w:rPr>
        <w:lastRenderedPageBreak/>
        <w:t>Two-stage Heckman models</w:t>
      </w:r>
    </w:p>
    <w:p w14:paraId="6EBC8D37" w14:textId="064630D7" w:rsidR="009307C3" w:rsidRPr="00E56159" w:rsidRDefault="00AB13AE" w:rsidP="00EE0BCA">
      <w:pPr>
        <w:spacing w:after="0" w:line="240" w:lineRule="auto"/>
        <w:rPr>
          <w:rFonts w:ascii="Times New Roman" w:hAnsi="Times New Roman" w:cs="Times New Roman"/>
          <w:szCs w:val="22"/>
        </w:rPr>
      </w:pPr>
      <w:r w:rsidRPr="00E56159">
        <w:rPr>
          <w:rFonts w:ascii="Times New Roman" w:hAnsi="Times New Roman" w:cs="Times New Roman"/>
          <w:b/>
          <w:bCs/>
          <w:szCs w:val="22"/>
        </w:rPr>
        <w:t>Table A1</w:t>
      </w:r>
      <w:r w:rsidR="00556758">
        <w:rPr>
          <w:rFonts w:ascii="Times New Roman" w:hAnsi="Times New Roman" w:cs="Times New Roman"/>
          <w:b/>
          <w:bCs/>
          <w:szCs w:val="22"/>
        </w:rPr>
        <w:t>:</w:t>
      </w:r>
      <w:r w:rsidRPr="00E56159">
        <w:rPr>
          <w:rFonts w:ascii="Times New Roman" w:hAnsi="Times New Roman" w:cs="Times New Roman"/>
          <w:b/>
          <w:bCs/>
          <w:szCs w:val="22"/>
        </w:rPr>
        <w:t xml:space="preserve"> Ethnic partitioning and PPI projects’ survival</w:t>
      </w:r>
      <w:r w:rsidRPr="00E56159">
        <w:rPr>
          <w:rFonts w:ascii="Times New Roman" w:hAnsi="Times New Roman" w:cs="Times New Roman"/>
          <w:szCs w:val="22"/>
        </w:rPr>
        <w:t xml:space="preserve"> (Cox regression model)</w:t>
      </w:r>
    </w:p>
    <w:tbl>
      <w:tblPr>
        <w:tblW w:w="9747" w:type="dxa"/>
        <w:jc w:val="center"/>
        <w:tblLook w:val="04A0" w:firstRow="1" w:lastRow="0" w:firstColumn="1" w:lastColumn="0" w:noHBand="0" w:noVBand="1"/>
      </w:tblPr>
      <w:tblGrid>
        <w:gridCol w:w="2835"/>
        <w:gridCol w:w="1152"/>
        <w:gridCol w:w="1152"/>
        <w:gridCol w:w="1152"/>
        <w:gridCol w:w="1152"/>
        <w:gridCol w:w="1152"/>
        <w:gridCol w:w="1152"/>
      </w:tblGrid>
      <w:tr w:rsidR="009307C3" w:rsidRPr="00E56159" w14:paraId="0D470C18" w14:textId="77777777" w:rsidTr="00EE0BCA">
        <w:trPr>
          <w:trHeight w:hRule="exact" w:val="274"/>
          <w:jc w:val="center"/>
        </w:trPr>
        <w:tc>
          <w:tcPr>
            <w:tcW w:w="2835" w:type="dxa"/>
            <w:vMerge w:val="restart"/>
            <w:tcBorders>
              <w:top w:val="single" w:sz="4" w:space="0" w:color="auto"/>
            </w:tcBorders>
            <w:shd w:val="clear" w:color="auto" w:fill="auto"/>
            <w:noWrap/>
            <w:vAlign w:val="center"/>
          </w:tcPr>
          <w:p w14:paraId="528277DB"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Variable</w:t>
            </w:r>
            <w:r w:rsidRPr="00E56159">
              <w:rPr>
                <w:rFonts w:ascii="Times New Roman" w:eastAsia="Times New Roman" w:hAnsi="Times New Roman" w:cs="Times New Roman"/>
                <w:color w:val="000000"/>
                <w:kern w:val="0"/>
                <w:szCs w:val="22"/>
                <w14:ligatures w14:val="none"/>
              </w:rPr>
              <w:t> </w:t>
            </w:r>
          </w:p>
        </w:tc>
        <w:tc>
          <w:tcPr>
            <w:tcW w:w="1152" w:type="dxa"/>
            <w:tcBorders>
              <w:top w:val="single" w:sz="4" w:space="0" w:color="auto"/>
              <w:bottom w:val="single" w:sz="4" w:space="0" w:color="auto"/>
            </w:tcBorders>
            <w:shd w:val="clear" w:color="auto" w:fill="auto"/>
            <w:noWrap/>
            <w:vAlign w:val="center"/>
          </w:tcPr>
          <w:p w14:paraId="723CF694"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1</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27CC8CCB"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2</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6D42197E"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3</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1BD8D722"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4</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68C1FD9A"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5</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752AFD5F"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6</w:t>
            </w:r>
            <w:r w:rsidRPr="00E56159">
              <w:rPr>
                <w:rFonts w:ascii="Times New Roman" w:hAnsi="Times New Roman" w:cs="Times New Roman"/>
                <w:kern w:val="0"/>
                <w:szCs w:val="22"/>
                <w14:ligatures w14:val="none"/>
              </w:rPr>
              <w:t>)</w:t>
            </w:r>
          </w:p>
        </w:tc>
      </w:tr>
      <w:tr w:rsidR="009307C3" w:rsidRPr="00E56159" w14:paraId="4275FC78" w14:textId="77777777" w:rsidTr="00EE0BCA">
        <w:trPr>
          <w:trHeight w:hRule="exact" w:val="274"/>
          <w:jc w:val="center"/>
        </w:trPr>
        <w:tc>
          <w:tcPr>
            <w:tcW w:w="2835" w:type="dxa"/>
            <w:vMerge/>
            <w:tcBorders>
              <w:bottom w:val="single" w:sz="4" w:space="0" w:color="auto"/>
            </w:tcBorders>
            <w:shd w:val="clear" w:color="auto" w:fill="auto"/>
            <w:noWrap/>
            <w:vAlign w:val="center"/>
          </w:tcPr>
          <w:p w14:paraId="79A79B74"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tcBorders>
              <w:top w:val="single" w:sz="4" w:space="0" w:color="auto"/>
              <w:bottom w:val="single" w:sz="4" w:space="0" w:color="auto"/>
            </w:tcBorders>
            <w:shd w:val="clear" w:color="auto" w:fill="auto"/>
            <w:noWrap/>
            <w:vAlign w:val="center"/>
          </w:tcPr>
          <w:p w14:paraId="2E03ADD3"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5E3034B8"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7A63521A"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eastAsia="Times New Roman" w:hAnsi="Times New Roman" w:cs="Times New Roman"/>
                <w:kern w:val="0"/>
                <w:szCs w:val="22"/>
                <w14:ligatures w14:val="none"/>
              </w:rPr>
              <w:t>Conflict</w:t>
            </w:r>
          </w:p>
        </w:tc>
        <w:tc>
          <w:tcPr>
            <w:tcW w:w="1152" w:type="dxa"/>
            <w:tcBorders>
              <w:top w:val="single" w:sz="4" w:space="0" w:color="auto"/>
              <w:bottom w:val="single" w:sz="4" w:space="0" w:color="auto"/>
            </w:tcBorders>
            <w:shd w:val="clear" w:color="auto" w:fill="auto"/>
            <w:noWrap/>
            <w:vAlign w:val="center"/>
          </w:tcPr>
          <w:p w14:paraId="4F51B8CA"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0D2AF547"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44105ABE"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r>
      <w:tr w:rsidR="009307C3" w:rsidRPr="00E56159" w14:paraId="198EC20F" w14:textId="77777777" w:rsidTr="00EE0BCA">
        <w:trPr>
          <w:trHeight w:hRule="exact" w:val="245"/>
          <w:jc w:val="center"/>
        </w:trPr>
        <w:tc>
          <w:tcPr>
            <w:tcW w:w="2835" w:type="dxa"/>
            <w:vMerge w:val="restart"/>
            <w:tcBorders>
              <w:top w:val="single" w:sz="4" w:space="0" w:color="auto"/>
            </w:tcBorders>
            <w:shd w:val="clear" w:color="auto" w:fill="auto"/>
            <w:noWrap/>
            <w:vAlign w:val="center"/>
          </w:tcPr>
          <w:p w14:paraId="4363727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Ethnic partitioning</w:t>
            </w:r>
          </w:p>
        </w:tc>
        <w:tc>
          <w:tcPr>
            <w:tcW w:w="1152" w:type="dxa"/>
            <w:tcBorders>
              <w:top w:val="single" w:sz="4" w:space="0" w:color="auto"/>
            </w:tcBorders>
            <w:shd w:val="clear" w:color="auto" w:fill="auto"/>
            <w:noWrap/>
            <w:vAlign w:val="center"/>
          </w:tcPr>
          <w:p w14:paraId="592A33A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tcBorders>
              <w:top w:val="single" w:sz="4" w:space="0" w:color="auto"/>
            </w:tcBorders>
            <w:shd w:val="clear" w:color="auto" w:fill="auto"/>
            <w:noWrap/>
            <w:vAlign w:val="center"/>
          </w:tcPr>
          <w:p w14:paraId="430BE53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0.706</w:t>
            </w:r>
          </w:p>
        </w:tc>
        <w:tc>
          <w:tcPr>
            <w:tcW w:w="1152" w:type="dxa"/>
            <w:tcBorders>
              <w:top w:val="single" w:sz="4" w:space="0" w:color="auto"/>
            </w:tcBorders>
            <w:shd w:val="clear" w:color="auto" w:fill="auto"/>
            <w:noWrap/>
            <w:vAlign w:val="center"/>
          </w:tcPr>
          <w:p w14:paraId="3A64F8C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4.266</w:t>
            </w:r>
          </w:p>
        </w:tc>
        <w:tc>
          <w:tcPr>
            <w:tcW w:w="1152" w:type="dxa"/>
            <w:tcBorders>
              <w:top w:val="single" w:sz="4" w:space="0" w:color="auto"/>
            </w:tcBorders>
            <w:shd w:val="clear" w:color="auto" w:fill="auto"/>
            <w:noWrap/>
            <w:vAlign w:val="center"/>
          </w:tcPr>
          <w:p w14:paraId="4EA97C15"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tcBorders>
              <w:top w:val="single" w:sz="4" w:space="0" w:color="auto"/>
            </w:tcBorders>
            <w:shd w:val="clear" w:color="auto" w:fill="auto"/>
            <w:noWrap/>
            <w:vAlign w:val="center"/>
          </w:tcPr>
          <w:p w14:paraId="570A008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0.595</w:t>
            </w:r>
          </w:p>
        </w:tc>
        <w:tc>
          <w:tcPr>
            <w:tcW w:w="1152" w:type="dxa"/>
            <w:tcBorders>
              <w:top w:val="single" w:sz="4" w:space="0" w:color="auto"/>
            </w:tcBorders>
            <w:shd w:val="clear" w:color="auto" w:fill="auto"/>
            <w:noWrap/>
            <w:vAlign w:val="center"/>
          </w:tcPr>
          <w:p w14:paraId="35C31F2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0.759</w:t>
            </w:r>
          </w:p>
        </w:tc>
      </w:tr>
      <w:tr w:rsidR="009307C3" w:rsidRPr="00E56159" w14:paraId="549C2428" w14:textId="77777777" w:rsidTr="00EE0BCA">
        <w:trPr>
          <w:trHeight w:hRule="exact" w:val="245"/>
          <w:jc w:val="center"/>
        </w:trPr>
        <w:tc>
          <w:tcPr>
            <w:tcW w:w="2835" w:type="dxa"/>
            <w:vMerge/>
            <w:vAlign w:val="center"/>
          </w:tcPr>
          <w:p w14:paraId="14B77758"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D6A1FCB"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B528AC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(0.019)</w:t>
            </w:r>
          </w:p>
        </w:tc>
        <w:tc>
          <w:tcPr>
            <w:tcW w:w="1152" w:type="dxa"/>
            <w:shd w:val="clear" w:color="auto" w:fill="auto"/>
            <w:noWrap/>
            <w:vAlign w:val="center"/>
          </w:tcPr>
          <w:p w14:paraId="38A2106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3C5C877A"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4C62C6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(0.015)</w:t>
            </w:r>
          </w:p>
        </w:tc>
        <w:tc>
          <w:tcPr>
            <w:tcW w:w="1152" w:type="dxa"/>
            <w:shd w:val="clear" w:color="auto" w:fill="auto"/>
            <w:noWrap/>
            <w:vAlign w:val="center"/>
          </w:tcPr>
          <w:p w14:paraId="01A290D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55871939" w14:textId="77777777" w:rsidTr="00EE0BCA">
        <w:trPr>
          <w:trHeight w:hRule="exact" w:val="245"/>
          <w:jc w:val="center"/>
        </w:trPr>
        <w:tc>
          <w:tcPr>
            <w:tcW w:w="2835" w:type="dxa"/>
            <w:vMerge w:val="restart"/>
            <w:shd w:val="clear" w:color="auto" w:fill="auto"/>
            <w:noWrap/>
            <w:vAlign w:val="center"/>
          </w:tcPr>
          <w:p w14:paraId="0524036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Conflict exposure</w:t>
            </w:r>
          </w:p>
        </w:tc>
        <w:tc>
          <w:tcPr>
            <w:tcW w:w="1152" w:type="dxa"/>
            <w:shd w:val="clear" w:color="auto" w:fill="auto"/>
            <w:noWrap/>
            <w:vAlign w:val="center"/>
          </w:tcPr>
          <w:p w14:paraId="51A24DF2"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A950F1C"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237188FA"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55A0B68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0.007</w:t>
            </w:r>
          </w:p>
        </w:tc>
        <w:tc>
          <w:tcPr>
            <w:tcW w:w="1152" w:type="dxa"/>
            <w:shd w:val="clear" w:color="auto" w:fill="auto"/>
            <w:noWrap/>
            <w:vAlign w:val="center"/>
          </w:tcPr>
          <w:p w14:paraId="118880B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0.007</w:t>
            </w:r>
          </w:p>
        </w:tc>
        <w:tc>
          <w:tcPr>
            <w:tcW w:w="1152" w:type="dxa"/>
            <w:shd w:val="clear" w:color="auto" w:fill="auto"/>
            <w:noWrap/>
            <w:vAlign w:val="center"/>
          </w:tcPr>
          <w:p w14:paraId="3CBDB9A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0.008</w:t>
            </w:r>
          </w:p>
        </w:tc>
      </w:tr>
      <w:tr w:rsidR="009307C3" w:rsidRPr="00E56159" w14:paraId="552599E4" w14:textId="77777777" w:rsidTr="00EE0BCA">
        <w:trPr>
          <w:trHeight w:hRule="exact" w:val="245"/>
          <w:jc w:val="center"/>
        </w:trPr>
        <w:tc>
          <w:tcPr>
            <w:tcW w:w="2835" w:type="dxa"/>
            <w:vMerge/>
            <w:vAlign w:val="center"/>
          </w:tcPr>
          <w:p w14:paraId="3ADF8157"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B71B415"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4165C6D"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28E4906D"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3855C5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0E3579E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3491B6F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0B14473D" w14:textId="77777777" w:rsidTr="00EE0BCA">
        <w:trPr>
          <w:trHeight w:hRule="exact" w:val="288"/>
          <w:jc w:val="center"/>
        </w:trPr>
        <w:tc>
          <w:tcPr>
            <w:tcW w:w="2835" w:type="dxa"/>
            <w:vMerge w:val="restart"/>
            <w:shd w:val="clear" w:color="auto" w:fill="auto"/>
            <w:noWrap/>
            <w:vAlign w:val="center"/>
          </w:tcPr>
          <w:p w14:paraId="1E8DB073"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Ethnic partitioning</w:t>
            </w:r>
            <w:r w:rsidRPr="00E56159">
              <w:rPr>
                <w:rFonts w:ascii="Times New Roman" w:hAnsi="Times New Roman" w:cs="Times New Roman"/>
                <w:color w:val="000000"/>
                <w:kern w:val="0"/>
                <w:szCs w:val="22"/>
                <w14:ligatures w14:val="none"/>
              </w:rPr>
              <w:t xml:space="preserve"> </w:t>
            </w:r>
          </w:p>
          <w:p w14:paraId="3CB6DF7A"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 xml:space="preserve">× </w:t>
            </w:r>
            <w:r w:rsidRPr="00E56159">
              <w:rPr>
                <w:rFonts w:ascii="Times New Roman" w:eastAsia="Times New Roman" w:hAnsi="Times New Roman" w:cs="Times New Roman"/>
                <w:color w:val="000000"/>
                <w:kern w:val="0"/>
                <w:szCs w:val="22"/>
                <w14:ligatures w14:val="none"/>
              </w:rPr>
              <w:t>Institutional quality</w:t>
            </w:r>
          </w:p>
        </w:tc>
        <w:tc>
          <w:tcPr>
            <w:tcW w:w="1152" w:type="dxa"/>
            <w:shd w:val="clear" w:color="auto" w:fill="auto"/>
            <w:noWrap/>
            <w:vAlign w:val="center"/>
          </w:tcPr>
          <w:p w14:paraId="4EA831E6"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58F1195"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7CA25079"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79F63FDE"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76FD290C"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91CA5D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-1.282</w:t>
            </w:r>
          </w:p>
        </w:tc>
      </w:tr>
      <w:tr w:rsidR="009307C3" w:rsidRPr="00E56159" w14:paraId="297723D4" w14:textId="77777777" w:rsidTr="00EE0BCA">
        <w:trPr>
          <w:trHeight w:hRule="exact" w:val="288"/>
          <w:jc w:val="center"/>
        </w:trPr>
        <w:tc>
          <w:tcPr>
            <w:tcW w:w="2835" w:type="dxa"/>
            <w:vMerge/>
            <w:vAlign w:val="center"/>
          </w:tcPr>
          <w:p w14:paraId="23FD9FDE"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3EABDAC"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6F7B47E6"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7822947"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7768A33"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9A06E3D"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4AB1FE5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(0.077)</w:t>
            </w:r>
          </w:p>
        </w:tc>
      </w:tr>
      <w:tr w:rsidR="009307C3" w:rsidRPr="00E56159" w14:paraId="205EB249" w14:textId="77777777" w:rsidTr="00EE0BCA">
        <w:trPr>
          <w:trHeight w:hRule="exact" w:val="245"/>
          <w:jc w:val="center"/>
        </w:trPr>
        <w:tc>
          <w:tcPr>
            <w:tcW w:w="2835" w:type="dxa"/>
            <w:vMerge w:val="restart"/>
            <w:shd w:val="clear" w:color="auto" w:fill="auto"/>
            <w:noWrap/>
            <w:vAlign w:val="center"/>
          </w:tcPr>
          <w:p w14:paraId="5AA635C9"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Institutional quality</w:t>
            </w:r>
          </w:p>
        </w:tc>
        <w:tc>
          <w:tcPr>
            <w:tcW w:w="1152" w:type="dxa"/>
            <w:shd w:val="clear" w:color="auto" w:fill="auto"/>
            <w:noWrap/>
            <w:vAlign w:val="center"/>
          </w:tcPr>
          <w:p w14:paraId="356A3B9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0.332</w:t>
            </w:r>
          </w:p>
        </w:tc>
        <w:tc>
          <w:tcPr>
            <w:tcW w:w="1152" w:type="dxa"/>
            <w:shd w:val="clear" w:color="auto" w:fill="auto"/>
            <w:noWrap/>
            <w:vAlign w:val="center"/>
          </w:tcPr>
          <w:p w14:paraId="477C9B9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0.332</w:t>
            </w:r>
          </w:p>
        </w:tc>
        <w:tc>
          <w:tcPr>
            <w:tcW w:w="1152" w:type="dxa"/>
            <w:shd w:val="clear" w:color="auto" w:fill="auto"/>
            <w:noWrap/>
            <w:vAlign w:val="center"/>
          </w:tcPr>
          <w:p w14:paraId="126AEA1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-4.110</w:t>
            </w:r>
          </w:p>
        </w:tc>
        <w:tc>
          <w:tcPr>
            <w:tcW w:w="1152" w:type="dxa"/>
            <w:shd w:val="clear" w:color="auto" w:fill="auto"/>
            <w:noWrap/>
            <w:vAlign w:val="center"/>
          </w:tcPr>
          <w:p w14:paraId="2AA3719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0.109</w:t>
            </w:r>
          </w:p>
        </w:tc>
        <w:tc>
          <w:tcPr>
            <w:tcW w:w="1152" w:type="dxa"/>
            <w:shd w:val="clear" w:color="auto" w:fill="auto"/>
            <w:noWrap/>
            <w:vAlign w:val="center"/>
          </w:tcPr>
          <w:p w14:paraId="5B4868C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0.102</w:t>
            </w:r>
          </w:p>
        </w:tc>
        <w:tc>
          <w:tcPr>
            <w:tcW w:w="1152" w:type="dxa"/>
            <w:shd w:val="clear" w:color="auto" w:fill="auto"/>
            <w:noWrap/>
            <w:vAlign w:val="center"/>
          </w:tcPr>
          <w:p w14:paraId="03E9188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0.132</w:t>
            </w:r>
          </w:p>
        </w:tc>
      </w:tr>
      <w:tr w:rsidR="009307C3" w:rsidRPr="00E56159" w14:paraId="2DACCA8C" w14:textId="77777777" w:rsidTr="00EE0BCA">
        <w:trPr>
          <w:trHeight w:hRule="exact" w:val="245"/>
          <w:jc w:val="center"/>
        </w:trPr>
        <w:tc>
          <w:tcPr>
            <w:tcW w:w="2835" w:type="dxa"/>
            <w:vMerge/>
            <w:vAlign w:val="center"/>
          </w:tcPr>
          <w:p w14:paraId="6BEA59A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87F6D2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(0.717)</w:t>
            </w:r>
          </w:p>
        </w:tc>
        <w:tc>
          <w:tcPr>
            <w:tcW w:w="1152" w:type="dxa"/>
            <w:shd w:val="clear" w:color="auto" w:fill="auto"/>
            <w:noWrap/>
            <w:vAlign w:val="center"/>
          </w:tcPr>
          <w:p w14:paraId="6B8A942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(0.689)</w:t>
            </w:r>
          </w:p>
        </w:tc>
        <w:tc>
          <w:tcPr>
            <w:tcW w:w="1152" w:type="dxa"/>
            <w:shd w:val="clear" w:color="auto" w:fill="auto"/>
            <w:noWrap/>
            <w:vAlign w:val="center"/>
          </w:tcPr>
          <w:p w14:paraId="3E6398F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(0.055)</w:t>
            </w:r>
          </w:p>
        </w:tc>
        <w:tc>
          <w:tcPr>
            <w:tcW w:w="1152" w:type="dxa"/>
            <w:shd w:val="clear" w:color="auto" w:fill="auto"/>
            <w:noWrap/>
            <w:vAlign w:val="center"/>
          </w:tcPr>
          <w:p w14:paraId="0DEFA66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(0.904)</w:t>
            </w:r>
          </w:p>
        </w:tc>
        <w:tc>
          <w:tcPr>
            <w:tcW w:w="1152" w:type="dxa"/>
            <w:shd w:val="clear" w:color="auto" w:fill="auto"/>
            <w:noWrap/>
            <w:vAlign w:val="center"/>
          </w:tcPr>
          <w:p w14:paraId="3DCE93A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(0.901)</w:t>
            </w:r>
          </w:p>
        </w:tc>
        <w:tc>
          <w:tcPr>
            <w:tcW w:w="1152" w:type="dxa"/>
            <w:shd w:val="clear" w:color="auto" w:fill="auto"/>
            <w:noWrap/>
            <w:vAlign w:val="center"/>
          </w:tcPr>
          <w:p w14:paraId="390270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(0.847)</w:t>
            </w:r>
          </w:p>
        </w:tc>
      </w:tr>
      <w:tr w:rsidR="009307C3" w:rsidRPr="00E56159" w14:paraId="2A8C44A1" w14:textId="77777777" w:rsidTr="00EE0BCA">
        <w:trPr>
          <w:trHeight w:hRule="exact" w:val="245"/>
          <w:jc w:val="center"/>
        </w:trPr>
        <w:tc>
          <w:tcPr>
            <w:tcW w:w="2835" w:type="dxa"/>
            <w:vMerge w:val="restart"/>
            <w:shd w:val="clear" w:color="auto" w:fill="auto"/>
            <w:noWrap/>
            <w:vAlign w:val="center"/>
          </w:tcPr>
          <w:p w14:paraId="58E3314D"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Capital city ethnicity</w:t>
            </w:r>
          </w:p>
        </w:tc>
        <w:tc>
          <w:tcPr>
            <w:tcW w:w="1152" w:type="dxa"/>
            <w:shd w:val="clear" w:color="auto" w:fill="auto"/>
            <w:noWrap/>
            <w:vAlign w:val="center"/>
          </w:tcPr>
          <w:p w14:paraId="1EE74C0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1.224</w:t>
            </w:r>
          </w:p>
        </w:tc>
        <w:tc>
          <w:tcPr>
            <w:tcW w:w="1152" w:type="dxa"/>
            <w:shd w:val="clear" w:color="auto" w:fill="auto"/>
            <w:noWrap/>
            <w:vAlign w:val="center"/>
          </w:tcPr>
          <w:p w14:paraId="2A5BDE4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1.326</w:t>
            </w:r>
          </w:p>
        </w:tc>
        <w:tc>
          <w:tcPr>
            <w:tcW w:w="1152" w:type="dxa"/>
            <w:shd w:val="clear" w:color="auto" w:fill="auto"/>
            <w:noWrap/>
            <w:vAlign w:val="center"/>
          </w:tcPr>
          <w:p w14:paraId="216B968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-0.303</w:t>
            </w:r>
          </w:p>
        </w:tc>
        <w:tc>
          <w:tcPr>
            <w:tcW w:w="1152" w:type="dxa"/>
            <w:shd w:val="clear" w:color="auto" w:fill="auto"/>
            <w:noWrap/>
            <w:vAlign w:val="center"/>
          </w:tcPr>
          <w:p w14:paraId="3779694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1.168</w:t>
            </w:r>
          </w:p>
        </w:tc>
        <w:tc>
          <w:tcPr>
            <w:tcW w:w="1152" w:type="dxa"/>
            <w:shd w:val="clear" w:color="auto" w:fill="auto"/>
            <w:noWrap/>
            <w:vAlign w:val="center"/>
          </w:tcPr>
          <w:p w14:paraId="47C83B7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1.256</w:t>
            </w:r>
          </w:p>
        </w:tc>
        <w:tc>
          <w:tcPr>
            <w:tcW w:w="1152" w:type="dxa"/>
            <w:shd w:val="clear" w:color="auto" w:fill="auto"/>
            <w:noWrap/>
            <w:vAlign w:val="center"/>
          </w:tcPr>
          <w:p w14:paraId="679DC4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1.380</w:t>
            </w:r>
          </w:p>
        </w:tc>
      </w:tr>
      <w:tr w:rsidR="009307C3" w:rsidRPr="00E56159" w14:paraId="434C03E6" w14:textId="77777777" w:rsidTr="00EE0BCA">
        <w:trPr>
          <w:trHeight w:hRule="exact" w:val="245"/>
          <w:jc w:val="center"/>
        </w:trPr>
        <w:tc>
          <w:tcPr>
            <w:tcW w:w="2835" w:type="dxa"/>
            <w:vMerge/>
            <w:vAlign w:val="center"/>
          </w:tcPr>
          <w:p w14:paraId="6231918E"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2A9CFD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67979A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3E1AF56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(0.900)</w:t>
            </w:r>
          </w:p>
        </w:tc>
        <w:tc>
          <w:tcPr>
            <w:tcW w:w="1152" w:type="dxa"/>
            <w:shd w:val="clear" w:color="auto" w:fill="auto"/>
            <w:noWrap/>
            <w:vAlign w:val="center"/>
          </w:tcPr>
          <w:p w14:paraId="2B445F9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(0.002)</w:t>
            </w:r>
          </w:p>
        </w:tc>
        <w:tc>
          <w:tcPr>
            <w:tcW w:w="1152" w:type="dxa"/>
            <w:shd w:val="clear" w:color="auto" w:fill="auto"/>
            <w:noWrap/>
            <w:vAlign w:val="center"/>
          </w:tcPr>
          <w:p w14:paraId="7913ACB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02D5132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7809364F" w14:textId="77777777" w:rsidTr="00EE0BCA">
        <w:trPr>
          <w:trHeight w:hRule="exact" w:val="245"/>
          <w:jc w:val="center"/>
        </w:trPr>
        <w:tc>
          <w:tcPr>
            <w:tcW w:w="2835" w:type="dxa"/>
            <w:vMerge w:val="restart"/>
            <w:shd w:val="clear" w:color="auto" w:fill="auto"/>
            <w:noWrap/>
            <w:vAlign w:val="center"/>
          </w:tcPr>
          <w:p w14:paraId="563E74C2"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Colonial sponsor</w:t>
            </w:r>
          </w:p>
        </w:tc>
        <w:tc>
          <w:tcPr>
            <w:tcW w:w="1152" w:type="dxa"/>
            <w:shd w:val="clear" w:color="auto" w:fill="auto"/>
            <w:noWrap/>
            <w:vAlign w:val="center"/>
          </w:tcPr>
          <w:p w14:paraId="35121E0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0.315</w:t>
            </w:r>
          </w:p>
        </w:tc>
        <w:tc>
          <w:tcPr>
            <w:tcW w:w="1152" w:type="dxa"/>
            <w:shd w:val="clear" w:color="auto" w:fill="auto"/>
            <w:noWrap/>
            <w:vAlign w:val="center"/>
          </w:tcPr>
          <w:p w14:paraId="1316CD6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0.396</w:t>
            </w:r>
          </w:p>
        </w:tc>
        <w:tc>
          <w:tcPr>
            <w:tcW w:w="1152" w:type="dxa"/>
            <w:shd w:val="clear" w:color="auto" w:fill="auto"/>
            <w:noWrap/>
            <w:vAlign w:val="center"/>
          </w:tcPr>
          <w:p w14:paraId="6CD3DB7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4.923</w:t>
            </w:r>
          </w:p>
        </w:tc>
        <w:tc>
          <w:tcPr>
            <w:tcW w:w="1152" w:type="dxa"/>
            <w:shd w:val="clear" w:color="auto" w:fill="auto"/>
            <w:noWrap/>
            <w:vAlign w:val="center"/>
          </w:tcPr>
          <w:p w14:paraId="16972A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0.214</w:t>
            </w:r>
          </w:p>
        </w:tc>
        <w:tc>
          <w:tcPr>
            <w:tcW w:w="1152" w:type="dxa"/>
            <w:shd w:val="clear" w:color="auto" w:fill="auto"/>
            <w:noWrap/>
            <w:vAlign w:val="center"/>
          </w:tcPr>
          <w:p w14:paraId="403E2C6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0.273</w:t>
            </w:r>
          </w:p>
        </w:tc>
        <w:tc>
          <w:tcPr>
            <w:tcW w:w="1152" w:type="dxa"/>
            <w:shd w:val="clear" w:color="auto" w:fill="auto"/>
            <w:noWrap/>
            <w:vAlign w:val="center"/>
          </w:tcPr>
          <w:p w14:paraId="2C3B3FB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0.217</w:t>
            </w:r>
          </w:p>
        </w:tc>
      </w:tr>
      <w:tr w:rsidR="009307C3" w:rsidRPr="00E56159" w14:paraId="4D8C2DF0" w14:textId="77777777" w:rsidTr="00EE0BCA">
        <w:trPr>
          <w:trHeight w:hRule="exact" w:val="245"/>
          <w:jc w:val="center"/>
        </w:trPr>
        <w:tc>
          <w:tcPr>
            <w:tcW w:w="2835" w:type="dxa"/>
            <w:vMerge/>
            <w:vAlign w:val="center"/>
          </w:tcPr>
          <w:p w14:paraId="1475702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85D7BB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(0.754)</w:t>
            </w:r>
          </w:p>
        </w:tc>
        <w:tc>
          <w:tcPr>
            <w:tcW w:w="1152" w:type="dxa"/>
            <w:shd w:val="clear" w:color="auto" w:fill="auto"/>
            <w:noWrap/>
            <w:vAlign w:val="center"/>
          </w:tcPr>
          <w:p w14:paraId="3560D22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(0.729)</w:t>
            </w:r>
          </w:p>
        </w:tc>
        <w:tc>
          <w:tcPr>
            <w:tcW w:w="1152" w:type="dxa"/>
            <w:shd w:val="clear" w:color="auto" w:fill="auto"/>
            <w:noWrap/>
            <w:vAlign w:val="center"/>
          </w:tcPr>
          <w:p w14:paraId="5E6A3F7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(0.201)</w:t>
            </w:r>
          </w:p>
        </w:tc>
        <w:tc>
          <w:tcPr>
            <w:tcW w:w="1152" w:type="dxa"/>
            <w:shd w:val="clear" w:color="auto" w:fill="auto"/>
            <w:noWrap/>
            <w:vAlign w:val="center"/>
          </w:tcPr>
          <w:p w14:paraId="2D126FC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(0.825)</w:t>
            </w:r>
          </w:p>
        </w:tc>
        <w:tc>
          <w:tcPr>
            <w:tcW w:w="1152" w:type="dxa"/>
            <w:shd w:val="clear" w:color="auto" w:fill="auto"/>
            <w:noWrap/>
            <w:vAlign w:val="center"/>
          </w:tcPr>
          <w:p w14:paraId="37572F8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(0.800)</w:t>
            </w:r>
          </w:p>
        </w:tc>
        <w:tc>
          <w:tcPr>
            <w:tcW w:w="1152" w:type="dxa"/>
            <w:shd w:val="clear" w:color="auto" w:fill="auto"/>
            <w:noWrap/>
            <w:vAlign w:val="center"/>
          </w:tcPr>
          <w:p w14:paraId="26C7797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(0.833)</w:t>
            </w:r>
          </w:p>
        </w:tc>
      </w:tr>
      <w:tr w:rsidR="009307C3" w:rsidRPr="00E56159" w14:paraId="35CEA3AE" w14:textId="77777777" w:rsidTr="00EE0BCA">
        <w:trPr>
          <w:trHeight w:hRule="exact" w:val="245"/>
          <w:jc w:val="center"/>
        </w:trPr>
        <w:tc>
          <w:tcPr>
            <w:tcW w:w="2835" w:type="dxa"/>
            <w:vMerge w:val="restart"/>
            <w:shd w:val="clear" w:color="auto" w:fill="auto"/>
            <w:noWrap/>
            <w:vAlign w:val="center"/>
          </w:tcPr>
          <w:p w14:paraId="15CB2A4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Investment size</w:t>
            </w:r>
          </w:p>
        </w:tc>
        <w:tc>
          <w:tcPr>
            <w:tcW w:w="1152" w:type="dxa"/>
            <w:shd w:val="clear" w:color="auto" w:fill="auto"/>
            <w:noWrap/>
            <w:vAlign w:val="center"/>
          </w:tcPr>
          <w:p w14:paraId="2E20BFD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0.138</w:t>
            </w:r>
          </w:p>
        </w:tc>
        <w:tc>
          <w:tcPr>
            <w:tcW w:w="1152" w:type="dxa"/>
            <w:shd w:val="clear" w:color="auto" w:fill="auto"/>
            <w:noWrap/>
            <w:vAlign w:val="center"/>
          </w:tcPr>
          <w:p w14:paraId="396BF50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0.091</w:t>
            </w:r>
          </w:p>
        </w:tc>
        <w:tc>
          <w:tcPr>
            <w:tcW w:w="1152" w:type="dxa"/>
            <w:shd w:val="clear" w:color="auto" w:fill="auto"/>
            <w:noWrap/>
            <w:vAlign w:val="center"/>
          </w:tcPr>
          <w:p w14:paraId="7DA4765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-0.121</w:t>
            </w:r>
          </w:p>
        </w:tc>
        <w:tc>
          <w:tcPr>
            <w:tcW w:w="1152" w:type="dxa"/>
            <w:shd w:val="clear" w:color="auto" w:fill="auto"/>
            <w:noWrap/>
            <w:vAlign w:val="center"/>
          </w:tcPr>
          <w:p w14:paraId="295CF58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0.141</w:t>
            </w:r>
          </w:p>
        </w:tc>
        <w:tc>
          <w:tcPr>
            <w:tcW w:w="1152" w:type="dxa"/>
            <w:shd w:val="clear" w:color="auto" w:fill="auto"/>
            <w:noWrap/>
            <w:vAlign w:val="center"/>
          </w:tcPr>
          <w:p w14:paraId="6E43CA5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0.099</w:t>
            </w:r>
          </w:p>
        </w:tc>
        <w:tc>
          <w:tcPr>
            <w:tcW w:w="1152" w:type="dxa"/>
            <w:shd w:val="clear" w:color="auto" w:fill="auto"/>
            <w:noWrap/>
            <w:vAlign w:val="center"/>
          </w:tcPr>
          <w:p w14:paraId="39B6D32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0.087</w:t>
            </w:r>
          </w:p>
        </w:tc>
      </w:tr>
      <w:tr w:rsidR="009307C3" w:rsidRPr="00E56159" w14:paraId="1A111FF0" w14:textId="77777777" w:rsidTr="00EE0BCA">
        <w:trPr>
          <w:trHeight w:hRule="exact" w:val="245"/>
          <w:jc w:val="center"/>
        </w:trPr>
        <w:tc>
          <w:tcPr>
            <w:tcW w:w="2835" w:type="dxa"/>
            <w:vMerge/>
            <w:vAlign w:val="center"/>
          </w:tcPr>
          <w:p w14:paraId="536A2C5E"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B34EA0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(0.512)</w:t>
            </w:r>
          </w:p>
        </w:tc>
        <w:tc>
          <w:tcPr>
            <w:tcW w:w="1152" w:type="dxa"/>
            <w:shd w:val="clear" w:color="auto" w:fill="auto"/>
            <w:noWrap/>
            <w:vAlign w:val="center"/>
          </w:tcPr>
          <w:p w14:paraId="28035DF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(0.685)</w:t>
            </w:r>
          </w:p>
        </w:tc>
        <w:tc>
          <w:tcPr>
            <w:tcW w:w="1152" w:type="dxa"/>
            <w:shd w:val="clear" w:color="auto" w:fill="auto"/>
            <w:noWrap/>
            <w:vAlign w:val="center"/>
          </w:tcPr>
          <w:p w14:paraId="2437DE5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(0.853)</w:t>
            </w:r>
          </w:p>
        </w:tc>
        <w:tc>
          <w:tcPr>
            <w:tcW w:w="1152" w:type="dxa"/>
            <w:shd w:val="clear" w:color="auto" w:fill="auto"/>
            <w:noWrap/>
            <w:vAlign w:val="center"/>
          </w:tcPr>
          <w:p w14:paraId="0E5A5A4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(0.506)</w:t>
            </w:r>
          </w:p>
        </w:tc>
        <w:tc>
          <w:tcPr>
            <w:tcW w:w="1152" w:type="dxa"/>
            <w:shd w:val="clear" w:color="auto" w:fill="auto"/>
            <w:noWrap/>
            <w:vAlign w:val="center"/>
          </w:tcPr>
          <w:p w14:paraId="3B45E3A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(0.663)</w:t>
            </w:r>
          </w:p>
        </w:tc>
        <w:tc>
          <w:tcPr>
            <w:tcW w:w="1152" w:type="dxa"/>
            <w:shd w:val="clear" w:color="auto" w:fill="auto"/>
            <w:noWrap/>
            <w:vAlign w:val="center"/>
          </w:tcPr>
          <w:p w14:paraId="033B6EA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(0.660)</w:t>
            </w:r>
          </w:p>
        </w:tc>
      </w:tr>
      <w:tr w:rsidR="009307C3" w:rsidRPr="00E56159" w14:paraId="3CF454D8" w14:textId="77777777" w:rsidTr="00EE0BCA">
        <w:trPr>
          <w:trHeight w:hRule="exact" w:val="245"/>
          <w:jc w:val="center"/>
        </w:trPr>
        <w:tc>
          <w:tcPr>
            <w:tcW w:w="2835" w:type="dxa"/>
            <w:vMerge w:val="restart"/>
            <w:shd w:val="clear" w:color="auto" w:fill="auto"/>
            <w:noWrap/>
            <w:vAlign w:val="center"/>
          </w:tcPr>
          <w:p w14:paraId="1E030C2A"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Greenfield</w:t>
            </w:r>
          </w:p>
        </w:tc>
        <w:tc>
          <w:tcPr>
            <w:tcW w:w="1152" w:type="dxa"/>
            <w:shd w:val="clear" w:color="auto" w:fill="auto"/>
            <w:noWrap/>
            <w:vAlign w:val="center"/>
          </w:tcPr>
          <w:p w14:paraId="75F666C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-0.785</w:t>
            </w:r>
          </w:p>
        </w:tc>
        <w:tc>
          <w:tcPr>
            <w:tcW w:w="1152" w:type="dxa"/>
            <w:shd w:val="clear" w:color="auto" w:fill="auto"/>
            <w:noWrap/>
            <w:vAlign w:val="center"/>
          </w:tcPr>
          <w:p w14:paraId="08D27B2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-0.818</w:t>
            </w:r>
          </w:p>
        </w:tc>
        <w:tc>
          <w:tcPr>
            <w:tcW w:w="1152" w:type="dxa"/>
            <w:shd w:val="clear" w:color="auto" w:fill="auto"/>
            <w:noWrap/>
            <w:vAlign w:val="center"/>
          </w:tcPr>
          <w:p w14:paraId="0DCB2EF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-7.196</w:t>
            </w:r>
          </w:p>
        </w:tc>
        <w:tc>
          <w:tcPr>
            <w:tcW w:w="1152" w:type="dxa"/>
            <w:shd w:val="clear" w:color="auto" w:fill="auto"/>
            <w:noWrap/>
            <w:vAlign w:val="center"/>
          </w:tcPr>
          <w:p w14:paraId="46D531C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-0.622</w:t>
            </w:r>
          </w:p>
        </w:tc>
        <w:tc>
          <w:tcPr>
            <w:tcW w:w="1152" w:type="dxa"/>
            <w:shd w:val="clear" w:color="auto" w:fill="auto"/>
            <w:noWrap/>
            <w:vAlign w:val="center"/>
          </w:tcPr>
          <w:p w14:paraId="7BE3E27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-0.633</w:t>
            </w:r>
          </w:p>
        </w:tc>
        <w:tc>
          <w:tcPr>
            <w:tcW w:w="1152" w:type="dxa"/>
            <w:shd w:val="clear" w:color="auto" w:fill="auto"/>
            <w:noWrap/>
            <w:vAlign w:val="center"/>
          </w:tcPr>
          <w:p w14:paraId="7074693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-0.569</w:t>
            </w:r>
          </w:p>
        </w:tc>
      </w:tr>
      <w:tr w:rsidR="009307C3" w:rsidRPr="00E56159" w14:paraId="6A338314" w14:textId="77777777" w:rsidTr="00EE0BCA">
        <w:trPr>
          <w:trHeight w:hRule="exact" w:val="245"/>
          <w:jc w:val="center"/>
        </w:trPr>
        <w:tc>
          <w:tcPr>
            <w:tcW w:w="2835" w:type="dxa"/>
            <w:vMerge/>
            <w:vAlign w:val="center"/>
          </w:tcPr>
          <w:p w14:paraId="0467A66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7689A2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(0.028)</w:t>
            </w:r>
          </w:p>
        </w:tc>
        <w:tc>
          <w:tcPr>
            <w:tcW w:w="1152" w:type="dxa"/>
            <w:shd w:val="clear" w:color="auto" w:fill="auto"/>
            <w:noWrap/>
            <w:vAlign w:val="center"/>
          </w:tcPr>
          <w:p w14:paraId="22EDF1D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(0.079)</w:t>
            </w:r>
          </w:p>
        </w:tc>
        <w:tc>
          <w:tcPr>
            <w:tcW w:w="1152" w:type="dxa"/>
            <w:shd w:val="clear" w:color="auto" w:fill="auto"/>
            <w:noWrap/>
            <w:vAlign w:val="center"/>
          </w:tcPr>
          <w:p w14:paraId="1D6325F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(0.067)</w:t>
            </w:r>
          </w:p>
        </w:tc>
        <w:tc>
          <w:tcPr>
            <w:tcW w:w="1152" w:type="dxa"/>
            <w:shd w:val="clear" w:color="auto" w:fill="auto"/>
            <w:noWrap/>
            <w:vAlign w:val="center"/>
          </w:tcPr>
          <w:p w14:paraId="7FB32C7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(0.064)</w:t>
            </w:r>
          </w:p>
        </w:tc>
        <w:tc>
          <w:tcPr>
            <w:tcW w:w="1152" w:type="dxa"/>
            <w:shd w:val="clear" w:color="auto" w:fill="auto"/>
            <w:noWrap/>
            <w:vAlign w:val="center"/>
          </w:tcPr>
          <w:p w14:paraId="17BCFD7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(0.118)</w:t>
            </w:r>
          </w:p>
        </w:tc>
        <w:tc>
          <w:tcPr>
            <w:tcW w:w="1152" w:type="dxa"/>
            <w:shd w:val="clear" w:color="auto" w:fill="auto"/>
            <w:noWrap/>
            <w:vAlign w:val="center"/>
          </w:tcPr>
          <w:p w14:paraId="48546F0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(0.177)</w:t>
            </w:r>
          </w:p>
        </w:tc>
      </w:tr>
      <w:tr w:rsidR="009307C3" w:rsidRPr="00E56159" w14:paraId="161C6850" w14:textId="77777777" w:rsidTr="00EE0BCA">
        <w:trPr>
          <w:trHeight w:hRule="exact" w:val="245"/>
          <w:jc w:val="center"/>
        </w:trPr>
        <w:tc>
          <w:tcPr>
            <w:tcW w:w="2835" w:type="dxa"/>
            <w:vMerge w:val="restart"/>
            <w:shd w:val="clear" w:color="auto" w:fill="auto"/>
            <w:noWrap/>
            <w:vAlign w:val="center"/>
          </w:tcPr>
          <w:p w14:paraId="553890E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Government contract</w:t>
            </w:r>
          </w:p>
        </w:tc>
        <w:tc>
          <w:tcPr>
            <w:tcW w:w="1152" w:type="dxa"/>
            <w:shd w:val="clear" w:color="auto" w:fill="auto"/>
            <w:noWrap/>
            <w:vAlign w:val="center"/>
          </w:tcPr>
          <w:p w14:paraId="761C94D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-1.682</w:t>
            </w:r>
          </w:p>
        </w:tc>
        <w:tc>
          <w:tcPr>
            <w:tcW w:w="1152" w:type="dxa"/>
            <w:shd w:val="clear" w:color="auto" w:fill="auto"/>
            <w:noWrap/>
            <w:vAlign w:val="center"/>
          </w:tcPr>
          <w:p w14:paraId="4186AD2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-1.882</w:t>
            </w:r>
          </w:p>
        </w:tc>
        <w:tc>
          <w:tcPr>
            <w:tcW w:w="1152" w:type="dxa"/>
            <w:shd w:val="clear" w:color="auto" w:fill="auto"/>
            <w:noWrap/>
            <w:vAlign w:val="center"/>
          </w:tcPr>
          <w:p w14:paraId="66AEBD0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0.630</w:t>
            </w:r>
          </w:p>
        </w:tc>
        <w:tc>
          <w:tcPr>
            <w:tcW w:w="1152" w:type="dxa"/>
            <w:shd w:val="clear" w:color="auto" w:fill="auto"/>
            <w:noWrap/>
            <w:vAlign w:val="center"/>
          </w:tcPr>
          <w:p w14:paraId="58960D3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-1.842</w:t>
            </w:r>
          </w:p>
        </w:tc>
        <w:tc>
          <w:tcPr>
            <w:tcW w:w="1152" w:type="dxa"/>
            <w:shd w:val="clear" w:color="auto" w:fill="auto"/>
            <w:noWrap/>
            <w:vAlign w:val="center"/>
          </w:tcPr>
          <w:p w14:paraId="0F8674E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-2.033</w:t>
            </w:r>
          </w:p>
        </w:tc>
        <w:tc>
          <w:tcPr>
            <w:tcW w:w="1152" w:type="dxa"/>
            <w:shd w:val="clear" w:color="auto" w:fill="auto"/>
            <w:noWrap/>
            <w:vAlign w:val="center"/>
          </w:tcPr>
          <w:p w14:paraId="343FFEB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-2.015</w:t>
            </w:r>
          </w:p>
        </w:tc>
      </w:tr>
      <w:tr w:rsidR="009307C3" w:rsidRPr="00E56159" w14:paraId="33B0B26C" w14:textId="77777777" w:rsidTr="00EE0BCA">
        <w:trPr>
          <w:trHeight w:hRule="exact" w:val="245"/>
          <w:jc w:val="center"/>
        </w:trPr>
        <w:tc>
          <w:tcPr>
            <w:tcW w:w="2835" w:type="dxa"/>
            <w:vMerge/>
            <w:vAlign w:val="center"/>
          </w:tcPr>
          <w:p w14:paraId="5ADA7BC2"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ACAB23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1D24DC8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2A2CDF0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(0.853)</w:t>
            </w:r>
          </w:p>
        </w:tc>
        <w:tc>
          <w:tcPr>
            <w:tcW w:w="1152" w:type="dxa"/>
            <w:shd w:val="clear" w:color="auto" w:fill="auto"/>
            <w:noWrap/>
            <w:vAlign w:val="center"/>
          </w:tcPr>
          <w:p w14:paraId="16746A3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0B1C21B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5147345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5680691C" w14:textId="77777777" w:rsidTr="00EE0BCA">
        <w:trPr>
          <w:trHeight w:hRule="exact" w:val="245"/>
          <w:jc w:val="center"/>
        </w:trPr>
        <w:tc>
          <w:tcPr>
            <w:tcW w:w="2835" w:type="dxa"/>
            <w:vMerge w:val="restart"/>
            <w:shd w:val="clear" w:color="auto" w:fill="auto"/>
            <w:noWrap/>
            <w:vAlign w:val="center"/>
          </w:tcPr>
          <w:p w14:paraId="1CB99C86"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Energy</w:t>
            </w:r>
          </w:p>
        </w:tc>
        <w:tc>
          <w:tcPr>
            <w:tcW w:w="1152" w:type="dxa"/>
            <w:shd w:val="clear" w:color="auto" w:fill="auto"/>
            <w:noWrap/>
            <w:vAlign w:val="center"/>
          </w:tcPr>
          <w:p w14:paraId="17B6788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-1.469</w:t>
            </w:r>
          </w:p>
        </w:tc>
        <w:tc>
          <w:tcPr>
            <w:tcW w:w="1152" w:type="dxa"/>
            <w:shd w:val="clear" w:color="auto" w:fill="auto"/>
            <w:noWrap/>
            <w:vAlign w:val="center"/>
          </w:tcPr>
          <w:p w14:paraId="4E39ACB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-1.145</w:t>
            </w:r>
          </w:p>
        </w:tc>
        <w:tc>
          <w:tcPr>
            <w:tcW w:w="1152" w:type="dxa"/>
            <w:shd w:val="clear" w:color="auto" w:fill="auto"/>
            <w:noWrap/>
            <w:vAlign w:val="center"/>
          </w:tcPr>
          <w:p w14:paraId="15A345F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-0.622</w:t>
            </w:r>
          </w:p>
        </w:tc>
        <w:tc>
          <w:tcPr>
            <w:tcW w:w="1152" w:type="dxa"/>
            <w:shd w:val="clear" w:color="auto" w:fill="auto"/>
            <w:noWrap/>
            <w:vAlign w:val="center"/>
          </w:tcPr>
          <w:p w14:paraId="33BEEC2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-1.715</w:t>
            </w:r>
          </w:p>
        </w:tc>
        <w:tc>
          <w:tcPr>
            <w:tcW w:w="1152" w:type="dxa"/>
            <w:shd w:val="clear" w:color="auto" w:fill="auto"/>
            <w:noWrap/>
            <w:vAlign w:val="center"/>
          </w:tcPr>
          <w:p w14:paraId="3E7606C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-1.448</w:t>
            </w:r>
          </w:p>
        </w:tc>
        <w:tc>
          <w:tcPr>
            <w:tcW w:w="1152" w:type="dxa"/>
            <w:shd w:val="clear" w:color="auto" w:fill="auto"/>
            <w:noWrap/>
            <w:vAlign w:val="center"/>
          </w:tcPr>
          <w:p w14:paraId="50EE069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-1.668</w:t>
            </w:r>
          </w:p>
        </w:tc>
      </w:tr>
      <w:tr w:rsidR="009307C3" w:rsidRPr="00E56159" w14:paraId="226D3532" w14:textId="77777777" w:rsidTr="00EE0BCA">
        <w:trPr>
          <w:trHeight w:hRule="exact" w:val="245"/>
          <w:jc w:val="center"/>
        </w:trPr>
        <w:tc>
          <w:tcPr>
            <w:tcW w:w="2835" w:type="dxa"/>
            <w:vMerge/>
            <w:vAlign w:val="center"/>
          </w:tcPr>
          <w:p w14:paraId="174D3A3B"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8BFA1D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(0.059)</w:t>
            </w:r>
          </w:p>
        </w:tc>
        <w:tc>
          <w:tcPr>
            <w:tcW w:w="1152" w:type="dxa"/>
            <w:shd w:val="clear" w:color="auto" w:fill="auto"/>
            <w:noWrap/>
            <w:vAlign w:val="center"/>
          </w:tcPr>
          <w:p w14:paraId="3AB11FC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(0.191)</w:t>
            </w:r>
          </w:p>
        </w:tc>
        <w:tc>
          <w:tcPr>
            <w:tcW w:w="1152" w:type="dxa"/>
            <w:shd w:val="clear" w:color="auto" w:fill="auto"/>
            <w:noWrap/>
            <w:vAlign w:val="center"/>
          </w:tcPr>
          <w:p w14:paraId="381D11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(0.862)</w:t>
            </w:r>
          </w:p>
        </w:tc>
        <w:tc>
          <w:tcPr>
            <w:tcW w:w="1152" w:type="dxa"/>
            <w:shd w:val="clear" w:color="auto" w:fill="auto"/>
            <w:noWrap/>
            <w:vAlign w:val="center"/>
          </w:tcPr>
          <w:p w14:paraId="4E39018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(0.012)</w:t>
            </w:r>
          </w:p>
        </w:tc>
        <w:tc>
          <w:tcPr>
            <w:tcW w:w="1152" w:type="dxa"/>
            <w:shd w:val="clear" w:color="auto" w:fill="auto"/>
            <w:noWrap/>
            <w:vAlign w:val="center"/>
          </w:tcPr>
          <w:p w14:paraId="7BFCAE4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(0.058)</w:t>
            </w:r>
          </w:p>
        </w:tc>
        <w:tc>
          <w:tcPr>
            <w:tcW w:w="1152" w:type="dxa"/>
            <w:shd w:val="clear" w:color="auto" w:fill="auto"/>
            <w:noWrap/>
            <w:vAlign w:val="center"/>
          </w:tcPr>
          <w:p w14:paraId="27B6948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(0.020)</w:t>
            </w:r>
          </w:p>
        </w:tc>
      </w:tr>
      <w:tr w:rsidR="009307C3" w:rsidRPr="00E56159" w14:paraId="6F21C17B" w14:textId="77777777" w:rsidTr="00EE0BCA">
        <w:trPr>
          <w:trHeight w:hRule="exact" w:val="245"/>
          <w:jc w:val="center"/>
        </w:trPr>
        <w:tc>
          <w:tcPr>
            <w:tcW w:w="2835" w:type="dxa"/>
            <w:vMerge w:val="restart"/>
            <w:shd w:val="clear" w:color="auto" w:fill="auto"/>
            <w:noWrap/>
            <w:vAlign w:val="center"/>
          </w:tcPr>
          <w:p w14:paraId="529E887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Transport</w:t>
            </w:r>
          </w:p>
        </w:tc>
        <w:tc>
          <w:tcPr>
            <w:tcW w:w="1152" w:type="dxa"/>
            <w:shd w:val="clear" w:color="auto" w:fill="auto"/>
            <w:noWrap/>
            <w:vAlign w:val="center"/>
          </w:tcPr>
          <w:p w14:paraId="26E5499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-1.323</w:t>
            </w:r>
          </w:p>
        </w:tc>
        <w:tc>
          <w:tcPr>
            <w:tcW w:w="1152" w:type="dxa"/>
            <w:shd w:val="clear" w:color="auto" w:fill="auto"/>
            <w:noWrap/>
            <w:vAlign w:val="center"/>
          </w:tcPr>
          <w:p w14:paraId="454601D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-1.041</w:t>
            </w:r>
          </w:p>
        </w:tc>
        <w:tc>
          <w:tcPr>
            <w:tcW w:w="1152" w:type="dxa"/>
            <w:shd w:val="clear" w:color="auto" w:fill="auto"/>
            <w:noWrap/>
            <w:vAlign w:val="center"/>
          </w:tcPr>
          <w:p w14:paraId="29C0C3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-10.581</w:t>
            </w:r>
          </w:p>
        </w:tc>
        <w:tc>
          <w:tcPr>
            <w:tcW w:w="1152" w:type="dxa"/>
            <w:shd w:val="clear" w:color="auto" w:fill="auto"/>
            <w:noWrap/>
            <w:vAlign w:val="center"/>
          </w:tcPr>
          <w:p w14:paraId="6324B2F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-1.305</w:t>
            </w:r>
          </w:p>
        </w:tc>
        <w:tc>
          <w:tcPr>
            <w:tcW w:w="1152" w:type="dxa"/>
            <w:shd w:val="clear" w:color="auto" w:fill="auto"/>
            <w:noWrap/>
            <w:vAlign w:val="center"/>
          </w:tcPr>
          <w:p w14:paraId="11F2949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-1.067</w:t>
            </w:r>
          </w:p>
        </w:tc>
        <w:tc>
          <w:tcPr>
            <w:tcW w:w="1152" w:type="dxa"/>
            <w:shd w:val="clear" w:color="auto" w:fill="auto"/>
            <w:noWrap/>
            <w:vAlign w:val="center"/>
          </w:tcPr>
          <w:p w14:paraId="223BE73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-1.109</w:t>
            </w:r>
          </w:p>
        </w:tc>
      </w:tr>
      <w:tr w:rsidR="009307C3" w:rsidRPr="00E56159" w14:paraId="6E63BA6F" w14:textId="77777777" w:rsidTr="00EE0BCA">
        <w:trPr>
          <w:trHeight w:hRule="exact" w:val="245"/>
          <w:jc w:val="center"/>
        </w:trPr>
        <w:tc>
          <w:tcPr>
            <w:tcW w:w="2835" w:type="dxa"/>
            <w:vMerge/>
            <w:vAlign w:val="center"/>
          </w:tcPr>
          <w:p w14:paraId="7D0874BB"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8731D4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(0.018)</w:t>
            </w:r>
          </w:p>
        </w:tc>
        <w:tc>
          <w:tcPr>
            <w:tcW w:w="1152" w:type="dxa"/>
            <w:shd w:val="clear" w:color="auto" w:fill="auto"/>
            <w:noWrap/>
            <w:vAlign w:val="center"/>
          </w:tcPr>
          <w:p w14:paraId="0335E8B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(0.056)</w:t>
            </w:r>
          </w:p>
        </w:tc>
        <w:tc>
          <w:tcPr>
            <w:tcW w:w="1152" w:type="dxa"/>
            <w:shd w:val="clear" w:color="auto" w:fill="auto"/>
            <w:noWrap/>
            <w:vAlign w:val="center"/>
          </w:tcPr>
          <w:p w14:paraId="462D340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(0.024)</w:t>
            </w:r>
          </w:p>
        </w:tc>
        <w:tc>
          <w:tcPr>
            <w:tcW w:w="1152" w:type="dxa"/>
            <w:shd w:val="clear" w:color="auto" w:fill="auto"/>
            <w:noWrap/>
            <w:vAlign w:val="center"/>
          </w:tcPr>
          <w:p w14:paraId="4F31ED4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(0.017)</w:t>
            </w:r>
          </w:p>
        </w:tc>
        <w:tc>
          <w:tcPr>
            <w:tcW w:w="1152" w:type="dxa"/>
            <w:shd w:val="clear" w:color="auto" w:fill="auto"/>
            <w:noWrap/>
            <w:vAlign w:val="center"/>
          </w:tcPr>
          <w:p w14:paraId="49697E0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(0.036)</w:t>
            </w:r>
          </w:p>
        </w:tc>
        <w:tc>
          <w:tcPr>
            <w:tcW w:w="1152" w:type="dxa"/>
            <w:shd w:val="clear" w:color="auto" w:fill="auto"/>
            <w:noWrap/>
            <w:vAlign w:val="center"/>
          </w:tcPr>
          <w:p w14:paraId="6F14072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(0.039)</w:t>
            </w:r>
          </w:p>
        </w:tc>
      </w:tr>
      <w:tr w:rsidR="009307C3" w:rsidRPr="00E56159" w14:paraId="18BE06FA" w14:textId="77777777" w:rsidTr="00EE0BCA">
        <w:trPr>
          <w:trHeight w:hRule="exact" w:val="245"/>
          <w:jc w:val="center"/>
        </w:trPr>
        <w:tc>
          <w:tcPr>
            <w:tcW w:w="2835" w:type="dxa"/>
            <w:vMerge w:val="restart"/>
            <w:shd w:val="clear" w:color="auto" w:fill="auto"/>
            <w:noWrap/>
            <w:vAlign w:val="center"/>
          </w:tcPr>
          <w:p w14:paraId="02F42EF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GDP growth</w:t>
            </w:r>
          </w:p>
        </w:tc>
        <w:tc>
          <w:tcPr>
            <w:tcW w:w="1152" w:type="dxa"/>
            <w:shd w:val="clear" w:color="auto" w:fill="auto"/>
            <w:noWrap/>
            <w:vAlign w:val="center"/>
          </w:tcPr>
          <w:p w14:paraId="6CBB3A5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0.174</w:t>
            </w:r>
          </w:p>
        </w:tc>
        <w:tc>
          <w:tcPr>
            <w:tcW w:w="1152" w:type="dxa"/>
            <w:shd w:val="clear" w:color="auto" w:fill="auto"/>
            <w:noWrap/>
            <w:vAlign w:val="center"/>
          </w:tcPr>
          <w:p w14:paraId="65BAB9D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0.193</w:t>
            </w:r>
          </w:p>
        </w:tc>
        <w:tc>
          <w:tcPr>
            <w:tcW w:w="1152" w:type="dxa"/>
            <w:shd w:val="clear" w:color="auto" w:fill="auto"/>
            <w:noWrap/>
            <w:vAlign w:val="center"/>
          </w:tcPr>
          <w:p w14:paraId="47780C3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-0.109</w:t>
            </w:r>
          </w:p>
        </w:tc>
        <w:tc>
          <w:tcPr>
            <w:tcW w:w="1152" w:type="dxa"/>
            <w:shd w:val="clear" w:color="auto" w:fill="auto"/>
            <w:noWrap/>
            <w:vAlign w:val="center"/>
          </w:tcPr>
          <w:p w14:paraId="6378E8F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0.189</w:t>
            </w:r>
          </w:p>
        </w:tc>
        <w:tc>
          <w:tcPr>
            <w:tcW w:w="1152" w:type="dxa"/>
            <w:shd w:val="clear" w:color="auto" w:fill="auto"/>
            <w:noWrap/>
            <w:vAlign w:val="center"/>
          </w:tcPr>
          <w:p w14:paraId="308EA0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0.206</w:t>
            </w:r>
          </w:p>
        </w:tc>
        <w:tc>
          <w:tcPr>
            <w:tcW w:w="1152" w:type="dxa"/>
            <w:shd w:val="clear" w:color="auto" w:fill="auto"/>
            <w:noWrap/>
            <w:vAlign w:val="center"/>
          </w:tcPr>
          <w:p w14:paraId="6AB40F5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0.200</w:t>
            </w:r>
          </w:p>
        </w:tc>
      </w:tr>
      <w:tr w:rsidR="009307C3" w:rsidRPr="00E56159" w14:paraId="50A32DCE" w14:textId="77777777" w:rsidTr="00EE0BCA">
        <w:trPr>
          <w:trHeight w:hRule="exact" w:val="245"/>
          <w:jc w:val="center"/>
        </w:trPr>
        <w:tc>
          <w:tcPr>
            <w:tcW w:w="2835" w:type="dxa"/>
            <w:vMerge/>
            <w:vAlign w:val="center"/>
          </w:tcPr>
          <w:p w14:paraId="4D1E7465"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4641CC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(0.004)</w:t>
            </w:r>
          </w:p>
        </w:tc>
        <w:tc>
          <w:tcPr>
            <w:tcW w:w="1152" w:type="dxa"/>
            <w:shd w:val="clear" w:color="auto" w:fill="auto"/>
            <w:noWrap/>
            <w:vAlign w:val="center"/>
          </w:tcPr>
          <w:p w14:paraId="2FB1198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382DD11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(0.320)</w:t>
            </w:r>
          </w:p>
        </w:tc>
        <w:tc>
          <w:tcPr>
            <w:tcW w:w="1152" w:type="dxa"/>
            <w:shd w:val="clear" w:color="auto" w:fill="auto"/>
            <w:noWrap/>
            <w:vAlign w:val="center"/>
          </w:tcPr>
          <w:p w14:paraId="50BC741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(0.003)</w:t>
            </w:r>
          </w:p>
        </w:tc>
        <w:tc>
          <w:tcPr>
            <w:tcW w:w="1152" w:type="dxa"/>
            <w:shd w:val="clear" w:color="auto" w:fill="auto"/>
            <w:noWrap/>
            <w:vAlign w:val="center"/>
          </w:tcPr>
          <w:p w14:paraId="68BF854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1668E19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39F6CE56" w14:textId="77777777" w:rsidTr="00EE0BCA">
        <w:trPr>
          <w:trHeight w:hRule="exact" w:val="245"/>
          <w:jc w:val="center"/>
        </w:trPr>
        <w:tc>
          <w:tcPr>
            <w:tcW w:w="2835" w:type="dxa"/>
            <w:vMerge w:val="restart"/>
            <w:shd w:val="clear" w:color="auto" w:fill="auto"/>
            <w:noWrap/>
            <w:vAlign w:val="center"/>
          </w:tcPr>
          <w:p w14:paraId="1F210A69"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GDP</w:t>
            </w:r>
          </w:p>
        </w:tc>
        <w:tc>
          <w:tcPr>
            <w:tcW w:w="1152" w:type="dxa"/>
            <w:shd w:val="clear" w:color="auto" w:fill="auto"/>
            <w:noWrap/>
            <w:vAlign w:val="center"/>
          </w:tcPr>
          <w:p w14:paraId="5199181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-1.075</w:t>
            </w:r>
          </w:p>
        </w:tc>
        <w:tc>
          <w:tcPr>
            <w:tcW w:w="1152" w:type="dxa"/>
            <w:shd w:val="clear" w:color="auto" w:fill="auto"/>
            <w:noWrap/>
            <w:vAlign w:val="center"/>
          </w:tcPr>
          <w:p w14:paraId="793D074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-0.909</w:t>
            </w:r>
          </w:p>
        </w:tc>
        <w:tc>
          <w:tcPr>
            <w:tcW w:w="1152" w:type="dxa"/>
            <w:shd w:val="clear" w:color="auto" w:fill="auto"/>
            <w:noWrap/>
            <w:vAlign w:val="center"/>
          </w:tcPr>
          <w:p w14:paraId="354E585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1.164</w:t>
            </w:r>
          </w:p>
        </w:tc>
        <w:tc>
          <w:tcPr>
            <w:tcW w:w="1152" w:type="dxa"/>
            <w:shd w:val="clear" w:color="auto" w:fill="auto"/>
            <w:noWrap/>
            <w:vAlign w:val="center"/>
          </w:tcPr>
          <w:p w14:paraId="199EBD3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-1.274</w:t>
            </w:r>
          </w:p>
        </w:tc>
        <w:tc>
          <w:tcPr>
            <w:tcW w:w="1152" w:type="dxa"/>
            <w:shd w:val="clear" w:color="auto" w:fill="auto"/>
            <w:noWrap/>
            <w:vAlign w:val="center"/>
          </w:tcPr>
          <w:p w14:paraId="79CDE41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-1.124</w:t>
            </w:r>
          </w:p>
        </w:tc>
        <w:tc>
          <w:tcPr>
            <w:tcW w:w="1152" w:type="dxa"/>
            <w:shd w:val="clear" w:color="auto" w:fill="auto"/>
            <w:noWrap/>
            <w:vAlign w:val="center"/>
          </w:tcPr>
          <w:p w14:paraId="6AB4ED0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-1.113</w:t>
            </w:r>
          </w:p>
        </w:tc>
      </w:tr>
      <w:tr w:rsidR="009307C3" w:rsidRPr="00E56159" w14:paraId="72945EA8" w14:textId="77777777" w:rsidTr="00EE0BCA">
        <w:trPr>
          <w:trHeight w:hRule="exact" w:val="245"/>
          <w:jc w:val="center"/>
        </w:trPr>
        <w:tc>
          <w:tcPr>
            <w:tcW w:w="2835" w:type="dxa"/>
            <w:vMerge/>
            <w:vAlign w:val="center"/>
          </w:tcPr>
          <w:p w14:paraId="4C567F1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D55E0D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(0.031)</w:t>
            </w:r>
          </w:p>
        </w:tc>
        <w:tc>
          <w:tcPr>
            <w:tcW w:w="1152" w:type="dxa"/>
            <w:shd w:val="clear" w:color="auto" w:fill="auto"/>
            <w:noWrap/>
            <w:vAlign w:val="center"/>
          </w:tcPr>
          <w:p w14:paraId="529F188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(0.070)</w:t>
            </w:r>
          </w:p>
        </w:tc>
        <w:tc>
          <w:tcPr>
            <w:tcW w:w="1152" w:type="dxa"/>
            <w:shd w:val="clear" w:color="auto" w:fill="auto"/>
            <w:noWrap/>
            <w:vAlign w:val="center"/>
          </w:tcPr>
          <w:p w14:paraId="3C7DDCD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(0.064)</w:t>
            </w:r>
          </w:p>
        </w:tc>
        <w:tc>
          <w:tcPr>
            <w:tcW w:w="1152" w:type="dxa"/>
            <w:shd w:val="clear" w:color="auto" w:fill="auto"/>
            <w:noWrap/>
            <w:vAlign w:val="center"/>
          </w:tcPr>
          <w:p w14:paraId="438F365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(0.015)</w:t>
            </w:r>
          </w:p>
        </w:tc>
        <w:tc>
          <w:tcPr>
            <w:tcW w:w="1152" w:type="dxa"/>
            <w:shd w:val="clear" w:color="auto" w:fill="auto"/>
            <w:noWrap/>
            <w:vAlign w:val="center"/>
          </w:tcPr>
          <w:p w14:paraId="6823C36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(0.027)</w:t>
            </w:r>
          </w:p>
        </w:tc>
        <w:tc>
          <w:tcPr>
            <w:tcW w:w="1152" w:type="dxa"/>
            <w:shd w:val="clear" w:color="auto" w:fill="auto"/>
            <w:noWrap/>
            <w:vAlign w:val="center"/>
          </w:tcPr>
          <w:p w14:paraId="3F0D0C0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(0.018)</w:t>
            </w:r>
          </w:p>
        </w:tc>
      </w:tr>
      <w:tr w:rsidR="009307C3" w:rsidRPr="00E56159" w14:paraId="3F81E105" w14:textId="77777777" w:rsidTr="00EE0BCA">
        <w:trPr>
          <w:trHeight w:hRule="exact" w:val="245"/>
          <w:jc w:val="center"/>
        </w:trPr>
        <w:tc>
          <w:tcPr>
            <w:tcW w:w="2835" w:type="dxa"/>
            <w:vMerge w:val="restart"/>
            <w:shd w:val="clear" w:color="auto" w:fill="auto"/>
            <w:noWrap/>
            <w:vAlign w:val="center"/>
          </w:tcPr>
          <w:p w14:paraId="4100509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Population density</w:t>
            </w:r>
          </w:p>
        </w:tc>
        <w:tc>
          <w:tcPr>
            <w:tcW w:w="1152" w:type="dxa"/>
            <w:shd w:val="clear" w:color="auto" w:fill="auto"/>
            <w:noWrap/>
            <w:vAlign w:val="center"/>
          </w:tcPr>
          <w:p w14:paraId="44215AF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-0.047</w:t>
            </w:r>
          </w:p>
        </w:tc>
        <w:tc>
          <w:tcPr>
            <w:tcW w:w="1152" w:type="dxa"/>
            <w:shd w:val="clear" w:color="auto" w:fill="auto"/>
            <w:noWrap/>
            <w:vAlign w:val="center"/>
          </w:tcPr>
          <w:p w14:paraId="4EACB8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-0.110</w:t>
            </w:r>
          </w:p>
        </w:tc>
        <w:tc>
          <w:tcPr>
            <w:tcW w:w="1152" w:type="dxa"/>
            <w:shd w:val="clear" w:color="auto" w:fill="auto"/>
            <w:noWrap/>
            <w:vAlign w:val="center"/>
          </w:tcPr>
          <w:p w14:paraId="533AC4A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-2.009</w:t>
            </w:r>
          </w:p>
        </w:tc>
        <w:tc>
          <w:tcPr>
            <w:tcW w:w="1152" w:type="dxa"/>
            <w:shd w:val="clear" w:color="auto" w:fill="auto"/>
            <w:noWrap/>
            <w:vAlign w:val="center"/>
          </w:tcPr>
          <w:p w14:paraId="1097F4C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-0.130</w:t>
            </w:r>
          </w:p>
        </w:tc>
        <w:tc>
          <w:tcPr>
            <w:tcW w:w="1152" w:type="dxa"/>
            <w:shd w:val="clear" w:color="auto" w:fill="auto"/>
            <w:noWrap/>
            <w:vAlign w:val="center"/>
          </w:tcPr>
          <w:p w14:paraId="3095EDD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-0.190</w:t>
            </w:r>
          </w:p>
        </w:tc>
        <w:tc>
          <w:tcPr>
            <w:tcW w:w="1152" w:type="dxa"/>
            <w:shd w:val="clear" w:color="auto" w:fill="auto"/>
            <w:noWrap/>
            <w:vAlign w:val="center"/>
          </w:tcPr>
          <w:p w14:paraId="02D1A3B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-0.136</w:t>
            </w:r>
          </w:p>
        </w:tc>
      </w:tr>
      <w:tr w:rsidR="009307C3" w:rsidRPr="00E56159" w14:paraId="1E113BF5" w14:textId="77777777" w:rsidTr="00EE0BCA">
        <w:trPr>
          <w:trHeight w:hRule="exact" w:val="245"/>
          <w:jc w:val="center"/>
        </w:trPr>
        <w:tc>
          <w:tcPr>
            <w:tcW w:w="2835" w:type="dxa"/>
            <w:vMerge/>
            <w:vAlign w:val="center"/>
          </w:tcPr>
          <w:p w14:paraId="74A2523C"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239BB5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(0.886)</w:t>
            </w:r>
          </w:p>
        </w:tc>
        <w:tc>
          <w:tcPr>
            <w:tcW w:w="1152" w:type="dxa"/>
            <w:shd w:val="clear" w:color="auto" w:fill="auto"/>
            <w:noWrap/>
            <w:vAlign w:val="center"/>
          </w:tcPr>
          <w:p w14:paraId="4BD4AFA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(0.778)</w:t>
            </w:r>
          </w:p>
        </w:tc>
        <w:tc>
          <w:tcPr>
            <w:tcW w:w="1152" w:type="dxa"/>
            <w:shd w:val="clear" w:color="auto" w:fill="auto"/>
            <w:noWrap/>
            <w:vAlign w:val="center"/>
          </w:tcPr>
          <w:p w14:paraId="39646D1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(0.061)</w:t>
            </w:r>
          </w:p>
        </w:tc>
        <w:tc>
          <w:tcPr>
            <w:tcW w:w="1152" w:type="dxa"/>
            <w:shd w:val="clear" w:color="auto" w:fill="auto"/>
            <w:noWrap/>
            <w:vAlign w:val="center"/>
          </w:tcPr>
          <w:p w14:paraId="5CBA051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(0.661)</w:t>
            </w:r>
          </w:p>
        </w:tc>
        <w:tc>
          <w:tcPr>
            <w:tcW w:w="1152" w:type="dxa"/>
            <w:shd w:val="clear" w:color="auto" w:fill="auto"/>
            <w:noWrap/>
            <w:vAlign w:val="center"/>
          </w:tcPr>
          <w:p w14:paraId="676309B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(0.585)</w:t>
            </w:r>
          </w:p>
        </w:tc>
        <w:tc>
          <w:tcPr>
            <w:tcW w:w="1152" w:type="dxa"/>
            <w:shd w:val="clear" w:color="auto" w:fill="auto"/>
            <w:noWrap/>
            <w:vAlign w:val="center"/>
          </w:tcPr>
          <w:p w14:paraId="5D79A08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(0.638)</w:t>
            </w:r>
          </w:p>
        </w:tc>
      </w:tr>
      <w:tr w:rsidR="009307C3" w:rsidRPr="00E56159" w14:paraId="6C18FB23" w14:textId="77777777" w:rsidTr="00EE0BCA">
        <w:trPr>
          <w:trHeight w:hRule="exact" w:val="245"/>
          <w:jc w:val="center"/>
        </w:trPr>
        <w:tc>
          <w:tcPr>
            <w:tcW w:w="2835" w:type="dxa"/>
            <w:vMerge w:val="restart"/>
            <w:shd w:val="clear" w:color="auto" w:fill="auto"/>
            <w:noWrap/>
            <w:vAlign w:val="center"/>
          </w:tcPr>
          <w:p w14:paraId="1635EDB7"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International trade ratio</w:t>
            </w:r>
          </w:p>
        </w:tc>
        <w:tc>
          <w:tcPr>
            <w:tcW w:w="1152" w:type="dxa"/>
            <w:shd w:val="clear" w:color="auto" w:fill="auto"/>
            <w:noWrap/>
            <w:vAlign w:val="center"/>
          </w:tcPr>
          <w:p w14:paraId="2DED327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-0.016</w:t>
            </w:r>
          </w:p>
        </w:tc>
        <w:tc>
          <w:tcPr>
            <w:tcW w:w="1152" w:type="dxa"/>
            <w:shd w:val="clear" w:color="auto" w:fill="auto"/>
            <w:noWrap/>
            <w:vAlign w:val="center"/>
          </w:tcPr>
          <w:p w14:paraId="7FB4CBE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-0.019</w:t>
            </w:r>
          </w:p>
        </w:tc>
        <w:tc>
          <w:tcPr>
            <w:tcW w:w="1152" w:type="dxa"/>
            <w:shd w:val="clear" w:color="auto" w:fill="auto"/>
            <w:noWrap/>
            <w:vAlign w:val="center"/>
          </w:tcPr>
          <w:p w14:paraId="560029C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-0.008</w:t>
            </w:r>
          </w:p>
        </w:tc>
        <w:tc>
          <w:tcPr>
            <w:tcW w:w="1152" w:type="dxa"/>
            <w:shd w:val="clear" w:color="auto" w:fill="auto"/>
            <w:noWrap/>
            <w:vAlign w:val="center"/>
          </w:tcPr>
          <w:p w14:paraId="5F4E7EE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-0.017</w:t>
            </w:r>
          </w:p>
        </w:tc>
        <w:tc>
          <w:tcPr>
            <w:tcW w:w="1152" w:type="dxa"/>
            <w:shd w:val="clear" w:color="auto" w:fill="auto"/>
            <w:noWrap/>
            <w:vAlign w:val="center"/>
          </w:tcPr>
          <w:p w14:paraId="6166F05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-0.020</w:t>
            </w:r>
          </w:p>
        </w:tc>
        <w:tc>
          <w:tcPr>
            <w:tcW w:w="1152" w:type="dxa"/>
            <w:shd w:val="clear" w:color="auto" w:fill="auto"/>
            <w:noWrap/>
            <w:vAlign w:val="center"/>
          </w:tcPr>
          <w:p w14:paraId="451FB2B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-0.021</w:t>
            </w:r>
          </w:p>
        </w:tc>
      </w:tr>
      <w:tr w:rsidR="009307C3" w:rsidRPr="00E56159" w14:paraId="78F9AE7E" w14:textId="77777777" w:rsidTr="00EE0BCA">
        <w:trPr>
          <w:trHeight w:hRule="exact" w:val="245"/>
          <w:jc w:val="center"/>
        </w:trPr>
        <w:tc>
          <w:tcPr>
            <w:tcW w:w="2835" w:type="dxa"/>
            <w:vMerge/>
            <w:vAlign w:val="center"/>
          </w:tcPr>
          <w:p w14:paraId="15675EE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9B1BBF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(0.258)</w:t>
            </w:r>
          </w:p>
        </w:tc>
        <w:tc>
          <w:tcPr>
            <w:tcW w:w="1152" w:type="dxa"/>
            <w:shd w:val="clear" w:color="auto" w:fill="auto"/>
            <w:noWrap/>
            <w:vAlign w:val="center"/>
          </w:tcPr>
          <w:p w14:paraId="72857F1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(0.160)</w:t>
            </w:r>
          </w:p>
        </w:tc>
        <w:tc>
          <w:tcPr>
            <w:tcW w:w="1152" w:type="dxa"/>
            <w:shd w:val="clear" w:color="auto" w:fill="auto"/>
            <w:noWrap/>
            <w:vAlign w:val="center"/>
          </w:tcPr>
          <w:p w14:paraId="066ABA8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(0.637)</w:t>
            </w:r>
          </w:p>
        </w:tc>
        <w:tc>
          <w:tcPr>
            <w:tcW w:w="1152" w:type="dxa"/>
            <w:shd w:val="clear" w:color="auto" w:fill="auto"/>
            <w:noWrap/>
            <w:vAlign w:val="center"/>
          </w:tcPr>
          <w:p w14:paraId="4782A70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(0.352)</w:t>
            </w:r>
          </w:p>
        </w:tc>
        <w:tc>
          <w:tcPr>
            <w:tcW w:w="1152" w:type="dxa"/>
            <w:shd w:val="clear" w:color="auto" w:fill="auto"/>
            <w:noWrap/>
            <w:vAlign w:val="center"/>
          </w:tcPr>
          <w:p w14:paraId="7A4EBD8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(0.249)</w:t>
            </w:r>
          </w:p>
        </w:tc>
        <w:tc>
          <w:tcPr>
            <w:tcW w:w="1152" w:type="dxa"/>
            <w:shd w:val="clear" w:color="auto" w:fill="auto"/>
            <w:noWrap/>
            <w:vAlign w:val="center"/>
          </w:tcPr>
          <w:p w14:paraId="39C9421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(0.160)</w:t>
            </w:r>
          </w:p>
        </w:tc>
      </w:tr>
      <w:tr w:rsidR="009307C3" w:rsidRPr="00E56159" w14:paraId="3AB720C2" w14:textId="77777777" w:rsidTr="00EE0BCA">
        <w:trPr>
          <w:trHeight w:hRule="exact" w:val="245"/>
          <w:jc w:val="center"/>
        </w:trPr>
        <w:tc>
          <w:tcPr>
            <w:tcW w:w="2835" w:type="dxa"/>
            <w:vMerge w:val="restart"/>
            <w:shd w:val="clear" w:color="auto" w:fill="auto"/>
            <w:noWrap/>
            <w:vAlign w:val="center"/>
          </w:tcPr>
          <w:p w14:paraId="1DA809D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FDI inflow</w:t>
            </w:r>
          </w:p>
        </w:tc>
        <w:tc>
          <w:tcPr>
            <w:tcW w:w="1152" w:type="dxa"/>
            <w:shd w:val="clear" w:color="auto" w:fill="auto"/>
            <w:noWrap/>
            <w:vAlign w:val="center"/>
          </w:tcPr>
          <w:p w14:paraId="528D5C1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0.144</w:t>
            </w:r>
          </w:p>
        </w:tc>
        <w:tc>
          <w:tcPr>
            <w:tcW w:w="1152" w:type="dxa"/>
            <w:shd w:val="clear" w:color="auto" w:fill="auto"/>
            <w:noWrap/>
            <w:vAlign w:val="center"/>
          </w:tcPr>
          <w:p w14:paraId="1412849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0.182</w:t>
            </w:r>
          </w:p>
        </w:tc>
        <w:tc>
          <w:tcPr>
            <w:tcW w:w="1152" w:type="dxa"/>
            <w:shd w:val="clear" w:color="auto" w:fill="auto"/>
            <w:noWrap/>
            <w:vAlign w:val="center"/>
          </w:tcPr>
          <w:p w14:paraId="2574A0F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0.342</w:t>
            </w:r>
          </w:p>
        </w:tc>
        <w:tc>
          <w:tcPr>
            <w:tcW w:w="1152" w:type="dxa"/>
            <w:shd w:val="clear" w:color="auto" w:fill="auto"/>
            <w:noWrap/>
            <w:vAlign w:val="center"/>
          </w:tcPr>
          <w:p w14:paraId="064F177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0.150</w:t>
            </w:r>
          </w:p>
        </w:tc>
        <w:tc>
          <w:tcPr>
            <w:tcW w:w="1152" w:type="dxa"/>
            <w:shd w:val="clear" w:color="auto" w:fill="auto"/>
            <w:noWrap/>
            <w:vAlign w:val="center"/>
          </w:tcPr>
          <w:p w14:paraId="234408D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0.182</w:t>
            </w:r>
          </w:p>
        </w:tc>
        <w:tc>
          <w:tcPr>
            <w:tcW w:w="1152" w:type="dxa"/>
            <w:shd w:val="clear" w:color="auto" w:fill="auto"/>
            <w:noWrap/>
            <w:vAlign w:val="center"/>
          </w:tcPr>
          <w:p w14:paraId="0415284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0.175</w:t>
            </w:r>
          </w:p>
        </w:tc>
      </w:tr>
      <w:tr w:rsidR="009307C3" w:rsidRPr="00E56159" w14:paraId="4E97D1FE" w14:textId="77777777" w:rsidTr="00EE0BCA">
        <w:trPr>
          <w:trHeight w:hRule="exact" w:val="245"/>
          <w:jc w:val="center"/>
        </w:trPr>
        <w:tc>
          <w:tcPr>
            <w:tcW w:w="2835" w:type="dxa"/>
            <w:vMerge/>
            <w:vAlign w:val="center"/>
          </w:tcPr>
          <w:p w14:paraId="1E707AB6"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C204F7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(0.159)</w:t>
            </w:r>
          </w:p>
        </w:tc>
        <w:tc>
          <w:tcPr>
            <w:tcW w:w="1152" w:type="dxa"/>
            <w:shd w:val="clear" w:color="auto" w:fill="auto"/>
            <w:noWrap/>
            <w:vAlign w:val="center"/>
          </w:tcPr>
          <w:p w14:paraId="5E96512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(0.072)</w:t>
            </w:r>
          </w:p>
        </w:tc>
        <w:tc>
          <w:tcPr>
            <w:tcW w:w="1152" w:type="dxa"/>
            <w:shd w:val="clear" w:color="auto" w:fill="auto"/>
            <w:noWrap/>
            <w:vAlign w:val="center"/>
          </w:tcPr>
          <w:p w14:paraId="47B4A18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77A5C01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(0.177)</w:t>
            </w:r>
          </w:p>
        </w:tc>
        <w:tc>
          <w:tcPr>
            <w:tcW w:w="1152" w:type="dxa"/>
            <w:shd w:val="clear" w:color="auto" w:fill="auto"/>
            <w:noWrap/>
            <w:vAlign w:val="center"/>
          </w:tcPr>
          <w:p w14:paraId="2CC7ECF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(0.103)</w:t>
            </w:r>
          </w:p>
        </w:tc>
        <w:tc>
          <w:tcPr>
            <w:tcW w:w="1152" w:type="dxa"/>
            <w:shd w:val="clear" w:color="auto" w:fill="auto"/>
            <w:noWrap/>
            <w:vAlign w:val="center"/>
          </w:tcPr>
          <w:p w14:paraId="0CDB27F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(0.034)</w:t>
            </w:r>
          </w:p>
        </w:tc>
      </w:tr>
      <w:tr w:rsidR="009307C3" w:rsidRPr="00E56159" w14:paraId="32BA38A7" w14:textId="77777777" w:rsidTr="00EE0BCA">
        <w:trPr>
          <w:trHeight w:hRule="exact" w:val="245"/>
          <w:jc w:val="center"/>
        </w:trPr>
        <w:tc>
          <w:tcPr>
            <w:tcW w:w="2835" w:type="dxa"/>
            <w:vMerge w:val="restart"/>
            <w:shd w:val="clear" w:color="auto" w:fill="auto"/>
            <w:noWrap/>
            <w:vAlign w:val="center"/>
          </w:tcPr>
          <w:p w14:paraId="315FD2C5"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FDI outflow</w:t>
            </w:r>
          </w:p>
        </w:tc>
        <w:tc>
          <w:tcPr>
            <w:tcW w:w="1152" w:type="dxa"/>
            <w:shd w:val="clear" w:color="auto" w:fill="auto"/>
            <w:noWrap/>
            <w:vAlign w:val="center"/>
          </w:tcPr>
          <w:p w14:paraId="44258CB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-0.235</w:t>
            </w:r>
          </w:p>
        </w:tc>
        <w:tc>
          <w:tcPr>
            <w:tcW w:w="1152" w:type="dxa"/>
            <w:shd w:val="clear" w:color="auto" w:fill="auto"/>
            <w:noWrap/>
            <w:vAlign w:val="center"/>
          </w:tcPr>
          <w:p w14:paraId="6F93DDF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-0.237</w:t>
            </w:r>
          </w:p>
        </w:tc>
        <w:tc>
          <w:tcPr>
            <w:tcW w:w="1152" w:type="dxa"/>
            <w:shd w:val="clear" w:color="auto" w:fill="auto"/>
            <w:noWrap/>
            <w:vAlign w:val="center"/>
          </w:tcPr>
          <w:p w14:paraId="16B7EB6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0.110</w:t>
            </w:r>
          </w:p>
        </w:tc>
        <w:tc>
          <w:tcPr>
            <w:tcW w:w="1152" w:type="dxa"/>
            <w:shd w:val="clear" w:color="auto" w:fill="auto"/>
            <w:noWrap/>
            <w:vAlign w:val="center"/>
          </w:tcPr>
          <w:p w14:paraId="28CECD2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-0.330</w:t>
            </w:r>
          </w:p>
        </w:tc>
        <w:tc>
          <w:tcPr>
            <w:tcW w:w="1152" w:type="dxa"/>
            <w:shd w:val="clear" w:color="auto" w:fill="auto"/>
            <w:noWrap/>
            <w:vAlign w:val="center"/>
          </w:tcPr>
          <w:p w14:paraId="209FFE0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-0.329</w:t>
            </w:r>
          </w:p>
        </w:tc>
        <w:tc>
          <w:tcPr>
            <w:tcW w:w="1152" w:type="dxa"/>
            <w:shd w:val="clear" w:color="auto" w:fill="auto"/>
            <w:noWrap/>
            <w:vAlign w:val="center"/>
          </w:tcPr>
          <w:p w14:paraId="34E0E4E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-0.296</w:t>
            </w:r>
          </w:p>
        </w:tc>
      </w:tr>
      <w:tr w:rsidR="009307C3" w:rsidRPr="00E56159" w14:paraId="034F9CE1" w14:textId="77777777" w:rsidTr="00EE0BCA">
        <w:trPr>
          <w:trHeight w:hRule="exact" w:val="245"/>
          <w:jc w:val="center"/>
        </w:trPr>
        <w:tc>
          <w:tcPr>
            <w:tcW w:w="2835" w:type="dxa"/>
            <w:vMerge/>
            <w:vAlign w:val="center"/>
          </w:tcPr>
          <w:p w14:paraId="2D1C2421"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BA2C81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(0.346)</w:t>
            </w:r>
          </w:p>
        </w:tc>
        <w:tc>
          <w:tcPr>
            <w:tcW w:w="1152" w:type="dxa"/>
            <w:shd w:val="clear" w:color="auto" w:fill="auto"/>
            <w:noWrap/>
            <w:vAlign w:val="center"/>
          </w:tcPr>
          <w:p w14:paraId="1EE262B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(0.334)</w:t>
            </w:r>
          </w:p>
        </w:tc>
        <w:tc>
          <w:tcPr>
            <w:tcW w:w="1152" w:type="dxa"/>
            <w:shd w:val="clear" w:color="auto" w:fill="auto"/>
            <w:noWrap/>
            <w:vAlign w:val="center"/>
          </w:tcPr>
          <w:p w14:paraId="6DF0AEF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(0.214)</w:t>
            </w:r>
          </w:p>
        </w:tc>
        <w:tc>
          <w:tcPr>
            <w:tcW w:w="1152" w:type="dxa"/>
            <w:shd w:val="clear" w:color="auto" w:fill="auto"/>
            <w:noWrap/>
            <w:vAlign w:val="center"/>
          </w:tcPr>
          <w:p w14:paraId="4575EA7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(0.224)</w:t>
            </w:r>
          </w:p>
        </w:tc>
        <w:tc>
          <w:tcPr>
            <w:tcW w:w="1152" w:type="dxa"/>
            <w:shd w:val="clear" w:color="auto" w:fill="auto"/>
            <w:noWrap/>
            <w:vAlign w:val="center"/>
          </w:tcPr>
          <w:p w14:paraId="57B0A6E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(0.211)</w:t>
            </w:r>
          </w:p>
        </w:tc>
        <w:tc>
          <w:tcPr>
            <w:tcW w:w="1152" w:type="dxa"/>
            <w:shd w:val="clear" w:color="auto" w:fill="auto"/>
            <w:noWrap/>
            <w:vAlign w:val="center"/>
          </w:tcPr>
          <w:p w14:paraId="2EFEE2C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(0.242)</w:t>
            </w:r>
          </w:p>
        </w:tc>
      </w:tr>
      <w:tr w:rsidR="009307C3" w:rsidRPr="00E56159" w14:paraId="0C3AF4AA" w14:textId="77777777" w:rsidTr="00EE0BCA">
        <w:trPr>
          <w:trHeight w:hRule="exact" w:val="245"/>
          <w:jc w:val="center"/>
        </w:trPr>
        <w:tc>
          <w:tcPr>
            <w:tcW w:w="2835" w:type="dxa"/>
            <w:vMerge w:val="restart"/>
            <w:shd w:val="clear" w:color="auto" w:fill="auto"/>
            <w:noWrap/>
            <w:vAlign w:val="center"/>
          </w:tcPr>
          <w:p w14:paraId="2042256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Oil reserves</w:t>
            </w:r>
          </w:p>
        </w:tc>
        <w:tc>
          <w:tcPr>
            <w:tcW w:w="1152" w:type="dxa"/>
            <w:shd w:val="clear" w:color="auto" w:fill="auto"/>
            <w:noWrap/>
            <w:vAlign w:val="center"/>
          </w:tcPr>
          <w:p w14:paraId="24A0B23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0.147</w:t>
            </w:r>
          </w:p>
        </w:tc>
        <w:tc>
          <w:tcPr>
            <w:tcW w:w="1152" w:type="dxa"/>
            <w:shd w:val="clear" w:color="auto" w:fill="auto"/>
            <w:noWrap/>
            <w:vAlign w:val="center"/>
          </w:tcPr>
          <w:p w14:paraId="43E1A66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0.151</w:t>
            </w:r>
          </w:p>
        </w:tc>
        <w:tc>
          <w:tcPr>
            <w:tcW w:w="1152" w:type="dxa"/>
            <w:shd w:val="clear" w:color="auto" w:fill="auto"/>
            <w:noWrap/>
            <w:vAlign w:val="center"/>
          </w:tcPr>
          <w:p w14:paraId="42B956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0.226</w:t>
            </w:r>
          </w:p>
        </w:tc>
        <w:tc>
          <w:tcPr>
            <w:tcW w:w="1152" w:type="dxa"/>
            <w:shd w:val="clear" w:color="auto" w:fill="auto"/>
            <w:noWrap/>
            <w:vAlign w:val="center"/>
          </w:tcPr>
          <w:p w14:paraId="5B3060C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0.231</w:t>
            </w:r>
          </w:p>
        </w:tc>
        <w:tc>
          <w:tcPr>
            <w:tcW w:w="1152" w:type="dxa"/>
            <w:shd w:val="clear" w:color="auto" w:fill="auto"/>
            <w:noWrap/>
            <w:vAlign w:val="center"/>
          </w:tcPr>
          <w:p w14:paraId="69FD6A7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0.229</w:t>
            </w:r>
          </w:p>
        </w:tc>
        <w:tc>
          <w:tcPr>
            <w:tcW w:w="1152" w:type="dxa"/>
            <w:shd w:val="clear" w:color="auto" w:fill="auto"/>
            <w:noWrap/>
            <w:vAlign w:val="center"/>
          </w:tcPr>
          <w:p w14:paraId="39EB201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0.232</w:t>
            </w:r>
          </w:p>
        </w:tc>
      </w:tr>
      <w:tr w:rsidR="009307C3" w:rsidRPr="00E56159" w14:paraId="42C6EF06" w14:textId="77777777" w:rsidTr="00EE0BCA">
        <w:trPr>
          <w:trHeight w:hRule="exact" w:val="245"/>
          <w:jc w:val="center"/>
        </w:trPr>
        <w:tc>
          <w:tcPr>
            <w:tcW w:w="2835" w:type="dxa"/>
            <w:vMerge/>
            <w:vAlign w:val="center"/>
          </w:tcPr>
          <w:p w14:paraId="4CC8DD39"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0DBA7C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(0.423)</w:t>
            </w:r>
          </w:p>
        </w:tc>
        <w:tc>
          <w:tcPr>
            <w:tcW w:w="1152" w:type="dxa"/>
            <w:shd w:val="clear" w:color="auto" w:fill="auto"/>
            <w:noWrap/>
            <w:vAlign w:val="center"/>
          </w:tcPr>
          <w:p w14:paraId="15C04F7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(0.346)</w:t>
            </w:r>
          </w:p>
        </w:tc>
        <w:tc>
          <w:tcPr>
            <w:tcW w:w="1152" w:type="dxa"/>
            <w:shd w:val="clear" w:color="auto" w:fill="auto"/>
            <w:noWrap/>
            <w:vAlign w:val="center"/>
          </w:tcPr>
          <w:p w14:paraId="0DB6523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(0.397)</w:t>
            </w:r>
          </w:p>
        </w:tc>
        <w:tc>
          <w:tcPr>
            <w:tcW w:w="1152" w:type="dxa"/>
            <w:shd w:val="clear" w:color="auto" w:fill="auto"/>
            <w:noWrap/>
            <w:vAlign w:val="center"/>
          </w:tcPr>
          <w:p w14:paraId="267CDFB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(0.264)</w:t>
            </w:r>
          </w:p>
        </w:tc>
        <w:tc>
          <w:tcPr>
            <w:tcW w:w="1152" w:type="dxa"/>
            <w:shd w:val="clear" w:color="auto" w:fill="auto"/>
            <w:noWrap/>
            <w:vAlign w:val="center"/>
          </w:tcPr>
          <w:p w14:paraId="1F9F8A9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(0.210)</w:t>
            </w:r>
          </w:p>
        </w:tc>
        <w:tc>
          <w:tcPr>
            <w:tcW w:w="1152" w:type="dxa"/>
            <w:shd w:val="clear" w:color="auto" w:fill="auto"/>
            <w:noWrap/>
            <w:vAlign w:val="center"/>
          </w:tcPr>
          <w:p w14:paraId="46944FD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(0.210)</w:t>
            </w:r>
          </w:p>
        </w:tc>
      </w:tr>
      <w:tr w:rsidR="009307C3" w:rsidRPr="00E56159" w14:paraId="0DF507D2" w14:textId="77777777" w:rsidTr="00EE0BCA">
        <w:trPr>
          <w:trHeight w:hRule="exact" w:val="245"/>
          <w:jc w:val="center"/>
        </w:trPr>
        <w:tc>
          <w:tcPr>
            <w:tcW w:w="2835" w:type="dxa"/>
            <w:vMerge w:val="restart"/>
            <w:shd w:val="clear" w:color="auto" w:fill="auto"/>
            <w:noWrap/>
            <w:vAlign w:val="center"/>
          </w:tcPr>
          <w:p w14:paraId="64CC9ACF"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Political risk</w:t>
            </w:r>
          </w:p>
        </w:tc>
        <w:tc>
          <w:tcPr>
            <w:tcW w:w="1152" w:type="dxa"/>
            <w:shd w:val="clear" w:color="auto" w:fill="auto"/>
            <w:noWrap/>
            <w:vAlign w:val="center"/>
          </w:tcPr>
          <w:p w14:paraId="185BEB0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-2.358</w:t>
            </w:r>
          </w:p>
        </w:tc>
        <w:tc>
          <w:tcPr>
            <w:tcW w:w="1152" w:type="dxa"/>
            <w:shd w:val="clear" w:color="auto" w:fill="auto"/>
            <w:noWrap/>
            <w:vAlign w:val="center"/>
          </w:tcPr>
          <w:p w14:paraId="1954B16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-1.919</w:t>
            </w:r>
          </w:p>
        </w:tc>
        <w:tc>
          <w:tcPr>
            <w:tcW w:w="1152" w:type="dxa"/>
            <w:shd w:val="clear" w:color="auto" w:fill="auto"/>
            <w:noWrap/>
            <w:vAlign w:val="center"/>
          </w:tcPr>
          <w:p w14:paraId="612797C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7.860</w:t>
            </w:r>
          </w:p>
        </w:tc>
        <w:tc>
          <w:tcPr>
            <w:tcW w:w="1152" w:type="dxa"/>
            <w:shd w:val="clear" w:color="auto" w:fill="auto"/>
            <w:noWrap/>
            <w:vAlign w:val="center"/>
          </w:tcPr>
          <w:p w14:paraId="46F6D72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-3.795</w:t>
            </w:r>
          </w:p>
        </w:tc>
        <w:tc>
          <w:tcPr>
            <w:tcW w:w="1152" w:type="dxa"/>
            <w:shd w:val="clear" w:color="auto" w:fill="auto"/>
            <w:noWrap/>
            <w:vAlign w:val="center"/>
          </w:tcPr>
          <w:p w14:paraId="06A8EAE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-3.354</w:t>
            </w:r>
          </w:p>
        </w:tc>
        <w:tc>
          <w:tcPr>
            <w:tcW w:w="1152" w:type="dxa"/>
            <w:shd w:val="clear" w:color="auto" w:fill="auto"/>
            <w:noWrap/>
            <w:vAlign w:val="center"/>
          </w:tcPr>
          <w:p w14:paraId="194883C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-3.249</w:t>
            </w:r>
          </w:p>
        </w:tc>
      </w:tr>
      <w:tr w:rsidR="009307C3" w:rsidRPr="00E56159" w14:paraId="12B0001C" w14:textId="77777777" w:rsidTr="00EE0BCA">
        <w:trPr>
          <w:trHeight w:hRule="exact" w:val="245"/>
          <w:jc w:val="center"/>
        </w:trPr>
        <w:tc>
          <w:tcPr>
            <w:tcW w:w="2835" w:type="dxa"/>
            <w:vMerge/>
            <w:vAlign w:val="center"/>
          </w:tcPr>
          <w:p w14:paraId="0C39CD8C"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08F279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(0.505)</w:t>
            </w:r>
          </w:p>
        </w:tc>
        <w:tc>
          <w:tcPr>
            <w:tcW w:w="1152" w:type="dxa"/>
            <w:shd w:val="clear" w:color="auto" w:fill="auto"/>
            <w:noWrap/>
            <w:vAlign w:val="center"/>
          </w:tcPr>
          <w:p w14:paraId="2EED7F8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(0.576)</w:t>
            </w:r>
          </w:p>
        </w:tc>
        <w:tc>
          <w:tcPr>
            <w:tcW w:w="1152" w:type="dxa"/>
            <w:shd w:val="clear" w:color="auto" w:fill="auto"/>
            <w:noWrap/>
            <w:vAlign w:val="center"/>
          </w:tcPr>
          <w:p w14:paraId="68422B1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(0.112)</w:t>
            </w:r>
          </w:p>
        </w:tc>
        <w:tc>
          <w:tcPr>
            <w:tcW w:w="1152" w:type="dxa"/>
            <w:shd w:val="clear" w:color="auto" w:fill="auto"/>
            <w:noWrap/>
            <w:vAlign w:val="center"/>
          </w:tcPr>
          <w:p w14:paraId="4D7B20E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(0.264)</w:t>
            </w:r>
          </w:p>
        </w:tc>
        <w:tc>
          <w:tcPr>
            <w:tcW w:w="1152" w:type="dxa"/>
            <w:shd w:val="clear" w:color="auto" w:fill="auto"/>
            <w:noWrap/>
            <w:vAlign w:val="center"/>
          </w:tcPr>
          <w:p w14:paraId="07A98C0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(0.303)</w:t>
            </w:r>
          </w:p>
        </w:tc>
        <w:tc>
          <w:tcPr>
            <w:tcW w:w="1152" w:type="dxa"/>
            <w:shd w:val="clear" w:color="auto" w:fill="auto"/>
            <w:noWrap/>
            <w:vAlign w:val="center"/>
          </w:tcPr>
          <w:p w14:paraId="0E6D505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(0.287)</w:t>
            </w:r>
          </w:p>
        </w:tc>
      </w:tr>
      <w:tr w:rsidR="009307C3" w:rsidRPr="00E56159" w14:paraId="2A10C2F4" w14:textId="77777777" w:rsidTr="00EE0BCA">
        <w:trPr>
          <w:trHeight w:hRule="exact" w:val="245"/>
          <w:jc w:val="center"/>
        </w:trPr>
        <w:tc>
          <w:tcPr>
            <w:tcW w:w="2835" w:type="dxa"/>
            <w:vMerge w:val="restart"/>
            <w:shd w:val="clear" w:color="auto" w:fill="auto"/>
            <w:noWrap/>
            <w:vAlign w:val="center"/>
          </w:tcPr>
          <w:p w14:paraId="0500F83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w:t>
            </w:r>
            <w:r w:rsidRPr="00E56159">
              <w:rPr>
                <w:rFonts w:ascii="Times New Roman" w:hAnsi="Times New Roman" w:cs="Times New Roman"/>
                <w:color w:val="000000"/>
                <w:kern w:val="0"/>
                <w:szCs w:val="22"/>
                <w14:ligatures w14:val="none"/>
              </w:rPr>
              <w:t>n</w:t>
            </w:r>
            <w:r w:rsidRPr="00E56159">
              <w:rPr>
                <w:rFonts w:ascii="Times New Roman" w:eastAsia="Times New Roman" w:hAnsi="Times New Roman" w:cs="Times New Roman"/>
                <w:color w:val="000000"/>
                <w:kern w:val="0"/>
                <w:szCs w:val="22"/>
                <w14:ligatures w14:val="none"/>
              </w:rPr>
              <w:t>ic diversity</w:t>
            </w:r>
          </w:p>
        </w:tc>
        <w:tc>
          <w:tcPr>
            <w:tcW w:w="1152" w:type="dxa"/>
            <w:shd w:val="clear" w:color="auto" w:fill="auto"/>
            <w:noWrap/>
            <w:vAlign w:val="center"/>
          </w:tcPr>
          <w:p w14:paraId="113FC2E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0.258</w:t>
            </w:r>
          </w:p>
        </w:tc>
        <w:tc>
          <w:tcPr>
            <w:tcW w:w="1152" w:type="dxa"/>
            <w:shd w:val="clear" w:color="auto" w:fill="auto"/>
            <w:noWrap/>
            <w:vAlign w:val="center"/>
          </w:tcPr>
          <w:p w14:paraId="5624FF1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-0.447</w:t>
            </w:r>
          </w:p>
        </w:tc>
        <w:tc>
          <w:tcPr>
            <w:tcW w:w="1152" w:type="dxa"/>
            <w:shd w:val="clear" w:color="auto" w:fill="auto"/>
            <w:noWrap/>
            <w:vAlign w:val="center"/>
          </w:tcPr>
          <w:p w14:paraId="645B1A2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-9.318</w:t>
            </w:r>
          </w:p>
        </w:tc>
        <w:tc>
          <w:tcPr>
            <w:tcW w:w="1152" w:type="dxa"/>
            <w:shd w:val="clear" w:color="auto" w:fill="auto"/>
            <w:noWrap/>
            <w:vAlign w:val="center"/>
          </w:tcPr>
          <w:p w14:paraId="160638B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-0.074</w:t>
            </w:r>
          </w:p>
        </w:tc>
        <w:tc>
          <w:tcPr>
            <w:tcW w:w="1152" w:type="dxa"/>
            <w:shd w:val="clear" w:color="auto" w:fill="auto"/>
            <w:noWrap/>
            <w:vAlign w:val="center"/>
          </w:tcPr>
          <w:p w14:paraId="07BB487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-0.645</w:t>
            </w:r>
          </w:p>
        </w:tc>
        <w:tc>
          <w:tcPr>
            <w:tcW w:w="1152" w:type="dxa"/>
            <w:shd w:val="clear" w:color="auto" w:fill="auto"/>
            <w:noWrap/>
            <w:vAlign w:val="center"/>
          </w:tcPr>
          <w:p w14:paraId="36D87B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-0.488</w:t>
            </w:r>
          </w:p>
        </w:tc>
      </w:tr>
      <w:tr w:rsidR="009307C3" w:rsidRPr="00E56159" w14:paraId="12497CCA" w14:textId="77777777" w:rsidTr="00EE0BCA">
        <w:trPr>
          <w:trHeight w:hRule="exact" w:val="245"/>
          <w:jc w:val="center"/>
        </w:trPr>
        <w:tc>
          <w:tcPr>
            <w:tcW w:w="2835" w:type="dxa"/>
            <w:vMerge/>
            <w:vAlign w:val="center"/>
          </w:tcPr>
          <w:p w14:paraId="6013DFA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5791CA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(0.808)</w:t>
            </w:r>
          </w:p>
        </w:tc>
        <w:tc>
          <w:tcPr>
            <w:tcW w:w="1152" w:type="dxa"/>
            <w:shd w:val="clear" w:color="auto" w:fill="auto"/>
            <w:noWrap/>
            <w:vAlign w:val="center"/>
          </w:tcPr>
          <w:p w14:paraId="424C477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(0.652)</w:t>
            </w:r>
          </w:p>
        </w:tc>
        <w:tc>
          <w:tcPr>
            <w:tcW w:w="1152" w:type="dxa"/>
            <w:shd w:val="clear" w:color="auto" w:fill="auto"/>
            <w:noWrap/>
            <w:vAlign w:val="center"/>
          </w:tcPr>
          <w:p w14:paraId="035DBD1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(0.122)</w:t>
            </w:r>
          </w:p>
        </w:tc>
        <w:tc>
          <w:tcPr>
            <w:tcW w:w="1152" w:type="dxa"/>
            <w:shd w:val="clear" w:color="auto" w:fill="auto"/>
            <w:noWrap/>
            <w:vAlign w:val="center"/>
          </w:tcPr>
          <w:p w14:paraId="3E2C5C5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(0.937)</w:t>
            </w:r>
          </w:p>
        </w:tc>
        <w:tc>
          <w:tcPr>
            <w:tcW w:w="1152" w:type="dxa"/>
            <w:shd w:val="clear" w:color="auto" w:fill="auto"/>
            <w:noWrap/>
            <w:vAlign w:val="center"/>
          </w:tcPr>
          <w:p w14:paraId="46E07EC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(0.469)</w:t>
            </w:r>
          </w:p>
        </w:tc>
        <w:tc>
          <w:tcPr>
            <w:tcW w:w="1152" w:type="dxa"/>
            <w:shd w:val="clear" w:color="auto" w:fill="auto"/>
            <w:noWrap/>
            <w:vAlign w:val="center"/>
          </w:tcPr>
          <w:p w14:paraId="2D6B8E9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(0.528)</w:t>
            </w:r>
          </w:p>
        </w:tc>
      </w:tr>
      <w:tr w:rsidR="009307C3" w:rsidRPr="00E56159" w14:paraId="79880E23" w14:textId="77777777" w:rsidTr="00EE0BCA">
        <w:trPr>
          <w:trHeight w:hRule="exact" w:val="245"/>
          <w:jc w:val="center"/>
        </w:trPr>
        <w:tc>
          <w:tcPr>
            <w:tcW w:w="2835" w:type="dxa"/>
            <w:vMerge w:val="restart"/>
            <w:shd w:val="clear" w:color="auto" w:fill="auto"/>
            <w:noWrap/>
            <w:vAlign w:val="center"/>
          </w:tcPr>
          <w:p w14:paraId="28450DA0"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French colonial territories</w:t>
            </w:r>
          </w:p>
        </w:tc>
        <w:tc>
          <w:tcPr>
            <w:tcW w:w="1152" w:type="dxa"/>
            <w:shd w:val="clear" w:color="auto" w:fill="auto"/>
            <w:noWrap/>
            <w:vAlign w:val="center"/>
          </w:tcPr>
          <w:p w14:paraId="7C288E7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0.028</w:t>
            </w:r>
          </w:p>
        </w:tc>
        <w:tc>
          <w:tcPr>
            <w:tcW w:w="1152" w:type="dxa"/>
            <w:shd w:val="clear" w:color="auto" w:fill="auto"/>
            <w:noWrap/>
            <w:vAlign w:val="center"/>
          </w:tcPr>
          <w:p w14:paraId="3AEE2ED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0.311</w:t>
            </w:r>
          </w:p>
        </w:tc>
        <w:tc>
          <w:tcPr>
            <w:tcW w:w="1152" w:type="dxa"/>
            <w:shd w:val="clear" w:color="auto" w:fill="auto"/>
            <w:noWrap/>
            <w:vAlign w:val="center"/>
          </w:tcPr>
          <w:p w14:paraId="5E86DBC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6.106</w:t>
            </w:r>
          </w:p>
        </w:tc>
        <w:tc>
          <w:tcPr>
            <w:tcW w:w="1152" w:type="dxa"/>
            <w:shd w:val="clear" w:color="auto" w:fill="auto"/>
            <w:noWrap/>
            <w:vAlign w:val="center"/>
          </w:tcPr>
          <w:p w14:paraId="76A9F83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-0.322</w:t>
            </w:r>
          </w:p>
        </w:tc>
        <w:tc>
          <w:tcPr>
            <w:tcW w:w="1152" w:type="dxa"/>
            <w:shd w:val="clear" w:color="auto" w:fill="auto"/>
            <w:noWrap/>
            <w:vAlign w:val="center"/>
          </w:tcPr>
          <w:p w14:paraId="71A46C8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-0.077</w:t>
            </w:r>
          </w:p>
        </w:tc>
        <w:tc>
          <w:tcPr>
            <w:tcW w:w="1152" w:type="dxa"/>
            <w:shd w:val="clear" w:color="auto" w:fill="auto"/>
            <w:noWrap/>
            <w:vAlign w:val="center"/>
          </w:tcPr>
          <w:p w14:paraId="4BE3B44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-0.099</w:t>
            </w:r>
          </w:p>
        </w:tc>
      </w:tr>
      <w:tr w:rsidR="009307C3" w:rsidRPr="00E56159" w14:paraId="68C6A97E" w14:textId="77777777" w:rsidTr="00EE0BCA">
        <w:trPr>
          <w:trHeight w:hRule="exact" w:val="245"/>
          <w:jc w:val="center"/>
        </w:trPr>
        <w:tc>
          <w:tcPr>
            <w:tcW w:w="2835" w:type="dxa"/>
            <w:vMerge/>
            <w:vAlign w:val="center"/>
          </w:tcPr>
          <w:p w14:paraId="739348B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459021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(0.973)</w:t>
            </w:r>
          </w:p>
        </w:tc>
        <w:tc>
          <w:tcPr>
            <w:tcW w:w="1152" w:type="dxa"/>
            <w:shd w:val="clear" w:color="auto" w:fill="auto"/>
            <w:noWrap/>
            <w:vAlign w:val="center"/>
          </w:tcPr>
          <w:p w14:paraId="15B34C4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(0.639)</w:t>
            </w:r>
          </w:p>
        </w:tc>
        <w:tc>
          <w:tcPr>
            <w:tcW w:w="1152" w:type="dxa"/>
            <w:shd w:val="clear" w:color="auto" w:fill="auto"/>
            <w:noWrap/>
            <w:vAlign w:val="center"/>
          </w:tcPr>
          <w:p w14:paraId="1A824B1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(0.040)</w:t>
            </w:r>
          </w:p>
        </w:tc>
        <w:tc>
          <w:tcPr>
            <w:tcW w:w="1152" w:type="dxa"/>
            <w:shd w:val="clear" w:color="auto" w:fill="auto"/>
            <w:noWrap/>
            <w:vAlign w:val="center"/>
          </w:tcPr>
          <w:p w14:paraId="1387582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(0.742)</w:t>
            </w:r>
          </w:p>
        </w:tc>
        <w:tc>
          <w:tcPr>
            <w:tcW w:w="1152" w:type="dxa"/>
            <w:shd w:val="clear" w:color="auto" w:fill="auto"/>
            <w:noWrap/>
            <w:vAlign w:val="center"/>
          </w:tcPr>
          <w:p w14:paraId="4A4E46E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(0.926)</w:t>
            </w:r>
          </w:p>
        </w:tc>
        <w:tc>
          <w:tcPr>
            <w:tcW w:w="1152" w:type="dxa"/>
            <w:shd w:val="clear" w:color="auto" w:fill="auto"/>
            <w:noWrap/>
            <w:vAlign w:val="center"/>
          </w:tcPr>
          <w:p w14:paraId="3803119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(0.907)</w:t>
            </w:r>
          </w:p>
        </w:tc>
      </w:tr>
      <w:tr w:rsidR="009307C3" w:rsidRPr="00E56159" w14:paraId="175C46B9" w14:textId="77777777" w:rsidTr="00EE0BCA">
        <w:trPr>
          <w:trHeight w:hRule="exact" w:val="245"/>
          <w:jc w:val="center"/>
        </w:trPr>
        <w:tc>
          <w:tcPr>
            <w:tcW w:w="2835" w:type="dxa"/>
            <w:vMerge w:val="restart"/>
            <w:shd w:val="clear" w:color="auto" w:fill="auto"/>
            <w:noWrap/>
            <w:vAlign w:val="center"/>
          </w:tcPr>
          <w:p w14:paraId="2861263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IMR</w:t>
            </w:r>
          </w:p>
        </w:tc>
        <w:tc>
          <w:tcPr>
            <w:tcW w:w="1152" w:type="dxa"/>
            <w:shd w:val="clear" w:color="auto" w:fill="auto"/>
            <w:noWrap/>
            <w:vAlign w:val="center"/>
          </w:tcPr>
          <w:p w14:paraId="32048F0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-1.668</w:t>
            </w:r>
          </w:p>
        </w:tc>
        <w:tc>
          <w:tcPr>
            <w:tcW w:w="1152" w:type="dxa"/>
            <w:shd w:val="clear" w:color="auto" w:fill="auto"/>
            <w:noWrap/>
            <w:vAlign w:val="center"/>
          </w:tcPr>
          <w:p w14:paraId="73EF16F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-1.528</w:t>
            </w:r>
          </w:p>
        </w:tc>
        <w:tc>
          <w:tcPr>
            <w:tcW w:w="1152" w:type="dxa"/>
            <w:shd w:val="clear" w:color="auto" w:fill="auto"/>
            <w:noWrap/>
            <w:vAlign w:val="center"/>
          </w:tcPr>
          <w:p w14:paraId="365005E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1.867</w:t>
            </w:r>
          </w:p>
        </w:tc>
        <w:tc>
          <w:tcPr>
            <w:tcW w:w="1152" w:type="dxa"/>
            <w:shd w:val="clear" w:color="auto" w:fill="auto"/>
            <w:noWrap/>
            <w:vAlign w:val="center"/>
          </w:tcPr>
          <w:p w14:paraId="36FE32A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-2.560</w:t>
            </w:r>
          </w:p>
        </w:tc>
        <w:tc>
          <w:tcPr>
            <w:tcW w:w="1152" w:type="dxa"/>
            <w:shd w:val="clear" w:color="auto" w:fill="auto"/>
            <w:noWrap/>
            <w:vAlign w:val="center"/>
          </w:tcPr>
          <w:p w14:paraId="50E8EC3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-2.396</w:t>
            </w:r>
          </w:p>
        </w:tc>
        <w:tc>
          <w:tcPr>
            <w:tcW w:w="1152" w:type="dxa"/>
            <w:shd w:val="clear" w:color="auto" w:fill="auto"/>
            <w:noWrap/>
            <w:vAlign w:val="center"/>
          </w:tcPr>
          <w:p w14:paraId="12BA7D0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-2.141</w:t>
            </w:r>
          </w:p>
        </w:tc>
      </w:tr>
      <w:tr w:rsidR="009307C3" w:rsidRPr="00E56159" w14:paraId="4669436E" w14:textId="77777777" w:rsidTr="00EE0BCA">
        <w:trPr>
          <w:trHeight w:hRule="exact" w:val="245"/>
          <w:jc w:val="center"/>
        </w:trPr>
        <w:tc>
          <w:tcPr>
            <w:tcW w:w="2835" w:type="dxa"/>
            <w:vMerge/>
            <w:vAlign w:val="center"/>
          </w:tcPr>
          <w:p w14:paraId="4A11E95E"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C32A3E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(0.446)</w:t>
            </w:r>
          </w:p>
        </w:tc>
        <w:tc>
          <w:tcPr>
            <w:tcW w:w="1152" w:type="dxa"/>
            <w:shd w:val="clear" w:color="auto" w:fill="auto"/>
            <w:noWrap/>
            <w:vAlign w:val="center"/>
          </w:tcPr>
          <w:p w14:paraId="2DC685D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(0.493)</w:t>
            </w:r>
          </w:p>
        </w:tc>
        <w:tc>
          <w:tcPr>
            <w:tcW w:w="1152" w:type="dxa"/>
            <w:shd w:val="clear" w:color="auto" w:fill="auto"/>
            <w:noWrap/>
            <w:vAlign w:val="center"/>
          </w:tcPr>
          <w:p w14:paraId="3409A0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(0.378)</w:t>
            </w:r>
          </w:p>
        </w:tc>
        <w:tc>
          <w:tcPr>
            <w:tcW w:w="1152" w:type="dxa"/>
            <w:shd w:val="clear" w:color="auto" w:fill="auto"/>
            <w:noWrap/>
            <w:vAlign w:val="center"/>
          </w:tcPr>
          <w:p w14:paraId="706924E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(0.250)</w:t>
            </w:r>
          </w:p>
        </w:tc>
        <w:tc>
          <w:tcPr>
            <w:tcW w:w="1152" w:type="dxa"/>
            <w:shd w:val="clear" w:color="auto" w:fill="auto"/>
            <w:noWrap/>
            <w:vAlign w:val="center"/>
          </w:tcPr>
          <w:p w14:paraId="0CB926A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(0.278)</w:t>
            </w:r>
          </w:p>
        </w:tc>
        <w:tc>
          <w:tcPr>
            <w:tcW w:w="1152" w:type="dxa"/>
            <w:shd w:val="clear" w:color="auto" w:fill="auto"/>
            <w:noWrap/>
            <w:vAlign w:val="center"/>
          </w:tcPr>
          <w:p w14:paraId="360DB1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(0.325)</w:t>
            </w:r>
          </w:p>
        </w:tc>
      </w:tr>
      <w:tr w:rsidR="009307C3" w:rsidRPr="00E56159" w14:paraId="13BA5713" w14:textId="77777777" w:rsidTr="00EE0BCA">
        <w:trPr>
          <w:trHeight w:hRule="exact" w:val="245"/>
          <w:jc w:val="center"/>
        </w:trPr>
        <w:tc>
          <w:tcPr>
            <w:tcW w:w="2835" w:type="dxa"/>
            <w:vMerge w:val="restart"/>
            <w:shd w:val="clear" w:color="auto" w:fill="auto"/>
            <w:noWrap/>
            <w:vAlign w:val="center"/>
          </w:tcPr>
          <w:p w14:paraId="4F4CB8A3"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Constant</w:t>
            </w:r>
          </w:p>
        </w:tc>
        <w:tc>
          <w:tcPr>
            <w:tcW w:w="1152" w:type="dxa"/>
            <w:shd w:val="clear" w:color="auto" w:fill="auto"/>
            <w:noWrap/>
            <w:vAlign w:val="center"/>
          </w:tcPr>
          <w:p w14:paraId="4D5431B6"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203ED8F"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5BBD43A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-22.481</w:t>
            </w:r>
          </w:p>
        </w:tc>
        <w:tc>
          <w:tcPr>
            <w:tcW w:w="1152" w:type="dxa"/>
            <w:shd w:val="clear" w:color="auto" w:fill="auto"/>
            <w:noWrap/>
            <w:vAlign w:val="center"/>
          </w:tcPr>
          <w:p w14:paraId="06D8C95E"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5B1C602"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500610AB"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r>
      <w:tr w:rsidR="009307C3" w:rsidRPr="00E56159" w14:paraId="4867F4AD" w14:textId="77777777" w:rsidTr="00EE0BCA">
        <w:trPr>
          <w:trHeight w:hRule="exact" w:val="245"/>
          <w:jc w:val="center"/>
        </w:trPr>
        <w:tc>
          <w:tcPr>
            <w:tcW w:w="2835" w:type="dxa"/>
            <w:vMerge/>
            <w:vAlign w:val="center"/>
          </w:tcPr>
          <w:p w14:paraId="6EAB3D68"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A5F9FE4"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185B0E5"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0DFE41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(0.228)</w:t>
            </w:r>
          </w:p>
        </w:tc>
        <w:tc>
          <w:tcPr>
            <w:tcW w:w="1152" w:type="dxa"/>
            <w:shd w:val="clear" w:color="auto" w:fill="auto"/>
            <w:noWrap/>
            <w:vAlign w:val="center"/>
          </w:tcPr>
          <w:p w14:paraId="283ED260"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D1987CD"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277B8347"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r>
      <w:tr w:rsidR="009307C3" w:rsidRPr="00E56159" w14:paraId="2D319F59" w14:textId="77777777" w:rsidTr="00EE0BCA">
        <w:trPr>
          <w:trHeight w:hRule="exact" w:val="245"/>
          <w:jc w:val="center"/>
        </w:trPr>
        <w:tc>
          <w:tcPr>
            <w:tcW w:w="2835" w:type="dxa"/>
            <w:shd w:val="clear" w:color="auto" w:fill="auto"/>
            <w:noWrap/>
            <w:vAlign w:val="center"/>
          </w:tcPr>
          <w:p w14:paraId="572263AE"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Observations</w:t>
            </w:r>
          </w:p>
        </w:tc>
        <w:tc>
          <w:tcPr>
            <w:tcW w:w="1152" w:type="dxa"/>
            <w:shd w:val="clear" w:color="auto" w:fill="auto"/>
            <w:noWrap/>
            <w:vAlign w:val="center"/>
          </w:tcPr>
          <w:p w14:paraId="5D56EFA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6B35245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70C0512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1CF5674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0D881E9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3A0A036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r>
      <w:tr w:rsidR="009307C3" w:rsidRPr="00E56159" w14:paraId="19CDCFB5" w14:textId="77777777" w:rsidTr="00EE0BCA">
        <w:trPr>
          <w:trHeight w:hRule="exact" w:val="245"/>
          <w:jc w:val="center"/>
        </w:trPr>
        <w:tc>
          <w:tcPr>
            <w:tcW w:w="2835" w:type="dxa"/>
            <w:shd w:val="clear" w:color="auto" w:fill="auto"/>
            <w:noWrap/>
            <w:vAlign w:val="center"/>
          </w:tcPr>
          <w:p w14:paraId="63BAE8C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R-squared</w:t>
            </w:r>
          </w:p>
        </w:tc>
        <w:tc>
          <w:tcPr>
            <w:tcW w:w="1152" w:type="dxa"/>
            <w:shd w:val="clear" w:color="auto" w:fill="auto"/>
            <w:noWrap/>
            <w:vAlign w:val="center"/>
          </w:tcPr>
          <w:p w14:paraId="148022A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2BD779F"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9A2CF4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 xml:space="preserve">0.030 </w:t>
            </w:r>
          </w:p>
        </w:tc>
        <w:tc>
          <w:tcPr>
            <w:tcW w:w="1152" w:type="dxa"/>
            <w:shd w:val="clear" w:color="auto" w:fill="auto"/>
            <w:noWrap/>
            <w:vAlign w:val="center"/>
          </w:tcPr>
          <w:p w14:paraId="45F69954"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06510BF"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0403212"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r>
      <w:tr w:rsidR="009307C3" w:rsidRPr="00E56159" w14:paraId="0BACC290" w14:textId="77777777" w:rsidTr="00EE0BCA">
        <w:trPr>
          <w:trHeight w:hRule="exact" w:val="245"/>
          <w:jc w:val="center"/>
        </w:trPr>
        <w:tc>
          <w:tcPr>
            <w:tcW w:w="2835" w:type="dxa"/>
            <w:tcBorders>
              <w:bottom w:val="single" w:sz="4" w:space="0" w:color="auto"/>
            </w:tcBorders>
            <w:shd w:val="clear" w:color="auto" w:fill="auto"/>
            <w:noWrap/>
            <w:vAlign w:val="center"/>
          </w:tcPr>
          <w:p w14:paraId="07A60D34"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Pseudo R-squared</w:t>
            </w:r>
          </w:p>
        </w:tc>
        <w:tc>
          <w:tcPr>
            <w:tcW w:w="1152" w:type="dxa"/>
            <w:tcBorders>
              <w:bottom w:val="single" w:sz="4" w:space="0" w:color="auto"/>
            </w:tcBorders>
            <w:shd w:val="clear" w:color="auto" w:fill="auto"/>
            <w:noWrap/>
            <w:vAlign w:val="center"/>
          </w:tcPr>
          <w:p w14:paraId="08552B1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0.176</w:t>
            </w:r>
          </w:p>
        </w:tc>
        <w:tc>
          <w:tcPr>
            <w:tcW w:w="1152" w:type="dxa"/>
            <w:tcBorders>
              <w:bottom w:val="single" w:sz="4" w:space="0" w:color="auto"/>
            </w:tcBorders>
            <w:shd w:val="clear" w:color="auto" w:fill="auto"/>
            <w:noWrap/>
            <w:vAlign w:val="center"/>
          </w:tcPr>
          <w:p w14:paraId="4662780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0.192</w:t>
            </w:r>
          </w:p>
        </w:tc>
        <w:tc>
          <w:tcPr>
            <w:tcW w:w="1152" w:type="dxa"/>
            <w:tcBorders>
              <w:bottom w:val="single" w:sz="4" w:space="0" w:color="auto"/>
            </w:tcBorders>
            <w:shd w:val="clear" w:color="auto" w:fill="auto"/>
            <w:noWrap/>
            <w:vAlign w:val="center"/>
          </w:tcPr>
          <w:p w14:paraId="4AA3959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 </w:t>
            </w:r>
          </w:p>
        </w:tc>
        <w:tc>
          <w:tcPr>
            <w:tcW w:w="1152" w:type="dxa"/>
            <w:tcBorders>
              <w:bottom w:val="single" w:sz="4" w:space="0" w:color="auto"/>
            </w:tcBorders>
            <w:shd w:val="clear" w:color="auto" w:fill="auto"/>
            <w:noWrap/>
            <w:vAlign w:val="center"/>
          </w:tcPr>
          <w:p w14:paraId="00AF5F3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0.215</w:t>
            </w:r>
          </w:p>
        </w:tc>
        <w:tc>
          <w:tcPr>
            <w:tcW w:w="1152" w:type="dxa"/>
            <w:tcBorders>
              <w:bottom w:val="single" w:sz="4" w:space="0" w:color="auto"/>
            </w:tcBorders>
            <w:shd w:val="clear" w:color="auto" w:fill="auto"/>
            <w:noWrap/>
            <w:vAlign w:val="center"/>
          </w:tcPr>
          <w:p w14:paraId="62E35BE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0.225</w:t>
            </w:r>
          </w:p>
        </w:tc>
        <w:tc>
          <w:tcPr>
            <w:tcW w:w="1152" w:type="dxa"/>
            <w:tcBorders>
              <w:bottom w:val="single" w:sz="4" w:space="0" w:color="auto"/>
            </w:tcBorders>
            <w:shd w:val="clear" w:color="auto" w:fill="auto"/>
            <w:noWrap/>
            <w:vAlign w:val="center"/>
          </w:tcPr>
          <w:p w14:paraId="474A625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0.233</w:t>
            </w:r>
          </w:p>
        </w:tc>
      </w:tr>
    </w:tbl>
    <w:p w14:paraId="0099F8F9" w14:textId="7A689786" w:rsidR="009307C3" w:rsidRPr="009B1508"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 xml:space="preserve">Note: </w:t>
      </w:r>
      <w:r w:rsidRPr="00E56159">
        <w:rPr>
          <w:rFonts w:ascii="Times New Roman" w:eastAsia="Times New Roman" w:hAnsi="Times New Roman" w:cs="Times New Roman"/>
          <w:color w:val="000000"/>
          <w:kern w:val="0"/>
          <w:szCs w:val="22"/>
          <w14:ligatures w14:val="none"/>
        </w:rPr>
        <w:t xml:space="preserve">p-values </w:t>
      </w:r>
      <w:r w:rsidRPr="00E56159">
        <w:rPr>
          <w:rFonts w:ascii="Times New Roman" w:hAnsi="Times New Roman" w:cs="Times New Roman"/>
          <w:color w:val="000000"/>
          <w:kern w:val="0"/>
          <w:szCs w:val="22"/>
          <w14:ligatures w14:val="none"/>
        </w:rPr>
        <w:t xml:space="preserve">are reported </w:t>
      </w:r>
      <w:r w:rsidRPr="00E56159">
        <w:rPr>
          <w:rFonts w:ascii="Times New Roman" w:eastAsia="Times New Roman" w:hAnsi="Times New Roman" w:cs="Times New Roman"/>
          <w:color w:val="000000"/>
          <w:kern w:val="0"/>
          <w:szCs w:val="22"/>
          <w14:ligatures w14:val="none"/>
        </w:rPr>
        <w:t>in parentheses</w:t>
      </w:r>
      <w:r w:rsidRPr="00E56159">
        <w:rPr>
          <w:rFonts w:ascii="Times New Roman" w:hAnsi="Times New Roman" w:cs="Times New Roman"/>
          <w:color w:val="000000"/>
          <w:kern w:val="0"/>
          <w:szCs w:val="22"/>
          <w14:ligatures w14:val="none"/>
        </w:rPr>
        <w:t>.</w:t>
      </w:r>
    </w:p>
    <w:p w14:paraId="2DF11EA2" w14:textId="4DCC548A"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hAnsi="Times New Roman" w:cs="Times New Roman"/>
          <w:b/>
          <w:bCs/>
          <w:color w:val="000000"/>
          <w:kern w:val="0"/>
          <w:szCs w:val="22"/>
          <w14:ligatures w14:val="none"/>
        </w:rPr>
        <w:lastRenderedPageBreak/>
        <w:t>Table A2</w:t>
      </w:r>
      <w:r w:rsidR="00556758">
        <w:rPr>
          <w:rFonts w:ascii="Times New Roman" w:hAnsi="Times New Roman" w:cs="Times New Roman"/>
          <w:b/>
          <w:bCs/>
          <w:color w:val="000000"/>
          <w:kern w:val="0"/>
          <w:szCs w:val="22"/>
          <w14:ligatures w14:val="none"/>
        </w:rPr>
        <w:t>:</w:t>
      </w:r>
      <w:r w:rsidRPr="00E56159">
        <w:rPr>
          <w:rFonts w:ascii="Times New Roman" w:hAnsi="Times New Roman" w:cs="Times New Roman"/>
          <w:b/>
          <w:bCs/>
          <w:color w:val="000000"/>
          <w:kern w:val="0"/>
          <w:szCs w:val="22"/>
          <w14:ligatures w14:val="none"/>
        </w:rPr>
        <w:t xml:space="preserve"> Ethnic partitioning and PPI projects’ survival</w:t>
      </w:r>
      <w:r w:rsidRPr="00E56159">
        <w:rPr>
          <w:rFonts w:ascii="Times New Roman" w:hAnsi="Times New Roman" w:cs="Times New Roman"/>
          <w:color w:val="000000"/>
          <w:kern w:val="0"/>
          <w:szCs w:val="22"/>
          <w14:ligatures w14:val="none"/>
        </w:rPr>
        <w:t xml:space="preserve"> (Logit model)</w:t>
      </w:r>
    </w:p>
    <w:tbl>
      <w:tblPr>
        <w:tblW w:w="9464" w:type="dxa"/>
        <w:jc w:val="center"/>
        <w:tblLook w:val="04A0" w:firstRow="1" w:lastRow="0" w:firstColumn="1" w:lastColumn="0" w:noHBand="0" w:noVBand="1"/>
      </w:tblPr>
      <w:tblGrid>
        <w:gridCol w:w="2552"/>
        <w:gridCol w:w="1152"/>
        <w:gridCol w:w="1152"/>
        <w:gridCol w:w="1152"/>
        <w:gridCol w:w="1152"/>
        <w:gridCol w:w="1152"/>
        <w:gridCol w:w="1152"/>
      </w:tblGrid>
      <w:tr w:rsidR="009307C3" w:rsidRPr="00E56159" w14:paraId="26A7F1DA" w14:textId="77777777" w:rsidTr="00EE0BCA">
        <w:trPr>
          <w:trHeight w:hRule="exact" w:val="274"/>
          <w:jc w:val="center"/>
        </w:trPr>
        <w:tc>
          <w:tcPr>
            <w:tcW w:w="2552" w:type="dxa"/>
            <w:vMerge w:val="restart"/>
            <w:tcBorders>
              <w:top w:val="single" w:sz="4" w:space="0" w:color="auto"/>
            </w:tcBorders>
            <w:shd w:val="clear" w:color="auto" w:fill="auto"/>
            <w:noWrap/>
            <w:vAlign w:val="center"/>
          </w:tcPr>
          <w:p w14:paraId="1630ECD8"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Variable</w:t>
            </w:r>
          </w:p>
        </w:tc>
        <w:tc>
          <w:tcPr>
            <w:tcW w:w="1152" w:type="dxa"/>
            <w:tcBorders>
              <w:top w:val="single" w:sz="4" w:space="0" w:color="auto"/>
              <w:bottom w:val="single" w:sz="4" w:space="0" w:color="auto"/>
            </w:tcBorders>
            <w:shd w:val="clear" w:color="auto" w:fill="auto"/>
            <w:noWrap/>
            <w:vAlign w:val="center"/>
          </w:tcPr>
          <w:p w14:paraId="6DFADE17"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1</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4C2702B7"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2</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0FA00D5C"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3</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0A2D44F6"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4</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05BB503C"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5</w:t>
            </w:r>
            <w:r w:rsidRPr="00E56159">
              <w:rPr>
                <w:rFonts w:ascii="Times New Roman" w:hAnsi="Times New Roman" w:cs="Times New Roman"/>
                <w:kern w:val="0"/>
                <w:szCs w:val="22"/>
                <w14:ligatures w14:val="none"/>
              </w:rPr>
              <w:t>)</w:t>
            </w:r>
          </w:p>
        </w:tc>
        <w:tc>
          <w:tcPr>
            <w:tcW w:w="1152" w:type="dxa"/>
            <w:tcBorders>
              <w:top w:val="single" w:sz="4" w:space="0" w:color="auto"/>
              <w:bottom w:val="single" w:sz="4" w:space="0" w:color="auto"/>
            </w:tcBorders>
            <w:shd w:val="clear" w:color="auto" w:fill="auto"/>
            <w:noWrap/>
            <w:vAlign w:val="center"/>
          </w:tcPr>
          <w:p w14:paraId="7E01D07B"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w:t>
            </w:r>
            <w:r w:rsidRPr="00E56159">
              <w:rPr>
                <w:rFonts w:ascii="Times New Roman" w:eastAsia="Times New Roman" w:hAnsi="Times New Roman" w:cs="Times New Roman"/>
                <w:kern w:val="0"/>
                <w:szCs w:val="22"/>
                <w14:ligatures w14:val="none"/>
              </w:rPr>
              <w:t>6</w:t>
            </w:r>
            <w:r w:rsidRPr="00E56159">
              <w:rPr>
                <w:rFonts w:ascii="Times New Roman" w:hAnsi="Times New Roman" w:cs="Times New Roman"/>
                <w:kern w:val="0"/>
                <w:szCs w:val="22"/>
                <w14:ligatures w14:val="none"/>
              </w:rPr>
              <w:t>)</w:t>
            </w:r>
          </w:p>
        </w:tc>
      </w:tr>
      <w:tr w:rsidR="009307C3" w:rsidRPr="00E56159" w14:paraId="52981549" w14:textId="77777777" w:rsidTr="00EE0BCA">
        <w:trPr>
          <w:trHeight w:hRule="exact" w:val="274"/>
          <w:jc w:val="center"/>
        </w:trPr>
        <w:tc>
          <w:tcPr>
            <w:tcW w:w="2552" w:type="dxa"/>
            <w:vMerge/>
            <w:tcBorders>
              <w:bottom w:val="single" w:sz="4" w:space="0" w:color="auto"/>
            </w:tcBorders>
            <w:shd w:val="clear" w:color="auto" w:fill="auto"/>
            <w:noWrap/>
            <w:vAlign w:val="center"/>
          </w:tcPr>
          <w:p w14:paraId="13F5F2B8"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tcBorders>
              <w:top w:val="single" w:sz="4" w:space="0" w:color="auto"/>
              <w:bottom w:val="single" w:sz="4" w:space="0" w:color="auto"/>
            </w:tcBorders>
            <w:shd w:val="clear" w:color="auto" w:fill="auto"/>
            <w:noWrap/>
            <w:vAlign w:val="center"/>
          </w:tcPr>
          <w:p w14:paraId="5D6D2B00"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401774A5"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5EE2A905"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eastAsia="Times New Roman" w:hAnsi="Times New Roman" w:cs="Times New Roman"/>
                <w:kern w:val="0"/>
                <w:szCs w:val="22"/>
                <w14:ligatures w14:val="none"/>
              </w:rPr>
              <w:t>Conflict</w:t>
            </w:r>
          </w:p>
        </w:tc>
        <w:tc>
          <w:tcPr>
            <w:tcW w:w="1152" w:type="dxa"/>
            <w:tcBorders>
              <w:top w:val="single" w:sz="4" w:space="0" w:color="auto"/>
              <w:bottom w:val="single" w:sz="4" w:space="0" w:color="auto"/>
            </w:tcBorders>
            <w:shd w:val="clear" w:color="auto" w:fill="auto"/>
            <w:noWrap/>
            <w:vAlign w:val="center"/>
          </w:tcPr>
          <w:p w14:paraId="387AFECE"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618E0471"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c>
          <w:tcPr>
            <w:tcW w:w="1152" w:type="dxa"/>
            <w:tcBorders>
              <w:top w:val="single" w:sz="4" w:space="0" w:color="auto"/>
              <w:bottom w:val="single" w:sz="4" w:space="0" w:color="auto"/>
            </w:tcBorders>
            <w:shd w:val="clear" w:color="auto" w:fill="auto"/>
            <w:noWrap/>
            <w:vAlign w:val="center"/>
          </w:tcPr>
          <w:p w14:paraId="204D5A90" w14:textId="77777777" w:rsidR="009307C3" w:rsidRPr="00E56159" w:rsidRDefault="00AB13AE" w:rsidP="00EE0BCA">
            <w:pPr>
              <w:spacing w:after="0" w:line="240" w:lineRule="auto"/>
              <w:jc w:val="center"/>
              <w:rPr>
                <w:rFonts w:ascii="Times New Roman" w:hAnsi="Times New Roman" w:cs="Times New Roman"/>
                <w:kern w:val="0"/>
                <w:szCs w:val="22"/>
                <w14:ligatures w14:val="none"/>
              </w:rPr>
            </w:pPr>
            <w:r w:rsidRPr="00E56159">
              <w:rPr>
                <w:rFonts w:ascii="Times New Roman" w:hAnsi="Times New Roman" w:cs="Times New Roman"/>
                <w:kern w:val="0"/>
                <w:szCs w:val="22"/>
                <w14:ligatures w14:val="none"/>
              </w:rPr>
              <w:t>Failure</w:t>
            </w:r>
          </w:p>
        </w:tc>
      </w:tr>
      <w:tr w:rsidR="009307C3" w:rsidRPr="00E56159" w14:paraId="54C8BC44" w14:textId="77777777" w:rsidTr="00EE0BCA">
        <w:trPr>
          <w:trHeight w:hRule="exact" w:val="245"/>
          <w:jc w:val="center"/>
        </w:trPr>
        <w:tc>
          <w:tcPr>
            <w:tcW w:w="2552" w:type="dxa"/>
            <w:vMerge w:val="restart"/>
            <w:tcBorders>
              <w:top w:val="single" w:sz="4" w:space="0" w:color="auto"/>
            </w:tcBorders>
            <w:shd w:val="clear" w:color="auto" w:fill="auto"/>
            <w:noWrap/>
            <w:vAlign w:val="center"/>
          </w:tcPr>
          <w:p w14:paraId="2F757C9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Ethnic partitioning</w:t>
            </w:r>
          </w:p>
        </w:tc>
        <w:tc>
          <w:tcPr>
            <w:tcW w:w="1152" w:type="dxa"/>
            <w:tcBorders>
              <w:top w:val="single" w:sz="4" w:space="0" w:color="auto"/>
            </w:tcBorders>
            <w:shd w:val="clear" w:color="auto" w:fill="auto"/>
            <w:noWrap/>
            <w:vAlign w:val="center"/>
          </w:tcPr>
          <w:p w14:paraId="49399C59"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tcBorders>
              <w:top w:val="single" w:sz="4" w:space="0" w:color="auto"/>
            </w:tcBorders>
            <w:shd w:val="clear" w:color="auto" w:fill="auto"/>
            <w:noWrap/>
            <w:vAlign w:val="center"/>
          </w:tcPr>
          <w:p w14:paraId="422FE6F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0.604</w:t>
            </w:r>
          </w:p>
        </w:tc>
        <w:tc>
          <w:tcPr>
            <w:tcW w:w="1152" w:type="dxa"/>
            <w:tcBorders>
              <w:top w:val="single" w:sz="4" w:space="0" w:color="auto"/>
            </w:tcBorders>
            <w:shd w:val="clear" w:color="auto" w:fill="auto"/>
            <w:noWrap/>
            <w:vAlign w:val="center"/>
          </w:tcPr>
          <w:p w14:paraId="42BC430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4.266</w:t>
            </w:r>
          </w:p>
        </w:tc>
        <w:tc>
          <w:tcPr>
            <w:tcW w:w="1152" w:type="dxa"/>
            <w:tcBorders>
              <w:top w:val="single" w:sz="4" w:space="0" w:color="auto"/>
            </w:tcBorders>
            <w:shd w:val="clear" w:color="auto" w:fill="auto"/>
            <w:noWrap/>
            <w:vAlign w:val="center"/>
          </w:tcPr>
          <w:p w14:paraId="4B6477AD"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tcBorders>
              <w:top w:val="single" w:sz="4" w:space="0" w:color="auto"/>
            </w:tcBorders>
            <w:shd w:val="clear" w:color="auto" w:fill="auto"/>
            <w:noWrap/>
            <w:vAlign w:val="center"/>
          </w:tcPr>
          <w:p w14:paraId="685005A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0.470</w:t>
            </w:r>
          </w:p>
        </w:tc>
        <w:tc>
          <w:tcPr>
            <w:tcW w:w="1152" w:type="dxa"/>
            <w:tcBorders>
              <w:top w:val="single" w:sz="4" w:space="0" w:color="auto"/>
            </w:tcBorders>
            <w:shd w:val="clear" w:color="auto" w:fill="auto"/>
            <w:noWrap/>
            <w:vAlign w:val="center"/>
          </w:tcPr>
          <w:p w14:paraId="60F5E7C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0.557</w:t>
            </w:r>
          </w:p>
        </w:tc>
      </w:tr>
      <w:tr w:rsidR="009307C3" w:rsidRPr="00E56159" w14:paraId="7375E33D" w14:textId="77777777" w:rsidTr="00EE0BCA">
        <w:trPr>
          <w:trHeight w:hRule="exact" w:val="245"/>
          <w:jc w:val="center"/>
        </w:trPr>
        <w:tc>
          <w:tcPr>
            <w:tcW w:w="2552" w:type="dxa"/>
            <w:vMerge/>
            <w:vAlign w:val="center"/>
          </w:tcPr>
          <w:p w14:paraId="33EB5EC9"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67A015F1"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3769EF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(0.044)</w:t>
            </w:r>
          </w:p>
        </w:tc>
        <w:tc>
          <w:tcPr>
            <w:tcW w:w="1152" w:type="dxa"/>
            <w:shd w:val="clear" w:color="auto" w:fill="auto"/>
            <w:noWrap/>
            <w:vAlign w:val="center"/>
          </w:tcPr>
          <w:p w14:paraId="78BDFA9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2B446DC5"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B33E77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(0.073)</w:t>
            </w:r>
          </w:p>
        </w:tc>
        <w:tc>
          <w:tcPr>
            <w:tcW w:w="1152" w:type="dxa"/>
            <w:shd w:val="clear" w:color="auto" w:fill="auto"/>
            <w:noWrap/>
            <w:vAlign w:val="center"/>
          </w:tcPr>
          <w:p w14:paraId="1143DCA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r>
      <w:tr w:rsidR="009307C3" w:rsidRPr="00E56159" w14:paraId="6DA0229D" w14:textId="77777777" w:rsidTr="00EE0BCA">
        <w:trPr>
          <w:trHeight w:hRule="exact" w:val="245"/>
          <w:jc w:val="center"/>
        </w:trPr>
        <w:tc>
          <w:tcPr>
            <w:tcW w:w="2552" w:type="dxa"/>
            <w:vMerge w:val="restart"/>
            <w:shd w:val="clear" w:color="auto" w:fill="auto"/>
            <w:noWrap/>
            <w:vAlign w:val="center"/>
          </w:tcPr>
          <w:p w14:paraId="0C9B87CF"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Conflict exposure</w:t>
            </w:r>
          </w:p>
        </w:tc>
        <w:tc>
          <w:tcPr>
            <w:tcW w:w="1152" w:type="dxa"/>
            <w:shd w:val="clear" w:color="auto" w:fill="auto"/>
            <w:noWrap/>
            <w:vAlign w:val="center"/>
          </w:tcPr>
          <w:p w14:paraId="45B5D25C"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6B53FC2B"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FFDFB47"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1D9D9DC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42BB6E2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2B7CCBB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r>
      <w:tr w:rsidR="009307C3" w:rsidRPr="00E56159" w14:paraId="5CA50819" w14:textId="77777777" w:rsidTr="00EE0BCA">
        <w:trPr>
          <w:trHeight w:hRule="exact" w:val="245"/>
          <w:jc w:val="center"/>
        </w:trPr>
        <w:tc>
          <w:tcPr>
            <w:tcW w:w="2552" w:type="dxa"/>
            <w:vMerge/>
            <w:vAlign w:val="center"/>
          </w:tcPr>
          <w:p w14:paraId="335CD9E5"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C1FFF96"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29CC55B"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134BFFD0"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5A19A8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03B2810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720C4AF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2595BB3D" w14:textId="77777777" w:rsidTr="00EE0BCA">
        <w:trPr>
          <w:trHeight w:hRule="exact" w:val="288"/>
          <w:jc w:val="center"/>
        </w:trPr>
        <w:tc>
          <w:tcPr>
            <w:tcW w:w="2552" w:type="dxa"/>
            <w:vMerge w:val="restart"/>
            <w:shd w:val="clear" w:color="auto" w:fill="auto"/>
            <w:noWrap/>
            <w:vAlign w:val="center"/>
          </w:tcPr>
          <w:p w14:paraId="42349899"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Ethnic partitioning</w:t>
            </w:r>
          </w:p>
          <w:p w14:paraId="76CF0689"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 xml:space="preserve">× </w:t>
            </w:r>
            <w:r w:rsidRPr="00E56159">
              <w:rPr>
                <w:rFonts w:ascii="Times New Roman" w:eastAsia="Times New Roman" w:hAnsi="Times New Roman" w:cs="Times New Roman"/>
                <w:color w:val="000000"/>
                <w:kern w:val="0"/>
                <w:szCs w:val="22"/>
                <w14:ligatures w14:val="none"/>
              </w:rPr>
              <w:t>Institutional quality</w:t>
            </w:r>
          </w:p>
        </w:tc>
        <w:tc>
          <w:tcPr>
            <w:tcW w:w="1152" w:type="dxa"/>
            <w:shd w:val="clear" w:color="auto" w:fill="auto"/>
            <w:noWrap/>
            <w:vAlign w:val="center"/>
          </w:tcPr>
          <w:p w14:paraId="7F3AB79E"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AA3205D"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2F1D3BEB"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F907FB0"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357F4A32"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F4E300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-0.783</w:t>
            </w:r>
          </w:p>
        </w:tc>
      </w:tr>
      <w:tr w:rsidR="009307C3" w:rsidRPr="00E56159" w14:paraId="49B11ABF" w14:textId="77777777" w:rsidTr="00EE0BCA">
        <w:trPr>
          <w:trHeight w:hRule="exact" w:val="288"/>
          <w:jc w:val="center"/>
        </w:trPr>
        <w:tc>
          <w:tcPr>
            <w:tcW w:w="2552" w:type="dxa"/>
            <w:vMerge/>
            <w:vAlign w:val="center"/>
          </w:tcPr>
          <w:p w14:paraId="7C3CD146"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4355A86"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DDE9654"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6F39F193"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1CF5852C"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1202AAB3"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0B5B53F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(0.082)</w:t>
            </w:r>
          </w:p>
        </w:tc>
      </w:tr>
      <w:tr w:rsidR="009307C3" w:rsidRPr="00E56159" w14:paraId="15B79859" w14:textId="77777777" w:rsidTr="00EE0BCA">
        <w:trPr>
          <w:trHeight w:hRule="exact" w:val="245"/>
          <w:jc w:val="center"/>
        </w:trPr>
        <w:tc>
          <w:tcPr>
            <w:tcW w:w="2552" w:type="dxa"/>
            <w:vMerge w:val="restart"/>
            <w:shd w:val="clear" w:color="auto" w:fill="auto"/>
            <w:noWrap/>
            <w:vAlign w:val="center"/>
          </w:tcPr>
          <w:p w14:paraId="2A5C006F"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Institutional quality</w:t>
            </w:r>
          </w:p>
        </w:tc>
        <w:tc>
          <w:tcPr>
            <w:tcW w:w="1152" w:type="dxa"/>
            <w:shd w:val="clear" w:color="auto" w:fill="auto"/>
            <w:noWrap/>
            <w:vAlign w:val="center"/>
          </w:tcPr>
          <w:p w14:paraId="26895D2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0.375</w:t>
            </w:r>
          </w:p>
        </w:tc>
        <w:tc>
          <w:tcPr>
            <w:tcW w:w="1152" w:type="dxa"/>
            <w:shd w:val="clear" w:color="auto" w:fill="auto"/>
            <w:noWrap/>
            <w:vAlign w:val="center"/>
          </w:tcPr>
          <w:p w14:paraId="7EC71E7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0.366</w:t>
            </w:r>
          </w:p>
        </w:tc>
        <w:tc>
          <w:tcPr>
            <w:tcW w:w="1152" w:type="dxa"/>
            <w:shd w:val="clear" w:color="auto" w:fill="auto"/>
            <w:noWrap/>
            <w:vAlign w:val="center"/>
          </w:tcPr>
          <w:p w14:paraId="37E8CD1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-4.110</w:t>
            </w:r>
          </w:p>
        </w:tc>
        <w:tc>
          <w:tcPr>
            <w:tcW w:w="1152" w:type="dxa"/>
            <w:shd w:val="clear" w:color="auto" w:fill="auto"/>
            <w:noWrap/>
            <w:vAlign w:val="center"/>
          </w:tcPr>
          <w:p w14:paraId="7911C48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0.167</w:t>
            </w:r>
          </w:p>
        </w:tc>
        <w:tc>
          <w:tcPr>
            <w:tcW w:w="1152" w:type="dxa"/>
            <w:shd w:val="clear" w:color="auto" w:fill="auto"/>
            <w:noWrap/>
            <w:vAlign w:val="center"/>
          </w:tcPr>
          <w:p w14:paraId="39AE281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0.163</w:t>
            </w:r>
          </w:p>
        </w:tc>
        <w:tc>
          <w:tcPr>
            <w:tcW w:w="1152" w:type="dxa"/>
            <w:shd w:val="clear" w:color="auto" w:fill="auto"/>
            <w:noWrap/>
            <w:vAlign w:val="center"/>
          </w:tcPr>
          <w:p w14:paraId="6944F6A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0.282</w:t>
            </w:r>
          </w:p>
        </w:tc>
      </w:tr>
      <w:tr w:rsidR="009307C3" w:rsidRPr="00E56159" w14:paraId="4DE9AC2F" w14:textId="77777777" w:rsidTr="00EE0BCA">
        <w:trPr>
          <w:trHeight w:hRule="exact" w:val="245"/>
          <w:jc w:val="center"/>
        </w:trPr>
        <w:tc>
          <w:tcPr>
            <w:tcW w:w="2552" w:type="dxa"/>
            <w:vMerge/>
            <w:vAlign w:val="center"/>
          </w:tcPr>
          <w:p w14:paraId="3F5C57D6"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4A28DD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(0.647)</w:t>
            </w:r>
          </w:p>
        </w:tc>
        <w:tc>
          <w:tcPr>
            <w:tcW w:w="1152" w:type="dxa"/>
            <w:shd w:val="clear" w:color="auto" w:fill="auto"/>
            <w:noWrap/>
            <w:vAlign w:val="center"/>
          </w:tcPr>
          <w:p w14:paraId="7B28A74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(0.619)</w:t>
            </w:r>
          </w:p>
        </w:tc>
        <w:tc>
          <w:tcPr>
            <w:tcW w:w="1152" w:type="dxa"/>
            <w:shd w:val="clear" w:color="auto" w:fill="auto"/>
            <w:noWrap/>
            <w:vAlign w:val="center"/>
          </w:tcPr>
          <w:p w14:paraId="61A5584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(0.055)</w:t>
            </w:r>
          </w:p>
        </w:tc>
        <w:tc>
          <w:tcPr>
            <w:tcW w:w="1152" w:type="dxa"/>
            <w:shd w:val="clear" w:color="auto" w:fill="auto"/>
            <w:noWrap/>
            <w:vAlign w:val="center"/>
          </w:tcPr>
          <w:p w14:paraId="1F37A85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(0.826)</w:t>
            </w:r>
          </w:p>
        </w:tc>
        <w:tc>
          <w:tcPr>
            <w:tcW w:w="1152" w:type="dxa"/>
            <w:shd w:val="clear" w:color="auto" w:fill="auto"/>
            <w:noWrap/>
            <w:vAlign w:val="center"/>
          </w:tcPr>
          <w:p w14:paraId="35417BE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(0.812)</w:t>
            </w:r>
          </w:p>
        </w:tc>
        <w:tc>
          <w:tcPr>
            <w:tcW w:w="1152" w:type="dxa"/>
            <w:shd w:val="clear" w:color="auto" w:fill="auto"/>
            <w:noWrap/>
            <w:vAlign w:val="center"/>
          </w:tcPr>
          <w:p w14:paraId="2C3A26A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(0.678)</w:t>
            </w:r>
          </w:p>
        </w:tc>
      </w:tr>
      <w:tr w:rsidR="009307C3" w:rsidRPr="00E56159" w14:paraId="0F372045" w14:textId="77777777" w:rsidTr="00EE0BCA">
        <w:trPr>
          <w:trHeight w:hRule="exact" w:val="245"/>
          <w:jc w:val="center"/>
        </w:trPr>
        <w:tc>
          <w:tcPr>
            <w:tcW w:w="2552" w:type="dxa"/>
            <w:vMerge w:val="restart"/>
            <w:shd w:val="clear" w:color="auto" w:fill="auto"/>
            <w:noWrap/>
            <w:vAlign w:val="center"/>
          </w:tcPr>
          <w:p w14:paraId="187F66E9"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Capital city ethnicity</w:t>
            </w:r>
          </w:p>
        </w:tc>
        <w:tc>
          <w:tcPr>
            <w:tcW w:w="1152" w:type="dxa"/>
            <w:shd w:val="clear" w:color="auto" w:fill="auto"/>
            <w:noWrap/>
            <w:vAlign w:val="center"/>
          </w:tcPr>
          <w:p w14:paraId="6A9BB85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1.219</w:t>
            </w:r>
          </w:p>
        </w:tc>
        <w:tc>
          <w:tcPr>
            <w:tcW w:w="1152" w:type="dxa"/>
            <w:shd w:val="clear" w:color="auto" w:fill="auto"/>
            <w:noWrap/>
            <w:vAlign w:val="center"/>
          </w:tcPr>
          <w:p w14:paraId="72FB7DD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1.328</w:t>
            </w:r>
          </w:p>
        </w:tc>
        <w:tc>
          <w:tcPr>
            <w:tcW w:w="1152" w:type="dxa"/>
            <w:shd w:val="clear" w:color="auto" w:fill="auto"/>
            <w:noWrap/>
            <w:vAlign w:val="center"/>
          </w:tcPr>
          <w:p w14:paraId="3518006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-0.303</w:t>
            </w:r>
          </w:p>
        </w:tc>
        <w:tc>
          <w:tcPr>
            <w:tcW w:w="1152" w:type="dxa"/>
            <w:shd w:val="clear" w:color="auto" w:fill="auto"/>
            <w:noWrap/>
            <w:vAlign w:val="center"/>
          </w:tcPr>
          <w:p w14:paraId="74D3E14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1.130</w:t>
            </w:r>
          </w:p>
        </w:tc>
        <w:tc>
          <w:tcPr>
            <w:tcW w:w="1152" w:type="dxa"/>
            <w:shd w:val="clear" w:color="auto" w:fill="auto"/>
            <w:noWrap/>
            <w:vAlign w:val="center"/>
          </w:tcPr>
          <w:p w14:paraId="7F756E2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1.214</w:t>
            </w:r>
          </w:p>
        </w:tc>
        <w:tc>
          <w:tcPr>
            <w:tcW w:w="1152" w:type="dxa"/>
            <w:shd w:val="clear" w:color="auto" w:fill="auto"/>
            <w:noWrap/>
            <w:vAlign w:val="center"/>
          </w:tcPr>
          <w:p w14:paraId="570FAB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1.281</w:t>
            </w:r>
          </w:p>
        </w:tc>
      </w:tr>
      <w:tr w:rsidR="009307C3" w:rsidRPr="00E56159" w14:paraId="7CFA1A78" w14:textId="77777777" w:rsidTr="00EE0BCA">
        <w:trPr>
          <w:trHeight w:hRule="exact" w:val="245"/>
          <w:jc w:val="center"/>
        </w:trPr>
        <w:tc>
          <w:tcPr>
            <w:tcW w:w="2552" w:type="dxa"/>
            <w:vMerge/>
            <w:vAlign w:val="center"/>
          </w:tcPr>
          <w:p w14:paraId="50DDAB11"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62F8874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7369F83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436559B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(0.900)</w:t>
            </w:r>
          </w:p>
        </w:tc>
        <w:tc>
          <w:tcPr>
            <w:tcW w:w="1152" w:type="dxa"/>
            <w:shd w:val="clear" w:color="auto" w:fill="auto"/>
            <w:noWrap/>
            <w:vAlign w:val="center"/>
          </w:tcPr>
          <w:p w14:paraId="22305AD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34199FE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56184AC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5CF05B97" w14:textId="77777777" w:rsidTr="00EE0BCA">
        <w:trPr>
          <w:trHeight w:hRule="exact" w:val="245"/>
          <w:jc w:val="center"/>
        </w:trPr>
        <w:tc>
          <w:tcPr>
            <w:tcW w:w="2552" w:type="dxa"/>
            <w:vMerge w:val="restart"/>
            <w:shd w:val="clear" w:color="auto" w:fill="auto"/>
            <w:noWrap/>
            <w:vAlign w:val="center"/>
          </w:tcPr>
          <w:p w14:paraId="21D66DC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Colonial sponsor</w:t>
            </w:r>
          </w:p>
        </w:tc>
        <w:tc>
          <w:tcPr>
            <w:tcW w:w="1152" w:type="dxa"/>
            <w:shd w:val="clear" w:color="auto" w:fill="auto"/>
            <w:noWrap/>
            <w:vAlign w:val="center"/>
          </w:tcPr>
          <w:p w14:paraId="3A3EFCD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0.326</w:t>
            </w:r>
          </w:p>
        </w:tc>
        <w:tc>
          <w:tcPr>
            <w:tcW w:w="1152" w:type="dxa"/>
            <w:shd w:val="clear" w:color="auto" w:fill="auto"/>
            <w:noWrap/>
            <w:vAlign w:val="center"/>
          </w:tcPr>
          <w:p w14:paraId="1D773DE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0.396</w:t>
            </w:r>
          </w:p>
        </w:tc>
        <w:tc>
          <w:tcPr>
            <w:tcW w:w="1152" w:type="dxa"/>
            <w:shd w:val="clear" w:color="auto" w:fill="auto"/>
            <w:noWrap/>
            <w:vAlign w:val="center"/>
          </w:tcPr>
          <w:p w14:paraId="028F2A7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4.923</w:t>
            </w:r>
          </w:p>
        </w:tc>
        <w:tc>
          <w:tcPr>
            <w:tcW w:w="1152" w:type="dxa"/>
            <w:shd w:val="clear" w:color="auto" w:fill="auto"/>
            <w:noWrap/>
            <w:vAlign w:val="center"/>
          </w:tcPr>
          <w:p w14:paraId="495D567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0.269</w:t>
            </w:r>
          </w:p>
        </w:tc>
        <w:tc>
          <w:tcPr>
            <w:tcW w:w="1152" w:type="dxa"/>
            <w:shd w:val="clear" w:color="auto" w:fill="auto"/>
            <w:noWrap/>
            <w:vAlign w:val="center"/>
          </w:tcPr>
          <w:p w14:paraId="1CCA423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0.321</w:t>
            </w:r>
          </w:p>
        </w:tc>
        <w:tc>
          <w:tcPr>
            <w:tcW w:w="1152" w:type="dxa"/>
            <w:shd w:val="clear" w:color="auto" w:fill="auto"/>
            <w:noWrap/>
            <w:vAlign w:val="center"/>
          </w:tcPr>
          <w:p w14:paraId="165BDB1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0.285</w:t>
            </w:r>
          </w:p>
        </w:tc>
      </w:tr>
      <w:tr w:rsidR="009307C3" w:rsidRPr="00E56159" w14:paraId="4C93E961" w14:textId="77777777" w:rsidTr="00EE0BCA">
        <w:trPr>
          <w:trHeight w:hRule="exact" w:val="245"/>
          <w:jc w:val="center"/>
        </w:trPr>
        <w:tc>
          <w:tcPr>
            <w:tcW w:w="2552" w:type="dxa"/>
            <w:vMerge/>
            <w:vAlign w:val="center"/>
          </w:tcPr>
          <w:p w14:paraId="0BF69B15"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EA8255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(0.759)</w:t>
            </w:r>
          </w:p>
        </w:tc>
        <w:tc>
          <w:tcPr>
            <w:tcW w:w="1152" w:type="dxa"/>
            <w:shd w:val="clear" w:color="auto" w:fill="auto"/>
            <w:noWrap/>
            <w:vAlign w:val="center"/>
          </w:tcPr>
          <w:p w14:paraId="63AD0A4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(0.721)</w:t>
            </w:r>
          </w:p>
        </w:tc>
        <w:tc>
          <w:tcPr>
            <w:tcW w:w="1152" w:type="dxa"/>
            <w:shd w:val="clear" w:color="auto" w:fill="auto"/>
            <w:noWrap/>
            <w:vAlign w:val="center"/>
          </w:tcPr>
          <w:p w14:paraId="006FAB1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(0.201)</w:t>
            </w:r>
          </w:p>
        </w:tc>
        <w:tc>
          <w:tcPr>
            <w:tcW w:w="1152" w:type="dxa"/>
            <w:shd w:val="clear" w:color="auto" w:fill="auto"/>
            <w:noWrap/>
            <w:vAlign w:val="center"/>
          </w:tcPr>
          <w:p w14:paraId="570484A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(0.786)</w:t>
            </w:r>
          </w:p>
        </w:tc>
        <w:tc>
          <w:tcPr>
            <w:tcW w:w="1152" w:type="dxa"/>
            <w:shd w:val="clear" w:color="auto" w:fill="auto"/>
            <w:noWrap/>
            <w:vAlign w:val="center"/>
          </w:tcPr>
          <w:p w14:paraId="6360C91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(0.756)</w:t>
            </w:r>
          </w:p>
        </w:tc>
        <w:tc>
          <w:tcPr>
            <w:tcW w:w="1152" w:type="dxa"/>
            <w:shd w:val="clear" w:color="auto" w:fill="auto"/>
            <w:noWrap/>
            <w:vAlign w:val="center"/>
          </w:tcPr>
          <w:p w14:paraId="130F49E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(0.779)</w:t>
            </w:r>
          </w:p>
        </w:tc>
      </w:tr>
      <w:tr w:rsidR="009307C3" w:rsidRPr="00E56159" w14:paraId="032C2FFB" w14:textId="77777777" w:rsidTr="00EE0BCA">
        <w:trPr>
          <w:trHeight w:hRule="exact" w:val="245"/>
          <w:jc w:val="center"/>
        </w:trPr>
        <w:tc>
          <w:tcPr>
            <w:tcW w:w="2552" w:type="dxa"/>
            <w:vMerge w:val="restart"/>
            <w:shd w:val="clear" w:color="auto" w:fill="auto"/>
            <w:noWrap/>
            <w:vAlign w:val="center"/>
          </w:tcPr>
          <w:p w14:paraId="616D17B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Investment size</w:t>
            </w:r>
          </w:p>
        </w:tc>
        <w:tc>
          <w:tcPr>
            <w:tcW w:w="1152" w:type="dxa"/>
            <w:shd w:val="clear" w:color="auto" w:fill="auto"/>
            <w:noWrap/>
            <w:vAlign w:val="center"/>
          </w:tcPr>
          <w:p w14:paraId="31347DE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0.093</w:t>
            </w:r>
          </w:p>
        </w:tc>
        <w:tc>
          <w:tcPr>
            <w:tcW w:w="1152" w:type="dxa"/>
            <w:shd w:val="clear" w:color="auto" w:fill="auto"/>
            <w:noWrap/>
            <w:vAlign w:val="center"/>
          </w:tcPr>
          <w:p w14:paraId="45CF1BB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0.053</w:t>
            </w:r>
          </w:p>
        </w:tc>
        <w:tc>
          <w:tcPr>
            <w:tcW w:w="1152" w:type="dxa"/>
            <w:shd w:val="clear" w:color="auto" w:fill="auto"/>
            <w:noWrap/>
            <w:vAlign w:val="center"/>
          </w:tcPr>
          <w:p w14:paraId="35677E5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-0.121</w:t>
            </w:r>
          </w:p>
        </w:tc>
        <w:tc>
          <w:tcPr>
            <w:tcW w:w="1152" w:type="dxa"/>
            <w:shd w:val="clear" w:color="auto" w:fill="auto"/>
            <w:noWrap/>
            <w:vAlign w:val="center"/>
          </w:tcPr>
          <w:p w14:paraId="5E67C72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0.076</w:t>
            </w:r>
          </w:p>
        </w:tc>
        <w:tc>
          <w:tcPr>
            <w:tcW w:w="1152" w:type="dxa"/>
            <w:shd w:val="clear" w:color="auto" w:fill="auto"/>
            <w:noWrap/>
            <w:vAlign w:val="center"/>
          </w:tcPr>
          <w:p w14:paraId="4E4FBEF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0.043</w:t>
            </w:r>
          </w:p>
        </w:tc>
        <w:tc>
          <w:tcPr>
            <w:tcW w:w="1152" w:type="dxa"/>
            <w:shd w:val="clear" w:color="auto" w:fill="auto"/>
            <w:noWrap/>
            <w:vAlign w:val="center"/>
          </w:tcPr>
          <w:p w14:paraId="645DF27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0.036</w:t>
            </w:r>
          </w:p>
        </w:tc>
      </w:tr>
      <w:tr w:rsidR="009307C3" w:rsidRPr="00E56159" w14:paraId="185951DA" w14:textId="77777777" w:rsidTr="00EE0BCA">
        <w:trPr>
          <w:trHeight w:hRule="exact" w:val="245"/>
          <w:jc w:val="center"/>
        </w:trPr>
        <w:tc>
          <w:tcPr>
            <w:tcW w:w="2552" w:type="dxa"/>
            <w:vMerge/>
            <w:vAlign w:val="center"/>
          </w:tcPr>
          <w:p w14:paraId="513954B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F7515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(0.597)</w:t>
            </w:r>
          </w:p>
        </w:tc>
        <w:tc>
          <w:tcPr>
            <w:tcW w:w="1152" w:type="dxa"/>
            <w:shd w:val="clear" w:color="auto" w:fill="auto"/>
            <w:noWrap/>
            <w:vAlign w:val="center"/>
          </w:tcPr>
          <w:p w14:paraId="69D2585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(0.781)</w:t>
            </w:r>
          </w:p>
        </w:tc>
        <w:tc>
          <w:tcPr>
            <w:tcW w:w="1152" w:type="dxa"/>
            <w:shd w:val="clear" w:color="auto" w:fill="auto"/>
            <w:noWrap/>
            <w:vAlign w:val="center"/>
          </w:tcPr>
          <w:p w14:paraId="459355D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(0.853)</w:t>
            </w:r>
          </w:p>
        </w:tc>
        <w:tc>
          <w:tcPr>
            <w:tcW w:w="1152" w:type="dxa"/>
            <w:shd w:val="clear" w:color="auto" w:fill="auto"/>
            <w:noWrap/>
            <w:vAlign w:val="center"/>
          </w:tcPr>
          <w:p w14:paraId="40513CA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(0.670)</w:t>
            </w:r>
          </w:p>
        </w:tc>
        <w:tc>
          <w:tcPr>
            <w:tcW w:w="1152" w:type="dxa"/>
            <w:shd w:val="clear" w:color="auto" w:fill="auto"/>
            <w:noWrap/>
            <w:vAlign w:val="center"/>
          </w:tcPr>
          <w:p w14:paraId="0791805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(0.822)</w:t>
            </w:r>
          </w:p>
        </w:tc>
        <w:tc>
          <w:tcPr>
            <w:tcW w:w="1152" w:type="dxa"/>
            <w:shd w:val="clear" w:color="auto" w:fill="auto"/>
            <w:noWrap/>
            <w:vAlign w:val="center"/>
          </w:tcPr>
          <w:p w14:paraId="73F4FB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(0.840)</w:t>
            </w:r>
          </w:p>
        </w:tc>
      </w:tr>
      <w:tr w:rsidR="009307C3" w:rsidRPr="00E56159" w14:paraId="09F15686" w14:textId="77777777" w:rsidTr="00EE0BCA">
        <w:trPr>
          <w:trHeight w:hRule="exact" w:val="245"/>
          <w:jc w:val="center"/>
        </w:trPr>
        <w:tc>
          <w:tcPr>
            <w:tcW w:w="2552" w:type="dxa"/>
            <w:vMerge w:val="restart"/>
            <w:shd w:val="clear" w:color="auto" w:fill="auto"/>
            <w:noWrap/>
            <w:vAlign w:val="center"/>
          </w:tcPr>
          <w:p w14:paraId="35A5D75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Greenfield</w:t>
            </w:r>
          </w:p>
        </w:tc>
        <w:tc>
          <w:tcPr>
            <w:tcW w:w="1152" w:type="dxa"/>
            <w:shd w:val="clear" w:color="auto" w:fill="auto"/>
            <w:noWrap/>
            <w:vAlign w:val="center"/>
          </w:tcPr>
          <w:p w14:paraId="3643C2F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-0.793</w:t>
            </w:r>
          </w:p>
        </w:tc>
        <w:tc>
          <w:tcPr>
            <w:tcW w:w="1152" w:type="dxa"/>
            <w:shd w:val="clear" w:color="auto" w:fill="auto"/>
            <w:noWrap/>
            <w:vAlign w:val="center"/>
          </w:tcPr>
          <w:p w14:paraId="609BF9D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-0.850</w:t>
            </w:r>
          </w:p>
        </w:tc>
        <w:tc>
          <w:tcPr>
            <w:tcW w:w="1152" w:type="dxa"/>
            <w:shd w:val="clear" w:color="auto" w:fill="auto"/>
            <w:noWrap/>
            <w:vAlign w:val="center"/>
          </w:tcPr>
          <w:p w14:paraId="5ACD759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-7.196</w:t>
            </w:r>
          </w:p>
        </w:tc>
        <w:tc>
          <w:tcPr>
            <w:tcW w:w="1152" w:type="dxa"/>
            <w:shd w:val="clear" w:color="auto" w:fill="auto"/>
            <w:noWrap/>
            <w:vAlign w:val="center"/>
          </w:tcPr>
          <w:p w14:paraId="172507B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-0.599</w:t>
            </w:r>
          </w:p>
        </w:tc>
        <w:tc>
          <w:tcPr>
            <w:tcW w:w="1152" w:type="dxa"/>
            <w:shd w:val="clear" w:color="auto" w:fill="auto"/>
            <w:noWrap/>
            <w:vAlign w:val="center"/>
          </w:tcPr>
          <w:p w14:paraId="02A498A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-0.637</w:t>
            </w:r>
          </w:p>
        </w:tc>
        <w:tc>
          <w:tcPr>
            <w:tcW w:w="1152" w:type="dxa"/>
            <w:shd w:val="clear" w:color="auto" w:fill="auto"/>
            <w:noWrap/>
            <w:vAlign w:val="center"/>
          </w:tcPr>
          <w:p w14:paraId="7F80C42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-0.595</w:t>
            </w:r>
          </w:p>
        </w:tc>
      </w:tr>
      <w:tr w:rsidR="009307C3" w:rsidRPr="00E56159" w14:paraId="1484E066" w14:textId="77777777" w:rsidTr="00EE0BCA">
        <w:trPr>
          <w:trHeight w:hRule="exact" w:val="245"/>
          <w:jc w:val="center"/>
        </w:trPr>
        <w:tc>
          <w:tcPr>
            <w:tcW w:w="2552" w:type="dxa"/>
            <w:vMerge/>
            <w:vAlign w:val="center"/>
          </w:tcPr>
          <w:p w14:paraId="0A911B24"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BCAD9F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(0.067)</w:t>
            </w:r>
          </w:p>
        </w:tc>
        <w:tc>
          <w:tcPr>
            <w:tcW w:w="1152" w:type="dxa"/>
            <w:shd w:val="clear" w:color="auto" w:fill="auto"/>
            <w:noWrap/>
            <w:vAlign w:val="center"/>
          </w:tcPr>
          <w:p w14:paraId="3019BBA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(0.117)</w:t>
            </w:r>
          </w:p>
        </w:tc>
        <w:tc>
          <w:tcPr>
            <w:tcW w:w="1152" w:type="dxa"/>
            <w:shd w:val="clear" w:color="auto" w:fill="auto"/>
            <w:noWrap/>
            <w:vAlign w:val="center"/>
          </w:tcPr>
          <w:p w14:paraId="6641533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(0.067)</w:t>
            </w:r>
          </w:p>
        </w:tc>
        <w:tc>
          <w:tcPr>
            <w:tcW w:w="1152" w:type="dxa"/>
            <w:shd w:val="clear" w:color="auto" w:fill="auto"/>
            <w:noWrap/>
            <w:vAlign w:val="center"/>
          </w:tcPr>
          <w:p w14:paraId="7322DC8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(0.151)</w:t>
            </w:r>
          </w:p>
        </w:tc>
        <w:tc>
          <w:tcPr>
            <w:tcW w:w="1152" w:type="dxa"/>
            <w:shd w:val="clear" w:color="auto" w:fill="auto"/>
            <w:noWrap/>
            <w:vAlign w:val="center"/>
          </w:tcPr>
          <w:p w14:paraId="1B739FB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(0.187)</w:t>
            </w:r>
          </w:p>
        </w:tc>
        <w:tc>
          <w:tcPr>
            <w:tcW w:w="1152" w:type="dxa"/>
            <w:shd w:val="clear" w:color="auto" w:fill="auto"/>
            <w:noWrap/>
            <w:vAlign w:val="center"/>
          </w:tcPr>
          <w:p w14:paraId="3DC39DA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(0.227)</w:t>
            </w:r>
          </w:p>
        </w:tc>
      </w:tr>
      <w:tr w:rsidR="009307C3" w:rsidRPr="00E56159" w14:paraId="288AE666" w14:textId="77777777" w:rsidTr="00EE0BCA">
        <w:trPr>
          <w:trHeight w:hRule="exact" w:val="245"/>
          <w:jc w:val="center"/>
        </w:trPr>
        <w:tc>
          <w:tcPr>
            <w:tcW w:w="2552" w:type="dxa"/>
            <w:vMerge w:val="restart"/>
            <w:shd w:val="clear" w:color="auto" w:fill="auto"/>
            <w:noWrap/>
            <w:vAlign w:val="center"/>
          </w:tcPr>
          <w:p w14:paraId="48A167C5"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Government contract</w:t>
            </w:r>
          </w:p>
        </w:tc>
        <w:tc>
          <w:tcPr>
            <w:tcW w:w="1152" w:type="dxa"/>
            <w:shd w:val="clear" w:color="auto" w:fill="auto"/>
            <w:noWrap/>
            <w:vAlign w:val="center"/>
          </w:tcPr>
          <w:p w14:paraId="7316CBA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-1.501</w:t>
            </w:r>
          </w:p>
        </w:tc>
        <w:tc>
          <w:tcPr>
            <w:tcW w:w="1152" w:type="dxa"/>
            <w:shd w:val="clear" w:color="auto" w:fill="auto"/>
            <w:noWrap/>
            <w:vAlign w:val="center"/>
          </w:tcPr>
          <w:p w14:paraId="4C90A74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-1.618</w:t>
            </w:r>
          </w:p>
        </w:tc>
        <w:tc>
          <w:tcPr>
            <w:tcW w:w="1152" w:type="dxa"/>
            <w:shd w:val="clear" w:color="auto" w:fill="auto"/>
            <w:noWrap/>
            <w:vAlign w:val="center"/>
          </w:tcPr>
          <w:p w14:paraId="646D48B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0.630</w:t>
            </w:r>
          </w:p>
        </w:tc>
        <w:tc>
          <w:tcPr>
            <w:tcW w:w="1152" w:type="dxa"/>
            <w:shd w:val="clear" w:color="auto" w:fill="auto"/>
            <w:noWrap/>
            <w:vAlign w:val="center"/>
          </w:tcPr>
          <w:p w14:paraId="4F8CA2F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-1.479</w:t>
            </w:r>
          </w:p>
        </w:tc>
        <w:tc>
          <w:tcPr>
            <w:tcW w:w="1152" w:type="dxa"/>
            <w:shd w:val="clear" w:color="auto" w:fill="auto"/>
            <w:noWrap/>
            <w:vAlign w:val="center"/>
          </w:tcPr>
          <w:p w14:paraId="61541CC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-1.577</w:t>
            </w:r>
          </w:p>
        </w:tc>
        <w:tc>
          <w:tcPr>
            <w:tcW w:w="1152" w:type="dxa"/>
            <w:shd w:val="clear" w:color="auto" w:fill="auto"/>
            <w:noWrap/>
            <w:vAlign w:val="center"/>
          </w:tcPr>
          <w:p w14:paraId="72E078E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-1.601</w:t>
            </w:r>
          </w:p>
        </w:tc>
      </w:tr>
      <w:tr w:rsidR="009307C3" w:rsidRPr="00E56159" w14:paraId="7D1079A7" w14:textId="77777777" w:rsidTr="00EE0BCA">
        <w:trPr>
          <w:trHeight w:hRule="exact" w:val="245"/>
          <w:jc w:val="center"/>
        </w:trPr>
        <w:tc>
          <w:tcPr>
            <w:tcW w:w="2552" w:type="dxa"/>
            <w:vMerge/>
            <w:vAlign w:val="center"/>
          </w:tcPr>
          <w:p w14:paraId="73B59E9C"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992B26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2BD3948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6EF4E65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(0.853)</w:t>
            </w:r>
          </w:p>
        </w:tc>
        <w:tc>
          <w:tcPr>
            <w:tcW w:w="1152" w:type="dxa"/>
            <w:shd w:val="clear" w:color="auto" w:fill="auto"/>
            <w:noWrap/>
            <w:vAlign w:val="center"/>
          </w:tcPr>
          <w:p w14:paraId="44356A6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503FC05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38C1C78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r>
      <w:tr w:rsidR="009307C3" w:rsidRPr="00E56159" w14:paraId="15344F3A" w14:textId="77777777" w:rsidTr="00EE0BCA">
        <w:trPr>
          <w:trHeight w:hRule="exact" w:val="245"/>
          <w:jc w:val="center"/>
        </w:trPr>
        <w:tc>
          <w:tcPr>
            <w:tcW w:w="2552" w:type="dxa"/>
            <w:vMerge w:val="restart"/>
            <w:shd w:val="clear" w:color="auto" w:fill="auto"/>
            <w:noWrap/>
            <w:vAlign w:val="center"/>
          </w:tcPr>
          <w:p w14:paraId="7C18064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Energy</w:t>
            </w:r>
          </w:p>
        </w:tc>
        <w:tc>
          <w:tcPr>
            <w:tcW w:w="1152" w:type="dxa"/>
            <w:shd w:val="clear" w:color="auto" w:fill="auto"/>
            <w:noWrap/>
            <w:vAlign w:val="center"/>
          </w:tcPr>
          <w:p w14:paraId="40B5F9D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-1.498</w:t>
            </w:r>
          </w:p>
        </w:tc>
        <w:tc>
          <w:tcPr>
            <w:tcW w:w="1152" w:type="dxa"/>
            <w:shd w:val="clear" w:color="auto" w:fill="auto"/>
            <w:noWrap/>
            <w:vAlign w:val="center"/>
          </w:tcPr>
          <w:p w14:paraId="203F309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-1.233</w:t>
            </w:r>
          </w:p>
        </w:tc>
        <w:tc>
          <w:tcPr>
            <w:tcW w:w="1152" w:type="dxa"/>
            <w:shd w:val="clear" w:color="auto" w:fill="auto"/>
            <w:noWrap/>
            <w:vAlign w:val="center"/>
          </w:tcPr>
          <w:p w14:paraId="33379EC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-0.622</w:t>
            </w:r>
          </w:p>
        </w:tc>
        <w:tc>
          <w:tcPr>
            <w:tcW w:w="1152" w:type="dxa"/>
            <w:shd w:val="clear" w:color="auto" w:fill="auto"/>
            <w:noWrap/>
            <w:vAlign w:val="center"/>
          </w:tcPr>
          <w:p w14:paraId="77D3A35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-1.690</w:t>
            </w:r>
          </w:p>
        </w:tc>
        <w:tc>
          <w:tcPr>
            <w:tcW w:w="1152" w:type="dxa"/>
            <w:shd w:val="clear" w:color="auto" w:fill="auto"/>
            <w:noWrap/>
            <w:vAlign w:val="center"/>
          </w:tcPr>
          <w:p w14:paraId="0D2E396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-1.475</w:t>
            </w:r>
          </w:p>
        </w:tc>
        <w:tc>
          <w:tcPr>
            <w:tcW w:w="1152" w:type="dxa"/>
            <w:shd w:val="clear" w:color="auto" w:fill="auto"/>
            <w:noWrap/>
            <w:vAlign w:val="center"/>
          </w:tcPr>
          <w:p w14:paraId="415C83A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-1.585</w:t>
            </w:r>
          </w:p>
        </w:tc>
      </w:tr>
      <w:tr w:rsidR="009307C3" w:rsidRPr="00E56159" w14:paraId="772CF134" w14:textId="77777777" w:rsidTr="00EE0BCA">
        <w:trPr>
          <w:trHeight w:hRule="exact" w:val="245"/>
          <w:jc w:val="center"/>
        </w:trPr>
        <w:tc>
          <w:tcPr>
            <w:tcW w:w="2552" w:type="dxa"/>
            <w:vMerge/>
            <w:vAlign w:val="center"/>
          </w:tcPr>
          <w:p w14:paraId="12D0339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857372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(0.066)</w:t>
            </w:r>
          </w:p>
        </w:tc>
        <w:tc>
          <w:tcPr>
            <w:tcW w:w="1152" w:type="dxa"/>
            <w:shd w:val="clear" w:color="auto" w:fill="auto"/>
            <w:noWrap/>
            <w:vAlign w:val="center"/>
          </w:tcPr>
          <w:p w14:paraId="24EC18E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(0.138)</w:t>
            </w:r>
          </w:p>
        </w:tc>
        <w:tc>
          <w:tcPr>
            <w:tcW w:w="1152" w:type="dxa"/>
            <w:shd w:val="clear" w:color="auto" w:fill="auto"/>
            <w:noWrap/>
            <w:vAlign w:val="center"/>
          </w:tcPr>
          <w:p w14:paraId="10843D2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(0.862)</w:t>
            </w:r>
          </w:p>
        </w:tc>
        <w:tc>
          <w:tcPr>
            <w:tcW w:w="1152" w:type="dxa"/>
            <w:shd w:val="clear" w:color="auto" w:fill="auto"/>
            <w:noWrap/>
            <w:vAlign w:val="center"/>
          </w:tcPr>
          <w:p w14:paraId="3C2B800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(0.015)</w:t>
            </w:r>
          </w:p>
        </w:tc>
        <w:tc>
          <w:tcPr>
            <w:tcW w:w="1152" w:type="dxa"/>
            <w:shd w:val="clear" w:color="auto" w:fill="auto"/>
            <w:noWrap/>
            <w:vAlign w:val="center"/>
          </w:tcPr>
          <w:p w14:paraId="6BDA509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(0.039)</w:t>
            </w:r>
          </w:p>
        </w:tc>
        <w:tc>
          <w:tcPr>
            <w:tcW w:w="1152" w:type="dxa"/>
            <w:shd w:val="clear" w:color="auto" w:fill="auto"/>
            <w:noWrap/>
            <w:vAlign w:val="center"/>
          </w:tcPr>
          <w:p w14:paraId="3153CEB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(0.021)</w:t>
            </w:r>
          </w:p>
        </w:tc>
      </w:tr>
      <w:tr w:rsidR="009307C3" w:rsidRPr="00E56159" w14:paraId="21482B94" w14:textId="77777777" w:rsidTr="00EE0BCA">
        <w:trPr>
          <w:trHeight w:hRule="exact" w:val="245"/>
          <w:jc w:val="center"/>
        </w:trPr>
        <w:tc>
          <w:tcPr>
            <w:tcW w:w="2552" w:type="dxa"/>
            <w:vMerge w:val="restart"/>
            <w:shd w:val="clear" w:color="auto" w:fill="auto"/>
            <w:noWrap/>
            <w:vAlign w:val="center"/>
          </w:tcPr>
          <w:p w14:paraId="122E4BB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Transport</w:t>
            </w:r>
          </w:p>
        </w:tc>
        <w:tc>
          <w:tcPr>
            <w:tcW w:w="1152" w:type="dxa"/>
            <w:shd w:val="clear" w:color="auto" w:fill="auto"/>
            <w:noWrap/>
            <w:vAlign w:val="center"/>
          </w:tcPr>
          <w:p w14:paraId="151C17E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-1.173</w:t>
            </w:r>
          </w:p>
        </w:tc>
        <w:tc>
          <w:tcPr>
            <w:tcW w:w="1152" w:type="dxa"/>
            <w:shd w:val="clear" w:color="auto" w:fill="auto"/>
            <w:noWrap/>
            <w:vAlign w:val="center"/>
          </w:tcPr>
          <w:p w14:paraId="71CCEF7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-0.921</w:t>
            </w:r>
          </w:p>
        </w:tc>
        <w:tc>
          <w:tcPr>
            <w:tcW w:w="1152" w:type="dxa"/>
            <w:shd w:val="clear" w:color="auto" w:fill="auto"/>
            <w:noWrap/>
            <w:vAlign w:val="center"/>
          </w:tcPr>
          <w:p w14:paraId="5E0CD66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-10.581</w:t>
            </w:r>
          </w:p>
        </w:tc>
        <w:tc>
          <w:tcPr>
            <w:tcW w:w="1152" w:type="dxa"/>
            <w:shd w:val="clear" w:color="auto" w:fill="auto"/>
            <w:noWrap/>
            <w:vAlign w:val="center"/>
          </w:tcPr>
          <w:p w14:paraId="2D89B2E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-1.123</w:t>
            </w:r>
          </w:p>
        </w:tc>
        <w:tc>
          <w:tcPr>
            <w:tcW w:w="1152" w:type="dxa"/>
            <w:shd w:val="clear" w:color="auto" w:fill="auto"/>
            <w:noWrap/>
            <w:vAlign w:val="center"/>
          </w:tcPr>
          <w:p w14:paraId="16A0924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-0.928</w:t>
            </w:r>
          </w:p>
        </w:tc>
        <w:tc>
          <w:tcPr>
            <w:tcW w:w="1152" w:type="dxa"/>
            <w:shd w:val="clear" w:color="auto" w:fill="auto"/>
            <w:noWrap/>
            <w:vAlign w:val="center"/>
          </w:tcPr>
          <w:p w14:paraId="291838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-0.919</w:t>
            </w:r>
          </w:p>
        </w:tc>
      </w:tr>
      <w:tr w:rsidR="009307C3" w:rsidRPr="00E56159" w14:paraId="13DA7AA6" w14:textId="77777777" w:rsidTr="00EE0BCA">
        <w:trPr>
          <w:trHeight w:hRule="exact" w:val="245"/>
          <w:jc w:val="center"/>
        </w:trPr>
        <w:tc>
          <w:tcPr>
            <w:tcW w:w="2552" w:type="dxa"/>
            <w:vMerge/>
            <w:vAlign w:val="center"/>
          </w:tcPr>
          <w:p w14:paraId="68BC8017"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28ADC7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(0.047)</w:t>
            </w:r>
          </w:p>
        </w:tc>
        <w:tc>
          <w:tcPr>
            <w:tcW w:w="1152" w:type="dxa"/>
            <w:shd w:val="clear" w:color="auto" w:fill="auto"/>
            <w:noWrap/>
            <w:vAlign w:val="center"/>
          </w:tcPr>
          <w:p w14:paraId="44382FC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(0.115)</w:t>
            </w:r>
          </w:p>
        </w:tc>
        <w:tc>
          <w:tcPr>
            <w:tcW w:w="1152" w:type="dxa"/>
            <w:shd w:val="clear" w:color="auto" w:fill="auto"/>
            <w:noWrap/>
            <w:vAlign w:val="center"/>
          </w:tcPr>
          <w:p w14:paraId="3A8D8C6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(0.024)</w:t>
            </w:r>
          </w:p>
        </w:tc>
        <w:tc>
          <w:tcPr>
            <w:tcW w:w="1152" w:type="dxa"/>
            <w:shd w:val="clear" w:color="auto" w:fill="auto"/>
            <w:noWrap/>
            <w:vAlign w:val="center"/>
          </w:tcPr>
          <w:p w14:paraId="6350449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(0.057)</w:t>
            </w:r>
          </w:p>
        </w:tc>
        <w:tc>
          <w:tcPr>
            <w:tcW w:w="1152" w:type="dxa"/>
            <w:shd w:val="clear" w:color="auto" w:fill="auto"/>
            <w:noWrap/>
            <w:vAlign w:val="center"/>
          </w:tcPr>
          <w:p w14:paraId="1963B09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(0.108)</w:t>
            </w:r>
          </w:p>
        </w:tc>
        <w:tc>
          <w:tcPr>
            <w:tcW w:w="1152" w:type="dxa"/>
            <w:shd w:val="clear" w:color="auto" w:fill="auto"/>
            <w:noWrap/>
            <w:vAlign w:val="center"/>
          </w:tcPr>
          <w:p w14:paraId="207A6DF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(0.104)</w:t>
            </w:r>
          </w:p>
        </w:tc>
      </w:tr>
      <w:tr w:rsidR="009307C3" w:rsidRPr="00E56159" w14:paraId="0358EDD0" w14:textId="77777777" w:rsidTr="00EE0BCA">
        <w:trPr>
          <w:trHeight w:hRule="exact" w:val="245"/>
          <w:jc w:val="center"/>
        </w:trPr>
        <w:tc>
          <w:tcPr>
            <w:tcW w:w="2552" w:type="dxa"/>
            <w:vMerge w:val="restart"/>
            <w:shd w:val="clear" w:color="auto" w:fill="auto"/>
            <w:noWrap/>
            <w:vAlign w:val="center"/>
          </w:tcPr>
          <w:p w14:paraId="3F9FEFD2"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GDP growth</w:t>
            </w:r>
          </w:p>
        </w:tc>
        <w:tc>
          <w:tcPr>
            <w:tcW w:w="1152" w:type="dxa"/>
            <w:shd w:val="clear" w:color="auto" w:fill="auto"/>
            <w:noWrap/>
            <w:vAlign w:val="center"/>
          </w:tcPr>
          <w:p w14:paraId="75C029F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0.160</w:t>
            </w:r>
          </w:p>
        </w:tc>
        <w:tc>
          <w:tcPr>
            <w:tcW w:w="1152" w:type="dxa"/>
            <w:shd w:val="clear" w:color="auto" w:fill="auto"/>
            <w:noWrap/>
            <w:vAlign w:val="center"/>
          </w:tcPr>
          <w:p w14:paraId="68180C4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0.170</w:t>
            </w:r>
          </w:p>
        </w:tc>
        <w:tc>
          <w:tcPr>
            <w:tcW w:w="1152" w:type="dxa"/>
            <w:shd w:val="clear" w:color="auto" w:fill="auto"/>
            <w:noWrap/>
            <w:vAlign w:val="center"/>
          </w:tcPr>
          <w:p w14:paraId="7D9AF3C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-0.109</w:t>
            </w:r>
          </w:p>
        </w:tc>
        <w:tc>
          <w:tcPr>
            <w:tcW w:w="1152" w:type="dxa"/>
            <w:shd w:val="clear" w:color="auto" w:fill="auto"/>
            <w:noWrap/>
            <w:vAlign w:val="center"/>
          </w:tcPr>
          <w:p w14:paraId="3C85FA4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0.166</w:t>
            </w:r>
          </w:p>
        </w:tc>
        <w:tc>
          <w:tcPr>
            <w:tcW w:w="1152" w:type="dxa"/>
            <w:shd w:val="clear" w:color="auto" w:fill="auto"/>
            <w:noWrap/>
            <w:vAlign w:val="center"/>
          </w:tcPr>
          <w:p w14:paraId="7ADFFEA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0.172</w:t>
            </w:r>
          </w:p>
        </w:tc>
        <w:tc>
          <w:tcPr>
            <w:tcW w:w="1152" w:type="dxa"/>
            <w:shd w:val="clear" w:color="auto" w:fill="auto"/>
            <w:noWrap/>
            <w:vAlign w:val="center"/>
          </w:tcPr>
          <w:p w14:paraId="7E399D6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0.167</w:t>
            </w:r>
          </w:p>
        </w:tc>
      </w:tr>
      <w:tr w:rsidR="009307C3" w:rsidRPr="00E56159" w14:paraId="0157613A" w14:textId="77777777" w:rsidTr="00EE0BCA">
        <w:trPr>
          <w:trHeight w:hRule="exact" w:val="245"/>
          <w:jc w:val="center"/>
        </w:trPr>
        <w:tc>
          <w:tcPr>
            <w:tcW w:w="2552" w:type="dxa"/>
            <w:vMerge/>
            <w:vAlign w:val="center"/>
          </w:tcPr>
          <w:p w14:paraId="05A7F33F"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72B719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78B135B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4166D6D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(0.320)</w:t>
            </w:r>
          </w:p>
        </w:tc>
        <w:tc>
          <w:tcPr>
            <w:tcW w:w="1152" w:type="dxa"/>
            <w:shd w:val="clear" w:color="auto" w:fill="auto"/>
            <w:noWrap/>
            <w:vAlign w:val="center"/>
          </w:tcPr>
          <w:p w14:paraId="214BFD4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7B3F343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c>
          <w:tcPr>
            <w:tcW w:w="1152" w:type="dxa"/>
            <w:shd w:val="clear" w:color="auto" w:fill="auto"/>
            <w:noWrap/>
            <w:vAlign w:val="center"/>
          </w:tcPr>
          <w:p w14:paraId="42C4575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(0.001)</w:t>
            </w:r>
          </w:p>
        </w:tc>
      </w:tr>
      <w:tr w:rsidR="009307C3" w:rsidRPr="00E56159" w14:paraId="69D4AB34" w14:textId="77777777" w:rsidTr="00EE0BCA">
        <w:trPr>
          <w:trHeight w:hRule="exact" w:val="245"/>
          <w:jc w:val="center"/>
        </w:trPr>
        <w:tc>
          <w:tcPr>
            <w:tcW w:w="2552" w:type="dxa"/>
            <w:vMerge w:val="restart"/>
            <w:shd w:val="clear" w:color="auto" w:fill="auto"/>
            <w:noWrap/>
            <w:vAlign w:val="center"/>
          </w:tcPr>
          <w:p w14:paraId="10399F87"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GDP</w:t>
            </w:r>
          </w:p>
        </w:tc>
        <w:tc>
          <w:tcPr>
            <w:tcW w:w="1152" w:type="dxa"/>
            <w:shd w:val="clear" w:color="auto" w:fill="auto"/>
            <w:noWrap/>
            <w:vAlign w:val="center"/>
          </w:tcPr>
          <w:p w14:paraId="0DA9AD0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-1.263</w:t>
            </w:r>
          </w:p>
        </w:tc>
        <w:tc>
          <w:tcPr>
            <w:tcW w:w="1152" w:type="dxa"/>
            <w:shd w:val="clear" w:color="auto" w:fill="auto"/>
            <w:noWrap/>
            <w:vAlign w:val="center"/>
          </w:tcPr>
          <w:p w14:paraId="415FA04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-1.091</w:t>
            </w:r>
          </w:p>
        </w:tc>
        <w:tc>
          <w:tcPr>
            <w:tcW w:w="1152" w:type="dxa"/>
            <w:shd w:val="clear" w:color="auto" w:fill="auto"/>
            <w:noWrap/>
            <w:vAlign w:val="center"/>
          </w:tcPr>
          <w:p w14:paraId="0C938A0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1.164</w:t>
            </w:r>
          </w:p>
        </w:tc>
        <w:tc>
          <w:tcPr>
            <w:tcW w:w="1152" w:type="dxa"/>
            <w:shd w:val="clear" w:color="auto" w:fill="auto"/>
            <w:noWrap/>
            <w:vAlign w:val="center"/>
          </w:tcPr>
          <w:p w14:paraId="13224D4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-1.403</w:t>
            </w:r>
          </w:p>
        </w:tc>
        <w:tc>
          <w:tcPr>
            <w:tcW w:w="1152" w:type="dxa"/>
            <w:shd w:val="clear" w:color="auto" w:fill="auto"/>
            <w:noWrap/>
            <w:vAlign w:val="center"/>
          </w:tcPr>
          <w:p w14:paraId="25FBCC3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-1.260</w:t>
            </w:r>
          </w:p>
        </w:tc>
        <w:tc>
          <w:tcPr>
            <w:tcW w:w="1152" w:type="dxa"/>
            <w:shd w:val="clear" w:color="auto" w:fill="auto"/>
            <w:noWrap/>
            <w:vAlign w:val="center"/>
          </w:tcPr>
          <w:p w14:paraId="47D5A2D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-1.253</w:t>
            </w:r>
          </w:p>
        </w:tc>
      </w:tr>
      <w:tr w:rsidR="009307C3" w:rsidRPr="00E56159" w14:paraId="31348064" w14:textId="77777777" w:rsidTr="00EE0BCA">
        <w:trPr>
          <w:trHeight w:hRule="exact" w:val="245"/>
          <w:jc w:val="center"/>
        </w:trPr>
        <w:tc>
          <w:tcPr>
            <w:tcW w:w="2552" w:type="dxa"/>
            <w:vMerge/>
            <w:vAlign w:val="center"/>
          </w:tcPr>
          <w:p w14:paraId="1EB8E453"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61C165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6E92382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(0.011)</w:t>
            </w:r>
          </w:p>
        </w:tc>
        <w:tc>
          <w:tcPr>
            <w:tcW w:w="1152" w:type="dxa"/>
            <w:shd w:val="clear" w:color="auto" w:fill="auto"/>
            <w:noWrap/>
            <w:vAlign w:val="center"/>
          </w:tcPr>
          <w:p w14:paraId="7A806E7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(0.064)</w:t>
            </w:r>
          </w:p>
        </w:tc>
        <w:tc>
          <w:tcPr>
            <w:tcW w:w="1152" w:type="dxa"/>
            <w:shd w:val="clear" w:color="auto" w:fill="auto"/>
            <w:noWrap/>
            <w:vAlign w:val="center"/>
          </w:tcPr>
          <w:p w14:paraId="2C1A4CF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(0.004)</w:t>
            </w:r>
          </w:p>
        </w:tc>
        <w:tc>
          <w:tcPr>
            <w:tcW w:w="1152" w:type="dxa"/>
            <w:shd w:val="clear" w:color="auto" w:fill="auto"/>
            <w:noWrap/>
            <w:vAlign w:val="center"/>
          </w:tcPr>
          <w:p w14:paraId="08070D6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1198E27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r>
      <w:tr w:rsidR="009307C3" w:rsidRPr="00E56159" w14:paraId="3C695F97" w14:textId="77777777" w:rsidTr="00EE0BCA">
        <w:trPr>
          <w:trHeight w:hRule="exact" w:val="245"/>
          <w:jc w:val="center"/>
        </w:trPr>
        <w:tc>
          <w:tcPr>
            <w:tcW w:w="2552" w:type="dxa"/>
            <w:vMerge w:val="restart"/>
            <w:shd w:val="clear" w:color="auto" w:fill="auto"/>
            <w:noWrap/>
            <w:vAlign w:val="center"/>
          </w:tcPr>
          <w:p w14:paraId="462E46A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Population density</w:t>
            </w:r>
          </w:p>
        </w:tc>
        <w:tc>
          <w:tcPr>
            <w:tcW w:w="1152" w:type="dxa"/>
            <w:shd w:val="clear" w:color="auto" w:fill="auto"/>
            <w:noWrap/>
            <w:vAlign w:val="center"/>
          </w:tcPr>
          <w:p w14:paraId="78597C0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0.009</w:t>
            </w:r>
          </w:p>
        </w:tc>
        <w:tc>
          <w:tcPr>
            <w:tcW w:w="1152" w:type="dxa"/>
            <w:shd w:val="clear" w:color="auto" w:fill="auto"/>
            <w:noWrap/>
            <w:vAlign w:val="center"/>
          </w:tcPr>
          <w:p w14:paraId="1BF9544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-0.034</w:t>
            </w:r>
          </w:p>
        </w:tc>
        <w:tc>
          <w:tcPr>
            <w:tcW w:w="1152" w:type="dxa"/>
            <w:shd w:val="clear" w:color="auto" w:fill="auto"/>
            <w:noWrap/>
            <w:vAlign w:val="center"/>
          </w:tcPr>
          <w:p w14:paraId="4722A89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-2.009</w:t>
            </w:r>
          </w:p>
        </w:tc>
        <w:tc>
          <w:tcPr>
            <w:tcW w:w="1152" w:type="dxa"/>
            <w:shd w:val="clear" w:color="auto" w:fill="auto"/>
            <w:noWrap/>
            <w:vAlign w:val="center"/>
          </w:tcPr>
          <w:p w14:paraId="17AB8F2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-0.036</w:t>
            </w:r>
          </w:p>
        </w:tc>
        <w:tc>
          <w:tcPr>
            <w:tcW w:w="1152" w:type="dxa"/>
            <w:shd w:val="clear" w:color="auto" w:fill="auto"/>
            <w:noWrap/>
            <w:vAlign w:val="center"/>
          </w:tcPr>
          <w:p w14:paraId="2BA008F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-0.069</w:t>
            </w:r>
          </w:p>
        </w:tc>
        <w:tc>
          <w:tcPr>
            <w:tcW w:w="1152" w:type="dxa"/>
            <w:shd w:val="clear" w:color="auto" w:fill="auto"/>
            <w:noWrap/>
            <w:vAlign w:val="center"/>
          </w:tcPr>
          <w:p w14:paraId="3584A2E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-0.050</w:t>
            </w:r>
          </w:p>
        </w:tc>
      </w:tr>
      <w:tr w:rsidR="009307C3" w:rsidRPr="00E56159" w14:paraId="7ACCFD0D" w14:textId="77777777" w:rsidTr="00EE0BCA">
        <w:trPr>
          <w:trHeight w:hRule="exact" w:val="245"/>
          <w:jc w:val="center"/>
        </w:trPr>
        <w:tc>
          <w:tcPr>
            <w:tcW w:w="2552" w:type="dxa"/>
            <w:vMerge/>
            <w:vAlign w:val="center"/>
          </w:tcPr>
          <w:p w14:paraId="3184F321"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5470199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(0.978)</w:t>
            </w:r>
          </w:p>
        </w:tc>
        <w:tc>
          <w:tcPr>
            <w:tcW w:w="1152" w:type="dxa"/>
            <w:shd w:val="clear" w:color="auto" w:fill="auto"/>
            <w:noWrap/>
            <w:vAlign w:val="center"/>
          </w:tcPr>
          <w:p w14:paraId="6B91D50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(0.922)</w:t>
            </w:r>
          </w:p>
        </w:tc>
        <w:tc>
          <w:tcPr>
            <w:tcW w:w="1152" w:type="dxa"/>
            <w:shd w:val="clear" w:color="auto" w:fill="auto"/>
            <w:noWrap/>
            <w:vAlign w:val="center"/>
          </w:tcPr>
          <w:p w14:paraId="54A7137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(0.061)</w:t>
            </w:r>
          </w:p>
        </w:tc>
        <w:tc>
          <w:tcPr>
            <w:tcW w:w="1152" w:type="dxa"/>
            <w:shd w:val="clear" w:color="auto" w:fill="auto"/>
            <w:noWrap/>
            <w:vAlign w:val="center"/>
          </w:tcPr>
          <w:p w14:paraId="28A36C1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(0.893)</w:t>
            </w:r>
          </w:p>
        </w:tc>
        <w:tc>
          <w:tcPr>
            <w:tcW w:w="1152" w:type="dxa"/>
            <w:shd w:val="clear" w:color="auto" w:fill="auto"/>
            <w:noWrap/>
            <w:vAlign w:val="center"/>
          </w:tcPr>
          <w:p w14:paraId="207590D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(0.807)</w:t>
            </w:r>
          </w:p>
        </w:tc>
        <w:tc>
          <w:tcPr>
            <w:tcW w:w="1152" w:type="dxa"/>
            <w:shd w:val="clear" w:color="auto" w:fill="auto"/>
            <w:noWrap/>
            <w:vAlign w:val="center"/>
          </w:tcPr>
          <w:p w14:paraId="594302B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(0.857)</w:t>
            </w:r>
          </w:p>
        </w:tc>
      </w:tr>
      <w:tr w:rsidR="009307C3" w:rsidRPr="00E56159" w14:paraId="4E32AC3A" w14:textId="77777777" w:rsidTr="00EE0BCA">
        <w:trPr>
          <w:trHeight w:hRule="exact" w:val="245"/>
          <w:jc w:val="center"/>
        </w:trPr>
        <w:tc>
          <w:tcPr>
            <w:tcW w:w="2552" w:type="dxa"/>
            <w:vMerge w:val="restart"/>
            <w:shd w:val="clear" w:color="auto" w:fill="auto"/>
            <w:noWrap/>
            <w:vAlign w:val="center"/>
          </w:tcPr>
          <w:p w14:paraId="2514C73F"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International trade ratio</w:t>
            </w:r>
          </w:p>
        </w:tc>
        <w:tc>
          <w:tcPr>
            <w:tcW w:w="1152" w:type="dxa"/>
            <w:shd w:val="clear" w:color="auto" w:fill="auto"/>
            <w:noWrap/>
            <w:vAlign w:val="center"/>
          </w:tcPr>
          <w:p w14:paraId="292C888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-0.008</w:t>
            </w:r>
          </w:p>
        </w:tc>
        <w:tc>
          <w:tcPr>
            <w:tcW w:w="1152" w:type="dxa"/>
            <w:shd w:val="clear" w:color="auto" w:fill="auto"/>
            <w:noWrap/>
            <w:vAlign w:val="center"/>
          </w:tcPr>
          <w:p w14:paraId="2C7EE90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-0.010</w:t>
            </w:r>
          </w:p>
        </w:tc>
        <w:tc>
          <w:tcPr>
            <w:tcW w:w="1152" w:type="dxa"/>
            <w:shd w:val="clear" w:color="auto" w:fill="auto"/>
            <w:noWrap/>
            <w:vAlign w:val="center"/>
          </w:tcPr>
          <w:p w14:paraId="1BBDA12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-0.008</w:t>
            </w:r>
          </w:p>
        </w:tc>
        <w:tc>
          <w:tcPr>
            <w:tcW w:w="1152" w:type="dxa"/>
            <w:shd w:val="clear" w:color="auto" w:fill="auto"/>
            <w:noWrap/>
            <w:vAlign w:val="center"/>
          </w:tcPr>
          <w:p w14:paraId="54DC548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-0.005</w:t>
            </w:r>
          </w:p>
        </w:tc>
        <w:tc>
          <w:tcPr>
            <w:tcW w:w="1152" w:type="dxa"/>
            <w:shd w:val="clear" w:color="auto" w:fill="auto"/>
            <w:noWrap/>
            <w:vAlign w:val="center"/>
          </w:tcPr>
          <w:p w14:paraId="23A4509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-0.007</w:t>
            </w:r>
          </w:p>
        </w:tc>
        <w:tc>
          <w:tcPr>
            <w:tcW w:w="1152" w:type="dxa"/>
            <w:shd w:val="clear" w:color="auto" w:fill="auto"/>
            <w:noWrap/>
            <w:vAlign w:val="center"/>
          </w:tcPr>
          <w:p w14:paraId="71B52AA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-0.009</w:t>
            </w:r>
          </w:p>
        </w:tc>
      </w:tr>
      <w:tr w:rsidR="009307C3" w:rsidRPr="00E56159" w14:paraId="4A321F68" w14:textId="77777777" w:rsidTr="00EE0BCA">
        <w:trPr>
          <w:trHeight w:hRule="exact" w:val="245"/>
          <w:jc w:val="center"/>
        </w:trPr>
        <w:tc>
          <w:tcPr>
            <w:tcW w:w="2552" w:type="dxa"/>
            <w:vMerge/>
            <w:vAlign w:val="center"/>
          </w:tcPr>
          <w:p w14:paraId="0905F947"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538C1D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(0.356)</w:t>
            </w:r>
          </w:p>
        </w:tc>
        <w:tc>
          <w:tcPr>
            <w:tcW w:w="1152" w:type="dxa"/>
            <w:shd w:val="clear" w:color="auto" w:fill="auto"/>
            <w:noWrap/>
            <w:vAlign w:val="center"/>
          </w:tcPr>
          <w:p w14:paraId="2D71B6B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(0.184)</w:t>
            </w:r>
          </w:p>
        </w:tc>
        <w:tc>
          <w:tcPr>
            <w:tcW w:w="1152" w:type="dxa"/>
            <w:shd w:val="clear" w:color="auto" w:fill="auto"/>
            <w:noWrap/>
            <w:vAlign w:val="center"/>
          </w:tcPr>
          <w:p w14:paraId="7E7B613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(0.637)</w:t>
            </w:r>
          </w:p>
        </w:tc>
        <w:tc>
          <w:tcPr>
            <w:tcW w:w="1152" w:type="dxa"/>
            <w:shd w:val="clear" w:color="auto" w:fill="auto"/>
            <w:noWrap/>
            <w:vAlign w:val="center"/>
          </w:tcPr>
          <w:p w14:paraId="5E4E94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(0.561)</w:t>
            </w:r>
          </w:p>
        </w:tc>
        <w:tc>
          <w:tcPr>
            <w:tcW w:w="1152" w:type="dxa"/>
            <w:shd w:val="clear" w:color="auto" w:fill="auto"/>
            <w:noWrap/>
            <w:vAlign w:val="center"/>
          </w:tcPr>
          <w:p w14:paraId="07ADE5D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(0.394)</w:t>
            </w:r>
          </w:p>
        </w:tc>
        <w:tc>
          <w:tcPr>
            <w:tcW w:w="1152" w:type="dxa"/>
            <w:shd w:val="clear" w:color="auto" w:fill="auto"/>
            <w:noWrap/>
            <w:vAlign w:val="center"/>
          </w:tcPr>
          <w:p w14:paraId="355648C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(0.306)</w:t>
            </w:r>
          </w:p>
        </w:tc>
      </w:tr>
      <w:tr w:rsidR="009307C3" w:rsidRPr="00E56159" w14:paraId="043B4A1E" w14:textId="77777777" w:rsidTr="00EE0BCA">
        <w:trPr>
          <w:trHeight w:hRule="exact" w:val="245"/>
          <w:jc w:val="center"/>
        </w:trPr>
        <w:tc>
          <w:tcPr>
            <w:tcW w:w="2552" w:type="dxa"/>
            <w:vMerge w:val="restart"/>
            <w:shd w:val="clear" w:color="auto" w:fill="auto"/>
            <w:noWrap/>
            <w:vAlign w:val="center"/>
          </w:tcPr>
          <w:p w14:paraId="7FEBA5F4"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FDI inflow</w:t>
            </w:r>
          </w:p>
        </w:tc>
        <w:tc>
          <w:tcPr>
            <w:tcW w:w="1152" w:type="dxa"/>
            <w:shd w:val="clear" w:color="auto" w:fill="auto"/>
            <w:noWrap/>
            <w:vAlign w:val="center"/>
          </w:tcPr>
          <w:p w14:paraId="0E4A85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0.153</w:t>
            </w:r>
          </w:p>
        </w:tc>
        <w:tc>
          <w:tcPr>
            <w:tcW w:w="1152" w:type="dxa"/>
            <w:shd w:val="clear" w:color="auto" w:fill="auto"/>
            <w:noWrap/>
            <w:vAlign w:val="center"/>
          </w:tcPr>
          <w:p w14:paraId="5BE8474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0.178</w:t>
            </w:r>
          </w:p>
        </w:tc>
        <w:tc>
          <w:tcPr>
            <w:tcW w:w="1152" w:type="dxa"/>
            <w:shd w:val="clear" w:color="auto" w:fill="auto"/>
            <w:noWrap/>
            <w:vAlign w:val="center"/>
          </w:tcPr>
          <w:p w14:paraId="7902DE4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0.342</w:t>
            </w:r>
          </w:p>
        </w:tc>
        <w:tc>
          <w:tcPr>
            <w:tcW w:w="1152" w:type="dxa"/>
            <w:shd w:val="clear" w:color="auto" w:fill="auto"/>
            <w:noWrap/>
            <w:vAlign w:val="center"/>
          </w:tcPr>
          <w:p w14:paraId="7E17580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0.156</w:t>
            </w:r>
          </w:p>
        </w:tc>
        <w:tc>
          <w:tcPr>
            <w:tcW w:w="1152" w:type="dxa"/>
            <w:shd w:val="clear" w:color="auto" w:fill="auto"/>
            <w:noWrap/>
            <w:vAlign w:val="center"/>
          </w:tcPr>
          <w:p w14:paraId="60993B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0.174</w:t>
            </w:r>
          </w:p>
        </w:tc>
        <w:tc>
          <w:tcPr>
            <w:tcW w:w="1152" w:type="dxa"/>
            <w:shd w:val="clear" w:color="auto" w:fill="auto"/>
            <w:noWrap/>
            <w:vAlign w:val="center"/>
          </w:tcPr>
          <w:p w14:paraId="718486F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0.176</w:t>
            </w:r>
          </w:p>
        </w:tc>
      </w:tr>
      <w:tr w:rsidR="009307C3" w:rsidRPr="00E56159" w14:paraId="4862BCAC" w14:textId="77777777" w:rsidTr="00EE0BCA">
        <w:trPr>
          <w:trHeight w:hRule="exact" w:val="245"/>
          <w:jc w:val="center"/>
        </w:trPr>
        <w:tc>
          <w:tcPr>
            <w:tcW w:w="2552" w:type="dxa"/>
            <w:vMerge/>
            <w:vAlign w:val="center"/>
          </w:tcPr>
          <w:p w14:paraId="719708FB"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4A408C3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(0.021)</w:t>
            </w:r>
          </w:p>
        </w:tc>
        <w:tc>
          <w:tcPr>
            <w:tcW w:w="1152" w:type="dxa"/>
            <w:shd w:val="clear" w:color="auto" w:fill="auto"/>
            <w:noWrap/>
            <w:vAlign w:val="center"/>
          </w:tcPr>
          <w:p w14:paraId="294F8D0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(0.003)</w:t>
            </w:r>
          </w:p>
        </w:tc>
        <w:tc>
          <w:tcPr>
            <w:tcW w:w="1152" w:type="dxa"/>
            <w:shd w:val="clear" w:color="auto" w:fill="auto"/>
            <w:noWrap/>
            <w:vAlign w:val="center"/>
          </w:tcPr>
          <w:p w14:paraId="6BE1C26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(0.000)</w:t>
            </w:r>
          </w:p>
        </w:tc>
        <w:tc>
          <w:tcPr>
            <w:tcW w:w="1152" w:type="dxa"/>
            <w:shd w:val="clear" w:color="auto" w:fill="auto"/>
            <w:noWrap/>
            <w:vAlign w:val="center"/>
          </w:tcPr>
          <w:p w14:paraId="4EEB84C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(0.026)</w:t>
            </w:r>
          </w:p>
        </w:tc>
        <w:tc>
          <w:tcPr>
            <w:tcW w:w="1152" w:type="dxa"/>
            <w:shd w:val="clear" w:color="auto" w:fill="auto"/>
            <w:noWrap/>
            <w:vAlign w:val="center"/>
          </w:tcPr>
          <w:p w14:paraId="3C51389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(0.007)</w:t>
            </w:r>
          </w:p>
        </w:tc>
        <w:tc>
          <w:tcPr>
            <w:tcW w:w="1152" w:type="dxa"/>
            <w:shd w:val="clear" w:color="auto" w:fill="auto"/>
            <w:noWrap/>
            <w:vAlign w:val="center"/>
          </w:tcPr>
          <w:p w14:paraId="12F47CC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(0.002)</w:t>
            </w:r>
          </w:p>
        </w:tc>
      </w:tr>
      <w:tr w:rsidR="009307C3" w:rsidRPr="00E56159" w14:paraId="581BC04B" w14:textId="77777777" w:rsidTr="00EE0BCA">
        <w:trPr>
          <w:trHeight w:hRule="exact" w:val="245"/>
          <w:jc w:val="center"/>
        </w:trPr>
        <w:tc>
          <w:tcPr>
            <w:tcW w:w="2552" w:type="dxa"/>
            <w:vMerge w:val="restart"/>
            <w:shd w:val="clear" w:color="auto" w:fill="auto"/>
            <w:noWrap/>
            <w:vAlign w:val="center"/>
          </w:tcPr>
          <w:p w14:paraId="0EECF40B"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FDI outflow</w:t>
            </w:r>
          </w:p>
        </w:tc>
        <w:tc>
          <w:tcPr>
            <w:tcW w:w="1152" w:type="dxa"/>
            <w:shd w:val="clear" w:color="auto" w:fill="auto"/>
            <w:noWrap/>
            <w:vAlign w:val="center"/>
          </w:tcPr>
          <w:p w14:paraId="335B108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-0.315</w:t>
            </w:r>
          </w:p>
        </w:tc>
        <w:tc>
          <w:tcPr>
            <w:tcW w:w="1152" w:type="dxa"/>
            <w:shd w:val="clear" w:color="auto" w:fill="auto"/>
            <w:noWrap/>
            <w:vAlign w:val="center"/>
          </w:tcPr>
          <w:p w14:paraId="4794FBC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-0.306</w:t>
            </w:r>
          </w:p>
        </w:tc>
        <w:tc>
          <w:tcPr>
            <w:tcW w:w="1152" w:type="dxa"/>
            <w:shd w:val="clear" w:color="auto" w:fill="auto"/>
            <w:noWrap/>
            <w:vAlign w:val="center"/>
          </w:tcPr>
          <w:p w14:paraId="398BF61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0.110</w:t>
            </w:r>
          </w:p>
        </w:tc>
        <w:tc>
          <w:tcPr>
            <w:tcW w:w="1152" w:type="dxa"/>
            <w:shd w:val="clear" w:color="auto" w:fill="auto"/>
            <w:noWrap/>
            <w:vAlign w:val="center"/>
          </w:tcPr>
          <w:p w14:paraId="496D4A7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-0.373</w:t>
            </w:r>
          </w:p>
        </w:tc>
        <w:tc>
          <w:tcPr>
            <w:tcW w:w="1152" w:type="dxa"/>
            <w:shd w:val="clear" w:color="auto" w:fill="auto"/>
            <w:noWrap/>
            <w:vAlign w:val="center"/>
          </w:tcPr>
          <w:p w14:paraId="00CE9D3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-0.361</w:t>
            </w:r>
          </w:p>
        </w:tc>
        <w:tc>
          <w:tcPr>
            <w:tcW w:w="1152" w:type="dxa"/>
            <w:shd w:val="clear" w:color="auto" w:fill="auto"/>
            <w:noWrap/>
            <w:vAlign w:val="center"/>
          </w:tcPr>
          <w:p w14:paraId="1171DC4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-0.334</w:t>
            </w:r>
          </w:p>
        </w:tc>
      </w:tr>
      <w:tr w:rsidR="009307C3" w:rsidRPr="00E56159" w14:paraId="22882B68" w14:textId="77777777" w:rsidTr="00EE0BCA">
        <w:trPr>
          <w:trHeight w:hRule="exact" w:val="245"/>
          <w:jc w:val="center"/>
        </w:trPr>
        <w:tc>
          <w:tcPr>
            <w:tcW w:w="2552" w:type="dxa"/>
            <w:vMerge/>
            <w:vAlign w:val="center"/>
          </w:tcPr>
          <w:p w14:paraId="3BACED4D"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7418824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(0.137)</w:t>
            </w:r>
          </w:p>
        </w:tc>
        <w:tc>
          <w:tcPr>
            <w:tcW w:w="1152" w:type="dxa"/>
            <w:shd w:val="clear" w:color="auto" w:fill="auto"/>
            <w:noWrap/>
            <w:vAlign w:val="center"/>
          </w:tcPr>
          <w:p w14:paraId="6B4ADFC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(0.140)</w:t>
            </w:r>
          </w:p>
        </w:tc>
        <w:tc>
          <w:tcPr>
            <w:tcW w:w="1152" w:type="dxa"/>
            <w:shd w:val="clear" w:color="auto" w:fill="auto"/>
            <w:noWrap/>
            <w:vAlign w:val="center"/>
          </w:tcPr>
          <w:p w14:paraId="32784E4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(0.214)</w:t>
            </w:r>
          </w:p>
        </w:tc>
        <w:tc>
          <w:tcPr>
            <w:tcW w:w="1152" w:type="dxa"/>
            <w:shd w:val="clear" w:color="auto" w:fill="auto"/>
            <w:noWrap/>
            <w:vAlign w:val="center"/>
          </w:tcPr>
          <w:p w14:paraId="4C5FEA6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(0.111)</w:t>
            </w:r>
          </w:p>
        </w:tc>
        <w:tc>
          <w:tcPr>
            <w:tcW w:w="1152" w:type="dxa"/>
            <w:shd w:val="clear" w:color="auto" w:fill="auto"/>
            <w:noWrap/>
            <w:vAlign w:val="center"/>
          </w:tcPr>
          <w:p w14:paraId="16B0983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(0.111)</w:t>
            </w:r>
          </w:p>
        </w:tc>
        <w:tc>
          <w:tcPr>
            <w:tcW w:w="1152" w:type="dxa"/>
            <w:shd w:val="clear" w:color="auto" w:fill="auto"/>
            <w:noWrap/>
            <w:vAlign w:val="center"/>
          </w:tcPr>
          <w:p w14:paraId="0FCC0FD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(0.150)</w:t>
            </w:r>
          </w:p>
        </w:tc>
      </w:tr>
      <w:tr w:rsidR="009307C3" w:rsidRPr="00E56159" w14:paraId="22959FF5" w14:textId="77777777" w:rsidTr="00EE0BCA">
        <w:trPr>
          <w:trHeight w:hRule="exact" w:val="245"/>
          <w:jc w:val="center"/>
        </w:trPr>
        <w:tc>
          <w:tcPr>
            <w:tcW w:w="2552" w:type="dxa"/>
            <w:vMerge w:val="restart"/>
            <w:shd w:val="clear" w:color="auto" w:fill="auto"/>
            <w:noWrap/>
            <w:vAlign w:val="center"/>
          </w:tcPr>
          <w:p w14:paraId="5CF6042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Oil reserves</w:t>
            </w:r>
          </w:p>
        </w:tc>
        <w:tc>
          <w:tcPr>
            <w:tcW w:w="1152" w:type="dxa"/>
            <w:shd w:val="clear" w:color="auto" w:fill="auto"/>
            <w:noWrap/>
            <w:vAlign w:val="center"/>
          </w:tcPr>
          <w:p w14:paraId="65094D8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0.273</w:t>
            </w:r>
          </w:p>
        </w:tc>
        <w:tc>
          <w:tcPr>
            <w:tcW w:w="1152" w:type="dxa"/>
            <w:shd w:val="clear" w:color="auto" w:fill="auto"/>
            <w:noWrap/>
            <w:vAlign w:val="center"/>
          </w:tcPr>
          <w:p w14:paraId="30F0820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0.264</w:t>
            </w:r>
          </w:p>
        </w:tc>
        <w:tc>
          <w:tcPr>
            <w:tcW w:w="1152" w:type="dxa"/>
            <w:shd w:val="clear" w:color="auto" w:fill="auto"/>
            <w:noWrap/>
            <w:vAlign w:val="center"/>
          </w:tcPr>
          <w:p w14:paraId="15B8E05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0.226</w:t>
            </w:r>
          </w:p>
        </w:tc>
        <w:tc>
          <w:tcPr>
            <w:tcW w:w="1152" w:type="dxa"/>
            <w:shd w:val="clear" w:color="auto" w:fill="auto"/>
            <w:noWrap/>
            <w:vAlign w:val="center"/>
          </w:tcPr>
          <w:p w14:paraId="70826FD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0.340</w:t>
            </w:r>
          </w:p>
        </w:tc>
        <w:tc>
          <w:tcPr>
            <w:tcW w:w="1152" w:type="dxa"/>
            <w:shd w:val="clear" w:color="auto" w:fill="auto"/>
            <w:noWrap/>
            <w:vAlign w:val="center"/>
          </w:tcPr>
          <w:p w14:paraId="5709AB4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0.328</w:t>
            </w:r>
          </w:p>
        </w:tc>
        <w:tc>
          <w:tcPr>
            <w:tcW w:w="1152" w:type="dxa"/>
            <w:shd w:val="clear" w:color="auto" w:fill="auto"/>
            <w:noWrap/>
            <w:vAlign w:val="center"/>
          </w:tcPr>
          <w:p w14:paraId="28FD904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0.333</w:t>
            </w:r>
          </w:p>
        </w:tc>
      </w:tr>
      <w:tr w:rsidR="009307C3" w:rsidRPr="00E56159" w14:paraId="377F7666" w14:textId="77777777" w:rsidTr="00EE0BCA">
        <w:trPr>
          <w:trHeight w:hRule="exact" w:val="245"/>
          <w:jc w:val="center"/>
        </w:trPr>
        <w:tc>
          <w:tcPr>
            <w:tcW w:w="2552" w:type="dxa"/>
            <w:vMerge/>
            <w:vAlign w:val="center"/>
          </w:tcPr>
          <w:p w14:paraId="61264681"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46BAE2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(0.128)</w:t>
            </w:r>
          </w:p>
        </w:tc>
        <w:tc>
          <w:tcPr>
            <w:tcW w:w="1152" w:type="dxa"/>
            <w:shd w:val="clear" w:color="auto" w:fill="auto"/>
            <w:noWrap/>
            <w:vAlign w:val="center"/>
          </w:tcPr>
          <w:p w14:paraId="020538E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(0.093)</w:t>
            </w:r>
          </w:p>
        </w:tc>
        <w:tc>
          <w:tcPr>
            <w:tcW w:w="1152" w:type="dxa"/>
            <w:shd w:val="clear" w:color="auto" w:fill="auto"/>
            <w:noWrap/>
            <w:vAlign w:val="center"/>
          </w:tcPr>
          <w:p w14:paraId="1D65DAB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(0.397)</w:t>
            </w:r>
          </w:p>
        </w:tc>
        <w:tc>
          <w:tcPr>
            <w:tcW w:w="1152" w:type="dxa"/>
            <w:shd w:val="clear" w:color="auto" w:fill="auto"/>
            <w:noWrap/>
            <w:vAlign w:val="center"/>
          </w:tcPr>
          <w:p w14:paraId="6784EA5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(0.111)</w:t>
            </w:r>
          </w:p>
        </w:tc>
        <w:tc>
          <w:tcPr>
            <w:tcW w:w="1152" w:type="dxa"/>
            <w:shd w:val="clear" w:color="auto" w:fill="auto"/>
            <w:noWrap/>
            <w:vAlign w:val="center"/>
          </w:tcPr>
          <w:p w14:paraId="711FC5A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(0.084)</w:t>
            </w:r>
          </w:p>
        </w:tc>
        <w:tc>
          <w:tcPr>
            <w:tcW w:w="1152" w:type="dxa"/>
            <w:shd w:val="clear" w:color="auto" w:fill="auto"/>
            <w:noWrap/>
            <w:vAlign w:val="center"/>
          </w:tcPr>
          <w:p w14:paraId="6AED952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(0.077)</w:t>
            </w:r>
          </w:p>
        </w:tc>
      </w:tr>
      <w:tr w:rsidR="009307C3" w:rsidRPr="00E56159" w14:paraId="61FAC161" w14:textId="77777777" w:rsidTr="00EE0BCA">
        <w:trPr>
          <w:trHeight w:hRule="exact" w:val="245"/>
          <w:jc w:val="center"/>
        </w:trPr>
        <w:tc>
          <w:tcPr>
            <w:tcW w:w="2552" w:type="dxa"/>
            <w:vMerge w:val="restart"/>
            <w:shd w:val="clear" w:color="auto" w:fill="auto"/>
            <w:noWrap/>
            <w:vAlign w:val="center"/>
          </w:tcPr>
          <w:p w14:paraId="2FEDE552"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Political risk</w:t>
            </w:r>
          </w:p>
        </w:tc>
        <w:tc>
          <w:tcPr>
            <w:tcW w:w="1152" w:type="dxa"/>
            <w:shd w:val="clear" w:color="auto" w:fill="auto"/>
            <w:noWrap/>
            <w:vAlign w:val="center"/>
          </w:tcPr>
          <w:p w14:paraId="5483527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-3.393</w:t>
            </w:r>
          </w:p>
        </w:tc>
        <w:tc>
          <w:tcPr>
            <w:tcW w:w="1152" w:type="dxa"/>
            <w:shd w:val="clear" w:color="auto" w:fill="auto"/>
            <w:noWrap/>
            <w:vAlign w:val="center"/>
          </w:tcPr>
          <w:p w14:paraId="4CFF19E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-3.020</w:t>
            </w:r>
          </w:p>
        </w:tc>
        <w:tc>
          <w:tcPr>
            <w:tcW w:w="1152" w:type="dxa"/>
            <w:shd w:val="clear" w:color="auto" w:fill="auto"/>
            <w:noWrap/>
            <w:vAlign w:val="center"/>
          </w:tcPr>
          <w:p w14:paraId="7191DD7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7.860</w:t>
            </w:r>
          </w:p>
        </w:tc>
        <w:tc>
          <w:tcPr>
            <w:tcW w:w="1152" w:type="dxa"/>
            <w:shd w:val="clear" w:color="auto" w:fill="auto"/>
            <w:noWrap/>
            <w:vAlign w:val="center"/>
          </w:tcPr>
          <w:p w14:paraId="03E994D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-4.631</w:t>
            </w:r>
          </w:p>
        </w:tc>
        <w:tc>
          <w:tcPr>
            <w:tcW w:w="1152" w:type="dxa"/>
            <w:shd w:val="clear" w:color="auto" w:fill="auto"/>
            <w:noWrap/>
            <w:vAlign w:val="center"/>
          </w:tcPr>
          <w:p w14:paraId="3300C78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-4.275</w:t>
            </w:r>
          </w:p>
        </w:tc>
        <w:tc>
          <w:tcPr>
            <w:tcW w:w="1152" w:type="dxa"/>
            <w:shd w:val="clear" w:color="auto" w:fill="auto"/>
            <w:noWrap/>
            <w:vAlign w:val="center"/>
          </w:tcPr>
          <w:p w14:paraId="3FF2D5A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-4.041</w:t>
            </w:r>
          </w:p>
        </w:tc>
      </w:tr>
      <w:tr w:rsidR="009307C3" w:rsidRPr="00E56159" w14:paraId="1C65EFCE" w14:textId="77777777" w:rsidTr="00EE0BCA">
        <w:trPr>
          <w:trHeight w:hRule="exact" w:val="245"/>
          <w:jc w:val="center"/>
        </w:trPr>
        <w:tc>
          <w:tcPr>
            <w:tcW w:w="2552" w:type="dxa"/>
            <w:vMerge/>
            <w:vAlign w:val="center"/>
          </w:tcPr>
          <w:p w14:paraId="6BD9870B"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131EA4E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(0.308)</w:t>
            </w:r>
          </w:p>
        </w:tc>
        <w:tc>
          <w:tcPr>
            <w:tcW w:w="1152" w:type="dxa"/>
            <w:shd w:val="clear" w:color="auto" w:fill="auto"/>
            <w:noWrap/>
            <w:vAlign w:val="center"/>
          </w:tcPr>
          <w:p w14:paraId="19A9587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(0.350)</w:t>
            </w:r>
          </w:p>
        </w:tc>
        <w:tc>
          <w:tcPr>
            <w:tcW w:w="1152" w:type="dxa"/>
            <w:shd w:val="clear" w:color="auto" w:fill="auto"/>
            <w:noWrap/>
            <w:vAlign w:val="center"/>
          </w:tcPr>
          <w:p w14:paraId="10B45EB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(0.112)</w:t>
            </w:r>
          </w:p>
        </w:tc>
        <w:tc>
          <w:tcPr>
            <w:tcW w:w="1152" w:type="dxa"/>
            <w:shd w:val="clear" w:color="auto" w:fill="auto"/>
            <w:noWrap/>
            <w:vAlign w:val="center"/>
          </w:tcPr>
          <w:p w14:paraId="72A2923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(0.142)</w:t>
            </w:r>
          </w:p>
        </w:tc>
        <w:tc>
          <w:tcPr>
            <w:tcW w:w="1152" w:type="dxa"/>
            <w:shd w:val="clear" w:color="auto" w:fill="auto"/>
            <w:noWrap/>
            <w:vAlign w:val="center"/>
          </w:tcPr>
          <w:p w14:paraId="61D0D605"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(0.162)</w:t>
            </w:r>
          </w:p>
        </w:tc>
        <w:tc>
          <w:tcPr>
            <w:tcW w:w="1152" w:type="dxa"/>
            <w:shd w:val="clear" w:color="auto" w:fill="auto"/>
            <w:noWrap/>
            <w:vAlign w:val="center"/>
          </w:tcPr>
          <w:p w14:paraId="23AF6FE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(0.186)</w:t>
            </w:r>
          </w:p>
        </w:tc>
      </w:tr>
      <w:tr w:rsidR="009307C3" w:rsidRPr="00E56159" w14:paraId="032EABBE" w14:textId="77777777" w:rsidTr="00EE0BCA">
        <w:trPr>
          <w:trHeight w:hRule="exact" w:val="245"/>
          <w:jc w:val="center"/>
        </w:trPr>
        <w:tc>
          <w:tcPr>
            <w:tcW w:w="2552" w:type="dxa"/>
            <w:vMerge w:val="restart"/>
            <w:shd w:val="clear" w:color="auto" w:fill="auto"/>
            <w:noWrap/>
            <w:vAlign w:val="center"/>
          </w:tcPr>
          <w:p w14:paraId="0DAD6C5C"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Eth</w:t>
            </w:r>
            <w:r w:rsidRPr="00E56159">
              <w:rPr>
                <w:rFonts w:ascii="Times New Roman" w:hAnsi="Times New Roman" w:cs="Times New Roman"/>
                <w:color w:val="000000"/>
                <w:kern w:val="0"/>
                <w:szCs w:val="22"/>
                <w14:ligatures w14:val="none"/>
              </w:rPr>
              <w:t>n</w:t>
            </w:r>
            <w:r w:rsidRPr="00E56159">
              <w:rPr>
                <w:rFonts w:ascii="Times New Roman" w:eastAsia="Times New Roman" w:hAnsi="Times New Roman" w:cs="Times New Roman"/>
                <w:color w:val="000000"/>
                <w:kern w:val="0"/>
                <w:szCs w:val="22"/>
                <w14:ligatures w14:val="none"/>
              </w:rPr>
              <w:t>ic diversity</w:t>
            </w:r>
          </w:p>
        </w:tc>
        <w:tc>
          <w:tcPr>
            <w:tcW w:w="1152" w:type="dxa"/>
            <w:shd w:val="clear" w:color="auto" w:fill="auto"/>
            <w:noWrap/>
            <w:vAlign w:val="center"/>
          </w:tcPr>
          <w:p w14:paraId="5122B394"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0.296</w:t>
            </w:r>
          </w:p>
        </w:tc>
        <w:tc>
          <w:tcPr>
            <w:tcW w:w="1152" w:type="dxa"/>
            <w:shd w:val="clear" w:color="auto" w:fill="auto"/>
            <w:noWrap/>
            <w:vAlign w:val="center"/>
          </w:tcPr>
          <w:p w14:paraId="3B500A6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-0.302</w:t>
            </w:r>
          </w:p>
        </w:tc>
        <w:tc>
          <w:tcPr>
            <w:tcW w:w="1152" w:type="dxa"/>
            <w:shd w:val="clear" w:color="auto" w:fill="auto"/>
            <w:noWrap/>
            <w:vAlign w:val="center"/>
          </w:tcPr>
          <w:p w14:paraId="08AC293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-9.318</w:t>
            </w:r>
          </w:p>
        </w:tc>
        <w:tc>
          <w:tcPr>
            <w:tcW w:w="1152" w:type="dxa"/>
            <w:shd w:val="clear" w:color="auto" w:fill="auto"/>
            <w:noWrap/>
            <w:vAlign w:val="center"/>
          </w:tcPr>
          <w:p w14:paraId="4FB649B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-0.020</w:t>
            </w:r>
          </w:p>
        </w:tc>
        <w:tc>
          <w:tcPr>
            <w:tcW w:w="1152" w:type="dxa"/>
            <w:shd w:val="clear" w:color="auto" w:fill="auto"/>
            <w:noWrap/>
            <w:vAlign w:val="center"/>
          </w:tcPr>
          <w:p w14:paraId="1F36114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-0.455</w:t>
            </w:r>
          </w:p>
        </w:tc>
        <w:tc>
          <w:tcPr>
            <w:tcW w:w="1152" w:type="dxa"/>
            <w:shd w:val="clear" w:color="auto" w:fill="auto"/>
            <w:noWrap/>
            <w:vAlign w:val="center"/>
          </w:tcPr>
          <w:p w14:paraId="78417B9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-0.262</w:t>
            </w:r>
          </w:p>
        </w:tc>
      </w:tr>
      <w:tr w:rsidR="009307C3" w:rsidRPr="00E56159" w14:paraId="1211A521" w14:textId="77777777" w:rsidTr="00EE0BCA">
        <w:trPr>
          <w:trHeight w:hRule="exact" w:val="245"/>
          <w:jc w:val="center"/>
        </w:trPr>
        <w:tc>
          <w:tcPr>
            <w:tcW w:w="2552" w:type="dxa"/>
            <w:vMerge/>
            <w:vAlign w:val="center"/>
          </w:tcPr>
          <w:p w14:paraId="307F5CE2"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11B212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(0.792)</w:t>
            </w:r>
          </w:p>
        </w:tc>
        <w:tc>
          <w:tcPr>
            <w:tcW w:w="1152" w:type="dxa"/>
            <w:shd w:val="clear" w:color="auto" w:fill="auto"/>
            <w:noWrap/>
            <w:vAlign w:val="center"/>
          </w:tcPr>
          <w:p w14:paraId="28D4620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(0.763)</w:t>
            </w:r>
          </w:p>
        </w:tc>
        <w:tc>
          <w:tcPr>
            <w:tcW w:w="1152" w:type="dxa"/>
            <w:shd w:val="clear" w:color="auto" w:fill="auto"/>
            <w:noWrap/>
            <w:vAlign w:val="center"/>
          </w:tcPr>
          <w:p w14:paraId="76C0DC7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(0.122)</w:t>
            </w:r>
          </w:p>
        </w:tc>
        <w:tc>
          <w:tcPr>
            <w:tcW w:w="1152" w:type="dxa"/>
            <w:shd w:val="clear" w:color="auto" w:fill="auto"/>
            <w:noWrap/>
            <w:vAlign w:val="center"/>
          </w:tcPr>
          <w:p w14:paraId="5FD59C3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(0.984)</w:t>
            </w:r>
          </w:p>
        </w:tc>
        <w:tc>
          <w:tcPr>
            <w:tcW w:w="1152" w:type="dxa"/>
            <w:shd w:val="clear" w:color="auto" w:fill="auto"/>
            <w:noWrap/>
            <w:vAlign w:val="center"/>
          </w:tcPr>
          <w:p w14:paraId="20D7AB3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(0.614)</w:t>
            </w:r>
          </w:p>
        </w:tc>
        <w:tc>
          <w:tcPr>
            <w:tcW w:w="1152" w:type="dxa"/>
            <w:shd w:val="clear" w:color="auto" w:fill="auto"/>
            <w:noWrap/>
            <w:vAlign w:val="center"/>
          </w:tcPr>
          <w:p w14:paraId="0CCF919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(0.749)</w:t>
            </w:r>
          </w:p>
        </w:tc>
      </w:tr>
      <w:tr w:rsidR="009307C3" w:rsidRPr="00E56159" w14:paraId="6EAB94EF" w14:textId="77777777" w:rsidTr="00EE0BCA">
        <w:trPr>
          <w:trHeight w:hRule="exact" w:val="245"/>
          <w:jc w:val="center"/>
        </w:trPr>
        <w:tc>
          <w:tcPr>
            <w:tcW w:w="2552" w:type="dxa"/>
            <w:vMerge w:val="restart"/>
            <w:shd w:val="clear" w:color="auto" w:fill="auto"/>
            <w:noWrap/>
            <w:vAlign w:val="center"/>
          </w:tcPr>
          <w:p w14:paraId="49F890D8" w14:textId="77777777" w:rsidR="009307C3" w:rsidRPr="00E56159" w:rsidRDefault="00AB13AE" w:rsidP="00EE0BCA">
            <w:pPr>
              <w:spacing w:after="0" w:line="240" w:lineRule="auto"/>
              <w:ind w:rightChars="-70" w:right="-154"/>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French colonial territories</w:t>
            </w:r>
          </w:p>
        </w:tc>
        <w:tc>
          <w:tcPr>
            <w:tcW w:w="1152" w:type="dxa"/>
            <w:shd w:val="clear" w:color="auto" w:fill="auto"/>
            <w:noWrap/>
            <w:vAlign w:val="center"/>
          </w:tcPr>
          <w:p w14:paraId="5FD98E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-0.188</w:t>
            </w:r>
          </w:p>
        </w:tc>
        <w:tc>
          <w:tcPr>
            <w:tcW w:w="1152" w:type="dxa"/>
            <w:shd w:val="clear" w:color="auto" w:fill="auto"/>
            <w:noWrap/>
            <w:vAlign w:val="center"/>
          </w:tcPr>
          <w:p w14:paraId="3840858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0.063</w:t>
            </w:r>
          </w:p>
        </w:tc>
        <w:tc>
          <w:tcPr>
            <w:tcW w:w="1152" w:type="dxa"/>
            <w:shd w:val="clear" w:color="auto" w:fill="auto"/>
            <w:noWrap/>
            <w:vAlign w:val="center"/>
          </w:tcPr>
          <w:p w14:paraId="1E4EA4B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6.106</w:t>
            </w:r>
          </w:p>
        </w:tc>
        <w:tc>
          <w:tcPr>
            <w:tcW w:w="1152" w:type="dxa"/>
            <w:shd w:val="clear" w:color="auto" w:fill="auto"/>
            <w:noWrap/>
            <w:vAlign w:val="center"/>
          </w:tcPr>
          <w:p w14:paraId="4A11EE2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-0.513</w:t>
            </w:r>
          </w:p>
        </w:tc>
        <w:tc>
          <w:tcPr>
            <w:tcW w:w="1152" w:type="dxa"/>
            <w:shd w:val="clear" w:color="auto" w:fill="auto"/>
            <w:noWrap/>
            <w:vAlign w:val="center"/>
          </w:tcPr>
          <w:p w14:paraId="2CEB0B3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-0.314</w:t>
            </w:r>
          </w:p>
        </w:tc>
        <w:tc>
          <w:tcPr>
            <w:tcW w:w="1152" w:type="dxa"/>
            <w:shd w:val="clear" w:color="auto" w:fill="auto"/>
            <w:noWrap/>
            <w:vAlign w:val="center"/>
          </w:tcPr>
          <w:p w14:paraId="50191E4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-0.238</w:t>
            </w:r>
          </w:p>
        </w:tc>
      </w:tr>
      <w:tr w:rsidR="009307C3" w:rsidRPr="00E56159" w14:paraId="03FDC46F" w14:textId="77777777" w:rsidTr="00EE0BCA">
        <w:trPr>
          <w:trHeight w:hRule="exact" w:val="245"/>
          <w:jc w:val="center"/>
        </w:trPr>
        <w:tc>
          <w:tcPr>
            <w:tcW w:w="2552" w:type="dxa"/>
            <w:vMerge/>
            <w:vAlign w:val="center"/>
          </w:tcPr>
          <w:p w14:paraId="477D7A6D"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3CE8D2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(0.841)</w:t>
            </w:r>
          </w:p>
        </w:tc>
        <w:tc>
          <w:tcPr>
            <w:tcW w:w="1152" w:type="dxa"/>
            <w:shd w:val="clear" w:color="auto" w:fill="auto"/>
            <w:noWrap/>
            <w:vAlign w:val="center"/>
          </w:tcPr>
          <w:p w14:paraId="1608E33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(0.933)</w:t>
            </w:r>
          </w:p>
        </w:tc>
        <w:tc>
          <w:tcPr>
            <w:tcW w:w="1152" w:type="dxa"/>
            <w:shd w:val="clear" w:color="auto" w:fill="auto"/>
            <w:noWrap/>
            <w:vAlign w:val="center"/>
          </w:tcPr>
          <w:p w14:paraId="6E0064C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(0.040)</w:t>
            </w:r>
          </w:p>
        </w:tc>
        <w:tc>
          <w:tcPr>
            <w:tcW w:w="1152" w:type="dxa"/>
            <w:shd w:val="clear" w:color="auto" w:fill="auto"/>
            <w:noWrap/>
            <w:vAlign w:val="center"/>
          </w:tcPr>
          <w:p w14:paraId="2026226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(0.634)</w:t>
            </w:r>
          </w:p>
        </w:tc>
        <w:tc>
          <w:tcPr>
            <w:tcW w:w="1152" w:type="dxa"/>
            <w:shd w:val="clear" w:color="auto" w:fill="auto"/>
            <w:noWrap/>
            <w:vAlign w:val="center"/>
          </w:tcPr>
          <w:p w14:paraId="720348B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(0.727)</w:t>
            </w:r>
          </w:p>
        </w:tc>
        <w:tc>
          <w:tcPr>
            <w:tcW w:w="1152" w:type="dxa"/>
            <w:shd w:val="clear" w:color="auto" w:fill="auto"/>
            <w:noWrap/>
            <w:vAlign w:val="center"/>
          </w:tcPr>
          <w:p w14:paraId="0308CF1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(0.805)</w:t>
            </w:r>
          </w:p>
        </w:tc>
      </w:tr>
      <w:tr w:rsidR="009307C3" w:rsidRPr="00E56159" w14:paraId="58D2DE5F" w14:textId="77777777" w:rsidTr="00EE0BCA">
        <w:trPr>
          <w:trHeight w:hRule="exact" w:val="245"/>
          <w:jc w:val="center"/>
        </w:trPr>
        <w:tc>
          <w:tcPr>
            <w:tcW w:w="2552" w:type="dxa"/>
            <w:vMerge w:val="restart"/>
            <w:shd w:val="clear" w:color="auto" w:fill="auto"/>
            <w:noWrap/>
            <w:vAlign w:val="center"/>
          </w:tcPr>
          <w:p w14:paraId="39657B5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IMR</w:t>
            </w:r>
          </w:p>
        </w:tc>
        <w:tc>
          <w:tcPr>
            <w:tcW w:w="1152" w:type="dxa"/>
            <w:shd w:val="clear" w:color="auto" w:fill="auto"/>
            <w:noWrap/>
            <w:vAlign w:val="center"/>
          </w:tcPr>
          <w:p w14:paraId="05399F1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-2.523</w:t>
            </w:r>
          </w:p>
        </w:tc>
        <w:tc>
          <w:tcPr>
            <w:tcW w:w="1152" w:type="dxa"/>
            <w:shd w:val="clear" w:color="auto" w:fill="auto"/>
            <w:noWrap/>
            <w:vAlign w:val="center"/>
          </w:tcPr>
          <w:p w14:paraId="0E995F3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-2.354</w:t>
            </w:r>
          </w:p>
        </w:tc>
        <w:tc>
          <w:tcPr>
            <w:tcW w:w="1152" w:type="dxa"/>
            <w:shd w:val="clear" w:color="auto" w:fill="auto"/>
            <w:noWrap/>
            <w:vAlign w:val="center"/>
          </w:tcPr>
          <w:p w14:paraId="2CE6B8B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1.867</w:t>
            </w:r>
          </w:p>
        </w:tc>
        <w:tc>
          <w:tcPr>
            <w:tcW w:w="1152" w:type="dxa"/>
            <w:shd w:val="clear" w:color="auto" w:fill="auto"/>
            <w:noWrap/>
            <w:vAlign w:val="center"/>
          </w:tcPr>
          <w:p w14:paraId="2A49285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-3.220</w:t>
            </w:r>
          </w:p>
        </w:tc>
        <w:tc>
          <w:tcPr>
            <w:tcW w:w="1152" w:type="dxa"/>
            <w:shd w:val="clear" w:color="auto" w:fill="auto"/>
            <w:noWrap/>
            <w:vAlign w:val="center"/>
          </w:tcPr>
          <w:p w14:paraId="539E302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-3.042</w:t>
            </w:r>
          </w:p>
        </w:tc>
        <w:tc>
          <w:tcPr>
            <w:tcW w:w="1152" w:type="dxa"/>
            <w:shd w:val="clear" w:color="auto" w:fill="auto"/>
            <w:noWrap/>
            <w:vAlign w:val="center"/>
          </w:tcPr>
          <w:p w14:paraId="76A952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-2.846</w:t>
            </w:r>
          </w:p>
        </w:tc>
      </w:tr>
      <w:tr w:rsidR="009307C3" w:rsidRPr="00E56159" w14:paraId="58CDDF53" w14:textId="77777777" w:rsidTr="00EE0BCA">
        <w:trPr>
          <w:trHeight w:hRule="exact" w:val="245"/>
          <w:jc w:val="center"/>
        </w:trPr>
        <w:tc>
          <w:tcPr>
            <w:tcW w:w="2552" w:type="dxa"/>
            <w:vMerge/>
            <w:vAlign w:val="center"/>
          </w:tcPr>
          <w:p w14:paraId="2CA9C93D"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089A042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(0.225)</w:t>
            </w:r>
          </w:p>
        </w:tc>
        <w:tc>
          <w:tcPr>
            <w:tcW w:w="1152" w:type="dxa"/>
            <w:shd w:val="clear" w:color="auto" w:fill="auto"/>
            <w:noWrap/>
            <w:vAlign w:val="center"/>
          </w:tcPr>
          <w:p w14:paraId="179D06B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(0.262)</w:t>
            </w:r>
          </w:p>
        </w:tc>
        <w:tc>
          <w:tcPr>
            <w:tcW w:w="1152" w:type="dxa"/>
            <w:shd w:val="clear" w:color="auto" w:fill="auto"/>
            <w:noWrap/>
            <w:vAlign w:val="center"/>
          </w:tcPr>
          <w:p w14:paraId="7E181C3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(0.378)</w:t>
            </w:r>
          </w:p>
        </w:tc>
        <w:tc>
          <w:tcPr>
            <w:tcW w:w="1152" w:type="dxa"/>
            <w:shd w:val="clear" w:color="auto" w:fill="auto"/>
            <w:noWrap/>
            <w:vAlign w:val="center"/>
          </w:tcPr>
          <w:p w14:paraId="7DFFFDA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(0.123)</w:t>
            </w:r>
          </w:p>
        </w:tc>
        <w:tc>
          <w:tcPr>
            <w:tcW w:w="1152" w:type="dxa"/>
            <w:shd w:val="clear" w:color="auto" w:fill="auto"/>
            <w:noWrap/>
            <w:vAlign w:val="center"/>
          </w:tcPr>
          <w:p w14:paraId="60B2604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(0.140)</w:t>
            </w:r>
          </w:p>
        </w:tc>
        <w:tc>
          <w:tcPr>
            <w:tcW w:w="1152" w:type="dxa"/>
            <w:shd w:val="clear" w:color="auto" w:fill="auto"/>
            <w:noWrap/>
            <w:vAlign w:val="center"/>
          </w:tcPr>
          <w:p w14:paraId="3625878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(0.179)</w:t>
            </w:r>
          </w:p>
        </w:tc>
      </w:tr>
      <w:tr w:rsidR="009307C3" w:rsidRPr="00E56159" w14:paraId="62F468E6" w14:textId="77777777" w:rsidTr="00EE0BCA">
        <w:trPr>
          <w:trHeight w:hRule="exact" w:val="245"/>
          <w:jc w:val="center"/>
        </w:trPr>
        <w:tc>
          <w:tcPr>
            <w:tcW w:w="2552" w:type="dxa"/>
            <w:vMerge w:val="restart"/>
            <w:shd w:val="clear" w:color="auto" w:fill="auto"/>
            <w:noWrap/>
            <w:vAlign w:val="center"/>
          </w:tcPr>
          <w:p w14:paraId="6CFD485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Constant</w:t>
            </w:r>
          </w:p>
        </w:tc>
        <w:tc>
          <w:tcPr>
            <w:tcW w:w="1152" w:type="dxa"/>
            <w:shd w:val="clear" w:color="auto" w:fill="auto"/>
            <w:noWrap/>
            <w:vAlign w:val="center"/>
          </w:tcPr>
          <w:p w14:paraId="4BCD45F7"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31.024</w:t>
            </w:r>
          </w:p>
        </w:tc>
        <w:tc>
          <w:tcPr>
            <w:tcW w:w="1152" w:type="dxa"/>
            <w:shd w:val="clear" w:color="auto" w:fill="auto"/>
            <w:noWrap/>
            <w:vAlign w:val="center"/>
          </w:tcPr>
          <w:p w14:paraId="1D01E11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25.692</w:t>
            </w:r>
          </w:p>
        </w:tc>
        <w:tc>
          <w:tcPr>
            <w:tcW w:w="1152" w:type="dxa"/>
            <w:shd w:val="clear" w:color="auto" w:fill="auto"/>
            <w:noWrap/>
            <w:vAlign w:val="center"/>
          </w:tcPr>
          <w:p w14:paraId="6C24BFF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-22.481</w:t>
            </w:r>
          </w:p>
        </w:tc>
        <w:tc>
          <w:tcPr>
            <w:tcW w:w="1152" w:type="dxa"/>
            <w:shd w:val="clear" w:color="auto" w:fill="auto"/>
            <w:noWrap/>
            <w:vAlign w:val="center"/>
          </w:tcPr>
          <w:p w14:paraId="58E63330"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36.050</w:t>
            </w:r>
          </w:p>
        </w:tc>
        <w:tc>
          <w:tcPr>
            <w:tcW w:w="1152" w:type="dxa"/>
            <w:shd w:val="clear" w:color="auto" w:fill="auto"/>
            <w:noWrap/>
            <w:vAlign w:val="center"/>
          </w:tcPr>
          <w:p w14:paraId="1246900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31.634</w:t>
            </w:r>
          </w:p>
        </w:tc>
        <w:tc>
          <w:tcPr>
            <w:tcW w:w="1152" w:type="dxa"/>
            <w:shd w:val="clear" w:color="auto" w:fill="auto"/>
            <w:noWrap/>
            <w:vAlign w:val="center"/>
          </w:tcPr>
          <w:p w14:paraId="3810435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30.971</w:t>
            </w:r>
          </w:p>
        </w:tc>
      </w:tr>
      <w:tr w:rsidR="009307C3" w:rsidRPr="00E56159" w14:paraId="381F148E" w14:textId="77777777" w:rsidTr="00EE0BCA">
        <w:trPr>
          <w:trHeight w:hRule="exact" w:val="245"/>
          <w:jc w:val="center"/>
        </w:trPr>
        <w:tc>
          <w:tcPr>
            <w:tcW w:w="2552" w:type="dxa"/>
            <w:vMerge/>
            <w:vAlign w:val="center"/>
          </w:tcPr>
          <w:p w14:paraId="556928E7"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E530E9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(0.040)</w:t>
            </w:r>
          </w:p>
        </w:tc>
        <w:tc>
          <w:tcPr>
            <w:tcW w:w="1152" w:type="dxa"/>
            <w:shd w:val="clear" w:color="auto" w:fill="auto"/>
            <w:noWrap/>
            <w:vAlign w:val="center"/>
          </w:tcPr>
          <w:p w14:paraId="1363AD8C"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(0.075)</w:t>
            </w:r>
          </w:p>
        </w:tc>
        <w:tc>
          <w:tcPr>
            <w:tcW w:w="1152" w:type="dxa"/>
            <w:shd w:val="clear" w:color="auto" w:fill="auto"/>
            <w:noWrap/>
            <w:vAlign w:val="center"/>
          </w:tcPr>
          <w:p w14:paraId="72057C8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(0.228)</w:t>
            </w:r>
          </w:p>
        </w:tc>
        <w:tc>
          <w:tcPr>
            <w:tcW w:w="1152" w:type="dxa"/>
            <w:shd w:val="clear" w:color="auto" w:fill="auto"/>
            <w:noWrap/>
            <w:vAlign w:val="center"/>
          </w:tcPr>
          <w:p w14:paraId="5787D28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(0.021)</w:t>
            </w:r>
          </w:p>
        </w:tc>
        <w:tc>
          <w:tcPr>
            <w:tcW w:w="1152" w:type="dxa"/>
            <w:shd w:val="clear" w:color="auto" w:fill="auto"/>
            <w:noWrap/>
            <w:vAlign w:val="center"/>
          </w:tcPr>
          <w:p w14:paraId="10A4BD4B"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(0.027)</w:t>
            </w:r>
          </w:p>
        </w:tc>
        <w:tc>
          <w:tcPr>
            <w:tcW w:w="1152" w:type="dxa"/>
            <w:shd w:val="clear" w:color="auto" w:fill="auto"/>
            <w:noWrap/>
            <w:vAlign w:val="center"/>
          </w:tcPr>
          <w:p w14:paraId="1AFEB2D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(0.030)</w:t>
            </w:r>
          </w:p>
        </w:tc>
      </w:tr>
      <w:tr w:rsidR="009307C3" w:rsidRPr="00E56159" w14:paraId="184A7E03" w14:textId="77777777" w:rsidTr="00EE0BCA">
        <w:trPr>
          <w:trHeight w:hRule="exact" w:val="245"/>
          <w:jc w:val="center"/>
        </w:trPr>
        <w:tc>
          <w:tcPr>
            <w:tcW w:w="2552" w:type="dxa"/>
            <w:shd w:val="clear" w:color="auto" w:fill="auto"/>
            <w:noWrap/>
            <w:vAlign w:val="center"/>
          </w:tcPr>
          <w:p w14:paraId="1B646581"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Observations</w:t>
            </w:r>
          </w:p>
        </w:tc>
        <w:tc>
          <w:tcPr>
            <w:tcW w:w="1152" w:type="dxa"/>
            <w:shd w:val="clear" w:color="auto" w:fill="auto"/>
            <w:noWrap/>
            <w:vAlign w:val="center"/>
          </w:tcPr>
          <w:p w14:paraId="7596B823"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3223125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0683AF16"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04E08ECD"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35D2FD9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c>
          <w:tcPr>
            <w:tcW w:w="1152" w:type="dxa"/>
            <w:shd w:val="clear" w:color="auto" w:fill="auto"/>
            <w:noWrap/>
            <w:vAlign w:val="center"/>
          </w:tcPr>
          <w:p w14:paraId="7A57E072"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2908</w:t>
            </w:r>
          </w:p>
        </w:tc>
      </w:tr>
      <w:tr w:rsidR="009307C3" w:rsidRPr="00E56159" w14:paraId="192BA042" w14:textId="77777777" w:rsidTr="00EE0BCA">
        <w:trPr>
          <w:trHeight w:hRule="exact" w:val="245"/>
          <w:jc w:val="center"/>
        </w:trPr>
        <w:tc>
          <w:tcPr>
            <w:tcW w:w="2552" w:type="dxa"/>
            <w:shd w:val="clear" w:color="auto" w:fill="auto"/>
            <w:noWrap/>
            <w:vAlign w:val="center"/>
          </w:tcPr>
          <w:p w14:paraId="7CD0F1A8" w14:textId="77777777" w:rsidR="009307C3" w:rsidRPr="00E56159" w:rsidRDefault="00AB13AE" w:rsidP="00EE0BCA">
            <w:pPr>
              <w:spacing w:after="0" w:line="240" w:lineRule="auto"/>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R-squared</w:t>
            </w:r>
          </w:p>
        </w:tc>
        <w:tc>
          <w:tcPr>
            <w:tcW w:w="1152" w:type="dxa"/>
            <w:shd w:val="clear" w:color="auto" w:fill="auto"/>
            <w:noWrap/>
            <w:vAlign w:val="center"/>
          </w:tcPr>
          <w:p w14:paraId="76D3BF8D" w14:textId="77777777" w:rsidR="009307C3" w:rsidRPr="00E56159" w:rsidRDefault="009307C3" w:rsidP="00EE0BCA">
            <w:pPr>
              <w:spacing w:after="0" w:line="240" w:lineRule="auto"/>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34687870"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26E1300A"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 xml:space="preserve">0.030 </w:t>
            </w:r>
          </w:p>
        </w:tc>
        <w:tc>
          <w:tcPr>
            <w:tcW w:w="1152" w:type="dxa"/>
            <w:shd w:val="clear" w:color="auto" w:fill="auto"/>
            <w:noWrap/>
            <w:vAlign w:val="center"/>
          </w:tcPr>
          <w:p w14:paraId="27FCB0D2" w14:textId="77777777" w:rsidR="009307C3" w:rsidRPr="00E56159" w:rsidRDefault="009307C3" w:rsidP="00EE0BCA">
            <w:pPr>
              <w:spacing w:after="0" w:line="240" w:lineRule="auto"/>
              <w:jc w:val="center"/>
              <w:rPr>
                <w:rFonts w:ascii="Times New Roman" w:eastAsia="Times New Roman" w:hAnsi="Times New Roman" w:cs="Times New Roman"/>
                <w:color w:val="000000"/>
                <w:kern w:val="0"/>
                <w:szCs w:val="22"/>
                <w14:ligatures w14:val="none"/>
              </w:rPr>
            </w:pPr>
          </w:p>
        </w:tc>
        <w:tc>
          <w:tcPr>
            <w:tcW w:w="1152" w:type="dxa"/>
            <w:shd w:val="clear" w:color="auto" w:fill="auto"/>
            <w:noWrap/>
            <w:vAlign w:val="center"/>
          </w:tcPr>
          <w:p w14:paraId="2418432E"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c>
          <w:tcPr>
            <w:tcW w:w="1152" w:type="dxa"/>
            <w:shd w:val="clear" w:color="auto" w:fill="auto"/>
            <w:noWrap/>
            <w:vAlign w:val="center"/>
          </w:tcPr>
          <w:p w14:paraId="51D5FBD9" w14:textId="77777777" w:rsidR="009307C3" w:rsidRPr="00E56159" w:rsidRDefault="009307C3" w:rsidP="00EE0BCA">
            <w:pPr>
              <w:spacing w:after="0" w:line="240" w:lineRule="auto"/>
              <w:jc w:val="center"/>
              <w:rPr>
                <w:rFonts w:ascii="Times New Roman" w:eastAsia="Times New Roman" w:hAnsi="Times New Roman" w:cs="Times New Roman"/>
                <w:kern w:val="0"/>
                <w:szCs w:val="22"/>
                <w14:ligatures w14:val="none"/>
              </w:rPr>
            </w:pPr>
          </w:p>
        </w:tc>
      </w:tr>
      <w:tr w:rsidR="009307C3" w:rsidRPr="00E56159" w14:paraId="30C29B75" w14:textId="77777777" w:rsidTr="00EE0BCA">
        <w:trPr>
          <w:trHeight w:hRule="exact" w:val="245"/>
          <w:jc w:val="center"/>
        </w:trPr>
        <w:tc>
          <w:tcPr>
            <w:tcW w:w="2552" w:type="dxa"/>
            <w:tcBorders>
              <w:bottom w:val="single" w:sz="4" w:space="0" w:color="auto"/>
            </w:tcBorders>
            <w:shd w:val="clear" w:color="auto" w:fill="auto"/>
            <w:noWrap/>
            <w:vAlign w:val="center"/>
          </w:tcPr>
          <w:p w14:paraId="39AFB116"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Pseudo R-squared</w:t>
            </w:r>
          </w:p>
        </w:tc>
        <w:tc>
          <w:tcPr>
            <w:tcW w:w="1152" w:type="dxa"/>
            <w:tcBorders>
              <w:bottom w:val="single" w:sz="4" w:space="0" w:color="auto"/>
            </w:tcBorders>
            <w:shd w:val="clear" w:color="auto" w:fill="auto"/>
            <w:noWrap/>
            <w:vAlign w:val="center"/>
          </w:tcPr>
          <w:p w14:paraId="242959CF"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0.164</w:t>
            </w:r>
          </w:p>
        </w:tc>
        <w:tc>
          <w:tcPr>
            <w:tcW w:w="1152" w:type="dxa"/>
            <w:tcBorders>
              <w:bottom w:val="single" w:sz="4" w:space="0" w:color="auto"/>
            </w:tcBorders>
            <w:shd w:val="clear" w:color="auto" w:fill="auto"/>
            <w:noWrap/>
            <w:vAlign w:val="center"/>
          </w:tcPr>
          <w:p w14:paraId="6167123E"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0.175</w:t>
            </w:r>
          </w:p>
        </w:tc>
        <w:tc>
          <w:tcPr>
            <w:tcW w:w="1152" w:type="dxa"/>
            <w:tcBorders>
              <w:bottom w:val="single" w:sz="4" w:space="0" w:color="auto"/>
            </w:tcBorders>
            <w:shd w:val="clear" w:color="auto" w:fill="auto"/>
            <w:noWrap/>
            <w:vAlign w:val="center"/>
          </w:tcPr>
          <w:p w14:paraId="4A33CFA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 </w:t>
            </w:r>
          </w:p>
        </w:tc>
        <w:tc>
          <w:tcPr>
            <w:tcW w:w="1152" w:type="dxa"/>
            <w:tcBorders>
              <w:bottom w:val="single" w:sz="4" w:space="0" w:color="auto"/>
            </w:tcBorders>
            <w:shd w:val="clear" w:color="auto" w:fill="auto"/>
            <w:noWrap/>
            <w:vAlign w:val="center"/>
          </w:tcPr>
          <w:p w14:paraId="40B13E09"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0.188</w:t>
            </w:r>
          </w:p>
        </w:tc>
        <w:tc>
          <w:tcPr>
            <w:tcW w:w="1152" w:type="dxa"/>
            <w:tcBorders>
              <w:bottom w:val="single" w:sz="4" w:space="0" w:color="auto"/>
            </w:tcBorders>
            <w:shd w:val="clear" w:color="auto" w:fill="auto"/>
            <w:noWrap/>
            <w:vAlign w:val="center"/>
          </w:tcPr>
          <w:p w14:paraId="6AA5C458"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0.194</w:t>
            </w:r>
          </w:p>
        </w:tc>
        <w:tc>
          <w:tcPr>
            <w:tcW w:w="1152" w:type="dxa"/>
            <w:tcBorders>
              <w:bottom w:val="single" w:sz="4" w:space="0" w:color="auto"/>
            </w:tcBorders>
            <w:shd w:val="clear" w:color="auto" w:fill="auto"/>
            <w:noWrap/>
            <w:vAlign w:val="center"/>
          </w:tcPr>
          <w:p w14:paraId="746A6571" w14:textId="77777777" w:rsidR="009307C3" w:rsidRPr="00E56159" w:rsidRDefault="00AB13AE" w:rsidP="00EE0BCA">
            <w:pPr>
              <w:spacing w:after="0" w:line="240" w:lineRule="auto"/>
              <w:jc w:val="center"/>
              <w:rPr>
                <w:rFonts w:ascii="Times New Roman" w:eastAsia="Times New Roman" w:hAnsi="Times New Roman" w:cs="Times New Roman"/>
                <w:color w:val="000000"/>
                <w:kern w:val="0"/>
                <w:szCs w:val="22"/>
                <w14:ligatures w14:val="none"/>
              </w:rPr>
            </w:pPr>
            <w:r w:rsidRPr="00E56159">
              <w:rPr>
                <w:rFonts w:ascii="Times New Roman" w:eastAsia="Times New Roman" w:hAnsi="Times New Roman" w:cs="Times New Roman"/>
                <w:color w:val="000000"/>
                <w:kern w:val="0"/>
                <w:szCs w:val="22"/>
                <w14:ligatures w14:val="none"/>
              </w:rPr>
              <w:t>0.197</w:t>
            </w:r>
          </w:p>
        </w:tc>
      </w:tr>
    </w:tbl>
    <w:p w14:paraId="34D2B7A3" w14:textId="77777777" w:rsidR="009307C3" w:rsidRPr="00E56159" w:rsidRDefault="00AB13AE" w:rsidP="00EE0BCA">
      <w:pPr>
        <w:spacing w:after="0" w:line="240" w:lineRule="auto"/>
        <w:rPr>
          <w:rFonts w:ascii="Times New Roman" w:hAnsi="Times New Roman" w:cs="Times New Roman"/>
          <w:color w:val="000000"/>
          <w:kern w:val="0"/>
          <w:szCs w:val="22"/>
          <w14:ligatures w14:val="none"/>
        </w:rPr>
      </w:pPr>
      <w:r w:rsidRPr="00E56159">
        <w:rPr>
          <w:rFonts w:ascii="Times New Roman" w:hAnsi="Times New Roman" w:cs="Times New Roman"/>
          <w:color w:val="000000"/>
          <w:kern w:val="0"/>
          <w:szCs w:val="22"/>
          <w14:ligatures w14:val="none"/>
        </w:rPr>
        <w:t xml:space="preserve">Note: </w:t>
      </w:r>
      <w:r w:rsidRPr="00E56159">
        <w:rPr>
          <w:rFonts w:ascii="Times New Roman" w:eastAsia="Times New Roman" w:hAnsi="Times New Roman" w:cs="Times New Roman"/>
          <w:color w:val="000000"/>
          <w:kern w:val="0"/>
          <w:szCs w:val="22"/>
          <w14:ligatures w14:val="none"/>
        </w:rPr>
        <w:t xml:space="preserve">p-values </w:t>
      </w:r>
      <w:r w:rsidRPr="00E56159">
        <w:rPr>
          <w:rFonts w:ascii="Times New Roman" w:hAnsi="Times New Roman" w:cs="Times New Roman"/>
          <w:color w:val="000000"/>
          <w:kern w:val="0"/>
          <w:szCs w:val="22"/>
          <w14:ligatures w14:val="none"/>
        </w:rPr>
        <w:t xml:space="preserve">are reported </w:t>
      </w:r>
      <w:r w:rsidRPr="00E56159">
        <w:rPr>
          <w:rFonts w:ascii="Times New Roman" w:eastAsia="Times New Roman" w:hAnsi="Times New Roman" w:cs="Times New Roman"/>
          <w:color w:val="000000"/>
          <w:kern w:val="0"/>
          <w:szCs w:val="22"/>
          <w14:ligatures w14:val="none"/>
        </w:rPr>
        <w:t>in parentheses</w:t>
      </w:r>
      <w:r w:rsidRPr="00E56159">
        <w:rPr>
          <w:rFonts w:ascii="Times New Roman" w:hAnsi="Times New Roman" w:cs="Times New Roman"/>
          <w:color w:val="000000"/>
          <w:kern w:val="0"/>
          <w:szCs w:val="22"/>
          <w14:ligatures w14:val="none"/>
        </w:rPr>
        <w:t>.</w:t>
      </w:r>
    </w:p>
    <w:p w14:paraId="12DBC3C8" w14:textId="77777777" w:rsidR="009307C3" w:rsidRPr="00E56159" w:rsidRDefault="009307C3" w:rsidP="006279C5">
      <w:pPr>
        <w:widowControl/>
        <w:spacing w:after="0"/>
        <w:jc w:val="right"/>
        <w:rPr>
          <w:rFonts w:ascii="Times New Roman" w:hAnsi="Times New Roman" w:cs="Times New Roman"/>
          <w:szCs w:val="22"/>
        </w:rPr>
      </w:pPr>
    </w:p>
    <w:p w14:paraId="1B6B747E" w14:textId="0B17C24A" w:rsidR="00502E4F" w:rsidRPr="00E56159" w:rsidRDefault="00502E4F" w:rsidP="00EE0BCA">
      <w:pPr>
        <w:pStyle w:val="ListParagraph"/>
        <w:numPr>
          <w:ilvl w:val="0"/>
          <w:numId w:val="1"/>
        </w:numPr>
        <w:spacing w:after="0" w:line="480" w:lineRule="auto"/>
        <w:rPr>
          <w:rFonts w:ascii="Times New Roman" w:hAnsi="Times New Roman" w:cs="Times New Roman"/>
          <w:bCs/>
          <w:i/>
          <w:szCs w:val="22"/>
        </w:rPr>
      </w:pPr>
      <w:r>
        <w:rPr>
          <w:rFonts w:ascii="Times New Roman" w:hAnsi="Times New Roman" w:cs="Times New Roman"/>
          <w:b/>
          <w:bCs/>
          <w:szCs w:val="22"/>
        </w:rPr>
        <w:lastRenderedPageBreak/>
        <w:t>R</w:t>
      </w:r>
      <w:r w:rsidRPr="00502E4F">
        <w:rPr>
          <w:rFonts w:ascii="Times New Roman" w:hAnsi="Times New Roman" w:cs="Times New Roman"/>
          <w:b/>
          <w:bCs/>
          <w:szCs w:val="22"/>
        </w:rPr>
        <w:t xml:space="preserve">are-event logistic regression </w:t>
      </w:r>
      <w:r w:rsidRPr="00E56159">
        <w:rPr>
          <w:rFonts w:ascii="Times New Roman" w:hAnsi="Times New Roman" w:cs="Times New Roman"/>
          <w:b/>
          <w:bCs/>
          <w:szCs w:val="22"/>
        </w:rPr>
        <w:t>models</w:t>
      </w:r>
    </w:p>
    <w:p w14:paraId="0076B117" w14:textId="5A956EE8" w:rsidR="0019574C" w:rsidRPr="00E56159" w:rsidRDefault="0019574C" w:rsidP="00EE0BCA">
      <w:pPr>
        <w:spacing w:after="0" w:line="240" w:lineRule="auto"/>
        <w:rPr>
          <w:rFonts w:ascii="Times New Roman" w:hAnsi="Times New Roman" w:cs="Times New Roman"/>
          <w:szCs w:val="22"/>
        </w:rPr>
      </w:pPr>
      <w:r w:rsidRPr="003E228B">
        <w:rPr>
          <w:rFonts w:ascii="Times New Roman" w:hAnsi="Times New Roman" w:cs="Times New Roman"/>
          <w:b/>
          <w:szCs w:val="22"/>
        </w:rPr>
        <w:t xml:space="preserve">Table </w:t>
      </w:r>
      <w:r w:rsidR="00F821FB" w:rsidRPr="003E228B">
        <w:rPr>
          <w:rFonts w:ascii="Times New Roman" w:hAnsi="Times New Roman" w:cs="Times New Roman"/>
          <w:b/>
          <w:szCs w:val="22"/>
        </w:rPr>
        <w:t>A3</w:t>
      </w:r>
      <w:r w:rsidRPr="003E228B">
        <w:rPr>
          <w:rFonts w:ascii="Times New Roman" w:hAnsi="Times New Roman" w:cs="Times New Roman"/>
          <w:b/>
          <w:szCs w:val="22"/>
        </w:rPr>
        <w:t xml:space="preserve">: Ethnic partitioning and PPI projects’ </w:t>
      </w:r>
      <w:r w:rsidR="00957596" w:rsidRPr="00E56159">
        <w:rPr>
          <w:rFonts w:ascii="Times New Roman" w:hAnsi="Times New Roman" w:cs="Times New Roman"/>
          <w:b/>
          <w:szCs w:val="22"/>
        </w:rPr>
        <w:t>survival</w:t>
      </w:r>
      <w:r w:rsidR="00957596" w:rsidRPr="003E228B">
        <w:rPr>
          <w:rFonts w:ascii="Times New Roman" w:hAnsi="Times New Roman" w:cs="Times New Roman"/>
          <w:b/>
          <w:szCs w:val="22"/>
        </w:rPr>
        <w:t xml:space="preserve"> </w:t>
      </w:r>
      <w:r w:rsidRPr="00E56159">
        <w:rPr>
          <w:rFonts w:ascii="Times New Roman" w:hAnsi="Times New Roman" w:cs="Times New Roman"/>
          <w:szCs w:val="22"/>
        </w:rPr>
        <w:t>(</w:t>
      </w:r>
      <w:proofErr w:type="spellStart"/>
      <w:r w:rsidRPr="00E56159">
        <w:rPr>
          <w:rFonts w:ascii="Times New Roman" w:hAnsi="Times New Roman" w:cs="Times New Roman"/>
          <w:szCs w:val="22"/>
        </w:rPr>
        <w:t>Relogit</w:t>
      </w:r>
      <w:proofErr w:type="spellEnd"/>
      <w:r w:rsidRPr="00E56159">
        <w:rPr>
          <w:rFonts w:ascii="Times New Roman" w:hAnsi="Times New Roman" w:cs="Times New Roman"/>
          <w:szCs w:val="22"/>
        </w:rPr>
        <w:t xml:space="preserve"> model)</w:t>
      </w:r>
    </w:p>
    <w:tbl>
      <w:tblPr>
        <w:tblW w:w="9464" w:type="dxa"/>
        <w:jc w:val="center"/>
        <w:tblLook w:val="04A0" w:firstRow="1" w:lastRow="0" w:firstColumn="1" w:lastColumn="0" w:noHBand="0" w:noVBand="1"/>
      </w:tblPr>
      <w:tblGrid>
        <w:gridCol w:w="2552"/>
        <w:gridCol w:w="1152"/>
        <w:gridCol w:w="1152"/>
        <w:gridCol w:w="1152"/>
        <w:gridCol w:w="1152"/>
        <w:gridCol w:w="1152"/>
        <w:gridCol w:w="1152"/>
      </w:tblGrid>
      <w:tr w:rsidR="0019574C" w:rsidRPr="00E56159" w14:paraId="7E2B2420" w14:textId="77777777" w:rsidTr="00EE0BCA">
        <w:trPr>
          <w:trHeight w:hRule="exact" w:val="274"/>
          <w:jc w:val="center"/>
        </w:trPr>
        <w:tc>
          <w:tcPr>
            <w:tcW w:w="2552" w:type="dxa"/>
            <w:vMerge w:val="restart"/>
            <w:tcBorders>
              <w:top w:val="single" w:sz="4" w:space="0" w:color="auto"/>
              <w:left w:val="nil"/>
              <w:right w:val="nil"/>
            </w:tcBorders>
            <w:shd w:val="clear" w:color="auto" w:fill="auto"/>
            <w:noWrap/>
            <w:vAlign w:val="center"/>
            <w:hideMark/>
          </w:tcPr>
          <w:p w14:paraId="64747AEC" w14:textId="77777777" w:rsidR="0019574C" w:rsidRPr="00E56159" w:rsidRDefault="0019574C" w:rsidP="00EE0BCA">
            <w:pPr>
              <w:spacing w:after="0" w:line="240" w:lineRule="auto"/>
              <w:rPr>
                <w:rFonts w:ascii="Times New Roman" w:hAnsi="Times New Roman" w:cs="Times New Roman"/>
                <w:kern w:val="0"/>
                <w:szCs w:val="22"/>
              </w:rPr>
            </w:pPr>
            <w:r w:rsidRPr="00E56159">
              <w:rPr>
                <w:rFonts w:ascii="Times New Roman" w:hAnsi="Times New Roman" w:cs="Times New Roman"/>
                <w:kern w:val="0"/>
                <w:szCs w:val="22"/>
              </w:rPr>
              <w:t>Variable</w:t>
            </w:r>
          </w:p>
        </w:tc>
        <w:tc>
          <w:tcPr>
            <w:tcW w:w="1152" w:type="dxa"/>
            <w:tcBorders>
              <w:top w:val="single" w:sz="4" w:space="0" w:color="auto"/>
              <w:left w:val="nil"/>
              <w:bottom w:val="single" w:sz="4" w:space="0" w:color="auto"/>
              <w:right w:val="nil"/>
            </w:tcBorders>
            <w:shd w:val="clear" w:color="auto" w:fill="auto"/>
            <w:noWrap/>
            <w:vAlign w:val="center"/>
            <w:hideMark/>
          </w:tcPr>
          <w:p w14:paraId="639C9915"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1</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09A9AEC5"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2</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4DA283DF"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3</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6EA9E6B6"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4</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0704D91E"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5</w:t>
            </w:r>
            <w:r w:rsidRPr="00E56159">
              <w:rPr>
                <w:rFonts w:ascii="Times New Roman" w:eastAsia="SimSu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600A1742"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6</w:t>
            </w:r>
            <w:r w:rsidRPr="00E56159">
              <w:rPr>
                <w:rFonts w:ascii="Times New Roman" w:hAnsi="Times New Roman" w:cs="Times New Roman"/>
                <w:kern w:val="0"/>
                <w:szCs w:val="22"/>
              </w:rPr>
              <w:t>)</w:t>
            </w:r>
          </w:p>
        </w:tc>
      </w:tr>
      <w:tr w:rsidR="0019574C" w:rsidRPr="00E56159" w14:paraId="6DA1E35C" w14:textId="77777777" w:rsidTr="00EE0BCA">
        <w:trPr>
          <w:trHeight w:hRule="exact" w:val="274"/>
          <w:jc w:val="center"/>
        </w:trPr>
        <w:tc>
          <w:tcPr>
            <w:tcW w:w="2552" w:type="dxa"/>
            <w:vMerge/>
            <w:tcBorders>
              <w:left w:val="nil"/>
              <w:bottom w:val="single" w:sz="4" w:space="0" w:color="auto"/>
              <w:right w:val="nil"/>
            </w:tcBorders>
            <w:shd w:val="clear" w:color="auto" w:fill="auto"/>
            <w:noWrap/>
            <w:vAlign w:val="center"/>
          </w:tcPr>
          <w:p w14:paraId="5815E81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single" w:sz="4" w:space="0" w:color="auto"/>
              <w:left w:val="nil"/>
              <w:bottom w:val="single" w:sz="4" w:space="0" w:color="auto"/>
              <w:right w:val="nil"/>
            </w:tcBorders>
            <w:shd w:val="clear" w:color="auto" w:fill="auto"/>
            <w:noWrap/>
            <w:vAlign w:val="center"/>
          </w:tcPr>
          <w:p w14:paraId="5B74CB89"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2AB12E2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6A451AE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Conflict</w:t>
            </w:r>
          </w:p>
        </w:tc>
        <w:tc>
          <w:tcPr>
            <w:tcW w:w="1152" w:type="dxa"/>
            <w:tcBorders>
              <w:top w:val="single" w:sz="4" w:space="0" w:color="auto"/>
              <w:left w:val="nil"/>
              <w:bottom w:val="single" w:sz="4" w:space="0" w:color="auto"/>
              <w:right w:val="nil"/>
            </w:tcBorders>
            <w:shd w:val="clear" w:color="auto" w:fill="auto"/>
            <w:noWrap/>
            <w:vAlign w:val="center"/>
          </w:tcPr>
          <w:p w14:paraId="7827319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12A573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7046F7E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hAnsi="Times New Roman" w:cs="Times New Roman"/>
                <w:kern w:val="0"/>
                <w:szCs w:val="22"/>
              </w:rPr>
              <w:t>Failure</w:t>
            </w:r>
          </w:p>
        </w:tc>
      </w:tr>
      <w:tr w:rsidR="0019574C" w:rsidRPr="00E56159" w14:paraId="197C24FA" w14:textId="77777777" w:rsidTr="00EE0BCA">
        <w:trPr>
          <w:trHeight w:hRule="exact" w:val="245"/>
          <w:jc w:val="center"/>
        </w:trPr>
        <w:tc>
          <w:tcPr>
            <w:tcW w:w="2552" w:type="dxa"/>
            <w:vMerge w:val="restart"/>
            <w:tcBorders>
              <w:top w:val="single" w:sz="4" w:space="0" w:color="auto"/>
              <w:left w:val="nil"/>
              <w:bottom w:val="nil"/>
              <w:right w:val="nil"/>
            </w:tcBorders>
            <w:shd w:val="clear" w:color="auto" w:fill="auto"/>
            <w:noWrap/>
            <w:vAlign w:val="center"/>
            <w:hideMark/>
          </w:tcPr>
          <w:p w14:paraId="769C3D53"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Ethnic partitioning</w:t>
            </w:r>
          </w:p>
        </w:tc>
        <w:tc>
          <w:tcPr>
            <w:tcW w:w="1152" w:type="dxa"/>
            <w:tcBorders>
              <w:top w:val="single" w:sz="4" w:space="0" w:color="auto"/>
              <w:left w:val="nil"/>
              <w:bottom w:val="nil"/>
              <w:right w:val="nil"/>
            </w:tcBorders>
            <w:shd w:val="clear" w:color="auto" w:fill="auto"/>
            <w:noWrap/>
            <w:vAlign w:val="center"/>
            <w:hideMark/>
          </w:tcPr>
          <w:p w14:paraId="62E9918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single" w:sz="4" w:space="0" w:color="auto"/>
              <w:left w:val="nil"/>
              <w:bottom w:val="nil"/>
              <w:right w:val="nil"/>
            </w:tcBorders>
            <w:shd w:val="clear" w:color="auto" w:fill="auto"/>
            <w:noWrap/>
            <w:vAlign w:val="center"/>
            <w:hideMark/>
          </w:tcPr>
          <w:p w14:paraId="358217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0.594</w:t>
            </w:r>
          </w:p>
        </w:tc>
        <w:tc>
          <w:tcPr>
            <w:tcW w:w="1152" w:type="dxa"/>
            <w:tcBorders>
              <w:top w:val="single" w:sz="4" w:space="0" w:color="auto"/>
              <w:left w:val="nil"/>
              <w:bottom w:val="nil"/>
              <w:right w:val="nil"/>
            </w:tcBorders>
            <w:shd w:val="clear" w:color="auto" w:fill="auto"/>
            <w:noWrap/>
            <w:vAlign w:val="center"/>
            <w:hideMark/>
          </w:tcPr>
          <w:p w14:paraId="5AC2FF9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4.213</w:t>
            </w:r>
          </w:p>
        </w:tc>
        <w:tc>
          <w:tcPr>
            <w:tcW w:w="1152" w:type="dxa"/>
            <w:tcBorders>
              <w:top w:val="single" w:sz="4" w:space="0" w:color="auto"/>
              <w:left w:val="nil"/>
              <w:bottom w:val="nil"/>
              <w:right w:val="nil"/>
            </w:tcBorders>
            <w:shd w:val="clear" w:color="auto" w:fill="auto"/>
            <w:noWrap/>
            <w:vAlign w:val="center"/>
            <w:hideMark/>
          </w:tcPr>
          <w:p w14:paraId="05D3272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single" w:sz="4" w:space="0" w:color="auto"/>
              <w:left w:val="nil"/>
              <w:bottom w:val="nil"/>
              <w:right w:val="nil"/>
            </w:tcBorders>
            <w:shd w:val="clear" w:color="auto" w:fill="auto"/>
            <w:noWrap/>
            <w:vAlign w:val="center"/>
            <w:hideMark/>
          </w:tcPr>
          <w:p w14:paraId="1092F0D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0.490</w:t>
            </w:r>
          </w:p>
        </w:tc>
        <w:tc>
          <w:tcPr>
            <w:tcW w:w="1152" w:type="dxa"/>
            <w:tcBorders>
              <w:top w:val="single" w:sz="4" w:space="0" w:color="auto"/>
              <w:left w:val="nil"/>
              <w:bottom w:val="nil"/>
              <w:right w:val="nil"/>
            </w:tcBorders>
            <w:shd w:val="clear" w:color="auto" w:fill="auto"/>
            <w:noWrap/>
            <w:vAlign w:val="center"/>
            <w:hideMark/>
          </w:tcPr>
          <w:p w14:paraId="702D6B5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0.618</w:t>
            </w:r>
          </w:p>
        </w:tc>
      </w:tr>
      <w:tr w:rsidR="0019574C" w:rsidRPr="00E56159" w14:paraId="0DCF27B0" w14:textId="77777777" w:rsidTr="00EE0BCA">
        <w:trPr>
          <w:trHeight w:hRule="exact" w:val="245"/>
          <w:jc w:val="center"/>
        </w:trPr>
        <w:tc>
          <w:tcPr>
            <w:tcW w:w="2552" w:type="dxa"/>
            <w:vMerge/>
            <w:tcBorders>
              <w:top w:val="nil"/>
              <w:left w:val="nil"/>
              <w:bottom w:val="nil"/>
              <w:right w:val="nil"/>
            </w:tcBorders>
            <w:vAlign w:val="center"/>
            <w:hideMark/>
          </w:tcPr>
          <w:p w14:paraId="4AA3572C"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754105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F03E63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(0.044)</w:t>
            </w:r>
          </w:p>
        </w:tc>
        <w:tc>
          <w:tcPr>
            <w:tcW w:w="1152" w:type="dxa"/>
            <w:tcBorders>
              <w:top w:val="nil"/>
              <w:left w:val="nil"/>
              <w:bottom w:val="nil"/>
              <w:right w:val="nil"/>
            </w:tcBorders>
            <w:shd w:val="clear" w:color="auto" w:fill="auto"/>
            <w:noWrap/>
            <w:vAlign w:val="center"/>
            <w:hideMark/>
          </w:tcPr>
          <w:p w14:paraId="03A4D67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65C4ED3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ECC801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(0.068)</w:t>
            </w:r>
          </w:p>
        </w:tc>
        <w:tc>
          <w:tcPr>
            <w:tcW w:w="1152" w:type="dxa"/>
            <w:tcBorders>
              <w:top w:val="nil"/>
              <w:left w:val="nil"/>
              <w:bottom w:val="nil"/>
              <w:right w:val="nil"/>
            </w:tcBorders>
            <w:shd w:val="clear" w:color="auto" w:fill="auto"/>
            <w:noWrap/>
            <w:vAlign w:val="center"/>
            <w:hideMark/>
          </w:tcPr>
          <w:p w14:paraId="1659CB0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54AA87DA"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5F323160"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Conflict exposure</w:t>
            </w:r>
          </w:p>
        </w:tc>
        <w:tc>
          <w:tcPr>
            <w:tcW w:w="1152" w:type="dxa"/>
            <w:tcBorders>
              <w:top w:val="nil"/>
              <w:left w:val="nil"/>
              <w:bottom w:val="nil"/>
              <w:right w:val="nil"/>
            </w:tcBorders>
            <w:shd w:val="clear" w:color="auto" w:fill="auto"/>
            <w:noWrap/>
            <w:vAlign w:val="center"/>
            <w:hideMark/>
          </w:tcPr>
          <w:p w14:paraId="239D10A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B95D7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E6AC06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063870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c>
          <w:tcPr>
            <w:tcW w:w="1152" w:type="dxa"/>
            <w:tcBorders>
              <w:top w:val="nil"/>
              <w:left w:val="nil"/>
              <w:bottom w:val="nil"/>
              <w:right w:val="nil"/>
            </w:tcBorders>
            <w:shd w:val="clear" w:color="auto" w:fill="auto"/>
            <w:noWrap/>
            <w:vAlign w:val="center"/>
            <w:hideMark/>
          </w:tcPr>
          <w:p w14:paraId="05401B6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c>
          <w:tcPr>
            <w:tcW w:w="1152" w:type="dxa"/>
            <w:tcBorders>
              <w:top w:val="nil"/>
              <w:left w:val="nil"/>
              <w:bottom w:val="nil"/>
              <w:right w:val="nil"/>
            </w:tcBorders>
            <w:shd w:val="clear" w:color="auto" w:fill="auto"/>
            <w:noWrap/>
            <w:vAlign w:val="center"/>
            <w:hideMark/>
          </w:tcPr>
          <w:p w14:paraId="0768A5B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r>
      <w:tr w:rsidR="0019574C" w:rsidRPr="00E56159" w14:paraId="1303EE20" w14:textId="77777777" w:rsidTr="00EE0BCA">
        <w:trPr>
          <w:trHeight w:hRule="exact" w:val="245"/>
          <w:jc w:val="center"/>
        </w:trPr>
        <w:tc>
          <w:tcPr>
            <w:tcW w:w="2552" w:type="dxa"/>
            <w:vMerge/>
            <w:tcBorders>
              <w:top w:val="nil"/>
              <w:left w:val="nil"/>
              <w:bottom w:val="nil"/>
              <w:right w:val="nil"/>
            </w:tcBorders>
            <w:vAlign w:val="center"/>
            <w:hideMark/>
          </w:tcPr>
          <w:p w14:paraId="2D2AA175"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780CC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33F049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39FB5F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114F63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5C37586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524743E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0716CFD4" w14:textId="77777777" w:rsidTr="00EE0BCA">
        <w:trPr>
          <w:trHeight w:hRule="exact" w:val="288"/>
          <w:jc w:val="center"/>
        </w:trPr>
        <w:tc>
          <w:tcPr>
            <w:tcW w:w="2552" w:type="dxa"/>
            <w:vMerge w:val="restart"/>
            <w:tcBorders>
              <w:top w:val="nil"/>
              <w:left w:val="nil"/>
              <w:bottom w:val="nil"/>
              <w:right w:val="nil"/>
            </w:tcBorders>
            <w:shd w:val="clear" w:color="auto" w:fill="auto"/>
            <w:noWrap/>
            <w:vAlign w:val="center"/>
            <w:hideMark/>
          </w:tcPr>
          <w:p w14:paraId="18D2FDDF" w14:textId="77777777" w:rsidR="0019574C" w:rsidRPr="00E56159" w:rsidRDefault="0019574C" w:rsidP="00EE0BCA">
            <w:pPr>
              <w:spacing w:after="0" w:line="240" w:lineRule="auto"/>
              <w:rPr>
                <w:rFonts w:ascii="Times New Roman" w:hAnsi="Times New Roman" w:cs="Times New Roman"/>
                <w:kern w:val="0"/>
                <w:szCs w:val="22"/>
              </w:rPr>
            </w:pPr>
            <w:r w:rsidRPr="00E56159">
              <w:rPr>
                <w:rFonts w:ascii="Times New Roman" w:eastAsia="Times New Roman" w:hAnsi="Times New Roman" w:cs="Times New Roman"/>
                <w:kern w:val="0"/>
                <w:szCs w:val="22"/>
              </w:rPr>
              <w:t>Ethnic partitioning</w:t>
            </w:r>
            <w:r w:rsidRPr="00E56159">
              <w:rPr>
                <w:rFonts w:ascii="Times New Roman" w:hAnsi="Times New Roman" w:cs="Times New Roman"/>
                <w:kern w:val="0"/>
                <w:szCs w:val="22"/>
              </w:rPr>
              <w:t xml:space="preserve"> </w:t>
            </w:r>
          </w:p>
          <w:p w14:paraId="716208FC"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hAnsi="Times New Roman" w:cs="Times New Roman"/>
                <w:kern w:val="0"/>
                <w:szCs w:val="22"/>
              </w:rPr>
              <w:t xml:space="preserve">× </w:t>
            </w:r>
            <w:r w:rsidRPr="00E56159">
              <w:rPr>
                <w:rFonts w:ascii="Times New Roman" w:eastAsia="Times New Roman" w:hAnsi="Times New Roman" w:cs="Times New Roman"/>
                <w:kern w:val="0"/>
                <w:szCs w:val="22"/>
              </w:rPr>
              <w:t>Institutional quality</w:t>
            </w:r>
          </w:p>
        </w:tc>
        <w:tc>
          <w:tcPr>
            <w:tcW w:w="1152" w:type="dxa"/>
            <w:tcBorders>
              <w:top w:val="nil"/>
              <w:left w:val="nil"/>
              <w:bottom w:val="nil"/>
              <w:right w:val="nil"/>
            </w:tcBorders>
            <w:shd w:val="clear" w:color="auto" w:fill="auto"/>
            <w:noWrap/>
            <w:vAlign w:val="center"/>
            <w:hideMark/>
          </w:tcPr>
          <w:p w14:paraId="58FF957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016FCF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CF40C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99D5DE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5288A5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F4FE52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-1.023</w:t>
            </w:r>
          </w:p>
        </w:tc>
      </w:tr>
      <w:tr w:rsidR="0019574C" w:rsidRPr="00E56159" w14:paraId="7FC56C6F" w14:textId="77777777" w:rsidTr="00EE0BCA">
        <w:trPr>
          <w:trHeight w:hRule="exact" w:val="288"/>
          <w:jc w:val="center"/>
        </w:trPr>
        <w:tc>
          <w:tcPr>
            <w:tcW w:w="2552" w:type="dxa"/>
            <w:vMerge/>
            <w:tcBorders>
              <w:top w:val="nil"/>
              <w:left w:val="nil"/>
              <w:bottom w:val="nil"/>
              <w:right w:val="nil"/>
            </w:tcBorders>
            <w:vAlign w:val="center"/>
            <w:hideMark/>
          </w:tcPr>
          <w:p w14:paraId="112FB682"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E795F6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14F06B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FC212D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35AADC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8CAABE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2317E4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(0.032)</w:t>
            </w:r>
          </w:p>
        </w:tc>
      </w:tr>
      <w:tr w:rsidR="0019574C" w:rsidRPr="00E56159" w14:paraId="4C99A080"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53DDE2F2"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Institutional quality</w:t>
            </w:r>
          </w:p>
        </w:tc>
        <w:tc>
          <w:tcPr>
            <w:tcW w:w="1152" w:type="dxa"/>
            <w:tcBorders>
              <w:top w:val="nil"/>
              <w:left w:val="nil"/>
              <w:bottom w:val="nil"/>
              <w:right w:val="nil"/>
            </w:tcBorders>
            <w:shd w:val="clear" w:color="auto" w:fill="auto"/>
            <w:noWrap/>
            <w:vAlign w:val="center"/>
            <w:hideMark/>
          </w:tcPr>
          <w:p w14:paraId="02584B3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0.932</w:t>
            </w:r>
          </w:p>
        </w:tc>
        <w:tc>
          <w:tcPr>
            <w:tcW w:w="1152" w:type="dxa"/>
            <w:tcBorders>
              <w:top w:val="nil"/>
              <w:left w:val="nil"/>
              <w:bottom w:val="nil"/>
              <w:right w:val="nil"/>
            </w:tcBorders>
            <w:shd w:val="clear" w:color="auto" w:fill="auto"/>
            <w:noWrap/>
            <w:vAlign w:val="center"/>
            <w:hideMark/>
          </w:tcPr>
          <w:p w14:paraId="104B172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0.887</w:t>
            </w:r>
          </w:p>
        </w:tc>
        <w:tc>
          <w:tcPr>
            <w:tcW w:w="1152" w:type="dxa"/>
            <w:tcBorders>
              <w:top w:val="nil"/>
              <w:left w:val="nil"/>
              <w:bottom w:val="nil"/>
              <w:right w:val="nil"/>
            </w:tcBorders>
            <w:shd w:val="clear" w:color="auto" w:fill="auto"/>
            <w:noWrap/>
            <w:vAlign w:val="center"/>
            <w:hideMark/>
          </w:tcPr>
          <w:p w14:paraId="2BC45B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-4.655</w:t>
            </w:r>
          </w:p>
        </w:tc>
        <w:tc>
          <w:tcPr>
            <w:tcW w:w="1152" w:type="dxa"/>
            <w:tcBorders>
              <w:top w:val="nil"/>
              <w:left w:val="nil"/>
              <w:bottom w:val="nil"/>
              <w:right w:val="nil"/>
            </w:tcBorders>
            <w:shd w:val="clear" w:color="auto" w:fill="auto"/>
            <w:noWrap/>
            <w:vAlign w:val="center"/>
            <w:hideMark/>
          </w:tcPr>
          <w:p w14:paraId="2709A61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0.897</w:t>
            </w:r>
          </w:p>
        </w:tc>
        <w:tc>
          <w:tcPr>
            <w:tcW w:w="1152" w:type="dxa"/>
            <w:tcBorders>
              <w:top w:val="nil"/>
              <w:left w:val="nil"/>
              <w:bottom w:val="nil"/>
              <w:right w:val="nil"/>
            </w:tcBorders>
            <w:shd w:val="clear" w:color="auto" w:fill="auto"/>
            <w:noWrap/>
            <w:vAlign w:val="center"/>
            <w:hideMark/>
          </w:tcPr>
          <w:p w14:paraId="3835AE8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0.853</w:t>
            </w:r>
          </w:p>
        </w:tc>
        <w:tc>
          <w:tcPr>
            <w:tcW w:w="1152" w:type="dxa"/>
            <w:tcBorders>
              <w:top w:val="nil"/>
              <w:left w:val="nil"/>
              <w:bottom w:val="nil"/>
              <w:right w:val="nil"/>
            </w:tcBorders>
            <w:shd w:val="clear" w:color="auto" w:fill="auto"/>
            <w:noWrap/>
            <w:vAlign w:val="center"/>
            <w:hideMark/>
          </w:tcPr>
          <w:p w14:paraId="7E743EC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0.936</w:t>
            </w:r>
          </w:p>
        </w:tc>
      </w:tr>
      <w:tr w:rsidR="0019574C" w:rsidRPr="00E56159" w14:paraId="054EA20E" w14:textId="77777777" w:rsidTr="00EE0BCA">
        <w:trPr>
          <w:trHeight w:hRule="exact" w:val="245"/>
          <w:jc w:val="center"/>
        </w:trPr>
        <w:tc>
          <w:tcPr>
            <w:tcW w:w="2552" w:type="dxa"/>
            <w:vMerge/>
            <w:tcBorders>
              <w:top w:val="nil"/>
              <w:left w:val="nil"/>
              <w:bottom w:val="nil"/>
              <w:right w:val="nil"/>
            </w:tcBorders>
            <w:vAlign w:val="center"/>
            <w:hideMark/>
          </w:tcPr>
          <w:p w14:paraId="3CAF3587"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8A54C8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687540F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(0.027)</w:t>
            </w:r>
          </w:p>
        </w:tc>
        <w:tc>
          <w:tcPr>
            <w:tcW w:w="1152" w:type="dxa"/>
            <w:tcBorders>
              <w:top w:val="nil"/>
              <w:left w:val="nil"/>
              <w:bottom w:val="nil"/>
              <w:right w:val="nil"/>
            </w:tcBorders>
            <w:shd w:val="clear" w:color="auto" w:fill="auto"/>
            <w:noWrap/>
            <w:vAlign w:val="center"/>
            <w:hideMark/>
          </w:tcPr>
          <w:p w14:paraId="754920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(0.004)</w:t>
            </w:r>
          </w:p>
        </w:tc>
        <w:tc>
          <w:tcPr>
            <w:tcW w:w="1152" w:type="dxa"/>
            <w:tcBorders>
              <w:top w:val="nil"/>
              <w:left w:val="nil"/>
              <w:bottom w:val="nil"/>
              <w:right w:val="nil"/>
            </w:tcBorders>
            <w:shd w:val="clear" w:color="auto" w:fill="auto"/>
            <w:noWrap/>
            <w:vAlign w:val="center"/>
            <w:hideMark/>
          </w:tcPr>
          <w:p w14:paraId="11834FA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(0.040)</w:t>
            </w:r>
          </w:p>
        </w:tc>
        <w:tc>
          <w:tcPr>
            <w:tcW w:w="1152" w:type="dxa"/>
            <w:tcBorders>
              <w:top w:val="nil"/>
              <w:left w:val="nil"/>
              <w:bottom w:val="nil"/>
              <w:right w:val="nil"/>
            </w:tcBorders>
            <w:shd w:val="clear" w:color="auto" w:fill="auto"/>
            <w:noWrap/>
            <w:vAlign w:val="center"/>
            <w:hideMark/>
          </w:tcPr>
          <w:p w14:paraId="7594312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(0.026)</w:t>
            </w:r>
          </w:p>
        </w:tc>
        <w:tc>
          <w:tcPr>
            <w:tcW w:w="1152" w:type="dxa"/>
            <w:tcBorders>
              <w:top w:val="nil"/>
              <w:left w:val="nil"/>
              <w:bottom w:val="nil"/>
              <w:right w:val="nil"/>
            </w:tcBorders>
            <w:shd w:val="clear" w:color="auto" w:fill="auto"/>
            <w:noWrap/>
            <w:vAlign w:val="center"/>
            <w:hideMark/>
          </w:tcPr>
          <w:p w14:paraId="512EA3C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r>
      <w:tr w:rsidR="0019574C" w:rsidRPr="00E56159" w14:paraId="0D1C81AE"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34AB9781"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Capital city ethnicity</w:t>
            </w:r>
          </w:p>
        </w:tc>
        <w:tc>
          <w:tcPr>
            <w:tcW w:w="1152" w:type="dxa"/>
            <w:tcBorders>
              <w:top w:val="nil"/>
              <w:left w:val="nil"/>
              <w:bottom w:val="nil"/>
              <w:right w:val="nil"/>
            </w:tcBorders>
            <w:shd w:val="clear" w:color="auto" w:fill="auto"/>
            <w:noWrap/>
            <w:vAlign w:val="center"/>
            <w:hideMark/>
          </w:tcPr>
          <w:p w14:paraId="35DFEDF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1.150</w:t>
            </w:r>
          </w:p>
        </w:tc>
        <w:tc>
          <w:tcPr>
            <w:tcW w:w="1152" w:type="dxa"/>
            <w:tcBorders>
              <w:top w:val="nil"/>
              <w:left w:val="nil"/>
              <w:bottom w:val="nil"/>
              <w:right w:val="nil"/>
            </w:tcBorders>
            <w:shd w:val="clear" w:color="auto" w:fill="auto"/>
            <w:noWrap/>
            <w:vAlign w:val="center"/>
            <w:hideMark/>
          </w:tcPr>
          <w:p w14:paraId="6AB97FE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1.240</w:t>
            </w:r>
          </w:p>
        </w:tc>
        <w:tc>
          <w:tcPr>
            <w:tcW w:w="1152" w:type="dxa"/>
            <w:tcBorders>
              <w:top w:val="nil"/>
              <w:left w:val="nil"/>
              <w:bottom w:val="nil"/>
              <w:right w:val="nil"/>
            </w:tcBorders>
            <w:shd w:val="clear" w:color="auto" w:fill="auto"/>
            <w:noWrap/>
            <w:vAlign w:val="center"/>
            <w:hideMark/>
          </w:tcPr>
          <w:p w14:paraId="696D03A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-0.243</w:t>
            </w:r>
          </w:p>
        </w:tc>
        <w:tc>
          <w:tcPr>
            <w:tcW w:w="1152" w:type="dxa"/>
            <w:tcBorders>
              <w:top w:val="nil"/>
              <w:left w:val="nil"/>
              <w:bottom w:val="nil"/>
              <w:right w:val="nil"/>
            </w:tcBorders>
            <w:shd w:val="clear" w:color="auto" w:fill="auto"/>
            <w:noWrap/>
            <w:vAlign w:val="center"/>
            <w:hideMark/>
          </w:tcPr>
          <w:p w14:paraId="1632211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1.087</w:t>
            </w:r>
          </w:p>
        </w:tc>
        <w:tc>
          <w:tcPr>
            <w:tcW w:w="1152" w:type="dxa"/>
            <w:tcBorders>
              <w:top w:val="nil"/>
              <w:left w:val="nil"/>
              <w:bottom w:val="nil"/>
              <w:right w:val="nil"/>
            </w:tcBorders>
            <w:shd w:val="clear" w:color="auto" w:fill="auto"/>
            <w:noWrap/>
            <w:vAlign w:val="center"/>
            <w:hideMark/>
          </w:tcPr>
          <w:p w14:paraId="1C2C60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1.156</w:t>
            </w:r>
          </w:p>
        </w:tc>
        <w:tc>
          <w:tcPr>
            <w:tcW w:w="1152" w:type="dxa"/>
            <w:tcBorders>
              <w:top w:val="nil"/>
              <w:left w:val="nil"/>
              <w:bottom w:val="nil"/>
              <w:right w:val="nil"/>
            </w:tcBorders>
            <w:shd w:val="clear" w:color="auto" w:fill="auto"/>
            <w:noWrap/>
            <w:vAlign w:val="center"/>
            <w:hideMark/>
          </w:tcPr>
          <w:p w14:paraId="6D706D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1.237</w:t>
            </w:r>
          </w:p>
        </w:tc>
      </w:tr>
      <w:tr w:rsidR="0019574C" w:rsidRPr="00E56159" w14:paraId="4E67D739" w14:textId="77777777" w:rsidTr="00EE0BCA">
        <w:trPr>
          <w:trHeight w:hRule="exact" w:val="245"/>
          <w:jc w:val="center"/>
        </w:trPr>
        <w:tc>
          <w:tcPr>
            <w:tcW w:w="2552" w:type="dxa"/>
            <w:vMerge/>
            <w:tcBorders>
              <w:top w:val="nil"/>
              <w:left w:val="nil"/>
              <w:bottom w:val="nil"/>
              <w:right w:val="nil"/>
            </w:tcBorders>
            <w:vAlign w:val="center"/>
            <w:hideMark/>
          </w:tcPr>
          <w:p w14:paraId="19A797B3"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D737D4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(0.004)</w:t>
            </w:r>
          </w:p>
        </w:tc>
        <w:tc>
          <w:tcPr>
            <w:tcW w:w="1152" w:type="dxa"/>
            <w:tcBorders>
              <w:top w:val="nil"/>
              <w:left w:val="nil"/>
              <w:bottom w:val="nil"/>
              <w:right w:val="nil"/>
            </w:tcBorders>
            <w:shd w:val="clear" w:color="auto" w:fill="auto"/>
            <w:noWrap/>
            <w:vAlign w:val="center"/>
            <w:hideMark/>
          </w:tcPr>
          <w:p w14:paraId="629AD38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68B2CD9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(0.922)</w:t>
            </w:r>
          </w:p>
        </w:tc>
        <w:tc>
          <w:tcPr>
            <w:tcW w:w="1152" w:type="dxa"/>
            <w:tcBorders>
              <w:top w:val="nil"/>
              <w:left w:val="nil"/>
              <w:bottom w:val="nil"/>
              <w:right w:val="nil"/>
            </w:tcBorders>
            <w:shd w:val="clear" w:color="auto" w:fill="auto"/>
            <w:noWrap/>
            <w:vAlign w:val="center"/>
            <w:hideMark/>
          </w:tcPr>
          <w:p w14:paraId="2E86265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(0.012)</w:t>
            </w:r>
          </w:p>
        </w:tc>
        <w:tc>
          <w:tcPr>
            <w:tcW w:w="1152" w:type="dxa"/>
            <w:tcBorders>
              <w:top w:val="nil"/>
              <w:left w:val="nil"/>
              <w:bottom w:val="nil"/>
              <w:right w:val="nil"/>
            </w:tcBorders>
            <w:shd w:val="clear" w:color="auto" w:fill="auto"/>
            <w:noWrap/>
            <w:vAlign w:val="center"/>
            <w:hideMark/>
          </w:tcPr>
          <w:p w14:paraId="6B79EDE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c>
          <w:tcPr>
            <w:tcW w:w="1152" w:type="dxa"/>
            <w:tcBorders>
              <w:top w:val="nil"/>
              <w:left w:val="nil"/>
              <w:bottom w:val="nil"/>
              <w:right w:val="nil"/>
            </w:tcBorders>
            <w:shd w:val="clear" w:color="auto" w:fill="auto"/>
            <w:noWrap/>
            <w:vAlign w:val="center"/>
            <w:hideMark/>
          </w:tcPr>
          <w:p w14:paraId="3FA8EBB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r>
      <w:tr w:rsidR="0019574C" w:rsidRPr="00E56159" w14:paraId="700779CD"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00B87656"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Colonial sponsor</w:t>
            </w:r>
          </w:p>
        </w:tc>
        <w:tc>
          <w:tcPr>
            <w:tcW w:w="1152" w:type="dxa"/>
            <w:tcBorders>
              <w:top w:val="nil"/>
              <w:left w:val="nil"/>
              <w:bottom w:val="nil"/>
              <w:right w:val="nil"/>
            </w:tcBorders>
            <w:shd w:val="clear" w:color="auto" w:fill="auto"/>
            <w:noWrap/>
            <w:vAlign w:val="center"/>
            <w:hideMark/>
          </w:tcPr>
          <w:p w14:paraId="3FA05F7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0.477</w:t>
            </w:r>
          </w:p>
        </w:tc>
        <w:tc>
          <w:tcPr>
            <w:tcW w:w="1152" w:type="dxa"/>
            <w:tcBorders>
              <w:top w:val="nil"/>
              <w:left w:val="nil"/>
              <w:bottom w:val="nil"/>
              <w:right w:val="nil"/>
            </w:tcBorders>
            <w:shd w:val="clear" w:color="auto" w:fill="auto"/>
            <w:noWrap/>
            <w:vAlign w:val="center"/>
            <w:hideMark/>
          </w:tcPr>
          <w:p w14:paraId="067A2D4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0.555</w:t>
            </w:r>
          </w:p>
        </w:tc>
        <w:tc>
          <w:tcPr>
            <w:tcW w:w="1152" w:type="dxa"/>
            <w:tcBorders>
              <w:top w:val="nil"/>
              <w:left w:val="nil"/>
              <w:bottom w:val="nil"/>
              <w:right w:val="nil"/>
            </w:tcBorders>
            <w:shd w:val="clear" w:color="auto" w:fill="auto"/>
            <w:noWrap/>
            <w:vAlign w:val="center"/>
            <w:hideMark/>
          </w:tcPr>
          <w:p w14:paraId="18269BD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4.954</w:t>
            </w:r>
          </w:p>
        </w:tc>
        <w:tc>
          <w:tcPr>
            <w:tcW w:w="1152" w:type="dxa"/>
            <w:tcBorders>
              <w:top w:val="nil"/>
              <w:left w:val="nil"/>
              <w:bottom w:val="nil"/>
              <w:right w:val="nil"/>
            </w:tcBorders>
            <w:shd w:val="clear" w:color="auto" w:fill="auto"/>
            <w:noWrap/>
            <w:vAlign w:val="center"/>
            <w:hideMark/>
          </w:tcPr>
          <w:p w14:paraId="1C3615D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0.423</w:t>
            </w:r>
          </w:p>
        </w:tc>
        <w:tc>
          <w:tcPr>
            <w:tcW w:w="1152" w:type="dxa"/>
            <w:tcBorders>
              <w:top w:val="nil"/>
              <w:left w:val="nil"/>
              <w:bottom w:val="nil"/>
              <w:right w:val="nil"/>
            </w:tcBorders>
            <w:shd w:val="clear" w:color="auto" w:fill="auto"/>
            <w:noWrap/>
            <w:vAlign w:val="center"/>
            <w:hideMark/>
          </w:tcPr>
          <w:p w14:paraId="61EFFD6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0.496</w:t>
            </w:r>
          </w:p>
        </w:tc>
        <w:tc>
          <w:tcPr>
            <w:tcW w:w="1152" w:type="dxa"/>
            <w:tcBorders>
              <w:top w:val="nil"/>
              <w:left w:val="nil"/>
              <w:bottom w:val="nil"/>
              <w:right w:val="nil"/>
            </w:tcBorders>
            <w:shd w:val="clear" w:color="auto" w:fill="auto"/>
            <w:noWrap/>
            <w:vAlign w:val="center"/>
            <w:hideMark/>
          </w:tcPr>
          <w:p w14:paraId="4ED8D8F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0.430</w:t>
            </w:r>
          </w:p>
        </w:tc>
      </w:tr>
      <w:tr w:rsidR="0019574C" w:rsidRPr="00E56159" w14:paraId="3400983D" w14:textId="77777777" w:rsidTr="00EE0BCA">
        <w:trPr>
          <w:trHeight w:hRule="exact" w:val="245"/>
          <w:jc w:val="center"/>
        </w:trPr>
        <w:tc>
          <w:tcPr>
            <w:tcW w:w="2552" w:type="dxa"/>
            <w:vMerge/>
            <w:tcBorders>
              <w:top w:val="nil"/>
              <w:left w:val="nil"/>
              <w:bottom w:val="nil"/>
              <w:right w:val="nil"/>
            </w:tcBorders>
            <w:vAlign w:val="center"/>
            <w:hideMark/>
          </w:tcPr>
          <w:p w14:paraId="69D8AF05"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8BF554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(0.610)</w:t>
            </w:r>
          </w:p>
        </w:tc>
        <w:tc>
          <w:tcPr>
            <w:tcW w:w="1152" w:type="dxa"/>
            <w:tcBorders>
              <w:top w:val="nil"/>
              <w:left w:val="nil"/>
              <w:bottom w:val="nil"/>
              <w:right w:val="nil"/>
            </w:tcBorders>
            <w:shd w:val="clear" w:color="auto" w:fill="auto"/>
            <w:noWrap/>
            <w:vAlign w:val="center"/>
            <w:hideMark/>
          </w:tcPr>
          <w:p w14:paraId="1F36F49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(0.571)</w:t>
            </w:r>
          </w:p>
        </w:tc>
        <w:tc>
          <w:tcPr>
            <w:tcW w:w="1152" w:type="dxa"/>
            <w:tcBorders>
              <w:top w:val="nil"/>
              <w:left w:val="nil"/>
              <w:bottom w:val="nil"/>
              <w:right w:val="nil"/>
            </w:tcBorders>
            <w:shd w:val="clear" w:color="auto" w:fill="auto"/>
            <w:noWrap/>
            <w:vAlign w:val="center"/>
            <w:hideMark/>
          </w:tcPr>
          <w:p w14:paraId="1A52D58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(0.200)</w:t>
            </w:r>
          </w:p>
        </w:tc>
        <w:tc>
          <w:tcPr>
            <w:tcW w:w="1152" w:type="dxa"/>
            <w:tcBorders>
              <w:top w:val="nil"/>
              <w:left w:val="nil"/>
              <w:bottom w:val="nil"/>
              <w:right w:val="nil"/>
            </w:tcBorders>
            <w:shd w:val="clear" w:color="auto" w:fill="auto"/>
            <w:noWrap/>
            <w:vAlign w:val="center"/>
            <w:hideMark/>
          </w:tcPr>
          <w:p w14:paraId="76D628C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(0.627)</w:t>
            </w:r>
          </w:p>
        </w:tc>
        <w:tc>
          <w:tcPr>
            <w:tcW w:w="1152" w:type="dxa"/>
            <w:tcBorders>
              <w:top w:val="nil"/>
              <w:left w:val="nil"/>
              <w:bottom w:val="nil"/>
              <w:right w:val="nil"/>
            </w:tcBorders>
            <w:shd w:val="clear" w:color="auto" w:fill="auto"/>
            <w:noWrap/>
            <w:vAlign w:val="center"/>
            <w:hideMark/>
          </w:tcPr>
          <w:p w14:paraId="10E755D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(0.588)</w:t>
            </w:r>
          </w:p>
        </w:tc>
        <w:tc>
          <w:tcPr>
            <w:tcW w:w="1152" w:type="dxa"/>
            <w:tcBorders>
              <w:top w:val="nil"/>
              <w:left w:val="nil"/>
              <w:bottom w:val="nil"/>
              <w:right w:val="nil"/>
            </w:tcBorders>
            <w:shd w:val="clear" w:color="auto" w:fill="auto"/>
            <w:noWrap/>
            <w:vAlign w:val="center"/>
            <w:hideMark/>
          </w:tcPr>
          <w:p w14:paraId="15D553E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(0.640)</w:t>
            </w:r>
          </w:p>
        </w:tc>
      </w:tr>
      <w:tr w:rsidR="0019574C" w:rsidRPr="00E56159" w14:paraId="7E889E0F"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15DD3567"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Investment size</w:t>
            </w:r>
          </w:p>
        </w:tc>
        <w:tc>
          <w:tcPr>
            <w:tcW w:w="1152" w:type="dxa"/>
            <w:tcBorders>
              <w:top w:val="nil"/>
              <w:left w:val="nil"/>
              <w:bottom w:val="nil"/>
              <w:right w:val="nil"/>
            </w:tcBorders>
            <w:shd w:val="clear" w:color="auto" w:fill="auto"/>
            <w:noWrap/>
            <w:vAlign w:val="center"/>
            <w:hideMark/>
          </w:tcPr>
          <w:p w14:paraId="625670B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0.075</w:t>
            </w:r>
          </w:p>
        </w:tc>
        <w:tc>
          <w:tcPr>
            <w:tcW w:w="1152" w:type="dxa"/>
            <w:tcBorders>
              <w:top w:val="nil"/>
              <w:left w:val="nil"/>
              <w:bottom w:val="nil"/>
              <w:right w:val="nil"/>
            </w:tcBorders>
            <w:shd w:val="clear" w:color="auto" w:fill="auto"/>
            <w:noWrap/>
            <w:vAlign w:val="center"/>
            <w:hideMark/>
          </w:tcPr>
          <w:p w14:paraId="292EA3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0.034</w:t>
            </w:r>
          </w:p>
        </w:tc>
        <w:tc>
          <w:tcPr>
            <w:tcW w:w="1152" w:type="dxa"/>
            <w:tcBorders>
              <w:top w:val="nil"/>
              <w:left w:val="nil"/>
              <w:bottom w:val="nil"/>
              <w:right w:val="nil"/>
            </w:tcBorders>
            <w:shd w:val="clear" w:color="auto" w:fill="auto"/>
            <w:noWrap/>
            <w:vAlign w:val="center"/>
            <w:hideMark/>
          </w:tcPr>
          <w:p w14:paraId="7D4CC7F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-0.123</w:t>
            </w:r>
          </w:p>
        </w:tc>
        <w:tc>
          <w:tcPr>
            <w:tcW w:w="1152" w:type="dxa"/>
            <w:tcBorders>
              <w:top w:val="nil"/>
              <w:left w:val="nil"/>
              <w:bottom w:val="nil"/>
              <w:right w:val="nil"/>
            </w:tcBorders>
            <w:shd w:val="clear" w:color="auto" w:fill="auto"/>
            <w:noWrap/>
            <w:vAlign w:val="center"/>
            <w:hideMark/>
          </w:tcPr>
          <w:p w14:paraId="05A0A9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0.067</w:t>
            </w:r>
          </w:p>
        </w:tc>
        <w:tc>
          <w:tcPr>
            <w:tcW w:w="1152" w:type="dxa"/>
            <w:tcBorders>
              <w:top w:val="nil"/>
              <w:left w:val="nil"/>
              <w:bottom w:val="nil"/>
              <w:right w:val="nil"/>
            </w:tcBorders>
            <w:shd w:val="clear" w:color="auto" w:fill="auto"/>
            <w:noWrap/>
            <w:vAlign w:val="center"/>
            <w:hideMark/>
          </w:tcPr>
          <w:p w14:paraId="7F9CDBD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0.030</w:t>
            </w:r>
          </w:p>
        </w:tc>
        <w:tc>
          <w:tcPr>
            <w:tcW w:w="1152" w:type="dxa"/>
            <w:tcBorders>
              <w:top w:val="nil"/>
              <w:left w:val="nil"/>
              <w:bottom w:val="nil"/>
              <w:right w:val="nil"/>
            </w:tcBorders>
            <w:shd w:val="clear" w:color="auto" w:fill="auto"/>
            <w:noWrap/>
            <w:vAlign w:val="center"/>
            <w:hideMark/>
          </w:tcPr>
          <w:p w14:paraId="3FAA2CE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0.020</w:t>
            </w:r>
          </w:p>
        </w:tc>
      </w:tr>
      <w:tr w:rsidR="0019574C" w:rsidRPr="00E56159" w14:paraId="471FFA89" w14:textId="77777777" w:rsidTr="00EE0BCA">
        <w:trPr>
          <w:trHeight w:hRule="exact" w:val="245"/>
          <w:jc w:val="center"/>
        </w:trPr>
        <w:tc>
          <w:tcPr>
            <w:tcW w:w="2552" w:type="dxa"/>
            <w:vMerge/>
            <w:tcBorders>
              <w:top w:val="nil"/>
              <w:left w:val="nil"/>
              <w:bottom w:val="nil"/>
              <w:right w:val="nil"/>
            </w:tcBorders>
            <w:vAlign w:val="center"/>
            <w:hideMark/>
          </w:tcPr>
          <w:p w14:paraId="5A249BFC"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980FA2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(0.681)</w:t>
            </w:r>
          </w:p>
        </w:tc>
        <w:tc>
          <w:tcPr>
            <w:tcW w:w="1152" w:type="dxa"/>
            <w:tcBorders>
              <w:top w:val="nil"/>
              <w:left w:val="nil"/>
              <w:bottom w:val="nil"/>
              <w:right w:val="nil"/>
            </w:tcBorders>
            <w:shd w:val="clear" w:color="auto" w:fill="auto"/>
            <w:noWrap/>
            <w:vAlign w:val="center"/>
            <w:hideMark/>
          </w:tcPr>
          <w:p w14:paraId="740A4B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(0.862)</w:t>
            </w:r>
          </w:p>
        </w:tc>
        <w:tc>
          <w:tcPr>
            <w:tcW w:w="1152" w:type="dxa"/>
            <w:tcBorders>
              <w:top w:val="nil"/>
              <w:left w:val="nil"/>
              <w:bottom w:val="nil"/>
              <w:right w:val="nil"/>
            </w:tcBorders>
            <w:shd w:val="clear" w:color="auto" w:fill="auto"/>
            <w:noWrap/>
            <w:vAlign w:val="center"/>
            <w:hideMark/>
          </w:tcPr>
          <w:p w14:paraId="4A0C597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(0.851)</w:t>
            </w:r>
          </w:p>
        </w:tc>
        <w:tc>
          <w:tcPr>
            <w:tcW w:w="1152" w:type="dxa"/>
            <w:tcBorders>
              <w:top w:val="nil"/>
              <w:left w:val="nil"/>
              <w:bottom w:val="nil"/>
              <w:right w:val="nil"/>
            </w:tcBorders>
            <w:shd w:val="clear" w:color="auto" w:fill="auto"/>
            <w:noWrap/>
            <w:vAlign w:val="center"/>
            <w:hideMark/>
          </w:tcPr>
          <w:p w14:paraId="56D1D6E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(0.714)</w:t>
            </w:r>
          </w:p>
        </w:tc>
        <w:tc>
          <w:tcPr>
            <w:tcW w:w="1152" w:type="dxa"/>
            <w:tcBorders>
              <w:top w:val="nil"/>
              <w:left w:val="nil"/>
              <w:bottom w:val="nil"/>
              <w:right w:val="nil"/>
            </w:tcBorders>
            <w:shd w:val="clear" w:color="auto" w:fill="auto"/>
            <w:noWrap/>
            <w:vAlign w:val="center"/>
            <w:hideMark/>
          </w:tcPr>
          <w:p w14:paraId="4B2ECC4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(0.876)</w:t>
            </w:r>
          </w:p>
        </w:tc>
        <w:tc>
          <w:tcPr>
            <w:tcW w:w="1152" w:type="dxa"/>
            <w:tcBorders>
              <w:top w:val="nil"/>
              <w:left w:val="nil"/>
              <w:bottom w:val="nil"/>
              <w:right w:val="nil"/>
            </w:tcBorders>
            <w:shd w:val="clear" w:color="auto" w:fill="auto"/>
            <w:noWrap/>
            <w:vAlign w:val="center"/>
            <w:hideMark/>
          </w:tcPr>
          <w:p w14:paraId="5D60015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(0.908)</w:t>
            </w:r>
          </w:p>
        </w:tc>
      </w:tr>
      <w:tr w:rsidR="0019574C" w:rsidRPr="00E56159" w14:paraId="390A64A3"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30DB3FC0"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Greenfield</w:t>
            </w:r>
          </w:p>
        </w:tc>
        <w:tc>
          <w:tcPr>
            <w:tcW w:w="1152" w:type="dxa"/>
            <w:tcBorders>
              <w:top w:val="nil"/>
              <w:left w:val="nil"/>
              <w:bottom w:val="nil"/>
              <w:right w:val="nil"/>
            </w:tcBorders>
            <w:shd w:val="clear" w:color="auto" w:fill="auto"/>
            <w:noWrap/>
            <w:vAlign w:val="center"/>
            <w:hideMark/>
          </w:tcPr>
          <w:p w14:paraId="6629646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-0.765</w:t>
            </w:r>
          </w:p>
        </w:tc>
        <w:tc>
          <w:tcPr>
            <w:tcW w:w="1152" w:type="dxa"/>
            <w:tcBorders>
              <w:top w:val="nil"/>
              <w:left w:val="nil"/>
              <w:bottom w:val="nil"/>
              <w:right w:val="nil"/>
            </w:tcBorders>
            <w:shd w:val="clear" w:color="auto" w:fill="auto"/>
            <w:noWrap/>
            <w:vAlign w:val="center"/>
            <w:hideMark/>
          </w:tcPr>
          <w:p w14:paraId="5CFD40A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-0.763</w:t>
            </w:r>
          </w:p>
        </w:tc>
        <w:tc>
          <w:tcPr>
            <w:tcW w:w="1152" w:type="dxa"/>
            <w:tcBorders>
              <w:top w:val="nil"/>
              <w:left w:val="nil"/>
              <w:bottom w:val="nil"/>
              <w:right w:val="nil"/>
            </w:tcBorders>
            <w:shd w:val="clear" w:color="auto" w:fill="auto"/>
            <w:noWrap/>
            <w:vAlign w:val="center"/>
            <w:hideMark/>
          </w:tcPr>
          <w:p w14:paraId="7AA5DE7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-7.216</w:t>
            </w:r>
          </w:p>
        </w:tc>
        <w:tc>
          <w:tcPr>
            <w:tcW w:w="1152" w:type="dxa"/>
            <w:tcBorders>
              <w:top w:val="nil"/>
              <w:left w:val="nil"/>
              <w:bottom w:val="nil"/>
              <w:right w:val="nil"/>
            </w:tcBorders>
            <w:shd w:val="clear" w:color="auto" w:fill="auto"/>
            <w:noWrap/>
            <w:vAlign w:val="center"/>
            <w:hideMark/>
          </w:tcPr>
          <w:p w14:paraId="48557E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-0.629</w:t>
            </w:r>
          </w:p>
        </w:tc>
        <w:tc>
          <w:tcPr>
            <w:tcW w:w="1152" w:type="dxa"/>
            <w:tcBorders>
              <w:top w:val="nil"/>
              <w:left w:val="nil"/>
              <w:bottom w:val="nil"/>
              <w:right w:val="nil"/>
            </w:tcBorders>
            <w:shd w:val="clear" w:color="auto" w:fill="auto"/>
            <w:noWrap/>
            <w:vAlign w:val="center"/>
            <w:hideMark/>
          </w:tcPr>
          <w:p w14:paraId="12EFA35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-0.610</w:t>
            </w:r>
          </w:p>
        </w:tc>
        <w:tc>
          <w:tcPr>
            <w:tcW w:w="1152" w:type="dxa"/>
            <w:tcBorders>
              <w:top w:val="nil"/>
              <w:left w:val="nil"/>
              <w:bottom w:val="nil"/>
              <w:right w:val="nil"/>
            </w:tcBorders>
            <w:shd w:val="clear" w:color="auto" w:fill="auto"/>
            <w:noWrap/>
            <w:vAlign w:val="center"/>
            <w:hideMark/>
          </w:tcPr>
          <w:p w14:paraId="0E5A4B6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-0.564</w:t>
            </w:r>
          </w:p>
        </w:tc>
      </w:tr>
      <w:tr w:rsidR="0019574C" w:rsidRPr="00E56159" w14:paraId="01DF80C9" w14:textId="77777777" w:rsidTr="00EE0BCA">
        <w:trPr>
          <w:trHeight w:hRule="exact" w:val="245"/>
          <w:jc w:val="center"/>
        </w:trPr>
        <w:tc>
          <w:tcPr>
            <w:tcW w:w="2552" w:type="dxa"/>
            <w:vMerge/>
            <w:tcBorders>
              <w:top w:val="nil"/>
              <w:left w:val="nil"/>
              <w:bottom w:val="nil"/>
              <w:right w:val="nil"/>
            </w:tcBorders>
            <w:vAlign w:val="center"/>
            <w:hideMark/>
          </w:tcPr>
          <w:p w14:paraId="5EC394FC"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037643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(0.043)</w:t>
            </w:r>
          </w:p>
        </w:tc>
        <w:tc>
          <w:tcPr>
            <w:tcW w:w="1152" w:type="dxa"/>
            <w:tcBorders>
              <w:top w:val="nil"/>
              <w:left w:val="nil"/>
              <w:bottom w:val="nil"/>
              <w:right w:val="nil"/>
            </w:tcBorders>
            <w:shd w:val="clear" w:color="auto" w:fill="auto"/>
            <w:noWrap/>
            <w:vAlign w:val="center"/>
            <w:hideMark/>
          </w:tcPr>
          <w:p w14:paraId="380D1FB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(0.101)</w:t>
            </w:r>
          </w:p>
        </w:tc>
        <w:tc>
          <w:tcPr>
            <w:tcW w:w="1152" w:type="dxa"/>
            <w:tcBorders>
              <w:top w:val="nil"/>
              <w:left w:val="nil"/>
              <w:bottom w:val="nil"/>
              <w:right w:val="nil"/>
            </w:tcBorders>
            <w:shd w:val="clear" w:color="auto" w:fill="auto"/>
            <w:noWrap/>
            <w:vAlign w:val="center"/>
            <w:hideMark/>
          </w:tcPr>
          <w:p w14:paraId="6A86D27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(0.067)</w:t>
            </w:r>
          </w:p>
        </w:tc>
        <w:tc>
          <w:tcPr>
            <w:tcW w:w="1152" w:type="dxa"/>
            <w:tcBorders>
              <w:top w:val="nil"/>
              <w:left w:val="nil"/>
              <w:bottom w:val="nil"/>
              <w:right w:val="nil"/>
            </w:tcBorders>
            <w:shd w:val="clear" w:color="auto" w:fill="auto"/>
            <w:noWrap/>
            <w:vAlign w:val="center"/>
            <w:hideMark/>
          </w:tcPr>
          <w:p w14:paraId="5144623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(0.089)</w:t>
            </w:r>
          </w:p>
        </w:tc>
        <w:tc>
          <w:tcPr>
            <w:tcW w:w="1152" w:type="dxa"/>
            <w:tcBorders>
              <w:top w:val="nil"/>
              <w:left w:val="nil"/>
              <w:bottom w:val="nil"/>
              <w:right w:val="nil"/>
            </w:tcBorders>
            <w:shd w:val="clear" w:color="auto" w:fill="auto"/>
            <w:noWrap/>
            <w:vAlign w:val="center"/>
            <w:hideMark/>
          </w:tcPr>
          <w:p w14:paraId="47799D8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(0.144)</w:t>
            </w:r>
          </w:p>
        </w:tc>
        <w:tc>
          <w:tcPr>
            <w:tcW w:w="1152" w:type="dxa"/>
            <w:tcBorders>
              <w:top w:val="nil"/>
              <w:left w:val="nil"/>
              <w:bottom w:val="nil"/>
              <w:right w:val="nil"/>
            </w:tcBorders>
            <w:shd w:val="clear" w:color="auto" w:fill="auto"/>
            <w:noWrap/>
            <w:vAlign w:val="center"/>
            <w:hideMark/>
          </w:tcPr>
          <w:p w14:paraId="1F9DC01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(0.208)</w:t>
            </w:r>
          </w:p>
        </w:tc>
      </w:tr>
      <w:tr w:rsidR="0019574C" w:rsidRPr="00E56159" w14:paraId="01FDD5C2"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765C629A"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Government contract</w:t>
            </w:r>
          </w:p>
        </w:tc>
        <w:tc>
          <w:tcPr>
            <w:tcW w:w="1152" w:type="dxa"/>
            <w:tcBorders>
              <w:top w:val="nil"/>
              <w:left w:val="nil"/>
              <w:bottom w:val="nil"/>
              <w:right w:val="nil"/>
            </w:tcBorders>
            <w:shd w:val="clear" w:color="auto" w:fill="auto"/>
            <w:noWrap/>
            <w:vAlign w:val="center"/>
            <w:hideMark/>
          </w:tcPr>
          <w:p w14:paraId="513FA80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-1.323</w:t>
            </w:r>
          </w:p>
        </w:tc>
        <w:tc>
          <w:tcPr>
            <w:tcW w:w="1152" w:type="dxa"/>
            <w:tcBorders>
              <w:top w:val="nil"/>
              <w:left w:val="nil"/>
              <w:bottom w:val="nil"/>
              <w:right w:val="nil"/>
            </w:tcBorders>
            <w:shd w:val="clear" w:color="auto" w:fill="auto"/>
            <w:noWrap/>
            <w:vAlign w:val="center"/>
            <w:hideMark/>
          </w:tcPr>
          <w:p w14:paraId="121D1B1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-1.397</w:t>
            </w:r>
          </w:p>
        </w:tc>
        <w:tc>
          <w:tcPr>
            <w:tcW w:w="1152" w:type="dxa"/>
            <w:tcBorders>
              <w:top w:val="nil"/>
              <w:left w:val="nil"/>
              <w:bottom w:val="nil"/>
              <w:right w:val="nil"/>
            </w:tcBorders>
            <w:shd w:val="clear" w:color="auto" w:fill="auto"/>
            <w:noWrap/>
            <w:vAlign w:val="center"/>
            <w:hideMark/>
          </w:tcPr>
          <w:p w14:paraId="01A4E3F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0.611</w:t>
            </w:r>
          </w:p>
        </w:tc>
        <w:tc>
          <w:tcPr>
            <w:tcW w:w="1152" w:type="dxa"/>
            <w:tcBorders>
              <w:top w:val="nil"/>
              <w:left w:val="nil"/>
              <w:bottom w:val="nil"/>
              <w:right w:val="nil"/>
            </w:tcBorders>
            <w:shd w:val="clear" w:color="auto" w:fill="auto"/>
            <w:noWrap/>
            <w:vAlign w:val="center"/>
            <w:hideMark/>
          </w:tcPr>
          <w:p w14:paraId="2DCA9E2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-1.310</w:t>
            </w:r>
          </w:p>
        </w:tc>
        <w:tc>
          <w:tcPr>
            <w:tcW w:w="1152" w:type="dxa"/>
            <w:tcBorders>
              <w:top w:val="nil"/>
              <w:left w:val="nil"/>
              <w:bottom w:val="nil"/>
              <w:right w:val="nil"/>
            </w:tcBorders>
            <w:shd w:val="clear" w:color="auto" w:fill="auto"/>
            <w:noWrap/>
            <w:vAlign w:val="center"/>
            <w:hideMark/>
          </w:tcPr>
          <w:p w14:paraId="5121F7B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-1.367</w:t>
            </w:r>
          </w:p>
        </w:tc>
        <w:tc>
          <w:tcPr>
            <w:tcW w:w="1152" w:type="dxa"/>
            <w:tcBorders>
              <w:top w:val="nil"/>
              <w:left w:val="nil"/>
              <w:bottom w:val="nil"/>
              <w:right w:val="nil"/>
            </w:tcBorders>
            <w:shd w:val="clear" w:color="auto" w:fill="auto"/>
            <w:noWrap/>
            <w:vAlign w:val="center"/>
            <w:hideMark/>
          </w:tcPr>
          <w:p w14:paraId="1F28F9A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-1.423</w:t>
            </w:r>
          </w:p>
        </w:tc>
      </w:tr>
      <w:tr w:rsidR="0019574C" w:rsidRPr="00E56159" w14:paraId="0A528F65" w14:textId="77777777" w:rsidTr="00EE0BCA">
        <w:trPr>
          <w:trHeight w:hRule="exact" w:val="245"/>
          <w:jc w:val="center"/>
        </w:trPr>
        <w:tc>
          <w:tcPr>
            <w:tcW w:w="2552" w:type="dxa"/>
            <w:vMerge/>
            <w:tcBorders>
              <w:top w:val="nil"/>
              <w:left w:val="nil"/>
              <w:bottom w:val="nil"/>
              <w:right w:val="nil"/>
            </w:tcBorders>
            <w:vAlign w:val="center"/>
            <w:hideMark/>
          </w:tcPr>
          <w:p w14:paraId="01FE2A67"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EAD6A5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DD6646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14D7520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(0.856)</w:t>
            </w:r>
          </w:p>
        </w:tc>
        <w:tc>
          <w:tcPr>
            <w:tcW w:w="1152" w:type="dxa"/>
            <w:tcBorders>
              <w:top w:val="nil"/>
              <w:left w:val="nil"/>
              <w:bottom w:val="nil"/>
              <w:right w:val="nil"/>
            </w:tcBorders>
            <w:shd w:val="clear" w:color="auto" w:fill="auto"/>
            <w:noWrap/>
            <w:vAlign w:val="center"/>
            <w:hideMark/>
          </w:tcPr>
          <w:p w14:paraId="2371BEA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5DAC527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36E500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672A3E01"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1C53C054"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Energy</w:t>
            </w:r>
          </w:p>
        </w:tc>
        <w:tc>
          <w:tcPr>
            <w:tcW w:w="1152" w:type="dxa"/>
            <w:tcBorders>
              <w:top w:val="nil"/>
              <w:left w:val="nil"/>
              <w:bottom w:val="nil"/>
              <w:right w:val="nil"/>
            </w:tcBorders>
            <w:shd w:val="clear" w:color="auto" w:fill="auto"/>
            <w:noWrap/>
            <w:vAlign w:val="center"/>
            <w:hideMark/>
          </w:tcPr>
          <w:p w14:paraId="540617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-1.408</w:t>
            </w:r>
          </w:p>
        </w:tc>
        <w:tc>
          <w:tcPr>
            <w:tcW w:w="1152" w:type="dxa"/>
            <w:tcBorders>
              <w:top w:val="nil"/>
              <w:left w:val="nil"/>
              <w:bottom w:val="nil"/>
              <w:right w:val="nil"/>
            </w:tcBorders>
            <w:shd w:val="clear" w:color="auto" w:fill="auto"/>
            <w:noWrap/>
            <w:vAlign w:val="center"/>
            <w:hideMark/>
          </w:tcPr>
          <w:p w14:paraId="08C26F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-1.116</w:t>
            </w:r>
          </w:p>
        </w:tc>
        <w:tc>
          <w:tcPr>
            <w:tcW w:w="1152" w:type="dxa"/>
            <w:tcBorders>
              <w:top w:val="nil"/>
              <w:left w:val="nil"/>
              <w:bottom w:val="nil"/>
              <w:right w:val="nil"/>
            </w:tcBorders>
            <w:shd w:val="clear" w:color="auto" w:fill="auto"/>
            <w:noWrap/>
            <w:vAlign w:val="center"/>
            <w:hideMark/>
          </w:tcPr>
          <w:p w14:paraId="263DC98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-0.686</w:t>
            </w:r>
          </w:p>
        </w:tc>
        <w:tc>
          <w:tcPr>
            <w:tcW w:w="1152" w:type="dxa"/>
            <w:tcBorders>
              <w:top w:val="nil"/>
              <w:left w:val="nil"/>
              <w:bottom w:val="nil"/>
              <w:right w:val="nil"/>
            </w:tcBorders>
            <w:shd w:val="clear" w:color="auto" w:fill="auto"/>
            <w:noWrap/>
            <w:vAlign w:val="center"/>
            <w:hideMark/>
          </w:tcPr>
          <w:p w14:paraId="2B68924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-1.577</w:t>
            </w:r>
          </w:p>
        </w:tc>
        <w:tc>
          <w:tcPr>
            <w:tcW w:w="1152" w:type="dxa"/>
            <w:tcBorders>
              <w:top w:val="nil"/>
              <w:left w:val="nil"/>
              <w:bottom w:val="nil"/>
              <w:right w:val="nil"/>
            </w:tcBorders>
            <w:shd w:val="clear" w:color="auto" w:fill="auto"/>
            <w:noWrap/>
            <w:vAlign w:val="center"/>
            <w:hideMark/>
          </w:tcPr>
          <w:p w14:paraId="65BFEED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-1.319</w:t>
            </w:r>
          </w:p>
        </w:tc>
        <w:tc>
          <w:tcPr>
            <w:tcW w:w="1152" w:type="dxa"/>
            <w:tcBorders>
              <w:top w:val="nil"/>
              <w:left w:val="nil"/>
              <w:bottom w:val="nil"/>
              <w:right w:val="nil"/>
            </w:tcBorders>
            <w:shd w:val="clear" w:color="auto" w:fill="auto"/>
            <w:noWrap/>
            <w:vAlign w:val="center"/>
            <w:hideMark/>
          </w:tcPr>
          <w:p w14:paraId="0F3B0B3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-1.468</w:t>
            </w:r>
          </w:p>
        </w:tc>
      </w:tr>
      <w:tr w:rsidR="0019574C" w:rsidRPr="00E56159" w14:paraId="758FC6C2" w14:textId="77777777" w:rsidTr="00EE0BCA">
        <w:trPr>
          <w:trHeight w:hRule="exact" w:val="245"/>
          <w:jc w:val="center"/>
        </w:trPr>
        <w:tc>
          <w:tcPr>
            <w:tcW w:w="2552" w:type="dxa"/>
            <w:vMerge/>
            <w:tcBorders>
              <w:top w:val="nil"/>
              <w:left w:val="nil"/>
              <w:bottom w:val="nil"/>
              <w:right w:val="nil"/>
            </w:tcBorders>
            <w:vAlign w:val="center"/>
            <w:hideMark/>
          </w:tcPr>
          <w:p w14:paraId="5A99A452"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341D69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(0.038)</w:t>
            </w:r>
          </w:p>
        </w:tc>
        <w:tc>
          <w:tcPr>
            <w:tcW w:w="1152" w:type="dxa"/>
            <w:tcBorders>
              <w:top w:val="nil"/>
              <w:left w:val="nil"/>
              <w:bottom w:val="nil"/>
              <w:right w:val="nil"/>
            </w:tcBorders>
            <w:shd w:val="clear" w:color="auto" w:fill="auto"/>
            <w:noWrap/>
            <w:vAlign w:val="center"/>
            <w:hideMark/>
          </w:tcPr>
          <w:p w14:paraId="1FD197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(0.109)</w:t>
            </w:r>
          </w:p>
        </w:tc>
        <w:tc>
          <w:tcPr>
            <w:tcW w:w="1152" w:type="dxa"/>
            <w:tcBorders>
              <w:top w:val="nil"/>
              <w:left w:val="nil"/>
              <w:bottom w:val="nil"/>
              <w:right w:val="nil"/>
            </w:tcBorders>
            <w:shd w:val="clear" w:color="auto" w:fill="auto"/>
            <w:noWrap/>
            <w:vAlign w:val="center"/>
            <w:hideMark/>
          </w:tcPr>
          <w:p w14:paraId="46B76C2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(0.848)</w:t>
            </w:r>
          </w:p>
        </w:tc>
        <w:tc>
          <w:tcPr>
            <w:tcW w:w="1152" w:type="dxa"/>
            <w:tcBorders>
              <w:top w:val="nil"/>
              <w:left w:val="nil"/>
              <w:bottom w:val="nil"/>
              <w:right w:val="nil"/>
            </w:tcBorders>
            <w:shd w:val="clear" w:color="auto" w:fill="auto"/>
            <w:noWrap/>
            <w:vAlign w:val="center"/>
            <w:hideMark/>
          </w:tcPr>
          <w:p w14:paraId="05BBFD7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(0.007)</w:t>
            </w:r>
          </w:p>
        </w:tc>
        <w:tc>
          <w:tcPr>
            <w:tcW w:w="1152" w:type="dxa"/>
            <w:tcBorders>
              <w:top w:val="nil"/>
              <w:left w:val="nil"/>
              <w:bottom w:val="nil"/>
              <w:right w:val="nil"/>
            </w:tcBorders>
            <w:shd w:val="clear" w:color="auto" w:fill="auto"/>
            <w:noWrap/>
            <w:vAlign w:val="center"/>
            <w:hideMark/>
          </w:tcPr>
          <w:p w14:paraId="17F873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(0.029)</w:t>
            </w:r>
          </w:p>
        </w:tc>
        <w:tc>
          <w:tcPr>
            <w:tcW w:w="1152" w:type="dxa"/>
            <w:tcBorders>
              <w:top w:val="nil"/>
              <w:left w:val="nil"/>
              <w:bottom w:val="nil"/>
              <w:right w:val="nil"/>
            </w:tcBorders>
            <w:shd w:val="clear" w:color="auto" w:fill="auto"/>
            <w:noWrap/>
            <w:vAlign w:val="center"/>
            <w:hideMark/>
          </w:tcPr>
          <w:p w14:paraId="3175216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(0.018)</w:t>
            </w:r>
          </w:p>
        </w:tc>
      </w:tr>
      <w:tr w:rsidR="0019574C" w:rsidRPr="00E56159" w14:paraId="5CCEBB3B"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27C8E5DB"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Transport</w:t>
            </w:r>
          </w:p>
        </w:tc>
        <w:tc>
          <w:tcPr>
            <w:tcW w:w="1152" w:type="dxa"/>
            <w:tcBorders>
              <w:top w:val="nil"/>
              <w:left w:val="nil"/>
              <w:bottom w:val="nil"/>
              <w:right w:val="nil"/>
            </w:tcBorders>
            <w:shd w:val="clear" w:color="auto" w:fill="auto"/>
            <w:noWrap/>
            <w:vAlign w:val="center"/>
            <w:hideMark/>
          </w:tcPr>
          <w:p w14:paraId="6126D34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-1.124</w:t>
            </w:r>
          </w:p>
        </w:tc>
        <w:tc>
          <w:tcPr>
            <w:tcW w:w="1152" w:type="dxa"/>
            <w:tcBorders>
              <w:top w:val="nil"/>
              <w:left w:val="nil"/>
              <w:bottom w:val="nil"/>
              <w:right w:val="nil"/>
            </w:tcBorders>
            <w:shd w:val="clear" w:color="auto" w:fill="auto"/>
            <w:noWrap/>
            <w:vAlign w:val="center"/>
            <w:hideMark/>
          </w:tcPr>
          <w:p w14:paraId="2983568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-0.840</w:t>
            </w:r>
          </w:p>
        </w:tc>
        <w:tc>
          <w:tcPr>
            <w:tcW w:w="1152" w:type="dxa"/>
            <w:tcBorders>
              <w:top w:val="nil"/>
              <w:left w:val="nil"/>
              <w:bottom w:val="nil"/>
              <w:right w:val="nil"/>
            </w:tcBorders>
            <w:shd w:val="clear" w:color="auto" w:fill="auto"/>
            <w:noWrap/>
            <w:vAlign w:val="center"/>
            <w:hideMark/>
          </w:tcPr>
          <w:p w14:paraId="2E9A704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-10.649</w:t>
            </w:r>
          </w:p>
        </w:tc>
        <w:tc>
          <w:tcPr>
            <w:tcW w:w="1152" w:type="dxa"/>
            <w:tcBorders>
              <w:top w:val="nil"/>
              <w:left w:val="nil"/>
              <w:bottom w:val="nil"/>
              <w:right w:val="nil"/>
            </w:tcBorders>
            <w:shd w:val="clear" w:color="auto" w:fill="auto"/>
            <w:noWrap/>
            <w:vAlign w:val="center"/>
            <w:hideMark/>
          </w:tcPr>
          <w:p w14:paraId="75D300D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-1.092</w:t>
            </w:r>
          </w:p>
        </w:tc>
        <w:tc>
          <w:tcPr>
            <w:tcW w:w="1152" w:type="dxa"/>
            <w:tcBorders>
              <w:top w:val="nil"/>
              <w:left w:val="nil"/>
              <w:bottom w:val="nil"/>
              <w:right w:val="nil"/>
            </w:tcBorders>
            <w:shd w:val="clear" w:color="auto" w:fill="auto"/>
            <w:noWrap/>
            <w:vAlign w:val="center"/>
            <w:hideMark/>
          </w:tcPr>
          <w:p w14:paraId="3AD4A4F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-0.851</w:t>
            </w:r>
          </w:p>
        </w:tc>
        <w:tc>
          <w:tcPr>
            <w:tcW w:w="1152" w:type="dxa"/>
            <w:tcBorders>
              <w:top w:val="nil"/>
              <w:left w:val="nil"/>
              <w:bottom w:val="nil"/>
              <w:right w:val="nil"/>
            </w:tcBorders>
            <w:shd w:val="clear" w:color="auto" w:fill="auto"/>
            <w:noWrap/>
            <w:vAlign w:val="center"/>
            <w:hideMark/>
          </w:tcPr>
          <w:p w14:paraId="0AC904E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-0.835</w:t>
            </w:r>
          </w:p>
        </w:tc>
      </w:tr>
      <w:tr w:rsidR="0019574C" w:rsidRPr="00E56159" w14:paraId="532A69AF" w14:textId="77777777" w:rsidTr="00EE0BCA">
        <w:trPr>
          <w:trHeight w:hRule="exact" w:val="245"/>
          <w:jc w:val="center"/>
        </w:trPr>
        <w:tc>
          <w:tcPr>
            <w:tcW w:w="2552" w:type="dxa"/>
            <w:vMerge/>
            <w:tcBorders>
              <w:top w:val="nil"/>
              <w:left w:val="nil"/>
              <w:bottom w:val="nil"/>
              <w:right w:val="nil"/>
            </w:tcBorders>
            <w:vAlign w:val="center"/>
            <w:hideMark/>
          </w:tcPr>
          <w:p w14:paraId="01F1BD0D"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1EE3D7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1BB7E7D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(0.144)</w:t>
            </w:r>
          </w:p>
        </w:tc>
        <w:tc>
          <w:tcPr>
            <w:tcW w:w="1152" w:type="dxa"/>
            <w:tcBorders>
              <w:top w:val="nil"/>
              <w:left w:val="nil"/>
              <w:bottom w:val="nil"/>
              <w:right w:val="nil"/>
            </w:tcBorders>
            <w:shd w:val="clear" w:color="auto" w:fill="auto"/>
            <w:noWrap/>
            <w:vAlign w:val="center"/>
            <w:hideMark/>
          </w:tcPr>
          <w:p w14:paraId="794671D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(0.024)</w:t>
            </w:r>
          </w:p>
        </w:tc>
        <w:tc>
          <w:tcPr>
            <w:tcW w:w="1152" w:type="dxa"/>
            <w:tcBorders>
              <w:top w:val="nil"/>
              <w:left w:val="nil"/>
              <w:bottom w:val="nil"/>
              <w:right w:val="nil"/>
            </w:tcBorders>
            <w:shd w:val="clear" w:color="auto" w:fill="auto"/>
            <w:noWrap/>
            <w:vAlign w:val="center"/>
            <w:hideMark/>
          </w:tcPr>
          <w:p w14:paraId="1E89D7D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(0.059)</w:t>
            </w:r>
          </w:p>
        </w:tc>
        <w:tc>
          <w:tcPr>
            <w:tcW w:w="1152" w:type="dxa"/>
            <w:tcBorders>
              <w:top w:val="nil"/>
              <w:left w:val="nil"/>
              <w:bottom w:val="nil"/>
              <w:right w:val="nil"/>
            </w:tcBorders>
            <w:shd w:val="clear" w:color="auto" w:fill="auto"/>
            <w:noWrap/>
            <w:vAlign w:val="center"/>
            <w:hideMark/>
          </w:tcPr>
          <w:p w14:paraId="292A167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(0.139)</w:t>
            </w:r>
          </w:p>
        </w:tc>
        <w:tc>
          <w:tcPr>
            <w:tcW w:w="1152" w:type="dxa"/>
            <w:tcBorders>
              <w:top w:val="nil"/>
              <w:left w:val="nil"/>
              <w:bottom w:val="nil"/>
              <w:right w:val="nil"/>
            </w:tcBorders>
            <w:shd w:val="clear" w:color="auto" w:fill="auto"/>
            <w:noWrap/>
            <w:vAlign w:val="center"/>
            <w:hideMark/>
          </w:tcPr>
          <w:p w14:paraId="4EACB86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(0.135)</w:t>
            </w:r>
          </w:p>
        </w:tc>
      </w:tr>
      <w:tr w:rsidR="0019574C" w:rsidRPr="00E56159" w14:paraId="051D3942"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1D252F80"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GDP growth</w:t>
            </w:r>
          </w:p>
        </w:tc>
        <w:tc>
          <w:tcPr>
            <w:tcW w:w="1152" w:type="dxa"/>
            <w:tcBorders>
              <w:top w:val="nil"/>
              <w:left w:val="nil"/>
              <w:bottom w:val="nil"/>
              <w:right w:val="nil"/>
            </w:tcBorders>
            <w:shd w:val="clear" w:color="auto" w:fill="auto"/>
            <w:noWrap/>
            <w:vAlign w:val="center"/>
            <w:hideMark/>
          </w:tcPr>
          <w:p w14:paraId="369BFB9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0.164</w:t>
            </w:r>
          </w:p>
        </w:tc>
        <w:tc>
          <w:tcPr>
            <w:tcW w:w="1152" w:type="dxa"/>
            <w:tcBorders>
              <w:top w:val="nil"/>
              <w:left w:val="nil"/>
              <w:bottom w:val="nil"/>
              <w:right w:val="nil"/>
            </w:tcBorders>
            <w:shd w:val="clear" w:color="auto" w:fill="auto"/>
            <w:noWrap/>
            <w:vAlign w:val="center"/>
            <w:hideMark/>
          </w:tcPr>
          <w:p w14:paraId="190EE11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0.174</w:t>
            </w:r>
          </w:p>
        </w:tc>
        <w:tc>
          <w:tcPr>
            <w:tcW w:w="1152" w:type="dxa"/>
            <w:tcBorders>
              <w:top w:val="nil"/>
              <w:left w:val="nil"/>
              <w:bottom w:val="nil"/>
              <w:right w:val="nil"/>
            </w:tcBorders>
            <w:shd w:val="clear" w:color="auto" w:fill="auto"/>
            <w:noWrap/>
            <w:vAlign w:val="center"/>
            <w:hideMark/>
          </w:tcPr>
          <w:p w14:paraId="6ADEDD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-0.131</w:t>
            </w:r>
          </w:p>
        </w:tc>
        <w:tc>
          <w:tcPr>
            <w:tcW w:w="1152" w:type="dxa"/>
            <w:tcBorders>
              <w:top w:val="nil"/>
              <w:left w:val="nil"/>
              <w:bottom w:val="nil"/>
              <w:right w:val="nil"/>
            </w:tcBorders>
            <w:shd w:val="clear" w:color="auto" w:fill="auto"/>
            <w:noWrap/>
            <w:vAlign w:val="center"/>
            <w:hideMark/>
          </w:tcPr>
          <w:p w14:paraId="02E5E65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0.171</w:t>
            </w:r>
          </w:p>
        </w:tc>
        <w:tc>
          <w:tcPr>
            <w:tcW w:w="1152" w:type="dxa"/>
            <w:tcBorders>
              <w:top w:val="nil"/>
              <w:left w:val="nil"/>
              <w:bottom w:val="nil"/>
              <w:right w:val="nil"/>
            </w:tcBorders>
            <w:shd w:val="clear" w:color="auto" w:fill="auto"/>
            <w:noWrap/>
            <w:vAlign w:val="center"/>
            <w:hideMark/>
          </w:tcPr>
          <w:p w14:paraId="48C1ED4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0.179</w:t>
            </w:r>
          </w:p>
        </w:tc>
        <w:tc>
          <w:tcPr>
            <w:tcW w:w="1152" w:type="dxa"/>
            <w:tcBorders>
              <w:top w:val="nil"/>
              <w:left w:val="nil"/>
              <w:bottom w:val="nil"/>
              <w:right w:val="nil"/>
            </w:tcBorders>
            <w:shd w:val="clear" w:color="auto" w:fill="auto"/>
            <w:noWrap/>
            <w:vAlign w:val="center"/>
            <w:hideMark/>
          </w:tcPr>
          <w:p w14:paraId="52B8583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0.170</w:t>
            </w:r>
          </w:p>
        </w:tc>
      </w:tr>
      <w:tr w:rsidR="0019574C" w:rsidRPr="00E56159" w14:paraId="3FFA2510" w14:textId="77777777" w:rsidTr="00EE0BCA">
        <w:trPr>
          <w:trHeight w:hRule="exact" w:val="245"/>
          <w:jc w:val="center"/>
        </w:trPr>
        <w:tc>
          <w:tcPr>
            <w:tcW w:w="2552" w:type="dxa"/>
            <w:vMerge/>
            <w:tcBorders>
              <w:top w:val="nil"/>
              <w:left w:val="nil"/>
              <w:bottom w:val="nil"/>
              <w:right w:val="nil"/>
            </w:tcBorders>
            <w:vAlign w:val="center"/>
            <w:hideMark/>
          </w:tcPr>
          <w:p w14:paraId="4D2A5571"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C1CC04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609DAD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631CF24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(0.150)</w:t>
            </w:r>
          </w:p>
        </w:tc>
        <w:tc>
          <w:tcPr>
            <w:tcW w:w="1152" w:type="dxa"/>
            <w:tcBorders>
              <w:top w:val="nil"/>
              <w:left w:val="nil"/>
              <w:bottom w:val="nil"/>
              <w:right w:val="nil"/>
            </w:tcBorders>
            <w:shd w:val="clear" w:color="auto" w:fill="auto"/>
            <w:noWrap/>
            <w:vAlign w:val="center"/>
            <w:hideMark/>
          </w:tcPr>
          <w:p w14:paraId="688739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6B7B31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705D224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7EAF4691"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7A6CB418"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GDP</w:t>
            </w:r>
          </w:p>
        </w:tc>
        <w:tc>
          <w:tcPr>
            <w:tcW w:w="1152" w:type="dxa"/>
            <w:tcBorders>
              <w:top w:val="nil"/>
              <w:left w:val="nil"/>
              <w:bottom w:val="nil"/>
              <w:right w:val="nil"/>
            </w:tcBorders>
            <w:shd w:val="clear" w:color="auto" w:fill="auto"/>
            <w:noWrap/>
            <w:vAlign w:val="center"/>
            <w:hideMark/>
          </w:tcPr>
          <w:p w14:paraId="3746026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-0.611</w:t>
            </w:r>
          </w:p>
        </w:tc>
        <w:tc>
          <w:tcPr>
            <w:tcW w:w="1152" w:type="dxa"/>
            <w:tcBorders>
              <w:top w:val="nil"/>
              <w:left w:val="nil"/>
              <w:bottom w:val="nil"/>
              <w:right w:val="nil"/>
            </w:tcBorders>
            <w:shd w:val="clear" w:color="auto" w:fill="auto"/>
            <w:noWrap/>
            <w:vAlign w:val="center"/>
            <w:hideMark/>
          </w:tcPr>
          <w:p w14:paraId="13D691F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-0.497</w:t>
            </w:r>
          </w:p>
        </w:tc>
        <w:tc>
          <w:tcPr>
            <w:tcW w:w="1152" w:type="dxa"/>
            <w:tcBorders>
              <w:top w:val="nil"/>
              <w:left w:val="nil"/>
              <w:bottom w:val="nil"/>
              <w:right w:val="nil"/>
            </w:tcBorders>
            <w:shd w:val="clear" w:color="auto" w:fill="auto"/>
            <w:noWrap/>
            <w:vAlign w:val="center"/>
            <w:hideMark/>
          </w:tcPr>
          <w:p w14:paraId="29AA903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0.579</w:t>
            </w:r>
          </w:p>
        </w:tc>
        <w:tc>
          <w:tcPr>
            <w:tcW w:w="1152" w:type="dxa"/>
            <w:tcBorders>
              <w:top w:val="nil"/>
              <w:left w:val="nil"/>
              <w:bottom w:val="nil"/>
              <w:right w:val="nil"/>
            </w:tcBorders>
            <w:shd w:val="clear" w:color="auto" w:fill="auto"/>
            <w:noWrap/>
            <w:vAlign w:val="center"/>
            <w:hideMark/>
          </w:tcPr>
          <w:p w14:paraId="0F6A6B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-0.570</w:t>
            </w:r>
          </w:p>
        </w:tc>
        <w:tc>
          <w:tcPr>
            <w:tcW w:w="1152" w:type="dxa"/>
            <w:tcBorders>
              <w:top w:val="nil"/>
              <w:left w:val="nil"/>
              <w:bottom w:val="nil"/>
              <w:right w:val="nil"/>
            </w:tcBorders>
            <w:shd w:val="clear" w:color="auto" w:fill="auto"/>
            <w:noWrap/>
            <w:vAlign w:val="center"/>
            <w:hideMark/>
          </w:tcPr>
          <w:p w14:paraId="0098295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-0.480</w:t>
            </w:r>
          </w:p>
        </w:tc>
        <w:tc>
          <w:tcPr>
            <w:tcW w:w="1152" w:type="dxa"/>
            <w:tcBorders>
              <w:top w:val="nil"/>
              <w:left w:val="nil"/>
              <w:bottom w:val="nil"/>
              <w:right w:val="nil"/>
            </w:tcBorders>
            <w:shd w:val="clear" w:color="auto" w:fill="auto"/>
            <w:noWrap/>
            <w:vAlign w:val="center"/>
            <w:hideMark/>
          </w:tcPr>
          <w:p w14:paraId="68757FA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-0.525</w:t>
            </w:r>
          </w:p>
        </w:tc>
      </w:tr>
      <w:tr w:rsidR="0019574C" w:rsidRPr="00E56159" w14:paraId="3DDF37FC" w14:textId="77777777" w:rsidTr="00EE0BCA">
        <w:trPr>
          <w:trHeight w:hRule="exact" w:val="245"/>
          <w:jc w:val="center"/>
        </w:trPr>
        <w:tc>
          <w:tcPr>
            <w:tcW w:w="2552" w:type="dxa"/>
            <w:vMerge/>
            <w:tcBorders>
              <w:top w:val="nil"/>
              <w:left w:val="nil"/>
              <w:bottom w:val="nil"/>
              <w:right w:val="nil"/>
            </w:tcBorders>
            <w:vAlign w:val="center"/>
            <w:hideMark/>
          </w:tcPr>
          <w:p w14:paraId="25331B9E"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4B7487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c>
          <w:tcPr>
            <w:tcW w:w="1152" w:type="dxa"/>
            <w:tcBorders>
              <w:top w:val="nil"/>
              <w:left w:val="nil"/>
              <w:bottom w:val="nil"/>
              <w:right w:val="nil"/>
            </w:tcBorders>
            <w:shd w:val="clear" w:color="auto" w:fill="auto"/>
            <w:noWrap/>
            <w:vAlign w:val="center"/>
            <w:hideMark/>
          </w:tcPr>
          <w:p w14:paraId="76634B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(0.013)</w:t>
            </w:r>
          </w:p>
        </w:tc>
        <w:tc>
          <w:tcPr>
            <w:tcW w:w="1152" w:type="dxa"/>
            <w:tcBorders>
              <w:top w:val="nil"/>
              <w:left w:val="nil"/>
              <w:bottom w:val="nil"/>
              <w:right w:val="nil"/>
            </w:tcBorders>
            <w:shd w:val="clear" w:color="auto" w:fill="auto"/>
            <w:noWrap/>
            <w:vAlign w:val="center"/>
            <w:hideMark/>
          </w:tcPr>
          <w:p w14:paraId="5A592FE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(0.598)</w:t>
            </w:r>
          </w:p>
        </w:tc>
        <w:tc>
          <w:tcPr>
            <w:tcW w:w="1152" w:type="dxa"/>
            <w:tcBorders>
              <w:top w:val="nil"/>
              <w:left w:val="nil"/>
              <w:bottom w:val="nil"/>
              <w:right w:val="nil"/>
            </w:tcBorders>
            <w:shd w:val="clear" w:color="auto" w:fill="auto"/>
            <w:noWrap/>
            <w:vAlign w:val="center"/>
            <w:hideMark/>
          </w:tcPr>
          <w:p w14:paraId="2A8EED8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483C557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(0.005)</w:t>
            </w:r>
          </w:p>
        </w:tc>
        <w:tc>
          <w:tcPr>
            <w:tcW w:w="1152" w:type="dxa"/>
            <w:tcBorders>
              <w:top w:val="nil"/>
              <w:left w:val="nil"/>
              <w:bottom w:val="nil"/>
              <w:right w:val="nil"/>
            </w:tcBorders>
            <w:shd w:val="clear" w:color="auto" w:fill="auto"/>
            <w:noWrap/>
            <w:vAlign w:val="center"/>
            <w:hideMark/>
          </w:tcPr>
          <w:p w14:paraId="4DA7EA9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r>
      <w:tr w:rsidR="0019574C" w:rsidRPr="00E56159" w14:paraId="00CC4610"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3773A0EE"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Population density</w:t>
            </w:r>
          </w:p>
        </w:tc>
        <w:tc>
          <w:tcPr>
            <w:tcW w:w="1152" w:type="dxa"/>
            <w:tcBorders>
              <w:top w:val="nil"/>
              <w:left w:val="nil"/>
              <w:bottom w:val="nil"/>
              <w:right w:val="nil"/>
            </w:tcBorders>
            <w:shd w:val="clear" w:color="auto" w:fill="auto"/>
            <w:noWrap/>
            <w:vAlign w:val="center"/>
            <w:hideMark/>
          </w:tcPr>
          <w:p w14:paraId="69F190E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0.139</w:t>
            </w:r>
          </w:p>
        </w:tc>
        <w:tc>
          <w:tcPr>
            <w:tcW w:w="1152" w:type="dxa"/>
            <w:tcBorders>
              <w:top w:val="nil"/>
              <w:left w:val="nil"/>
              <w:bottom w:val="nil"/>
              <w:right w:val="nil"/>
            </w:tcBorders>
            <w:shd w:val="clear" w:color="auto" w:fill="auto"/>
            <w:noWrap/>
            <w:vAlign w:val="center"/>
            <w:hideMark/>
          </w:tcPr>
          <w:p w14:paraId="7350712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0.083</w:t>
            </w:r>
          </w:p>
        </w:tc>
        <w:tc>
          <w:tcPr>
            <w:tcW w:w="1152" w:type="dxa"/>
            <w:tcBorders>
              <w:top w:val="nil"/>
              <w:left w:val="nil"/>
              <w:bottom w:val="nil"/>
              <w:right w:val="nil"/>
            </w:tcBorders>
            <w:shd w:val="clear" w:color="auto" w:fill="auto"/>
            <w:noWrap/>
            <w:vAlign w:val="center"/>
            <w:hideMark/>
          </w:tcPr>
          <w:p w14:paraId="701144A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-2.126</w:t>
            </w:r>
          </w:p>
        </w:tc>
        <w:tc>
          <w:tcPr>
            <w:tcW w:w="1152" w:type="dxa"/>
            <w:tcBorders>
              <w:top w:val="nil"/>
              <w:left w:val="nil"/>
              <w:bottom w:val="nil"/>
              <w:right w:val="nil"/>
            </w:tcBorders>
            <w:shd w:val="clear" w:color="auto" w:fill="auto"/>
            <w:noWrap/>
            <w:vAlign w:val="center"/>
            <w:hideMark/>
          </w:tcPr>
          <w:p w14:paraId="618374B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0.127</w:t>
            </w:r>
          </w:p>
        </w:tc>
        <w:tc>
          <w:tcPr>
            <w:tcW w:w="1152" w:type="dxa"/>
            <w:tcBorders>
              <w:top w:val="nil"/>
              <w:left w:val="nil"/>
              <w:bottom w:val="nil"/>
              <w:right w:val="nil"/>
            </w:tcBorders>
            <w:shd w:val="clear" w:color="auto" w:fill="auto"/>
            <w:noWrap/>
            <w:vAlign w:val="center"/>
            <w:hideMark/>
          </w:tcPr>
          <w:p w14:paraId="0B2247D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0.079</w:t>
            </w:r>
          </w:p>
        </w:tc>
        <w:tc>
          <w:tcPr>
            <w:tcW w:w="1152" w:type="dxa"/>
            <w:tcBorders>
              <w:top w:val="nil"/>
              <w:left w:val="nil"/>
              <w:bottom w:val="nil"/>
              <w:right w:val="nil"/>
            </w:tcBorders>
            <w:shd w:val="clear" w:color="auto" w:fill="auto"/>
            <w:noWrap/>
            <w:vAlign w:val="center"/>
            <w:hideMark/>
          </w:tcPr>
          <w:p w14:paraId="3D299F2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0.085</w:t>
            </w:r>
          </w:p>
        </w:tc>
      </w:tr>
      <w:tr w:rsidR="0019574C" w:rsidRPr="00E56159" w14:paraId="4DF9774F" w14:textId="77777777" w:rsidTr="00EE0BCA">
        <w:trPr>
          <w:trHeight w:hRule="exact" w:val="245"/>
          <w:jc w:val="center"/>
        </w:trPr>
        <w:tc>
          <w:tcPr>
            <w:tcW w:w="2552" w:type="dxa"/>
            <w:vMerge/>
            <w:tcBorders>
              <w:top w:val="nil"/>
              <w:left w:val="nil"/>
              <w:bottom w:val="nil"/>
              <w:right w:val="nil"/>
            </w:tcBorders>
            <w:vAlign w:val="center"/>
            <w:hideMark/>
          </w:tcPr>
          <w:p w14:paraId="37A87694"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4D9F06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(0.600)</w:t>
            </w:r>
          </w:p>
        </w:tc>
        <w:tc>
          <w:tcPr>
            <w:tcW w:w="1152" w:type="dxa"/>
            <w:tcBorders>
              <w:top w:val="nil"/>
              <w:left w:val="nil"/>
              <w:bottom w:val="nil"/>
              <w:right w:val="nil"/>
            </w:tcBorders>
            <w:shd w:val="clear" w:color="auto" w:fill="auto"/>
            <w:noWrap/>
            <w:vAlign w:val="center"/>
            <w:hideMark/>
          </w:tcPr>
          <w:p w14:paraId="47E835D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(0.761)</w:t>
            </w:r>
          </w:p>
        </w:tc>
        <w:tc>
          <w:tcPr>
            <w:tcW w:w="1152" w:type="dxa"/>
            <w:tcBorders>
              <w:top w:val="nil"/>
              <w:left w:val="nil"/>
              <w:bottom w:val="nil"/>
              <w:right w:val="nil"/>
            </w:tcBorders>
            <w:shd w:val="clear" w:color="auto" w:fill="auto"/>
            <w:noWrap/>
            <w:vAlign w:val="center"/>
            <w:hideMark/>
          </w:tcPr>
          <w:p w14:paraId="32659F0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(0.029)</w:t>
            </w:r>
          </w:p>
        </w:tc>
        <w:tc>
          <w:tcPr>
            <w:tcW w:w="1152" w:type="dxa"/>
            <w:tcBorders>
              <w:top w:val="nil"/>
              <w:left w:val="nil"/>
              <w:bottom w:val="nil"/>
              <w:right w:val="nil"/>
            </w:tcBorders>
            <w:shd w:val="clear" w:color="auto" w:fill="auto"/>
            <w:noWrap/>
            <w:vAlign w:val="center"/>
            <w:hideMark/>
          </w:tcPr>
          <w:p w14:paraId="7F93361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(0.608)</w:t>
            </w:r>
          </w:p>
        </w:tc>
        <w:tc>
          <w:tcPr>
            <w:tcW w:w="1152" w:type="dxa"/>
            <w:tcBorders>
              <w:top w:val="nil"/>
              <w:left w:val="nil"/>
              <w:bottom w:val="nil"/>
              <w:right w:val="nil"/>
            </w:tcBorders>
            <w:shd w:val="clear" w:color="auto" w:fill="auto"/>
            <w:noWrap/>
            <w:vAlign w:val="center"/>
            <w:hideMark/>
          </w:tcPr>
          <w:p w14:paraId="4D8F336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(0.751)</w:t>
            </w:r>
          </w:p>
        </w:tc>
        <w:tc>
          <w:tcPr>
            <w:tcW w:w="1152" w:type="dxa"/>
            <w:tcBorders>
              <w:top w:val="nil"/>
              <w:left w:val="nil"/>
              <w:bottom w:val="nil"/>
              <w:right w:val="nil"/>
            </w:tcBorders>
            <w:shd w:val="clear" w:color="auto" w:fill="auto"/>
            <w:noWrap/>
            <w:vAlign w:val="center"/>
            <w:hideMark/>
          </w:tcPr>
          <w:p w14:paraId="09B3B37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(0.733)</w:t>
            </w:r>
          </w:p>
        </w:tc>
      </w:tr>
      <w:tr w:rsidR="0019574C" w:rsidRPr="00E56159" w14:paraId="3B357E58"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7662F4AD"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International trade ratio</w:t>
            </w:r>
          </w:p>
        </w:tc>
        <w:tc>
          <w:tcPr>
            <w:tcW w:w="1152" w:type="dxa"/>
            <w:tcBorders>
              <w:top w:val="nil"/>
              <w:left w:val="nil"/>
              <w:bottom w:val="nil"/>
              <w:right w:val="nil"/>
            </w:tcBorders>
            <w:shd w:val="clear" w:color="auto" w:fill="auto"/>
            <w:noWrap/>
            <w:vAlign w:val="center"/>
            <w:hideMark/>
          </w:tcPr>
          <w:p w14:paraId="4D518F0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4CE8D4E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-0.009</w:t>
            </w:r>
          </w:p>
        </w:tc>
        <w:tc>
          <w:tcPr>
            <w:tcW w:w="1152" w:type="dxa"/>
            <w:tcBorders>
              <w:top w:val="nil"/>
              <w:left w:val="nil"/>
              <w:bottom w:val="nil"/>
              <w:right w:val="nil"/>
            </w:tcBorders>
            <w:shd w:val="clear" w:color="auto" w:fill="auto"/>
            <w:noWrap/>
            <w:vAlign w:val="center"/>
            <w:hideMark/>
          </w:tcPr>
          <w:p w14:paraId="1B3BDE0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c>
          <w:tcPr>
            <w:tcW w:w="1152" w:type="dxa"/>
            <w:tcBorders>
              <w:top w:val="nil"/>
              <w:left w:val="nil"/>
              <w:bottom w:val="nil"/>
              <w:right w:val="nil"/>
            </w:tcBorders>
            <w:shd w:val="clear" w:color="auto" w:fill="auto"/>
            <w:noWrap/>
            <w:vAlign w:val="center"/>
            <w:hideMark/>
          </w:tcPr>
          <w:p w14:paraId="62C1C36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-0.006</w:t>
            </w:r>
          </w:p>
        </w:tc>
        <w:tc>
          <w:tcPr>
            <w:tcW w:w="1152" w:type="dxa"/>
            <w:tcBorders>
              <w:top w:val="nil"/>
              <w:left w:val="nil"/>
              <w:bottom w:val="nil"/>
              <w:right w:val="nil"/>
            </w:tcBorders>
            <w:shd w:val="clear" w:color="auto" w:fill="auto"/>
            <w:noWrap/>
            <w:vAlign w:val="center"/>
            <w:hideMark/>
          </w:tcPr>
          <w:p w14:paraId="3E713E5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1971BB9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-0.010</w:t>
            </w:r>
          </w:p>
        </w:tc>
      </w:tr>
      <w:tr w:rsidR="0019574C" w:rsidRPr="00E56159" w14:paraId="7C1C8ACB" w14:textId="77777777" w:rsidTr="00EE0BCA">
        <w:trPr>
          <w:trHeight w:hRule="exact" w:val="245"/>
          <w:jc w:val="center"/>
        </w:trPr>
        <w:tc>
          <w:tcPr>
            <w:tcW w:w="2552" w:type="dxa"/>
            <w:vMerge/>
            <w:tcBorders>
              <w:top w:val="nil"/>
              <w:left w:val="nil"/>
              <w:bottom w:val="nil"/>
              <w:right w:val="nil"/>
            </w:tcBorders>
            <w:vAlign w:val="center"/>
            <w:hideMark/>
          </w:tcPr>
          <w:p w14:paraId="0E3CD98D"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F72B90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(0.179)</w:t>
            </w:r>
          </w:p>
        </w:tc>
        <w:tc>
          <w:tcPr>
            <w:tcW w:w="1152" w:type="dxa"/>
            <w:tcBorders>
              <w:top w:val="nil"/>
              <w:left w:val="nil"/>
              <w:bottom w:val="nil"/>
              <w:right w:val="nil"/>
            </w:tcBorders>
            <w:shd w:val="clear" w:color="auto" w:fill="auto"/>
            <w:noWrap/>
            <w:vAlign w:val="center"/>
            <w:hideMark/>
          </w:tcPr>
          <w:p w14:paraId="7F324F2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(0.091)</w:t>
            </w:r>
          </w:p>
        </w:tc>
        <w:tc>
          <w:tcPr>
            <w:tcW w:w="1152" w:type="dxa"/>
            <w:tcBorders>
              <w:top w:val="nil"/>
              <w:left w:val="nil"/>
              <w:bottom w:val="nil"/>
              <w:right w:val="nil"/>
            </w:tcBorders>
            <w:shd w:val="clear" w:color="auto" w:fill="auto"/>
            <w:noWrap/>
            <w:vAlign w:val="center"/>
            <w:hideMark/>
          </w:tcPr>
          <w:p w14:paraId="4814BD0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(0.856)</w:t>
            </w:r>
          </w:p>
        </w:tc>
        <w:tc>
          <w:tcPr>
            <w:tcW w:w="1152" w:type="dxa"/>
            <w:tcBorders>
              <w:top w:val="nil"/>
              <w:left w:val="nil"/>
              <w:bottom w:val="nil"/>
              <w:right w:val="nil"/>
            </w:tcBorders>
            <w:shd w:val="clear" w:color="auto" w:fill="auto"/>
            <w:noWrap/>
            <w:vAlign w:val="center"/>
            <w:hideMark/>
          </w:tcPr>
          <w:p w14:paraId="5EA39DD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(0.258)</w:t>
            </w:r>
          </w:p>
        </w:tc>
        <w:tc>
          <w:tcPr>
            <w:tcW w:w="1152" w:type="dxa"/>
            <w:tcBorders>
              <w:top w:val="nil"/>
              <w:left w:val="nil"/>
              <w:bottom w:val="nil"/>
              <w:right w:val="nil"/>
            </w:tcBorders>
            <w:shd w:val="clear" w:color="auto" w:fill="auto"/>
            <w:noWrap/>
            <w:vAlign w:val="center"/>
            <w:hideMark/>
          </w:tcPr>
          <w:p w14:paraId="45EA153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(0.168)</w:t>
            </w:r>
          </w:p>
        </w:tc>
        <w:tc>
          <w:tcPr>
            <w:tcW w:w="1152" w:type="dxa"/>
            <w:tcBorders>
              <w:top w:val="nil"/>
              <w:left w:val="nil"/>
              <w:bottom w:val="nil"/>
              <w:right w:val="nil"/>
            </w:tcBorders>
            <w:shd w:val="clear" w:color="auto" w:fill="auto"/>
            <w:noWrap/>
            <w:vAlign w:val="center"/>
            <w:hideMark/>
          </w:tcPr>
          <w:p w14:paraId="403CEB5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(0.085)</w:t>
            </w:r>
          </w:p>
        </w:tc>
      </w:tr>
      <w:tr w:rsidR="0019574C" w:rsidRPr="00E56159" w14:paraId="16329EB5"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6E057E10"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FDI inflow</w:t>
            </w:r>
          </w:p>
        </w:tc>
        <w:tc>
          <w:tcPr>
            <w:tcW w:w="1152" w:type="dxa"/>
            <w:tcBorders>
              <w:top w:val="nil"/>
              <w:left w:val="nil"/>
              <w:bottom w:val="nil"/>
              <w:right w:val="nil"/>
            </w:tcBorders>
            <w:shd w:val="clear" w:color="auto" w:fill="auto"/>
            <w:noWrap/>
            <w:vAlign w:val="center"/>
            <w:hideMark/>
          </w:tcPr>
          <w:p w14:paraId="63C2107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0.173</w:t>
            </w:r>
          </w:p>
        </w:tc>
        <w:tc>
          <w:tcPr>
            <w:tcW w:w="1152" w:type="dxa"/>
            <w:tcBorders>
              <w:top w:val="nil"/>
              <w:left w:val="nil"/>
              <w:bottom w:val="nil"/>
              <w:right w:val="nil"/>
            </w:tcBorders>
            <w:shd w:val="clear" w:color="auto" w:fill="auto"/>
            <w:noWrap/>
            <w:vAlign w:val="center"/>
            <w:hideMark/>
          </w:tcPr>
          <w:p w14:paraId="26FD96C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0.195</w:t>
            </w:r>
          </w:p>
        </w:tc>
        <w:tc>
          <w:tcPr>
            <w:tcW w:w="1152" w:type="dxa"/>
            <w:tcBorders>
              <w:top w:val="nil"/>
              <w:left w:val="nil"/>
              <w:bottom w:val="nil"/>
              <w:right w:val="nil"/>
            </w:tcBorders>
            <w:shd w:val="clear" w:color="auto" w:fill="auto"/>
            <w:noWrap/>
            <w:vAlign w:val="center"/>
            <w:hideMark/>
          </w:tcPr>
          <w:p w14:paraId="698EB81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0.336</w:t>
            </w:r>
          </w:p>
        </w:tc>
        <w:tc>
          <w:tcPr>
            <w:tcW w:w="1152" w:type="dxa"/>
            <w:tcBorders>
              <w:top w:val="nil"/>
              <w:left w:val="nil"/>
              <w:bottom w:val="nil"/>
              <w:right w:val="nil"/>
            </w:tcBorders>
            <w:shd w:val="clear" w:color="auto" w:fill="auto"/>
            <w:noWrap/>
            <w:vAlign w:val="center"/>
            <w:hideMark/>
          </w:tcPr>
          <w:p w14:paraId="233A56F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0.175</w:t>
            </w:r>
          </w:p>
        </w:tc>
        <w:tc>
          <w:tcPr>
            <w:tcW w:w="1152" w:type="dxa"/>
            <w:tcBorders>
              <w:top w:val="nil"/>
              <w:left w:val="nil"/>
              <w:bottom w:val="nil"/>
              <w:right w:val="nil"/>
            </w:tcBorders>
            <w:shd w:val="clear" w:color="auto" w:fill="auto"/>
            <w:noWrap/>
            <w:vAlign w:val="center"/>
            <w:hideMark/>
          </w:tcPr>
          <w:p w14:paraId="1026926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0.192</w:t>
            </w:r>
          </w:p>
        </w:tc>
        <w:tc>
          <w:tcPr>
            <w:tcW w:w="1152" w:type="dxa"/>
            <w:tcBorders>
              <w:top w:val="nil"/>
              <w:left w:val="nil"/>
              <w:bottom w:val="nil"/>
              <w:right w:val="nil"/>
            </w:tcBorders>
            <w:shd w:val="clear" w:color="auto" w:fill="auto"/>
            <w:noWrap/>
            <w:vAlign w:val="center"/>
            <w:hideMark/>
          </w:tcPr>
          <w:p w14:paraId="32CA4E8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0.192</w:t>
            </w:r>
          </w:p>
        </w:tc>
      </w:tr>
      <w:tr w:rsidR="0019574C" w:rsidRPr="00E56159" w14:paraId="78479579" w14:textId="77777777" w:rsidTr="00EE0BCA">
        <w:trPr>
          <w:trHeight w:hRule="exact" w:val="245"/>
          <w:jc w:val="center"/>
        </w:trPr>
        <w:tc>
          <w:tcPr>
            <w:tcW w:w="2552" w:type="dxa"/>
            <w:vMerge/>
            <w:tcBorders>
              <w:top w:val="nil"/>
              <w:left w:val="nil"/>
              <w:bottom w:val="nil"/>
              <w:right w:val="nil"/>
            </w:tcBorders>
            <w:vAlign w:val="center"/>
            <w:hideMark/>
          </w:tcPr>
          <w:p w14:paraId="2EFF3230"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F352A4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05A3297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c>
          <w:tcPr>
            <w:tcW w:w="1152" w:type="dxa"/>
            <w:tcBorders>
              <w:top w:val="nil"/>
              <w:left w:val="nil"/>
              <w:bottom w:val="nil"/>
              <w:right w:val="nil"/>
            </w:tcBorders>
            <w:shd w:val="clear" w:color="auto" w:fill="auto"/>
            <w:noWrap/>
            <w:vAlign w:val="center"/>
            <w:hideMark/>
          </w:tcPr>
          <w:p w14:paraId="5F7AFEB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0C89B02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(0.007)</w:t>
            </w:r>
          </w:p>
        </w:tc>
        <w:tc>
          <w:tcPr>
            <w:tcW w:w="1152" w:type="dxa"/>
            <w:tcBorders>
              <w:top w:val="nil"/>
              <w:left w:val="nil"/>
              <w:bottom w:val="nil"/>
              <w:right w:val="nil"/>
            </w:tcBorders>
            <w:shd w:val="clear" w:color="auto" w:fill="auto"/>
            <w:noWrap/>
            <w:vAlign w:val="center"/>
            <w:hideMark/>
          </w:tcPr>
          <w:p w14:paraId="1938B36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c>
          <w:tcPr>
            <w:tcW w:w="1152" w:type="dxa"/>
            <w:tcBorders>
              <w:top w:val="nil"/>
              <w:left w:val="nil"/>
              <w:bottom w:val="nil"/>
              <w:right w:val="nil"/>
            </w:tcBorders>
            <w:shd w:val="clear" w:color="auto" w:fill="auto"/>
            <w:noWrap/>
            <w:vAlign w:val="center"/>
            <w:hideMark/>
          </w:tcPr>
          <w:p w14:paraId="2F48007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28CF5621"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6D3E2988"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FDI outflow</w:t>
            </w:r>
          </w:p>
        </w:tc>
        <w:tc>
          <w:tcPr>
            <w:tcW w:w="1152" w:type="dxa"/>
            <w:tcBorders>
              <w:top w:val="nil"/>
              <w:left w:val="nil"/>
              <w:bottom w:val="nil"/>
              <w:right w:val="nil"/>
            </w:tcBorders>
            <w:shd w:val="clear" w:color="auto" w:fill="auto"/>
            <w:noWrap/>
            <w:vAlign w:val="center"/>
            <w:hideMark/>
          </w:tcPr>
          <w:p w14:paraId="04CC39E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29D4F66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-0.058</w:t>
            </w:r>
          </w:p>
        </w:tc>
        <w:tc>
          <w:tcPr>
            <w:tcW w:w="1152" w:type="dxa"/>
            <w:tcBorders>
              <w:top w:val="nil"/>
              <w:left w:val="nil"/>
              <w:bottom w:val="nil"/>
              <w:right w:val="nil"/>
            </w:tcBorders>
            <w:shd w:val="clear" w:color="auto" w:fill="auto"/>
            <w:noWrap/>
            <w:vAlign w:val="center"/>
            <w:hideMark/>
          </w:tcPr>
          <w:p w14:paraId="69FDB7D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0.007</w:t>
            </w:r>
          </w:p>
        </w:tc>
        <w:tc>
          <w:tcPr>
            <w:tcW w:w="1152" w:type="dxa"/>
            <w:tcBorders>
              <w:top w:val="nil"/>
              <w:left w:val="nil"/>
              <w:bottom w:val="nil"/>
              <w:right w:val="nil"/>
            </w:tcBorders>
            <w:shd w:val="clear" w:color="auto" w:fill="auto"/>
            <w:noWrap/>
            <w:vAlign w:val="center"/>
            <w:hideMark/>
          </w:tcPr>
          <w:p w14:paraId="4581A41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1980038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-0.056</w:t>
            </w:r>
          </w:p>
        </w:tc>
        <w:tc>
          <w:tcPr>
            <w:tcW w:w="1152" w:type="dxa"/>
            <w:tcBorders>
              <w:top w:val="nil"/>
              <w:left w:val="nil"/>
              <w:bottom w:val="nil"/>
              <w:right w:val="nil"/>
            </w:tcBorders>
            <w:shd w:val="clear" w:color="auto" w:fill="auto"/>
            <w:noWrap/>
            <w:vAlign w:val="center"/>
            <w:hideMark/>
          </w:tcPr>
          <w:p w14:paraId="5F144CB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-0.047</w:t>
            </w:r>
          </w:p>
        </w:tc>
      </w:tr>
      <w:tr w:rsidR="0019574C" w:rsidRPr="00E56159" w14:paraId="0D4BCA56" w14:textId="77777777" w:rsidTr="00EE0BCA">
        <w:trPr>
          <w:trHeight w:hRule="exact" w:val="245"/>
          <w:jc w:val="center"/>
        </w:trPr>
        <w:tc>
          <w:tcPr>
            <w:tcW w:w="2552" w:type="dxa"/>
            <w:vMerge/>
            <w:tcBorders>
              <w:top w:val="nil"/>
              <w:left w:val="nil"/>
              <w:bottom w:val="nil"/>
              <w:right w:val="nil"/>
            </w:tcBorders>
            <w:vAlign w:val="center"/>
            <w:hideMark/>
          </w:tcPr>
          <w:p w14:paraId="3528076E"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BB1DFD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(0.417)</w:t>
            </w:r>
          </w:p>
        </w:tc>
        <w:tc>
          <w:tcPr>
            <w:tcW w:w="1152" w:type="dxa"/>
            <w:tcBorders>
              <w:top w:val="nil"/>
              <w:left w:val="nil"/>
              <w:bottom w:val="nil"/>
              <w:right w:val="nil"/>
            </w:tcBorders>
            <w:shd w:val="clear" w:color="auto" w:fill="auto"/>
            <w:noWrap/>
            <w:vAlign w:val="center"/>
            <w:hideMark/>
          </w:tcPr>
          <w:p w14:paraId="51E48BD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(0.390)</w:t>
            </w:r>
          </w:p>
        </w:tc>
        <w:tc>
          <w:tcPr>
            <w:tcW w:w="1152" w:type="dxa"/>
            <w:tcBorders>
              <w:top w:val="nil"/>
              <w:left w:val="nil"/>
              <w:bottom w:val="nil"/>
              <w:right w:val="nil"/>
            </w:tcBorders>
            <w:shd w:val="clear" w:color="auto" w:fill="auto"/>
            <w:noWrap/>
            <w:vAlign w:val="center"/>
            <w:hideMark/>
          </w:tcPr>
          <w:p w14:paraId="47D5064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(0.937)</w:t>
            </w:r>
          </w:p>
        </w:tc>
        <w:tc>
          <w:tcPr>
            <w:tcW w:w="1152" w:type="dxa"/>
            <w:tcBorders>
              <w:top w:val="nil"/>
              <w:left w:val="nil"/>
              <w:bottom w:val="nil"/>
              <w:right w:val="nil"/>
            </w:tcBorders>
            <w:shd w:val="clear" w:color="auto" w:fill="auto"/>
            <w:noWrap/>
            <w:vAlign w:val="center"/>
            <w:hideMark/>
          </w:tcPr>
          <w:p w14:paraId="525DB4F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(0.444)</w:t>
            </w:r>
          </w:p>
        </w:tc>
        <w:tc>
          <w:tcPr>
            <w:tcW w:w="1152" w:type="dxa"/>
            <w:tcBorders>
              <w:top w:val="nil"/>
              <w:left w:val="nil"/>
              <w:bottom w:val="nil"/>
              <w:right w:val="nil"/>
            </w:tcBorders>
            <w:shd w:val="clear" w:color="auto" w:fill="auto"/>
            <w:noWrap/>
            <w:vAlign w:val="center"/>
            <w:hideMark/>
          </w:tcPr>
          <w:p w14:paraId="6FF4614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(0.426)</w:t>
            </w:r>
          </w:p>
        </w:tc>
        <w:tc>
          <w:tcPr>
            <w:tcW w:w="1152" w:type="dxa"/>
            <w:tcBorders>
              <w:top w:val="nil"/>
              <w:left w:val="nil"/>
              <w:bottom w:val="nil"/>
              <w:right w:val="nil"/>
            </w:tcBorders>
            <w:shd w:val="clear" w:color="auto" w:fill="auto"/>
            <w:noWrap/>
            <w:vAlign w:val="center"/>
            <w:hideMark/>
          </w:tcPr>
          <w:p w14:paraId="0D44390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(0.466)</w:t>
            </w:r>
          </w:p>
        </w:tc>
      </w:tr>
      <w:tr w:rsidR="0019574C" w:rsidRPr="00E56159" w14:paraId="4CF4BD1D"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2F9DF918"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Oil reserves</w:t>
            </w:r>
          </w:p>
        </w:tc>
        <w:tc>
          <w:tcPr>
            <w:tcW w:w="1152" w:type="dxa"/>
            <w:tcBorders>
              <w:top w:val="nil"/>
              <w:left w:val="nil"/>
              <w:bottom w:val="nil"/>
              <w:right w:val="nil"/>
            </w:tcBorders>
            <w:shd w:val="clear" w:color="auto" w:fill="auto"/>
            <w:noWrap/>
            <w:vAlign w:val="center"/>
            <w:hideMark/>
          </w:tcPr>
          <w:p w14:paraId="5A69DBD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0.028</w:t>
            </w:r>
          </w:p>
        </w:tc>
        <w:tc>
          <w:tcPr>
            <w:tcW w:w="1152" w:type="dxa"/>
            <w:tcBorders>
              <w:top w:val="nil"/>
              <w:left w:val="nil"/>
              <w:bottom w:val="nil"/>
              <w:right w:val="nil"/>
            </w:tcBorders>
            <w:shd w:val="clear" w:color="auto" w:fill="auto"/>
            <w:noWrap/>
            <w:vAlign w:val="center"/>
            <w:hideMark/>
          </w:tcPr>
          <w:p w14:paraId="2A24BEC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0.043</w:t>
            </w:r>
          </w:p>
        </w:tc>
        <w:tc>
          <w:tcPr>
            <w:tcW w:w="1152" w:type="dxa"/>
            <w:tcBorders>
              <w:top w:val="nil"/>
              <w:left w:val="nil"/>
              <w:bottom w:val="nil"/>
              <w:right w:val="nil"/>
            </w:tcBorders>
            <w:shd w:val="clear" w:color="auto" w:fill="auto"/>
            <w:noWrap/>
            <w:vAlign w:val="center"/>
            <w:hideMark/>
          </w:tcPr>
          <w:p w14:paraId="5EB8683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0.424</w:t>
            </w:r>
          </w:p>
        </w:tc>
        <w:tc>
          <w:tcPr>
            <w:tcW w:w="1152" w:type="dxa"/>
            <w:tcBorders>
              <w:top w:val="nil"/>
              <w:left w:val="nil"/>
              <w:bottom w:val="nil"/>
              <w:right w:val="nil"/>
            </w:tcBorders>
            <w:shd w:val="clear" w:color="auto" w:fill="auto"/>
            <w:noWrap/>
            <w:vAlign w:val="center"/>
            <w:hideMark/>
          </w:tcPr>
          <w:p w14:paraId="638299C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0.022</w:t>
            </w:r>
          </w:p>
        </w:tc>
        <w:tc>
          <w:tcPr>
            <w:tcW w:w="1152" w:type="dxa"/>
            <w:tcBorders>
              <w:top w:val="nil"/>
              <w:left w:val="nil"/>
              <w:bottom w:val="nil"/>
              <w:right w:val="nil"/>
            </w:tcBorders>
            <w:shd w:val="clear" w:color="auto" w:fill="auto"/>
            <w:noWrap/>
            <w:vAlign w:val="center"/>
            <w:hideMark/>
          </w:tcPr>
          <w:p w14:paraId="2451A5E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0.036</w:t>
            </w:r>
          </w:p>
        </w:tc>
        <w:tc>
          <w:tcPr>
            <w:tcW w:w="1152" w:type="dxa"/>
            <w:tcBorders>
              <w:top w:val="nil"/>
              <w:left w:val="nil"/>
              <w:bottom w:val="nil"/>
              <w:right w:val="nil"/>
            </w:tcBorders>
            <w:shd w:val="clear" w:color="auto" w:fill="auto"/>
            <w:noWrap/>
            <w:vAlign w:val="center"/>
            <w:hideMark/>
          </w:tcPr>
          <w:p w14:paraId="6B5592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0.069</w:t>
            </w:r>
          </w:p>
        </w:tc>
      </w:tr>
      <w:tr w:rsidR="0019574C" w:rsidRPr="00E56159" w14:paraId="53DA8FFB" w14:textId="77777777" w:rsidTr="00EE0BCA">
        <w:trPr>
          <w:trHeight w:hRule="exact" w:val="245"/>
          <w:jc w:val="center"/>
        </w:trPr>
        <w:tc>
          <w:tcPr>
            <w:tcW w:w="2552" w:type="dxa"/>
            <w:vMerge/>
            <w:tcBorders>
              <w:top w:val="nil"/>
              <w:left w:val="nil"/>
              <w:bottom w:val="nil"/>
              <w:right w:val="nil"/>
            </w:tcBorders>
            <w:vAlign w:val="center"/>
            <w:hideMark/>
          </w:tcPr>
          <w:p w14:paraId="6407ED35"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F23E4C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(0.833)</w:t>
            </w:r>
          </w:p>
        </w:tc>
        <w:tc>
          <w:tcPr>
            <w:tcW w:w="1152" w:type="dxa"/>
            <w:tcBorders>
              <w:top w:val="nil"/>
              <w:left w:val="nil"/>
              <w:bottom w:val="nil"/>
              <w:right w:val="nil"/>
            </w:tcBorders>
            <w:shd w:val="clear" w:color="auto" w:fill="auto"/>
            <w:noWrap/>
            <w:vAlign w:val="center"/>
            <w:hideMark/>
          </w:tcPr>
          <w:p w14:paraId="3F0C1D3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(0.759)</w:t>
            </w:r>
          </w:p>
        </w:tc>
        <w:tc>
          <w:tcPr>
            <w:tcW w:w="1152" w:type="dxa"/>
            <w:tcBorders>
              <w:top w:val="nil"/>
              <w:left w:val="nil"/>
              <w:bottom w:val="nil"/>
              <w:right w:val="nil"/>
            </w:tcBorders>
            <w:shd w:val="clear" w:color="auto" w:fill="auto"/>
            <w:noWrap/>
            <w:vAlign w:val="center"/>
            <w:hideMark/>
          </w:tcPr>
          <w:p w14:paraId="4ECA14B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(0.057)</w:t>
            </w:r>
          </w:p>
        </w:tc>
        <w:tc>
          <w:tcPr>
            <w:tcW w:w="1152" w:type="dxa"/>
            <w:tcBorders>
              <w:top w:val="nil"/>
              <w:left w:val="nil"/>
              <w:bottom w:val="nil"/>
              <w:right w:val="nil"/>
            </w:tcBorders>
            <w:shd w:val="clear" w:color="auto" w:fill="auto"/>
            <w:noWrap/>
            <w:vAlign w:val="center"/>
            <w:hideMark/>
          </w:tcPr>
          <w:p w14:paraId="398A41E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(0.846)</w:t>
            </w:r>
          </w:p>
        </w:tc>
        <w:tc>
          <w:tcPr>
            <w:tcW w:w="1152" w:type="dxa"/>
            <w:tcBorders>
              <w:top w:val="nil"/>
              <w:left w:val="nil"/>
              <w:bottom w:val="nil"/>
              <w:right w:val="nil"/>
            </w:tcBorders>
            <w:shd w:val="clear" w:color="auto" w:fill="auto"/>
            <w:noWrap/>
            <w:vAlign w:val="center"/>
            <w:hideMark/>
          </w:tcPr>
          <w:p w14:paraId="080EC09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(0.764)</w:t>
            </w:r>
          </w:p>
        </w:tc>
        <w:tc>
          <w:tcPr>
            <w:tcW w:w="1152" w:type="dxa"/>
            <w:tcBorders>
              <w:top w:val="nil"/>
              <w:left w:val="nil"/>
              <w:bottom w:val="nil"/>
              <w:right w:val="nil"/>
            </w:tcBorders>
            <w:shd w:val="clear" w:color="auto" w:fill="auto"/>
            <w:noWrap/>
            <w:vAlign w:val="center"/>
            <w:hideMark/>
          </w:tcPr>
          <w:p w14:paraId="3900196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(0.503)</w:t>
            </w:r>
          </w:p>
        </w:tc>
      </w:tr>
      <w:tr w:rsidR="0019574C" w:rsidRPr="00E56159" w14:paraId="7959C8CA"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02D25FB0"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Political risk</w:t>
            </w:r>
          </w:p>
        </w:tc>
        <w:tc>
          <w:tcPr>
            <w:tcW w:w="1152" w:type="dxa"/>
            <w:tcBorders>
              <w:top w:val="nil"/>
              <w:left w:val="nil"/>
              <w:bottom w:val="nil"/>
              <w:right w:val="nil"/>
            </w:tcBorders>
            <w:shd w:val="clear" w:color="auto" w:fill="auto"/>
            <w:noWrap/>
            <w:vAlign w:val="center"/>
            <w:hideMark/>
          </w:tcPr>
          <w:p w14:paraId="5BAD8BB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0.539</w:t>
            </w:r>
          </w:p>
        </w:tc>
        <w:tc>
          <w:tcPr>
            <w:tcW w:w="1152" w:type="dxa"/>
            <w:tcBorders>
              <w:top w:val="nil"/>
              <w:left w:val="nil"/>
              <w:bottom w:val="nil"/>
              <w:right w:val="nil"/>
            </w:tcBorders>
            <w:shd w:val="clear" w:color="auto" w:fill="auto"/>
            <w:noWrap/>
            <w:vAlign w:val="center"/>
            <w:hideMark/>
          </w:tcPr>
          <w:p w14:paraId="2BD524A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0.571</w:t>
            </w:r>
          </w:p>
        </w:tc>
        <w:tc>
          <w:tcPr>
            <w:tcW w:w="1152" w:type="dxa"/>
            <w:tcBorders>
              <w:top w:val="nil"/>
              <w:left w:val="nil"/>
              <w:bottom w:val="nil"/>
              <w:right w:val="nil"/>
            </w:tcBorders>
            <w:shd w:val="clear" w:color="auto" w:fill="auto"/>
            <w:noWrap/>
            <w:vAlign w:val="center"/>
            <w:hideMark/>
          </w:tcPr>
          <w:p w14:paraId="2AECD8B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4.501</w:t>
            </w:r>
          </w:p>
        </w:tc>
        <w:tc>
          <w:tcPr>
            <w:tcW w:w="1152" w:type="dxa"/>
            <w:tcBorders>
              <w:top w:val="nil"/>
              <w:left w:val="nil"/>
              <w:bottom w:val="nil"/>
              <w:right w:val="nil"/>
            </w:tcBorders>
            <w:shd w:val="clear" w:color="auto" w:fill="auto"/>
            <w:noWrap/>
            <w:vAlign w:val="center"/>
            <w:hideMark/>
          </w:tcPr>
          <w:p w14:paraId="5B43A6F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0.502</w:t>
            </w:r>
          </w:p>
        </w:tc>
        <w:tc>
          <w:tcPr>
            <w:tcW w:w="1152" w:type="dxa"/>
            <w:tcBorders>
              <w:top w:val="nil"/>
              <w:left w:val="nil"/>
              <w:bottom w:val="nil"/>
              <w:right w:val="nil"/>
            </w:tcBorders>
            <w:shd w:val="clear" w:color="auto" w:fill="auto"/>
            <w:noWrap/>
            <w:vAlign w:val="center"/>
            <w:hideMark/>
          </w:tcPr>
          <w:p w14:paraId="4D696FE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0.502</w:t>
            </w:r>
          </w:p>
        </w:tc>
        <w:tc>
          <w:tcPr>
            <w:tcW w:w="1152" w:type="dxa"/>
            <w:tcBorders>
              <w:top w:val="nil"/>
              <w:left w:val="nil"/>
              <w:bottom w:val="nil"/>
              <w:right w:val="nil"/>
            </w:tcBorders>
            <w:shd w:val="clear" w:color="auto" w:fill="auto"/>
            <w:noWrap/>
            <w:vAlign w:val="center"/>
            <w:hideMark/>
          </w:tcPr>
          <w:p w14:paraId="60F6DBC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0.369</w:t>
            </w:r>
          </w:p>
        </w:tc>
      </w:tr>
      <w:tr w:rsidR="0019574C" w:rsidRPr="00E56159" w14:paraId="54BED578" w14:textId="77777777" w:rsidTr="00EE0BCA">
        <w:trPr>
          <w:trHeight w:hRule="exact" w:val="245"/>
          <w:jc w:val="center"/>
        </w:trPr>
        <w:tc>
          <w:tcPr>
            <w:tcW w:w="2552" w:type="dxa"/>
            <w:vMerge/>
            <w:tcBorders>
              <w:top w:val="nil"/>
              <w:left w:val="nil"/>
              <w:bottom w:val="nil"/>
              <w:right w:val="nil"/>
            </w:tcBorders>
            <w:vAlign w:val="center"/>
            <w:hideMark/>
          </w:tcPr>
          <w:p w14:paraId="0478DE61"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BF7DF6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(0.220)</w:t>
            </w:r>
          </w:p>
        </w:tc>
        <w:tc>
          <w:tcPr>
            <w:tcW w:w="1152" w:type="dxa"/>
            <w:tcBorders>
              <w:top w:val="nil"/>
              <w:left w:val="nil"/>
              <w:bottom w:val="nil"/>
              <w:right w:val="nil"/>
            </w:tcBorders>
            <w:shd w:val="clear" w:color="auto" w:fill="auto"/>
            <w:noWrap/>
            <w:vAlign w:val="center"/>
            <w:hideMark/>
          </w:tcPr>
          <w:p w14:paraId="5F42DDD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(0.219)</w:t>
            </w:r>
          </w:p>
        </w:tc>
        <w:tc>
          <w:tcPr>
            <w:tcW w:w="1152" w:type="dxa"/>
            <w:tcBorders>
              <w:top w:val="nil"/>
              <w:left w:val="nil"/>
              <w:bottom w:val="nil"/>
              <w:right w:val="nil"/>
            </w:tcBorders>
            <w:shd w:val="clear" w:color="auto" w:fill="auto"/>
            <w:noWrap/>
            <w:vAlign w:val="center"/>
            <w:hideMark/>
          </w:tcPr>
          <w:p w14:paraId="2345765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(0.192)</w:t>
            </w:r>
          </w:p>
        </w:tc>
        <w:tc>
          <w:tcPr>
            <w:tcW w:w="1152" w:type="dxa"/>
            <w:tcBorders>
              <w:top w:val="nil"/>
              <w:left w:val="nil"/>
              <w:bottom w:val="nil"/>
              <w:right w:val="nil"/>
            </w:tcBorders>
            <w:shd w:val="clear" w:color="auto" w:fill="auto"/>
            <w:noWrap/>
            <w:vAlign w:val="center"/>
            <w:hideMark/>
          </w:tcPr>
          <w:p w14:paraId="3ADAD84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(0.336)</w:t>
            </w:r>
          </w:p>
        </w:tc>
        <w:tc>
          <w:tcPr>
            <w:tcW w:w="1152" w:type="dxa"/>
            <w:tcBorders>
              <w:top w:val="nil"/>
              <w:left w:val="nil"/>
              <w:bottom w:val="nil"/>
              <w:right w:val="nil"/>
            </w:tcBorders>
            <w:shd w:val="clear" w:color="auto" w:fill="auto"/>
            <w:noWrap/>
            <w:vAlign w:val="center"/>
            <w:hideMark/>
          </w:tcPr>
          <w:p w14:paraId="78A702D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(0.342)</w:t>
            </w:r>
          </w:p>
        </w:tc>
        <w:tc>
          <w:tcPr>
            <w:tcW w:w="1152" w:type="dxa"/>
            <w:tcBorders>
              <w:top w:val="nil"/>
              <w:left w:val="nil"/>
              <w:bottom w:val="nil"/>
              <w:right w:val="nil"/>
            </w:tcBorders>
            <w:shd w:val="clear" w:color="auto" w:fill="auto"/>
            <w:noWrap/>
            <w:vAlign w:val="center"/>
            <w:hideMark/>
          </w:tcPr>
          <w:p w14:paraId="3A25BC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(0.548)</w:t>
            </w:r>
          </w:p>
        </w:tc>
      </w:tr>
      <w:tr w:rsidR="0019574C" w:rsidRPr="00E56159" w14:paraId="5947F3C2"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3810468B"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Eth</w:t>
            </w:r>
            <w:r w:rsidRPr="00E56159">
              <w:rPr>
                <w:rFonts w:ascii="Times New Roman" w:hAnsi="Times New Roman" w:cs="Times New Roman"/>
                <w:kern w:val="0"/>
                <w:szCs w:val="22"/>
              </w:rPr>
              <w:t>n</w:t>
            </w:r>
            <w:r w:rsidRPr="00E56159">
              <w:rPr>
                <w:rFonts w:ascii="Times New Roman" w:eastAsia="Times New Roman" w:hAnsi="Times New Roman" w:cs="Times New Roman"/>
                <w:kern w:val="0"/>
                <w:szCs w:val="22"/>
              </w:rPr>
              <w:t>ic diversity</w:t>
            </w:r>
          </w:p>
        </w:tc>
        <w:tc>
          <w:tcPr>
            <w:tcW w:w="1152" w:type="dxa"/>
            <w:tcBorders>
              <w:top w:val="nil"/>
              <w:left w:val="nil"/>
              <w:bottom w:val="nil"/>
              <w:right w:val="nil"/>
            </w:tcBorders>
            <w:shd w:val="clear" w:color="auto" w:fill="auto"/>
            <w:noWrap/>
            <w:vAlign w:val="center"/>
            <w:hideMark/>
          </w:tcPr>
          <w:p w14:paraId="636F163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0.304</w:t>
            </w:r>
          </w:p>
        </w:tc>
        <w:tc>
          <w:tcPr>
            <w:tcW w:w="1152" w:type="dxa"/>
            <w:tcBorders>
              <w:top w:val="nil"/>
              <w:left w:val="nil"/>
              <w:bottom w:val="nil"/>
              <w:right w:val="nil"/>
            </w:tcBorders>
            <w:shd w:val="clear" w:color="auto" w:fill="auto"/>
            <w:noWrap/>
            <w:vAlign w:val="center"/>
            <w:hideMark/>
          </w:tcPr>
          <w:p w14:paraId="37B32B8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-0.354</w:t>
            </w:r>
          </w:p>
        </w:tc>
        <w:tc>
          <w:tcPr>
            <w:tcW w:w="1152" w:type="dxa"/>
            <w:tcBorders>
              <w:top w:val="nil"/>
              <w:left w:val="nil"/>
              <w:bottom w:val="nil"/>
              <w:right w:val="nil"/>
            </w:tcBorders>
            <w:shd w:val="clear" w:color="auto" w:fill="auto"/>
            <w:noWrap/>
            <w:vAlign w:val="center"/>
            <w:hideMark/>
          </w:tcPr>
          <w:p w14:paraId="6F995F5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-9.686</w:t>
            </w:r>
          </w:p>
        </w:tc>
        <w:tc>
          <w:tcPr>
            <w:tcW w:w="1152" w:type="dxa"/>
            <w:tcBorders>
              <w:top w:val="nil"/>
              <w:left w:val="nil"/>
              <w:bottom w:val="nil"/>
              <w:right w:val="nil"/>
            </w:tcBorders>
            <w:shd w:val="clear" w:color="auto" w:fill="auto"/>
            <w:noWrap/>
            <w:vAlign w:val="center"/>
            <w:hideMark/>
          </w:tcPr>
          <w:p w14:paraId="69EC48A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0.135</w:t>
            </w:r>
          </w:p>
        </w:tc>
        <w:tc>
          <w:tcPr>
            <w:tcW w:w="1152" w:type="dxa"/>
            <w:tcBorders>
              <w:top w:val="nil"/>
              <w:left w:val="nil"/>
              <w:bottom w:val="nil"/>
              <w:right w:val="nil"/>
            </w:tcBorders>
            <w:shd w:val="clear" w:color="auto" w:fill="auto"/>
            <w:noWrap/>
            <w:vAlign w:val="center"/>
            <w:hideMark/>
          </w:tcPr>
          <w:p w14:paraId="28AC0EC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-0.396</w:t>
            </w:r>
          </w:p>
        </w:tc>
        <w:tc>
          <w:tcPr>
            <w:tcW w:w="1152" w:type="dxa"/>
            <w:tcBorders>
              <w:top w:val="nil"/>
              <w:left w:val="nil"/>
              <w:bottom w:val="nil"/>
              <w:right w:val="nil"/>
            </w:tcBorders>
            <w:shd w:val="clear" w:color="auto" w:fill="auto"/>
            <w:noWrap/>
            <w:vAlign w:val="center"/>
            <w:hideMark/>
          </w:tcPr>
          <w:p w14:paraId="6BC0AA0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-0.160</w:t>
            </w:r>
          </w:p>
        </w:tc>
      </w:tr>
      <w:tr w:rsidR="0019574C" w:rsidRPr="00E56159" w14:paraId="7A5F1B18" w14:textId="77777777" w:rsidTr="00EE0BCA">
        <w:trPr>
          <w:trHeight w:hRule="exact" w:val="245"/>
          <w:jc w:val="center"/>
        </w:trPr>
        <w:tc>
          <w:tcPr>
            <w:tcW w:w="2552" w:type="dxa"/>
            <w:vMerge/>
            <w:tcBorders>
              <w:top w:val="nil"/>
              <w:left w:val="nil"/>
              <w:bottom w:val="nil"/>
              <w:right w:val="nil"/>
            </w:tcBorders>
            <w:vAlign w:val="center"/>
            <w:hideMark/>
          </w:tcPr>
          <w:p w14:paraId="385F473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A3D19B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(0.762)</w:t>
            </w:r>
          </w:p>
        </w:tc>
        <w:tc>
          <w:tcPr>
            <w:tcW w:w="1152" w:type="dxa"/>
            <w:tcBorders>
              <w:top w:val="nil"/>
              <w:left w:val="nil"/>
              <w:bottom w:val="nil"/>
              <w:right w:val="nil"/>
            </w:tcBorders>
            <w:shd w:val="clear" w:color="auto" w:fill="auto"/>
            <w:noWrap/>
            <w:vAlign w:val="center"/>
            <w:hideMark/>
          </w:tcPr>
          <w:p w14:paraId="550FAB6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(0.692)</w:t>
            </w:r>
          </w:p>
        </w:tc>
        <w:tc>
          <w:tcPr>
            <w:tcW w:w="1152" w:type="dxa"/>
            <w:tcBorders>
              <w:top w:val="nil"/>
              <w:left w:val="nil"/>
              <w:bottom w:val="nil"/>
              <w:right w:val="nil"/>
            </w:tcBorders>
            <w:shd w:val="clear" w:color="auto" w:fill="auto"/>
            <w:noWrap/>
            <w:vAlign w:val="center"/>
            <w:hideMark/>
          </w:tcPr>
          <w:p w14:paraId="552EDA1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(0.101)</w:t>
            </w:r>
          </w:p>
        </w:tc>
        <w:tc>
          <w:tcPr>
            <w:tcW w:w="1152" w:type="dxa"/>
            <w:tcBorders>
              <w:top w:val="nil"/>
              <w:left w:val="nil"/>
              <w:bottom w:val="nil"/>
              <w:right w:val="nil"/>
            </w:tcBorders>
            <w:shd w:val="clear" w:color="auto" w:fill="auto"/>
            <w:noWrap/>
            <w:vAlign w:val="center"/>
            <w:hideMark/>
          </w:tcPr>
          <w:p w14:paraId="017292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(0.886)</w:t>
            </w:r>
          </w:p>
        </w:tc>
        <w:tc>
          <w:tcPr>
            <w:tcW w:w="1152" w:type="dxa"/>
            <w:tcBorders>
              <w:top w:val="nil"/>
              <w:left w:val="nil"/>
              <w:bottom w:val="nil"/>
              <w:right w:val="nil"/>
            </w:tcBorders>
            <w:shd w:val="clear" w:color="auto" w:fill="auto"/>
            <w:noWrap/>
            <w:vAlign w:val="center"/>
            <w:hideMark/>
          </w:tcPr>
          <w:p w14:paraId="237D781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(0.635)</w:t>
            </w:r>
          </w:p>
        </w:tc>
        <w:tc>
          <w:tcPr>
            <w:tcW w:w="1152" w:type="dxa"/>
            <w:tcBorders>
              <w:top w:val="nil"/>
              <w:left w:val="nil"/>
              <w:bottom w:val="nil"/>
              <w:right w:val="nil"/>
            </w:tcBorders>
            <w:shd w:val="clear" w:color="auto" w:fill="auto"/>
            <w:noWrap/>
            <w:vAlign w:val="center"/>
            <w:hideMark/>
          </w:tcPr>
          <w:p w14:paraId="1F75843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(0.831)</w:t>
            </w:r>
          </w:p>
        </w:tc>
      </w:tr>
      <w:tr w:rsidR="0019574C" w:rsidRPr="00E56159" w14:paraId="0D9A72C5"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2D9F64BD"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French colonial territories</w:t>
            </w:r>
          </w:p>
        </w:tc>
        <w:tc>
          <w:tcPr>
            <w:tcW w:w="1152" w:type="dxa"/>
            <w:tcBorders>
              <w:top w:val="nil"/>
              <w:left w:val="nil"/>
              <w:bottom w:val="nil"/>
              <w:right w:val="nil"/>
            </w:tcBorders>
            <w:shd w:val="clear" w:color="auto" w:fill="auto"/>
            <w:noWrap/>
            <w:vAlign w:val="center"/>
            <w:hideMark/>
          </w:tcPr>
          <w:p w14:paraId="56E870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0.531</w:t>
            </w:r>
          </w:p>
        </w:tc>
        <w:tc>
          <w:tcPr>
            <w:tcW w:w="1152" w:type="dxa"/>
            <w:tcBorders>
              <w:top w:val="nil"/>
              <w:left w:val="nil"/>
              <w:bottom w:val="nil"/>
              <w:right w:val="nil"/>
            </w:tcBorders>
            <w:shd w:val="clear" w:color="auto" w:fill="auto"/>
            <w:noWrap/>
            <w:vAlign w:val="center"/>
            <w:hideMark/>
          </w:tcPr>
          <w:p w14:paraId="2E1E1C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0.660</w:t>
            </w:r>
          </w:p>
        </w:tc>
        <w:tc>
          <w:tcPr>
            <w:tcW w:w="1152" w:type="dxa"/>
            <w:tcBorders>
              <w:top w:val="nil"/>
              <w:left w:val="nil"/>
              <w:bottom w:val="nil"/>
              <w:right w:val="nil"/>
            </w:tcBorders>
            <w:shd w:val="clear" w:color="auto" w:fill="auto"/>
            <w:noWrap/>
            <w:vAlign w:val="center"/>
            <w:hideMark/>
          </w:tcPr>
          <w:p w14:paraId="543CF16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5.427</w:t>
            </w:r>
          </w:p>
        </w:tc>
        <w:tc>
          <w:tcPr>
            <w:tcW w:w="1152" w:type="dxa"/>
            <w:tcBorders>
              <w:top w:val="nil"/>
              <w:left w:val="nil"/>
              <w:bottom w:val="nil"/>
              <w:right w:val="nil"/>
            </w:tcBorders>
            <w:shd w:val="clear" w:color="auto" w:fill="auto"/>
            <w:noWrap/>
            <w:vAlign w:val="center"/>
            <w:hideMark/>
          </w:tcPr>
          <w:p w14:paraId="4106D17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0.476</w:t>
            </w:r>
          </w:p>
        </w:tc>
        <w:tc>
          <w:tcPr>
            <w:tcW w:w="1152" w:type="dxa"/>
            <w:tcBorders>
              <w:top w:val="nil"/>
              <w:left w:val="nil"/>
              <w:bottom w:val="nil"/>
              <w:right w:val="nil"/>
            </w:tcBorders>
            <w:shd w:val="clear" w:color="auto" w:fill="auto"/>
            <w:noWrap/>
            <w:vAlign w:val="center"/>
            <w:hideMark/>
          </w:tcPr>
          <w:p w14:paraId="3D9FA20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0.552</w:t>
            </w:r>
          </w:p>
        </w:tc>
        <w:tc>
          <w:tcPr>
            <w:tcW w:w="1152" w:type="dxa"/>
            <w:tcBorders>
              <w:top w:val="nil"/>
              <w:left w:val="nil"/>
              <w:bottom w:val="nil"/>
              <w:right w:val="nil"/>
            </w:tcBorders>
            <w:shd w:val="clear" w:color="auto" w:fill="auto"/>
            <w:noWrap/>
            <w:vAlign w:val="center"/>
            <w:hideMark/>
          </w:tcPr>
          <w:p w14:paraId="30176C1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0.559</w:t>
            </w:r>
          </w:p>
        </w:tc>
      </w:tr>
      <w:tr w:rsidR="0019574C" w:rsidRPr="00E56159" w14:paraId="5DC4FBF7" w14:textId="77777777" w:rsidTr="00EE0BCA">
        <w:trPr>
          <w:trHeight w:hRule="exact" w:val="245"/>
          <w:jc w:val="center"/>
        </w:trPr>
        <w:tc>
          <w:tcPr>
            <w:tcW w:w="2552" w:type="dxa"/>
            <w:vMerge/>
            <w:tcBorders>
              <w:top w:val="nil"/>
              <w:left w:val="nil"/>
              <w:bottom w:val="nil"/>
              <w:right w:val="nil"/>
            </w:tcBorders>
            <w:vAlign w:val="center"/>
            <w:hideMark/>
          </w:tcPr>
          <w:p w14:paraId="79319CD2"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F5A196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(0.534)</w:t>
            </w:r>
          </w:p>
        </w:tc>
        <w:tc>
          <w:tcPr>
            <w:tcW w:w="1152" w:type="dxa"/>
            <w:tcBorders>
              <w:top w:val="nil"/>
              <w:left w:val="nil"/>
              <w:bottom w:val="nil"/>
              <w:right w:val="nil"/>
            </w:tcBorders>
            <w:shd w:val="clear" w:color="auto" w:fill="auto"/>
            <w:noWrap/>
            <w:vAlign w:val="center"/>
            <w:hideMark/>
          </w:tcPr>
          <w:p w14:paraId="3E8D5AA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(0.357)</w:t>
            </w:r>
          </w:p>
        </w:tc>
        <w:tc>
          <w:tcPr>
            <w:tcW w:w="1152" w:type="dxa"/>
            <w:tcBorders>
              <w:top w:val="nil"/>
              <w:left w:val="nil"/>
              <w:bottom w:val="nil"/>
              <w:right w:val="nil"/>
            </w:tcBorders>
            <w:shd w:val="clear" w:color="auto" w:fill="auto"/>
            <w:noWrap/>
            <w:vAlign w:val="center"/>
            <w:hideMark/>
          </w:tcPr>
          <w:p w14:paraId="4FDBE1E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(0.031)</w:t>
            </w:r>
          </w:p>
        </w:tc>
        <w:tc>
          <w:tcPr>
            <w:tcW w:w="1152" w:type="dxa"/>
            <w:tcBorders>
              <w:top w:val="nil"/>
              <w:left w:val="nil"/>
              <w:bottom w:val="nil"/>
              <w:right w:val="nil"/>
            </w:tcBorders>
            <w:shd w:val="clear" w:color="auto" w:fill="auto"/>
            <w:noWrap/>
            <w:vAlign w:val="center"/>
            <w:hideMark/>
          </w:tcPr>
          <w:p w14:paraId="41774DD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(0.560)</w:t>
            </w:r>
          </w:p>
        </w:tc>
        <w:tc>
          <w:tcPr>
            <w:tcW w:w="1152" w:type="dxa"/>
            <w:tcBorders>
              <w:top w:val="nil"/>
              <w:left w:val="nil"/>
              <w:bottom w:val="nil"/>
              <w:right w:val="nil"/>
            </w:tcBorders>
            <w:shd w:val="clear" w:color="auto" w:fill="auto"/>
            <w:noWrap/>
            <w:vAlign w:val="center"/>
            <w:hideMark/>
          </w:tcPr>
          <w:p w14:paraId="18F1030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(0.452)</w:t>
            </w:r>
          </w:p>
        </w:tc>
        <w:tc>
          <w:tcPr>
            <w:tcW w:w="1152" w:type="dxa"/>
            <w:tcBorders>
              <w:top w:val="nil"/>
              <w:left w:val="nil"/>
              <w:bottom w:val="nil"/>
              <w:right w:val="nil"/>
            </w:tcBorders>
            <w:shd w:val="clear" w:color="auto" w:fill="auto"/>
            <w:noWrap/>
            <w:vAlign w:val="center"/>
            <w:hideMark/>
          </w:tcPr>
          <w:p w14:paraId="710EBF1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(0.422)</w:t>
            </w:r>
          </w:p>
        </w:tc>
      </w:tr>
      <w:tr w:rsidR="0019574C" w:rsidRPr="00E56159" w14:paraId="3EE50D47" w14:textId="77777777" w:rsidTr="00EE0BCA">
        <w:trPr>
          <w:trHeight w:hRule="exact" w:val="245"/>
          <w:jc w:val="center"/>
        </w:trPr>
        <w:tc>
          <w:tcPr>
            <w:tcW w:w="2552" w:type="dxa"/>
            <w:vMerge w:val="restart"/>
            <w:tcBorders>
              <w:top w:val="nil"/>
              <w:left w:val="nil"/>
              <w:bottom w:val="nil"/>
              <w:right w:val="nil"/>
            </w:tcBorders>
            <w:shd w:val="clear" w:color="auto" w:fill="auto"/>
            <w:noWrap/>
            <w:vAlign w:val="center"/>
            <w:hideMark/>
          </w:tcPr>
          <w:p w14:paraId="69031842"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Constant</w:t>
            </w:r>
          </w:p>
        </w:tc>
        <w:tc>
          <w:tcPr>
            <w:tcW w:w="1152" w:type="dxa"/>
            <w:tcBorders>
              <w:top w:val="nil"/>
              <w:left w:val="nil"/>
              <w:bottom w:val="nil"/>
              <w:right w:val="nil"/>
            </w:tcBorders>
            <w:shd w:val="clear" w:color="auto" w:fill="auto"/>
            <w:noWrap/>
            <w:vAlign w:val="center"/>
            <w:hideMark/>
          </w:tcPr>
          <w:p w14:paraId="36C67A8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10.284</w:t>
            </w:r>
          </w:p>
        </w:tc>
        <w:tc>
          <w:tcPr>
            <w:tcW w:w="1152" w:type="dxa"/>
            <w:tcBorders>
              <w:top w:val="nil"/>
              <w:left w:val="nil"/>
              <w:bottom w:val="nil"/>
              <w:right w:val="nil"/>
            </w:tcBorders>
            <w:shd w:val="clear" w:color="auto" w:fill="auto"/>
            <w:noWrap/>
            <w:vAlign w:val="center"/>
            <w:hideMark/>
          </w:tcPr>
          <w:p w14:paraId="7757BC7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6.831</w:t>
            </w:r>
          </w:p>
        </w:tc>
        <w:tc>
          <w:tcPr>
            <w:tcW w:w="1152" w:type="dxa"/>
            <w:tcBorders>
              <w:top w:val="nil"/>
              <w:left w:val="nil"/>
              <w:bottom w:val="nil"/>
              <w:right w:val="nil"/>
            </w:tcBorders>
            <w:shd w:val="clear" w:color="auto" w:fill="auto"/>
            <w:noWrap/>
            <w:vAlign w:val="center"/>
            <w:hideMark/>
          </w:tcPr>
          <w:p w14:paraId="7BE56A1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-3.809</w:t>
            </w:r>
          </w:p>
        </w:tc>
        <w:tc>
          <w:tcPr>
            <w:tcW w:w="1152" w:type="dxa"/>
            <w:tcBorders>
              <w:top w:val="nil"/>
              <w:left w:val="nil"/>
              <w:bottom w:val="nil"/>
              <w:right w:val="nil"/>
            </w:tcBorders>
            <w:shd w:val="clear" w:color="auto" w:fill="auto"/>
            <w:noWrap/>
            <w:vAlign w:val="center"/>
            <w:hideMark/>
          </w:tcPr>
          <w:p w14:paraId="2B238D7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9.395</w:t>
            </w:r>
          </w:p>
        </w:tc>
        <w:tc>
          <w:tcPr>
            <w:tcW w:w="1152" w:type="dxa"/>
            <w:tcBorders>
              <w:top w:val="nil"/>
              <w:left w:val="nil"/>
              <w:bottom w:val="nil"/>
              <w:right w:val="nil"/>
            </w:tcBorders>
            <w:shd w:val="clear" w:color="auto" w:fill="auto"/>
            <w:noWrap/>
            <w:vAlign w:val="center"/>
            <w:hideMark/>
          </w:tcPr>
          <w:p w14:paraId="0DF695A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6.720</w:t>
            </w:r>
          </w:p>
        </w:tc>
        <w:tc>
          <w:tcPr>
            <w:tcW w:w="1152" w:type="dxa"/>
            <w:tcBorders>
              <w:top w:val="nil"/>
              <w:left w:val="nil"/>
              <w:bottom w:val="nil"/>
              <w:right w:val="nil"/>
            </w:tcBorders>
            <w:shd w:val="clear" w:color="auto" w:fill="auto"/>
            <w:noWrap/>
            <w:vAlign w:val="center"/>
            <w:hideMark/>
          </w:tcPr>
          <w:p w14:paraId="47D7DA7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7.748</w:t>
            </w:r>
          </w:p>
        </w:tc>
      </w:tr>
      <w:tr w:rsidR="0019574C" w:rsidRPr="00E56159" w14:paraId="75A5775F" w14:textId="77777777" w:rsidTr="00EE0BCA">
        <w:trPr>
          <w:trHeight w:hRule="exact" w:val="245"/>
          <w:jc w:val="center"/>
        </w:trPr>
        <w:tc>
          <w:tcPr>
            <w:tcW w:w="2552" w:type="dxa"/>
            <w:vMerge/>
            <w:tcBorders>
              <w:top w:val="nil"/>
              <w:left w:val="nil"/>
              <w:bottom w:val="nil"/>
              <w:right w:val="nil"/>
            </w:tcBorders>
            <w:vAlign w:val="center"/>
            <w:hideMark/>
          </w:tcPr>
          <w:p w14:paraId="743B34E8"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E69998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(0.020)</w:t>
            </w:r>
          </w:p>
        </w:tc>
        <w:tc>
          <w:tcPr>
            <w:tcW w:w="1152" w:type="dxa"/>
            <w:tcBorders>
              <w:top w:val="nil"/>
              <w:left w:val="nil"/>
              <w:bottom w:val="nil"/>
              <w:right w:val="nil"/>
            </w:tcBorders>
            <w:shd w:val="clear" w:color="auto" w:fill="auto"/>
            <w:noWrap/>
            <w:vAlign w:val="center"/>
            <w:hideMark/>
          </w:tcPr>
          <w:p w14:paraId="543288A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(0.103)</w:t>
            </w:r>
          </w:p>
        </w:tc>
        <w:tc>
          <w:tcPr>
            <w:tcW w:w="1152" w:type="dxa"/>
            <w:tcBorders>
              <w:top w:val="nil"/>
              <w:left w:val="nil"/>
              <w:bottom w:val="nil"/>
              <w:right w:val="nil"/>
            </w:tcBorders>
            <w:shd w:val="clear" w:color="auto" w:fill="auto"/>
            <w:noWrap/>
            <w:vAlign w:val="center"/>
            <w:hideMark/>
          </w:tcPr>
          <w:p w14:paraId="31B187F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(0.890)</w:t>
            </w:r>
          </w:p>
        </w:tc>
        <w:tc>
          <w:tcPr>
            <w:tcW w:w="1152" w:type="dxa"/>
            <w:tcBorders>
              <w:top w:val="nil"/>
              <w:left w:val="nil"/>
              <w:bottom w:val="nil"/>
              <w:right w:val="nil"/>
            </w:tcBorders>
            <w:shd w:val="clear" w:color="auto" w:fill="auto"/>
            <w:noWrap/>
            <w:vAlign w:val="center"/>
            <w:hideMark/>
          </w:tcPr>
          <w:p w14:paraId="02BA275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3A84CE5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(0.086)</w:t>
            </w:r>
          </w:p>
        </w:tc>
        <w:tc>
          <w:tcPr>
            <w:tcW w:w="1152" w:type="dxa"/>
            <w:tcBorders>
              <w:top w:val="nil"/>
              <w:left w:val="nil"/>
              <w:bottom w:val="nil"/>
              <w:right w:val="nil"/>
            </w:tcBorders>
            <w:shd w:val="clear" w:color="auto" w:fill="auto"/>
            <w:noWrap/>
            <w:vAlign w:val="center"/>
            <w:hideMark/>
          </w:tcPr>
          <w:p w14:paraId="13EC91E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(0.058)</w:t>
            </w:r>
          </w:p>
        </w:tc>
      </w:tr>
      <w:tr w:rsidR="0019574C" w:rsidRPr="00E56159" w14:paraId="66B966B0" w14:textId="77777777" w:rsidTr="00EE0BCA">
        <w:trPr>
          <w:trHeight w:hRule="exact" w:val="245"/>
          <w:jc w:val="center"/>
        </w:trPr>
        <w:tc>
          <w:tcPr>
            <w:tcW w:w="2552" w:type="dxa"/>
            <w:tcBorders>
              <w:top w:val="nil"/>
              <w:left w:val="nil"/>
              <w:right w:val="nil"/>
            </w:tcBorders>
            <w:shd w:val="clear" w:color="auto" w:fill="auto"/>
            <w:noWrap/>
            <w:vAlign w:val="center"/>
            <w:hideMark/>
          </w:tcPr>
          <w:p w14:paraId="67E16368"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Observations</w:t>
            </w:r>
          </w:p>
        </w:tc>
        <w:tc>
          <w:tcPr>
            <w:tcW w:w="1152" w:type="dxa"/>
            <w:tcBorders>
              <w:top w:val="nil"/>
              <w:left w:val="nil"/>
              <w:right w:val="nil"/>
            </w:tcBorders>
            <w:shd w:val="clear" w:color="auto" w:fill="auto"/>
            <w:noWrap/>
            <w:vAlign w:val="center"/>
            <w:hideMark/>
          </w:tcPr>
          <w:p w14:paraId="4CAF7C3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033C8E3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4527A33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1CADAF1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4E2370C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40AA778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r>
      <w:tr w:rsidR="0019574C" w:rsidRPr="00E56159" w14:paraId="64A33476" w14:textId="77777777" w:rsidTr="00EE0BCA">
        <w:trPr>
          <w:trHeight w:hRule="exact" w:val="245"/>
          <w:jc w:val="center"/>
        </w:trPr>
        <w:tc>
          <w:tcPr>
            <w:tcW w:w="2552" w:type="dxa"/>
            <w:tcBorders>
              <w:top w:val="nil"/>
              <w:left w:val="nil"/>
              <w:bottom w:val="single" w:sz="4" w:space="0" w:color="auto"/>
              <w:right w:val="nil"/>
            </w:tcBorders>
            <w:shd w:val="clear" w:color="auto" w:fill="auto"/>
            <w:noWrap/>
            <w:vAlign w:val="center"/>
            <w:hideMark/>
          </w:tcPr>
          <w:p w14:paraId="71A5618D"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R-squared</w:t>
            </w:r>
          </w:p>
        </w:tc>
        <w:tc>
          <w:tcPr>
            <w:tcW w:w="1152" w:type="dxa"/>
            <w:tcBorders>
              <w:top w:val="nil"/>
              <w:left w:val="nil"/>
              <w:bottom w:val="single" w:sz="4" w:space="0" w:color="auto"/>
              <w:right w:val="nil"/>
            </w:tcBorders>
            <w:shd w:val="clear" w:color="auto" w:fill="auto"/>
            <w:noWrap/>
            <w:vAlign w:val="center"/>
            <w:hideMark/>
          </w:tcPr>
          <w:p w14:paraId="709C427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35AF1DA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1A11A00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0.029</w:t>
            </w:r>
          </w:p>
        </w:tc>
        <w:tc>
          <w:tcPr>
            <w:tcW w:w="1152" w:type="dxa"/>
            <w:tcBorders>
              <w:top w:val="nil"/>
              <w:left w:val="nil"/>
              <w:bottom w:val="single" w:sz="4" w:space="0" w:color="auto"/>
              <w:right w:val="nil"/>
            </w:tcBorders>
            <w:shd w:val="clear" w:color="auto" w:fill="auto"/>
            <w:noWrap/>
            <w:vAlign w:val="center"/>
            <w:hideMark/>
          </w:tcPr>
          <w:p w14:paraId="313613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02A07E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621BEE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r>
    </w:tbl>
    <w:p w14:paraId="6420753F" w14:textId="77777777" w:rsidR="0019574C" w:rsidRPr="00E56159" w:rsidRDefault="0019574C" w:rsidP="00EE0BCA">
      <w:pPr>
        <w:spacing w:after="0" w:line="240" w:lineRule="auto"/>
        <w:rPr>
          <w:rFonts w:ascii="Times New Roman" w:hAnsi="Times New Roman" w:cs="Times New Roman"/>
          <w:kern w:val="0"/>
          <w:szCs w:val="22"/>
        </w:rPr>
      </w:pPr>
      <w:r w:rsidRPr="00E56159">
        <w:rPr>
          <w:rFonts w:ascii="Times New Roman" w:hAnsi="Times New Roman" w:cs="Times New Roman"/>
          <w:kern w:val="0"/>
          <w:szCs w:val="22"/>
        </w:rPr>
        <w:t xml:space="preserve">Note: </w:t>
      </w:r>
      <w:r w:rsidRPr="00E56159">
        <w:rPr>
          <w:rFonts w:ascii="Times New Roman" w:eastAsia="Times New Roman" w:hAnsi="Times New Roman" w:cs="Times New Roman"/>
          <w:kern w:val="0"/>
          <w:szCs w:val="22"/>
        </w:rPr>
        <w:t xml:space="preserve">p-values </w:t>
      </w:r>
      <w:r w:rsidRPr="00E56159">
        <w:rPr>
          <w:rFonts w:ascii="Times New Roman" w:hAnsi="Times New Roman" w:cs="Times New Roman"/>
          <w:kern w:val="0"/>
          <w:szCs w:val="22"/>
        </w:rPr>
        <w:t xml:space="preserve">are reported </w:t>
      </w:r>
      <w:r w:rsidRPr="00E56159">
        <w:rPr>
          <w:rFonts w:ascii="Times New Roman" w:eastAsia="Times New Roman" w:hAnsi="Times New Roman" w:cs="Times New Roman"/>
          <w:kern w:val="0"/>
          <w:szCs w:val="22"/>
        </w:rPr>
        <w:t>in parentheses</w:t>
      </w:r>
      <w:r w:rsidRPr="00E56159">
        <w:rPr>
          <w:rFonts w:ascii="Times New Roman" w:hAnsi="Times New Roman" w:cs="Times New Roman"/>
          <w:kern w:val="0"/>
          <w:szCs w:val="22"/>
        </w:rPr>
        <w:t>.</w:t>
      </w:r>
    </w:p>
    <w:p w14:paraId="3898C0B3" w14:textId="77777777" w:rsidR="00EE0BCA" w:rsidRDefault="00EE0BCA">
      <w:pPr>
        <w:widowControl/>
        <w:spacing w:after="0" w:line="240" w:lineRule="auto"/>
        <w:rPr>
          <w:rFonts w:ascii="Times New Roman" w:hAnsi="Times New Roman" w:cs="Times New Roman"/>
          <w:b/>
          <w:szCs w:val="22"/>
        </w:rPr>
      </w:pPr>
      <w:r>
        <w:rPr>
          <w:rFonts w:ascii="Times New Roman" w:hAnsi="Times New Roman" w:cs="Times New Roman"/>
          <w:b/>
          <w:szCs w:val="22"/>
        </w:rPr>
        <w:br w:type="page"/>
      </w:r>
    </w:p>
    <w:p w14:paraId="74C54FE7" w14:textId="337C0A02" w:rsidR="0019574C" w:rsidRPr="00E56159" w:rsidRDefault="0019574C" w:rsidP="00EE0BCA">
      <w:pPr>
        <w:spacing w:after="0" w:line="240" w:lineRule="auto"/>
        <w:rPr>
          <w:rFonts w:ascii="Times New Roman" w:hAnsi="Times New Roman" w:cs="Times New Roman"/>
          <w:szCs w:val="22"/>
        </w:rPr>
      </w:pPr>
      <w:r w:rsidRPr="003E228B">
        <w:rPr>
          <w:rFonts w:ascii="Times New Roman" w:hAnsi="Times New Roman" w:cs="Times New Roman"/>
          <w:b/>
          <w:szCs w:val="22"/>
        </w:rPr>
        <w:lastRenderedPageBreak/>
        <w:t xml:space="preserve">Table </w:t>
      </w:r>
      <w:r w:rsidR="00F821FB" w:rsidRPr="003E228B">
        <w:rPr>
          <w:rFonts w:ascii="Times New Roman" w:hAnsi="Times New Roman" w:cs="Times New Roman"/>
          <w:b/>
          <w:szCs w:val="22"/>
        </w:rPr>
        <w:t>A4</w:t>
      </w:r>
      <w:r w:rsidRPr="003E228B">
        <w:rPr>
          <w:rFonts w:ascii="Times New Roman" w:hAnsi="Times New Roman" w:cs="Times New Roman"/>
          <w:b/>
          <w:szCs w:val="22"/>
        </w:rPr>
        <w:t xml:space="preserve">: Ethnic partitioning (Dummy) and PPI projects’ </w:t>
      </w:r>
      <w:r w:rsidR="00957596" w:rsidRPr="003E228B">
        <w:rPr>
          <w:rFonts w:ascii="Times New Roman" w:hAnsi="Times New Roman" w:cs="Times New Roman"/>
          <w:b/>
          <w:szCs w:val="22"/>
        </w:rPr>
        <w:t>survival</w:t>
      </w:r>
      <w:r w:rsidR="00957596" w:rsidRPr="00E56159">
        <w:rPr>
          <w:rFonts w:ascii="Times New Roman" w:hAnsi="Times New Roman" w:cs="Times New Roman"/>
          <w:szCs w:val="22"/>
        </w:rPr>
        <w:t xml:space="preserve"> </w:t>
      </w:r>
      <w:r w:rsidRPr="00E56159">
        <w:rPr>
          <w:rFonts w:ascii="Times New Roman" w:hAnsi="Times New Roman" w:cs="Times New Roman"/>
          <w:szCs w:val="22"/>
        </w:rPr>
        <w:t>(</w:t>
      </w:r>
      <w:proofErr w:type="spellStart"/>
      <w:r w:rsidRPr="00E56159">
        <w:rPr>
          <w:rFonts w:ascii="Times New Roman" w:hAnsi="Times New Roman" w:cs="Times New Roman"/>
          <w:szCs w:val="22"/>
        </w:rPr>
        <w:t>Relogit</w:t>
      </w:r>
      <w:proofErr w:type="spellEnd"/>
      <w:r w:rsidRPr="00E56159">
        <w:rPr>
          <w:rFonts w:ascii="Times New Roman" w:hAnsi="Times New Roman" w:cs="Times New Roman"/>
          <w:szCs w:val="22"/>
        </w:rPr>
        <w:t xml:space="preserve"> model)</w:t>
      </w:r>
    </w:p>
    <w:tbl>
      <w:tblPr>
        <w:tblW w:w="9747" w:type="dxa"/>
        <w:jc w:val="center"/>
        <w:tblLook w:val="04A0" w:firstRow="1" w:lastRow="0" w:firstColumn="1" w:lastColumn="0" w:noHBand="0" w:noVBand="1"/>
      </w:tblPr>
      <w:tblGrid>
        <w:gridCol w:w="2835"/>
        <w:gridCol w:w="1152"/>
        <w:gridCol w:w="1152"/>
        <w:gridCol w:w="1152"/>
        <w:gridCol w:w="1152"/>
        <w:gridCol w:w="1152"/>
        <w:gridCol w:w="1152"/>
      </w:tblGrid>
      <w:tr w:rsidR="0019574C" w:rsidRPr="00E56159" w14:paraId="2220B019" w14:textId="77777777" w:rsidTr="00EE0BCA">
        <w:trPr>
          <w:trHeight w:hRule="exact" w:val="274"/>
          <w:jc w:val="center"/>
        </w:trPr>
        <w:tc>
          <w:tcPr>
            <w:tcW w:w="2835" w:type="dxa"/>
            <w:vMerge w:val="restart"/>
            <w:tcBorders>
              <w:top w:val="single" w:sz="4" w:space="0" w:color="auto"/>
              <w:left w:val="nil"/>
              <w:right w:val="nil"/>
            </w:tcBorders>
            <w:shd w:val="clear" w:color="auto" w:fill="auto"/>
            <w:noWrap/>
            <w:vAlign w:val="center"/>
            <w:hideMark/>
          </w:tcPr>
          <w:p w14:paraId="50974787" w14:textId="77777777" w:rsidR="0019574C" w:rsidRPr="00E56159" w:rsidRDefault="0019574C" w:rsidP="00EE0BCA">
            <w:pPr>
              <w:spacing w:after="0" w:line="240" w:lineRule="auto"/>
              <w:rPr>
                <w:rFonts w:ascii="Times New Roman" w:hAnsi="Times New Roman" w:cs="Times New Roman"/>
                <w:kern w:val="0"/>
                <w:szCs w:val="22"/>
              </w:rPr>
            </w:pPr>
            <w:r w:rsidRPr="00E56159">
              <w:rPr>
                <w:rFonts w:ascii="Times New Roman" w:hAnsi="Times New Roman" w:cs="Times New Roman"/>
                <w:kern w:val="0"/>
                <w:szCs w:val="22"/>
              </w:rPr>
              <w:t>Variable</w:t>
            </w:r>
          </w:p>
        </w:tc>
        <w:tc>
          <w:tcPr>
            <w:tcW w:w="1152" w:type="dxa"/>
            <w:tcBorders>
              <w:top w:val="single" w:sz="4" w:space="0" w:color="auto"/>
              <w:left w:val="nil"/>
              <w:bottom w:val="single" w:sz="4" w:space="0" w:color="auto"/>
              <w:right w:val="nil"/>
            </w:tcBorders>
            <w:shd w:val="clear" w:color="auto" w:fill="auto"/>
            <w:noWrap/>
            <w:vAlign w:val="center"/>
            <w:hideMark/>
          </w:tcPr>
          <w:p w14:paraId="569FF490"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1</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51760F14"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2</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392D5925"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3</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1BC1A2FB"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4</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6E96360C"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5</w:t>
            </w:r>
            <w:r w:rsidRPr="00E56159">
              <w:rPr>
                <w:rFonts w:ascii="Times New Roman" w:hAnsi="Times New Roman" w:cs="Times New Roman"/>
                <w:kern w:val="0"/>
                <w:szCs w:val="22"/>
              </w:rPr>
              <w:t>)</w:t>
            </w:r>
          </w:p>
        </w:tc>
        <w:tc>
          <w:tcPr>
            <w:tcW w:w="1152" w:type="dxa"/>
            <w:tcBorders>
              <w:top w:val="single" w:sz="4" w:space="0" w:color="auto"/>
              <w:left w:val="nil"/>
              <w:bottom w:val="single" w:sz="4" w:space="0" w:color="auto"/>
              <w:right w:val="nil"/>
            </w:tcBorders>
            <w:shd w:val="clear" w:color="auto" w:fill="auto"/>
            <w:noWrap/>
            <w:vAlign w:val="center"/>
            <w:hideMark/>
          </w:tcPr>
          <w:p w14:paraId="13A45369"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w:t>
            </w:r>
            <w:r w:rsidRPr="00E56159">
              <w:rPr>
                <w:rFonts w:ascii="Times New Roman" w:eastAsia="Times New Roman" w:hAnsi="Times New Roman" w:cs="Times New Roman"/>
                <w:kern w:val="0"/>
                <w:szCs w:val="22"/>
              </w:rPr>
              <w:t>6</w:t>
            </w:r>
            <w:r w:rsidRPr="00E56159">
              <w:rPr>
                <w:rFonts w:ascii="Times New Roman" w:hAnsi="Times New Roman" w:cs="Times New Roman"/>
                <w:kern w:val="0"/>
                <w:szCs w:val="22"/>
              </w:rPr>
              <w:t>)</w:t>
            </w:r>
          </w:p>
        </w:tc>
      </w:tr>
      <w:tr w:rsidR="0019574C" w:rsidRPr="00E56159" w14:paraId="4EDA93C6" w14:textId="77777777" w:rsidTr="00EE0BCA">
        <w:trPr>
          <w:trHeight w:hRule="exact" w:val="274"/>
          <w:jc w:val="center"/>
        </w:trPr>
        <w:tc>
          <w:tcPr>
            <w:tcW w:w="2835" w:type="dxa"/>
            <w:vMerge/>
            <w:tcBorders>
              <w:left w:val="nil"/>
              <w:bottom w:val="single" w:sz="4" w:space="0" w:color="auto"/>
              <w:right w:val="nil"/>
            </w:tcBorders>
            <w:shd w:val="clear" w:color="auto" w:fill="auto"/>
            <w:noWrap/>
            <w:vAlign w:val="center"/>
          </w:tcPr>
          <w:p w14:paraId="5B10777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single" w:sz="4" w:space="0" w:color="auto"/>
              <w:left w:val="nil"/>
              <w:bottom w:val="single" w:sz="4" w:space="0" w:color="auto"/>
              <w:right w:val="nil"/>
            </w:tcBorders>
            <w:shd w:val="clear" w:color="auto" w:fill="auto"/>
            <w:noWrap/>
            <w:vAlign w:val="center"/>
          </w:tcPr>
          <w:p w14:paraId="21C3D58B"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70E3E9A5"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728748F6"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eastAsia="Times New Roman" w:hAnsi="Times New Roman" w:cs="Times New Roman"/>
                <w:kern w:val="0"/>
                <w:szCs w:val="22"/>
              </w:rPr>
              <w:t>Conflict</w:t>
            </w:r>
          </w:p>
        </w:tc>
        <w:tc>
          <w:tcPr>
            <w:tcW w:w="1152" w:type="dxa"/>
            <w:tcBorders>
              <w:top w:val="single" w:sz="4" w:space="0" w:color="auto"/>
              <w:left w:val="nil"/>
              <w:bottom w:val="single" w:sz="4" w:space="0" w:color="auto"/>
              <w:right w:val="nil"/>
            </w:tcBorders>
            <w:shd w:val="clear" w:color="auto" w:fill="auto"/>
            <w:noWrap/>
            <w:vAlign w:val="center"/>
          </w:tcPr>
          <w:p w14:paraId="4B070678"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6790023B"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c>
          <w:tcPr>
            <w:tcW w:w="1152" w:type="dxa"/>
            <w:tcBorders>
              <w:top w:val="single" w:sz="4" w:space="0" w:color="auto"/>
              <w:left w:val="nil"/>
              <w:bottom w:val="single" w:sz="4" w:space="0" w:color="auto"/>
              <w:right w:val="nil"/>
            </w:tcBorders>
            <w:shd w:val="clear" w:color="auto" w:fill="auto"/>
            <w:noWrap/>
            <w:vAlign w:val="center"/>
          </w:tcPr>
          <w:p w14:paraId="1AB28D11" w14:textId="77777777" w:rsidR="0019574C" w:rsidRPr="00E56159" w:rsidRDefault="0019574C" w:rsidP="00EE0BCA">
            <w:pPr>
              <w:spacing w:after="0" w:line="240" w:lineRule="auto"/>
              <w:jc w:val="center"/>
              <w:rPr>
                <w:rFonts w:ascii="Times New Roman" w:hAnsi="Times New Roman" w:cs="Times New Roman"/>
                <w:kern w:val="0"/>
                <w:szCs w:val="22"/>
              </w:rPr>
            </w:pPr>
            <w:r w:rsidRPr="00E56159">
              <w:rPr>
                <w:rFonts w:ascii="Times New Roman" w:hAnsi="Times New Roman" w:cs="Times New Roman"/>
                <w:kern w:val="0"/>
                <w:szCs w:val="22"/>
              </w:rPr>
              <w:t>Failure</w:t>
            </w:r>
          </w:p>
        </w:tc>
      </w:tr>
      <w:tr w:rsidR="0019574C" w:rsidRPr="00E56159" w14:paraId="7CF5D077" w14:textId="77777777" w:rsidTr="00EE0BCA">
        <w:trPr>
          <w:trHeight w:hRule="exact" w:val="245"/>
          <w:jc w:val="center"/>
        </w:trPr>
        <w:tc>
          <w:tcPr>
            <w:tcW w:w="2835" w:type="dxa"/>
            <w:vMerge w:val="restart"/>
            <w:tcBorders>
              <w:top w:val="single" w:sz="4" w:space="0" w:color="auto"/>
              <w:left w:val="nil"/>
              <w:bottom w:val="nil"/>
              <w:right w:val="nil"/>
            </w:tcBorders>
            <w:shd w:val="clear" w:color="auto" w:fill="auto"/>
            <w:noWrap/>
            <w:vAlign w:val="center"/>
            <w:hideMark/>
          </w:tcPr>
          <w:p w14:paraId="32640186"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Ethnic partitioning (dummy)</w:t>
            </w:r>
          </w:p>
        </w:tc>
        <w:tc>
          <w:tcPr>
            <w:tcW w:w="1152" w:type="dxa"/>
            <w:tcBorders>
              <w:top w:val="single" w:sz="4" w:space="0" w:color="auto"/>
              <w:left w:val="nil"/>
              <w:bottom w:val="nil"/>
              <w:right w:val="nil"/>
            </w:tcBorders>
            <w:shd w:val="clear" w:color="auto" w:fill="auto"/>
            <w:noWrap/>
            <w:vAlign w:val="center"/>
            <w:hideMark/>
          </w:tcPr>
          <w:p w14:paraId="419B4F6A"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single" w:sz="4" w:space="0" w:color="auto"/>
              <w:left w:val="nil"/>
              <w:bottom w:val="nil"/>
              <w:right w:val="nil"/>
            </w:tcBorders>
            <w:shd w:val="clear" w:color="auto" w:fill="auto"/>
            <w:noWrap/>
            <w:vAlign w:val="center"/>
            <w:hideMark/>
          </w:tcPr>
          <w:p w14:paraId="7E42784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0.641</w:t>
            </w:r>
          </w:p>
        </w:tc>
        <w:tc>
          <w:tcPr>
            <w:tcW w:w="1152" w:type="dxa"/>
            <w:tcBorders>
              <w:top w:val="single" w:sz="4" w:space="0" w:color="auto"/>
              <w:left w:val="nil"/>
              <w:bottom w:val="nil"/>
              <w:right w:val="nil"/>
            </w:tcBorders>
            <w:shd w:val="clear" w:color="auto" w:fill="auto"/>
            <w:noWrap/>
            <w:vAlign w:val="center"/>
            <w:hideMark/>
          </w:tcPr>
          <w:p w14:paraId="570C8B9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4.090</w:t>
            </w:r>
          </w:p>
        </w:tc>
        <w:tc>
          <w:tcPr>
            <w:tcW w:w="1152" w:type="dxa"/>
            <w:tcBorders>
              <w:top w:val="single" w:sz="4" w:space="0" w:color="auto"/>
              <w:left w:val="nil"/>
              <w:bottom w:val="nil"/>
              <w:right w:val="nil"/>
            </w:tcBorders>
            <w:shd w:val="clear" w:color="auto" w:fill="auto"/>
            <w:noWrap/>
            <w:vAlign w:val="center"/>
            <w:hideMark/>
          </w:tcPr>
          <w:p w14:paraId="1754E7D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single" w:sz="4" w:space="0" w:color="auto"/>
              <w:left w:val="nil"/>
              <w:bottom w:val="nil"/>
              <w:right w:val="nil"/>
            </w:tcBorders>
            <w:shd w:val="clear" w:color="auto" w:fill="auto"/>
            <w:noWrap/>
            <w:vAlign w:val="center"/>
            <w:hideMark/>
          </w:tcPr>
          <w:p w14:paraId="2F4E185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0.587</w:t>
            </w:r>
          </w:p>
        </w:tc>
        <w:tc>
          <w:tcPr>
            <w:tcW w:w="1152" w:type="dxa"/>
            <w:tcBorders>
              <w:top w:val="single" w:sz="4" w:space="0" w:color="auto"/>
              <w:left w:val="nil"/>
              <w:bottom w:val="nil"/>
              <w:right w:val="nil"/>
            </w:tcBorders>
            <w:shd w:val="clear" w:color="auto" w:fill="auto"/>
            <w:noWrap/>
            <w:vAlign w:val="center"/>
            <w:hideMark/>
          </w:tcPr>
          <w:p w14:paraId="62088C2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0.709</w:t>
            </w:r>
          </w:p>
        </w:tc>
      </w:tr>
      <w:tr w:rsidR="0019574C" w:rsidRPr="00E56159" w14:paraId="7E57FD6A" w14:textId="77777777" w:rsidTr="00EE0BCA">
        <w:trPr>
          <w:trHeight w:hRule="exact" w:val="245"/>
          <w:jc w:val="center"/>
        </w:trPr>
        <w:tc>
          <w:tcPr>
            <w:tcW w:w="2835" w:type="dxa"/>
            <w:vMerge/>
            <w:tcBorders>
              <w:top w:val="nil"/>
              <w:left w:val="nil"/>
              <w:bottom w:val="nil"/>
              <w:right w:val="nil"/>
            </w:tcBorders>
            <w:vAlign w:val="center"/>
            <w:hideMark/>
          </w:tcPr>
          <w:p w14:paraId="7D4B61A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FEF6B8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EFD557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(0.140)</w:t>
            </w:r>
          </w:p>
        </w:tc>
        <w:tc>
          <w:tcPr>
            <w:tcW w:w="1152" w:type="dxa"/>
            <w:tcBorders>
              <w:top w:val="nil"/>
              <w:left w:val="nil"/>
              <w:bottom w:val="nil"/>
              <w:right w:val="nil"/>
            </w:tcBorders>
            <w:shd w:val="clear" w:color="auto" w:fill="auto"/>
            <w:noWrap/>
            <w:vAlign w:val="center"/>
            <w:hideMark/>
          </w:tcPr>
          <w:p w14:paraId="47C38E6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343A70F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10C77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(0.147)</w:t>
            </w:r>
          </w:p>
        </w:tc>
        <w:tc>
          <w:tcPr>
            <w:tcW w:w="1152" w:type="dxa"/>
            <w:tcBorders>
              <w:top w:val="nil"/>
              <w:left w:val="nil"/>
              <w:bottom w:val="nil"/>
              <w:right w:val="nil"/>
            </w:tcBorders>
            <w:shd w:val="clear" w:color="auto" w:fill="auto"/>
            <w:noWrap/>
            <w:vAlign w:val="center"/>
            <w:hideMark/>
          </w:tcPr>
          <w:p w14:paraId="163EB2A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(0.048)</w:t>
            </w:r>
          </w:p>
        </w:tc>
      </w:tr>
      <w:tr w:rsidR="0019574C" w:rsidRPr="00E56159" w14:paraId="48DC5B3A"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0A1C26C"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Conflict exposure</w:t>
            </w:r>
          </w:p>
        </w:tc>
        <w:tc>
          <w:tcPr>
            <w:tcW w:w="1152" w:type="dxa"/>
            <w:tcBorders>
              <w:top w:val="nil"/>
              <w:left w:val="nil"/>
              <w:bottom w:val="nil"/>
              <w:right w:val="nil"/>
            </w:tcBorders>
            <w:shd w:val="clear" w:color="auto" w:fill="auto"/>
            <w:noWrap/>
            <w:vAlign w:val="center"/>
            <w:hideMark/>
          </w:tcPr>
          <w:p w14:paraId="28AC66E7"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8F4723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4CDF6E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C85D6C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c>
          <w:tcPr>
            <w:tcW w:w="1152" w:type="dxa"/>
            <w:tcBorders>
              <w:top w:val="nil"/>
              <w:left w:val="nil"/>
              <w:bottom w:val="nil"/>
              <w:right w:val="nil"/>
            </w:tcBorders>
            <w:shd w:val="clear" w:color="auto" w:fill="auto"/>
            <w:noWrap/>
            <w:vAlign w:val="center"/>
            <w:hideMark/>
          </w:tcPr>
          <w:p w14:paraId="358E835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c>
          <w:tcPr>
            <w:tcW w:w="1152" w:type="dxa"/>
            <w:tcBorders>
              <w:top w:val="nil"/>
              <w:left w:val="nil"/>
              <w:bottom w:val="nil"/>
              <w:right w:val="nil"/>
            </w:tcBorders>
            <w:shd w:val="clear" w:color="auto" w:fill="auto"/>
            <w:noWrap/>
            <w:vAlign w:val="center"/>
            <w:hideMark/>
          </w:tcPr>
          <w:p w14:paraId="375166A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r>
      <w:tr w:rsidR="0019574C" w:rsidRPr="00E56159" w14:paraId="0989824C" w14:textId="77777777" w:rsidTr="00EE0BCA">
        <w:trPr>
          <w:trHeight w:hRule="exact" w:val="245"/>
          <w:jc w:val="center"/>
        </w:trPr>
        <w:tc>
          <w:tcPr>
            <w:tcW w:w="2835" w:type="dxa"/>
            <w:vMerge/>
            <w:tcBorders>
              <w:top w:val="nil"/>
              <w:left w:val="nil"/>
              <w:bottom w:val="nil"/>
              <w:right w:val="nil"/>
            </w:tcBorders>
            <w:vAlign w:val="center"/>
            <w:hideMark/>
          </w:tcPr>
          <w:p w14:paraId="48A4A73F"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FB0FA4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37F0A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BBD095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E1B548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09875CE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903957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39425095" w14:textId="77777777" w:rsidTr="00EE0BCA">
        <w:trPr>
          <w:trHeight w:hRule="exact" w:val="288"/>
          <w:jc w:val="center"/>
        </w:trPr>
        <w:tc>
          <w:tcPr>
            <w:tcW w:w="2835" w:type="dxa"/>
            <w:vMerge w:val="restart"/>
            <w:tcBorders>
              <w:top w:val="nil"/>
              <w:left w:val="nil"/>
              <w:bottom w:val="nil"/>
              <w:right w:val="nil"/>
            </w:tcBorders>
            <w:shd w:val="clear" w:color="auto" w:fill="auto"/>
            <w:noWrap/>
            <w:vAlign w:val="center"/>
            <w:hideMark/>
          </w:tcPr>
          <w:p w14:paraId="7B585A73"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Ethnic partitioning (dummy)</w:t>
            </w:r>
            <w:r w:rsidRPr="00E56159">
              <w:rPr>
                <w:rFonts w:ascii="Times New Roman" w:hAnsi="Times New Roman" w:cs="Times New Roman"/>
                <w:kern w:val="0"/>
                <w:szCs w:val="22"/>
              </w:rPr>
              <w:t xml:space="preserve"> × </w:t>
            </w:r>
            <w:r w:rsidRPr="00E56159">
              <w:rPr>
                <w:rFonts w:ascii="Times New Roman" w:eastAsia="Times New Roman" w:hAnsi="Times New Roman" w:cs="Times New Roman"/>
                <w:kern w:val="0"/>
                <w:szCs w:val="22"/>
              </w:rPr>
              <w:t>Institutional quality</w:t>
            </w:r>
          </w:p>
        </w:tc>
        <w:tc>
          <w:tcPr>
            <w:tcW w:w="1152" w:type="dxa"/>
            <w:tcBorders>
              <w:top w:val="nil"/>
              <w:left w:val="nil"/>
              <w:bottom w:val="nil"/>
              <w:right w:val="nil"/>
            </w:tcBorders>
            <w:shd w:val="clear" w:color="auto" w:fill="auto"/>
            <w:noWrap/>
            <w:vAlign w:val="center"/>
            <w:hideMark/>
          </w:tcPr>
          <w:p w14:paraId="0792DA81"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7D5298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7A80A3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49DEEA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9DA29E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1857E1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-1.385</w:t>
            </w:r>
          </w:p>
        </w:tc>
      </w:tr>
      <w:tr w:rsidR="0019574C" w:rsidRPr="00E56159" w14:paraId="0045E049" w14:textId="77777777" w:rsidTr="00EE0BCA">
        <w:trPr>
          <w:trHeight w:hRule="exact" w:val="288"/>
          <w:jc w:val="center"/>
        </w:trPr>
        <w:tc>
          <w:tcPr>
            <w:tcW w:w="2835" w:type="dxa"/>
            <w:vMerge/>
            <w:tcBorders>
              <w:top w:val="nil"/>
              <w:left w:val="nil"/>
              <w:bottom w:val="nil"/>
              <w:right w:val="nil"/>
            </w:tcBorders>
            <w:vAlign w:val="center"/>
            <w:hideMark/>
          </w:tcPr>
          <w:p w14:paraId="401A2804"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67DEAA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7A01A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042A660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69992F0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4AEE00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3D4A83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(0.020)</w:t>
            </w:r>
          </w:p>
        </w:tc>
      </w:tr>
      <w:tr w:rsidR="0019574C" w:rsidRPr="00E56159" w14:paraId="4B879616"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3B9FAA2"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Institutional quality</w:t>
            </w:r>
          </w:p>
        </w:tc>
        <w:tc>
          <w:tcPr>
            <w:tcW w:w="1152" w:type="dxa"/>
            <w:tcBorders>
              <w:top w:val="nil"/>
              <w:left w:val="nil"/>
              <w:bottom w:val="nil"/>
              <w:right w:val="nil"/>
            </w:tcBorders>
            <w:shd w:val="clear" w:color="auto" w:fill="auto"/>
            <w:noWrap/>
            <w:vAlign w:val="center"/>
            <w:hideMark/>
          </w:tcPr>
          <w:p w14:paraId="60D0CF7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0.932</w:t>
            </w:r>
          </w:p>
        </w:tc>
        <w:tc>
          <w:tcPr>
            <w:tcW w:w="1152" w:type="dxa"/>
            <w:tcBorders>
              <w:top w:val="nil"/>
              <w:left w:val="nil"/>
              <w:bottom w:val="nil"/>
              <w:right w:val="nil"/>
            </w:tcBorders>
            <w:shd w:val="clear" w:color="auto" w:fill="auto"/>
            <w:noWrap/>
            <w:vAlign w:val="center"/>
            <w:hideMark/>
          </w:tcPr>
          <w:p w14:paraId="45B44D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0.914</w:t>
            </w:r>
          </w:p>
        </w:tc>
        <w:tc>
          <w:tcPr>
            <w:tcW w:w="1152" w:type="dxa"/>
            <w:tcBorders>
              <w:top w:val="nil"/>
              <w:left w:val="nil"/>
              <w:bottom w:val="nil"/>
              <w:right w:val="nil"/>
            </w:tcBorders>
            <w:shd w:val="clear" w:color="auto" w:fill="auto"/>
            <w:noWrap/>
            <w:vAlign w:val="center"/>
            <w:hideMark/>
          </w:tcPr>
          <w:p w14:paraId="30FF8D7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-4.378</w:t>
            </w:r>
          </w:p>
        </w:tc>
        <w:tc>
          <w:tcPr>
            <w:tcW w:w="1152" w:type="dxa"/>
            <w:tcBorders>
              <w:top w:val="nil"/>
              <w:left w:val="nil"/>
              <w:bottom w:val="nil"/>
              <w:right w:val="nil"/>
            </w:tcBorders>
            <w:shd w:val="clear" w:color="auto" w:fill="auto"/>
            <w:noWrap/>
            <w:vAlign w:val="center"/>
            <w:hideMark/>
          </w:tcPr>
          <w:p w14:paraId="56E28A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0.897</w:t>
            </w:r>
          </w:p>
        </w:tc>
        <w:tc>
          <w:tcPr>
            <w:tcW w:w="1152" w:type="dxa"/>
            <w:tcBorders>
              <w:top w:val="nil"/>
              <w:left w:val="nil"/>
              <w:bottom w:val="nil"/>
              <w:right w:val="nil"/>
            </w:tcBorders>
            <w:shd w:val="clear" w:color="auto" w:fill="auto"/>
            <w:noWrap/>
            <w:vAlign w:val="center"/>
            <w:hideMark/>
          </w:tcPr>
          <w:p w14:paraId="4BDEEE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0.886</w:t>
            </w:r>
          </w:p>
        </w:tc>
        <w:tc>
          <w:tcPr>
            <w:tcW w:w="1152" w:type="dxa"/>
            <w:tcBorders>
              <w:top w:val="nil"/>
              <w:left w:val="nil"/>
              <w:bottom w:val="nil"/>
              <w:right w:val="nil"/>
            </w:tcBorders>
            <w:shd w:val="clear" w:color="auto" w:fill="auto"/>
            <w:noWrap/>
            <w:vAlign w:val="center"/>
            <w:hideMark/>
          </w:tcPr>
          <w:p w14:paraId="42622DE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1.014</w:t>
            </w:r>
          </w:p>
        </w:tc>
      </w:tr>
      <w:tr w:rsidR="0019574C" w:rsidRPr="00E56159" w14:paraId="13E7E2CF" w14:textId="77777777" w:rsidTr="00EE0BCA">
        <w:trPr>
          <w:trHeight w:hRule="exact" w:val="245"/>
          <w:jc w:val="center"/>
        </w:trPr>
        <w:tc>
          <w:tcPr>
            <w:tcW w:w="2835" w:type="dxa"/>
            <w:vMerge/>
            <w:tcBorders>
              <w:top w:val="nil"/>
              <w:left w:val="nil"/>
              <w:bottom w:val="nil"/>
              <w:right w:val="nil"/>
            </w:tcBorders>
            <w:vAlign w:val="center"/>
            <w:hideMark/>
          </w:tcPr>
          <w:p w14:paraId="2B95B96A"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9F6CEC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7C68909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(0.028)</w:t>
            </w:r>
          </w:p>
        </w:tc>
        <w:tc>
          <w:tcPr>
            <w:tcW w:w="1152" w:type="dxa"/>
            <w:tcBorders>
              <w:top w:val="nil"/>
              <w:left w:val="nil"/>
              <w:bottom w:val="nil"/>
              <w:right w:val="nil"/>
            </w:tcBorders>
            <w:shd w:val="clear" w:color="auto" w:fill="auto"/>
            <w:noWrap/>
            <w:vAlign w:val="center"/>
            <w:hideMark/>
          </w:tcPr>
          <w:p w14:paraId="5281112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(0.010)</w:t>
            </w:r>
          </w:p>
        </w:tc>
        <w:tc>
          <w:tcPr>
            <w:tcW w:w="1152" w:type="dxa"/>
            <w:tcBorders>
              <w:top w:val="nil"/>
              <w:left w:val="nil"/>
              <w:bottom w:val="nil"/>
              <w:right w:val="nil"/>
            </w:tcBorders>
            <w:shd w:val="clear" w:color="auto" w:fill="auto"/>
            <w:noWrap/>
            <w:vAlign w:val="center"/>
            <w:hideMark/>
          </w:tcPr>
          <w:p w14:paraId="3C7C0CD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(0.040)</w:t>
            </w:r>
          </w:p>
        </w:tc>
        <w:tc>
          <w:tcPr>
            <w:tcW w:w="1152" w:type="dxa"/>
            <w:tcBorders>
              <w:top w:val="nil"/>
              <w:left w:val="nil"/>
              <w:bottom w:val="nil"/>
              <w:right w:val="nil"/>
            </w:tcBorders>
            <w:shd w:val="clear" w:color="auto" w:fill="auto"/>
            <w:noWrap/>
            <w:vAlign w:val="center"/>
            <w:hideMark/>
          </w:tcPr>
          <w:p w14:paraId="7E06523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(0.025)</w:t>
            </w:r>
          </w:p>
        </w:tc>
        <w:tc>
          <w:tcPr>
            <w:tcW w:w="1152" w:type="dxa"/>
            <w:tcBorders>
              <w:top w:val="nil"/>
              <w:left w:val="nil"/>
              <w:bottom w:val="nil"/>
              <w:right w:val="nil"/>
            </w:tcBorders>
            <w:shd w:val="clear" w:color="auto" w:fill="auto"/>
            <w:noWrap/>
            <w:vAlign w:val="center"/>
            <w:hideMark/>
          </w:tcPr>
          <w:p w14:paraId="538E448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r>
      <w:tr w:rsidR="0019574C" w:rsidRPr="00E56159" w14:paraId="36FD5F8C"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41F4EB07"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Capital city ethnicity</w:t>
            </w:r>
          </w:p>
        </w:tc>
        <w:tc>
          <w:tcPr>
            <w:tcW w:w="1152" w:type="dxa"/>
            <w:tcBorders>
              <w:top w:val="nil"/>
              <w:left w:val="nil"/>
              <w:bottom w:val="nil"/>
              <w:right w:val="nil"/>
            </w:tcBorders>
            <w:shd w:val="clear" w:color="auto" w:fill="auto"/>
            <w:noWrap/>
            <w:vAlign w:val="center"/>
            <w:hideMark/>
          </w:tcPr>
          <w:p w14:paraId="6BE93E7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1.150</w:t>
            </w:r>
          </w:p>
        </w:tc>
        <w:tc>
          <w:tcPr>
            <w:tcW w:w="1152" w:type="dxa"/>
            <w:tcBorders>
              <w:top w:val="nil"/>
              <w:left w:val="nil"/>
              <w:bottom w:val="nil"/>
              <w:right w:val="nil"/>
            </w:tcBorders>
            <w:shd w:val="clear" w:color="auto" w:fill="auto"/>
            <w:noWrap/>
            <w:vAlign w:val="center"/>
            <w:hideMark/>
          </w:tcPr>
          <w:p w14:paraId="6E0F1E2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1.149</w:t>
            </w:r>
          </w:p>
        </w:tc>
        <w:tc>
          <w:tcPr>
            <w:tcW w:w="1152" w:type="dxa"/>
            <w:tcBorders>
              <w:top w:val="nil"/>
              <w:left w:val="nil"/>
              <w:bottom w:val="nil"/>
              <w:right w:val="nil"/>
            </w:tcBorders>
            <w:shd w:val="clear" w:color="auto" w:fill="auto"/>
            <w:noWrap/>
            <w:vAlign w:val="center"/>
            <w:hideMark/>
          </w:tcPr>
          <w:p w14:paraId="5505530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-0.683</w:t>
            </w:r>
          </w:p>
        </w:tc>
        <w:tc>
          <w:tcPr>
            <w:tcW w:w="1152" w:type="dxa"/>
            <w:tcBorders>
              <w:top w:val="nil"/>
              <w:left w:val="nil"/>
              <w:bottom w:val="nil"/>
              <w:right w:val="nil"/>
            </w:tcBorders>
            <w:shd w:val="clear" w:color="auto" w:fill="auto"/>
            <w:noWrap/>
            <w:vAlign w:val="center"/>
            <w:hideMark/>
          </w:tcPr>
          <w:p w14:paraId="484F13A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1.087</w:t>
            </w:r>
          </w:p>
        </w:tc>
        <w:tc>
          <w:tcPr>
            <w:tcW w:w="1152" w:type="dxa"/>
            <w:tcBorders>
              <w:top w:val="nil"/>
              <w:left w:val="nil"/>
              <w:bottom w:val="nil"/>
              <w:right w:val="nil"/>
            </w:tcBorders>
            <w:shd w:val="clear" w:color="auto" w:fill="auto"/>
            <w:noWrap/>
            <w:vAlign w:val="center"/>
            <w:hideMark/>
          </w:tcPr>
          <w:p w14:paraId="1CB2AF6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1.089</w:t>
            </w:r>
          </w:p>
        </w:tc>
        <w:tc>
          <w:tcPr>
            <w:tcW w:w="1152" w:type="dxa"/>
            <w:tcBorders>
              <w:top w:val="nil"/>
              <w:left w:val="nil"/>
              <w:bottom w:val="nil"/>
              <w:right w:val="nil"/>
            </w:tcBorders>
            <w:shd w:val="clear" w:color="auto" w:fill="auto"/>
            <w:noWrap/>
            <w:vAlign w:val="center"/>
            <w:hideMark/>
          </w:tcPr>
          <w:p w14:paraId="0E0027A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1.133</w:t>
            </w:r>
          </w:p>
        </w:tc>
      </w:tr>
      <w:tr w:rsidR="0019574C" w:rsidRPr="00E56159" w14:paraId="32E7972B" w14:textId="77777777" w:rsidTr="00EE0BCA">
        <w:trPr>
          <w:trHeight w:hRule="exact" w:val="245"/>
          <w:jc w:val="center"/>
        </w:trPr>
        <w:tc>
          <w:tcPr>
            <w:tcW w:w="2835" w:type="dxa"/>
            <w:vMerge/>
            <w:tcBorders>
              <w:top w:val="nil"/>
              <w:left w:val="nil"/>
              <w:bottom w:val="nil"/>
              <w:right w:val="nil"/>
            </w:tcBorders>
            <w:vAlign w:val="center"/>
            <w:hideMark/>
          </w:tcPr>
          <w:p w14:paraId="314754B4"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88944E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(0.004)</w:t>
            </w:r>
          </w:p>
        </w:tc>
        <w:tc>
          <w:tcPr>
            <w:tcW w:w="1152" w:type="dxa"/>
            <w:tcBorders>
              <w:top w:val="nil"/>
              <w:left w:val="nil"/>
              <w:bottom w:val="nil"/>
              <w:right w:val="nil"/>
            </w:tcBorders>
            <w:shd w:val="clear" w:color="auto" w:fill="auto"/>
            <w:noWrap/>
            <w:vAlign w:val="center"/>
            <w:hideMark/>
          </w:tcPr>
          <w:p w14:paraId="652403C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(0.003)</w:t>
            </w:r>
          </w:p>
        </w:tc>
        <w:tc>
          <w:tcPr>
            <w:tcW w:w="1152" w:type="dxa"/>
            <w:tcBorders>
              <w:top w:val="nil"/>
              <w:left w:val="nil"/>
              <w:bottom w:val="nil"/>
              <w:right w:val="nil"/>
            </w:tcBorders>
            <w:shd w:val="clear" w:color="auto" w:fill="auto"/>
            <w:noWrap/>
            <w:vAlign w:val="center"/>
            <w:hideMark/>
          </w:tcPr>
          <w:p w14:paraId="31B241F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(0.781)</w:t>
            </w:r>
          </w:p>
        </w:tc>
        <w:tc>
          <w:tcPr>
            <w:tcW w:w="1152" w:type="dxa"/>
            <w:tcBorders>
              <w:top w:val="nil"/>
              <w:left w:val="nil"/>
              <w:bottom w:val="nil"/>
              <w:right w:val="nil"/>
            </w:tcBorders>
            <w:shd w:val="clear" w:color="auto" w:fill="auto"/>
            <w:noWrap/>
            <w:vAlign w:val="center"/>
            <w:hideMark/>
          </w:tcPr>
          <w:p w14:paraId="1E9A461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(0.012)</w:t>
            </w:r>
          </w:p>
        </w:tc>
        <w:tc>
          <w:tcPr>
            <w:tcW w:w="1152" w:type="dxa"/>
            <w:tcBorders>
              <w:top w:val="nil"/>
              <w:left w:val="nil"/>
              <w:bottom w:val="nil"/>
              <w:right w:val="nil"/>
            </w:tcBorders>
            <w:shd w:val="clear" w:color="auto" w:fill="auto"/>
            <w:noWrap/>
            <w:vAlign w:val="center"/>
            <w:hideMark/>
          </w:tcPr>
          <w:p w14:paraId="1F7F257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(0.009)</w:t>
            </w:r>
          </w:p>
        </w:tc>
        <w:tc>
          <w:tcPr>
            <w:tcW w:w="1152" w:type="dxa"/>
            <w:tcBorders>
              <w:top w:val="nil"/>
              <w:left w:val="nil"/>
              <w:bottom w:val="nil"/>
              <w:right w:val="nil"/>
            </w:tcBorders>
            <w:shd w:val="clear" w:color="auto" w:fill="auto"/>
            <w:noWrap/>
            <w:vAlign w:val="center"/>
            <w:hideMark/>
          </w:tcPr>
          <w:p w14:paraId="6BCD028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(0.005)</w:t>
            </w:r>
          </w:p>
        </w:tc>
      </w:tr>
      <w:tr w:rsidR="0019574C" w:rsidRPr="00E56159" w14:paraId="6D1B7FF7"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799F0C15"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Colonial sponsor</w:t>
            </w:r>
          </w:p>
        </w:tc>
        <w:tc>
          <w:tcPr>
            <w:tcW w:w="1152" w:type="dxa"/>
            <w:tcBorders>
              <w:top w:val="nil"/>
              <w:left w:val="nil"/>
              <w:bottom w:val="nil"/>
              <w:right w:val="nil"/>
            </w:tcBorders>
            <w:shd w:val="clear" w:color="auto" w:fill="auto"/>
            <w:noWrap/>
            <w:vAlign w:val="center"/>
            <w:hideMark/>
          </w:tcPr>
          <w:p w14:paraId="659F7C0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0.477</w:t>
            </w:r>
          </w:p>
        </w:tc>
        <w:tc>
          <w:tcPr>
            <w:tcW w:w="1152" w:type="dxa"/>
            <w:tcBorders>
              <w:top w:val="nil"/>
              <w:left w:val="nil"/>
              <w:bottom w:val="nil"/>
              <w:right w:val="nil"/>
            </w:tcBorders>
            <w:shd w:val="clear" w:color="auto" w:fill="auto"/>
            <w:noWrap/>
            <w:vAlign w:val="center"/>
            <w:hideMark/>
          </w:tcPr>
          <w:p w14:paraId="3267442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0.468</w:t>
            </w:r>
          </w:p>
        </w:tc>
        <w:tc>
          <w:tcPr>
            <w:tcW w:w="1152" w:type="dxa"/>
            <w:tcBorders>
              <w:top w:val="nil"/>
              <w:left w:val="nil"/>
              <w:bottom w:val="nil"/>
              <w:right w:val="nil"/>
            </w:tcBorders>
            <w:shd w:val="clear" w:color="auto" w:fill="auto"/>
            <w:noWrap/>
            <w:vAlign w:val="center"/>
            <w:hideMark/>
          </w:tcPr>
          <w:p w14:paraId="3EAEA44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5.021</w:t>
            </w:r>
          </w:p>
        </w:tc>
        <w:tc>
          <w:tcPr>
            <w:tcW w:w="1152" w:type="dxa"/>
            <w:tcBorders>
              <w:top w:val="nil"/>
              <w:left w:val="nil"/>
              <w:bottom w:val="nil"/>
              <w:right w:val="nil"/>
            </w:tcBorders>
            <w:shd w:val="clear" w:color="auto" w:fill="auto"/>
            <w:noWrap/>
            <w:vAlign w:val="center"/>
            <w:hideMark/>
          </w:tcPr>
          <w:p w14:paraId="4CE0E0E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0.423</w:t>
            </w:r>
          </w:p>
        </w:tc>
        <w:tc>
          <w:tcPr>
            <w:tcW w:w="1152" w:type="dxa"/>
            <w:tcBorders>
              <w:top w:val="nil"/>
              <w:left w:val="nil"/>
              <w:bottom w:val="nil"/>
              <w:right w:val="nil"/>
            </w:tcBorders>
            <w:shd w:val="clear" w:color="auto" w:fill="auto"/>
            <w:noWrap/>
            <w:vAlign w:val="center"/>
            <w:hideMark/>
          </w:tcPr>
          <w:p w14:paraId="6A21D99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0.417</w:t>
            </w:r>
          </w:p>
        </w:tc>
        <w:tc>
          <w:tcPr>
            <w:tcW w:w="1152" w:type="dxa"/>
            <w:tcBorders>
              <w:top w:val="nil"/>
              <w:left w:val="nil"/>
              <w:bottom w:val="nil"/>
              <w:right w:val="nil"/>
            </w:tcBorders>
            <w:shd w:val="clear" w:color="auto" w:fill="auto"/>
            <w:noWrap/>
            <w:vAlign w:val="center"/>
            <w:hideMark/>
          </w:tcPr>
          <w:p w14:paraId="2FA5222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0.425</w:t>
            </w:r>
          </w:p>
        </w:tc>
      </w:tr>
      <w:tr w:rsidR="0019574C" w:rsidRPr="00E56159" w14:paraId="3E5D0DB2" w14:textId="77777777" w:rsidTr="00EE0BCA">
        <w:trPr>
          <w:trHeight w:hRule="exact" w:val="245"/>
          <w:jc w:val="center"/>
        </w:trPr>
        <w:tc>
          <w:tcPr>
            <w:tcW w:w="2835" w:type="dxa"/>
            <w:vMerge/>
            <w:tcBorders>
              <w:top w:val="nil"/>
              <w:left w:val="nil"/>
              <w:bottom w:val="nil"/>
              <w:right w:val="nil"/>
            </w:tcBorders>
            <w:vAlign w:val="center"/>
            <w:hideMark/>
          </w:tcPr>
          <w:p w14:paraId="53090C1C"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1D225ED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(0.610)</w:t>
            </w:r>
          </w:p>
        </w:tc>
        <w:tc>
          <w:tcPr>
            <w:tcW w:w="1152" w:type="dxa"/>
            <w:tcBorders>
              <w:top w:val="nil"/>
              <w:left w:val="nil"/>
              <w:bottom w:val="nil"/>
              <w:right w:val="nil"/>
            </w:tcBorders>
            <w:shd w:val="clear" w:color="auto" w:fill="auto"/>
            <w:noWrap/>
            <w:vAlign w:val="center"/>
            <w:hideMark/>
          </w:tcPr>
          <w:p w14:paraId="4A9E5C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(0.634)</w:t>
            </w:r>
          </w:p>
        </w:tc>
        <w:tc>
          <w:tcPr>
            <w:tcW w:w="1152" w:type="dxa"/>
            <w:tcBorders>
              <w:top w:val="nil"/>
              <w:left w:val="nil"/>
              <w:bottom w:val="nil"/>
              <w:right w:val="nil"/>
            </w:tcBorders>
            <w:shd w:val="clear" w:color="auto" w:fill="auto"/>
            <w:noWrap/>
            <w:vAlign w:val="center"/>
            <w:hideMark/>
          </w:tcPr>
          <w:p w14:paraId="3850F79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(0.197)</w:t>
            </w:r>
          </w:p>
        </w:tc>
        <w:tc>
          <w:tcPr>
            <w:tcW w:w="1152" w:type="dxa"/>
            <w:tcBorders>
              <w:top w:val="nil"/>
              <w:left w:val="nil"/>
              <w:bottom w:val="nil"/>
              <w:right w:val="nil"/>
            </w:tcBorders>
            <w:shd w:val="clear" w:color="auto" w:fill="auto"/>
            <w:noWrap/>
            <w:vAlign w:val="center"/>
            <w:hideMark/>
          </w:tcPr>
          <w:p w14:paraId="153662E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(0.627)</w:t>
            </w:r>
          </w:p>
        </w:tc>
        <w:tc>
          <w:tcPr>
            <w:tcW w:w="1152" w:type="dxa"/>
            <w:tcBorders>
              <w:top w:val="nil"/>
              <w:left w:val="nil"/>
              <w:bottom w:val="nil"/>
              <w:right w:val="nil"/>
            </w:tcBorders>
            <w:shd w:val="clear" w:color="auto" w:fill="auto"/>
            <w:noWrap/>
            <w:vAlign w:val="center"/>
            <w:hideMark/>
          </w:tcPr>
          <w:p w14:paraId="627DCB2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(0.652)</w:t>
            </w:r>
          </w:p>
        </w:tc>
        <w:tc>
          <w:tcPr>
            <w:tcW w:w="1152" w:type="dxa"/>
            <w:tcBorders>
              <w:top w:val="nil"/>
              <w:left w:val="nil"/>
              <w:bottom w:val="nil"/>
              <w:right w:val="nil"/>
            </w:tcBorders>
            <w:shd w:val="clear" w:color="auto" w:fill="auto"/>
            <w:noWrap/>
            <w:vAlign w:val="center"/>
            <w:hideMark/>
          </w:tcPr>
          <w:p w14:paraId="0EE6913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(0.647)</w:t>
            </w:r>
          </w:p>
        </w:tc>
      </w:tr>
      <w:tr w:rsidR="0019574C" w:rsidRPr="00E56159" w14:paraId="0934E29B"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2E33A09"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Investment size</w:t>
            </w:r>
          </w:p>
        </w:tc>
        <w:tc>
          <w:tcPr>
            <w:tcW w:w="1152" w:type="dxa"/>
            <w:tcBorders>
              <w:top w:val="nil"/>
              <w:left w:val="nil"/>
              <w:bottom w:val="nil"/>
              <w:right w:val="nil"/>
            </w:tcBorders>
            <w:shd w:val="clear" w:color="auto" w:fill="auto"/>
            <w:noWrap/>
            <w:vAlign w:val="center"/>
            <w:hideMark/>
          </w:tcPr>
          <w:p w14:paraId="323632F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0.075</w:t>
            </w:r>
          </w:p>
        </w:tc>
        <w:tc>
          <w:tcPr>
            <w:tcW w:w="1152" w:type="dxa"/>
            <w:tcBorders>
              <w:top w:val="nil"/>
              <w:left w:val="nil"/>
              <w:bottom w:val="nil"/>
              <w:right w:val="nil"/>
            </w:tcBorders>
            <w:shd w:val="clear" w:color="auto" w:fill="auto"/>
            <w:noWrap/>
            <w:vAlign w:val="center"/>
            <w:hideMark/>
          </w:tcPr>
          <w:p w14:paraId="644E742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0.071</w:t>
            </w:r>
          </w:p>
        </w:tc>
        <w:tc>
          <w:tcPr>
            <w:tcW w:w="1152" w:type="dxa"/>
            <w:tcBorders>
              <w:top w:val="nil"/>
              <w:left w:val="nil"/>
              <w:bottom w:val="nil"/>
              <w:right w:val="nil"/>
            </w:tcBorders>
            <w:shd w:val="clear" w:color="auto" w:fill="auto"/>
            <w:noWrap/>
            <w:vAlign w:val="center"/>
            <w:hideMark/>
          </w:tcPr>
          <w:p w14:paraId="30CA625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-0.090</w:t>
            </w:r>
          </w:p>
        </w:tc>
        <w:tc>
          <w:tcPr>
            <w:tcW w:w="1152" w:type="dxa"/>
            <w:tcBorders>
              <w:top w:val="nil"/>
              <w:left w:val="nil"/>
              <w:bottom w:val="nil"/>
              <w:right w:val="nil"/>
            </w:tcBorders>
            <w:shd w:val="clear" w:color="auto" w:fill="auto"/>
            <w:noWrap/>
            <w:vAlign w:val="center"/>
            <w:hideMark/>
          </w:tcPr>
          <w:p w14:paraId="5F2AA41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0.067</w:t>
            </w:r>
          </w:p>
        </w:tc>
        <w:tc>
          <w:tcPr>
            <w:tcW w:w="1152" w:type="dxa"/>
            <w:tcBorders>
              <w:top w:val="nil"/>
              <w:left w:val="nil"/>
              <w:bottom w:val="nil"/>
              <w:right w:val="nil"/>
            </w:tcBorders>
            <w:shd w:val="clear" w:color="auto" w:fill="auto"/>
            <w:noWrap/>
            <w:vAlign w:val="center"/>
            <w:hideMark/>
          </w:tcPr>
          <w:p w14:paraId="01E5674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0.059</w:t>
            </w:r>
          </w:p>
        </w:tc>
        <w:tc>
          <w:tcPr>
            <w:tcW w:w="1152" w:type="dxa"/>
            <w:tcBorders>
              <w:top w:val="nil"/>
              <w:left w:val="nil"/>
              <w:bottom w:val="nil"/>
              <w:right w:val="nil"/>
            </w:tcBorders>
            <w:shd w:val="clear" w:color="auto" w:fill="auto"/>
            <w:noWrap/>
            <w:vAlign w:val="center"/>
            <w:hideMark/>
          </w:tcPr>
          <w:p w14:paraId="58B7409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0.026</w:t>
            </w:r>
          </w:p>
        </w:tc>
      </w:tr>
      <w:tr w:rsidR="0019574C" w:rsidRPr="00E56159" w14:paraId="7FC356B6" w14:textId="77777777" w:rsidTr="00EE0BCA">
        <w:trPr>
          <w:trHeight w:hRule="exact" w:val="245"/>
          <w:jc w:val="center"/>
        </w:trPr>
        <w:tc>
          <w:tcPr>
            <w:tcW w:w="2835" w:type="dxa"/>
            <w:vMerge/>
            <w:tcBorders>
              <w:top w:val="nil"/>
              <w:left w:val="nil"/>
              <w:bottom w:val="nil"/>
              <w:right w:val="nil"/>
            </w:tcBorders>
            <w:vAlign w:val="center"/>
            <w:hideMark/>
          </w:tcPr>
          <w:p w14:paraId="4CE61C50"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2D918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(0.681)</w:t>
            </w:r>
          </w:p>
        </w:tc>
        <w:tc>
          <w:tcPr>
            <w:tcW w:w="1152" w:type="dxa"/>
            <w:tcBorders>
              <w:top w:val="nil"/>
              <w:left w:val="nil"/>
              <w:bottom w:val="nil"/>
              <w:right w:val="nil"/>
            </w:tcBorders>
            <w:shd w:val="clear" w:color="auto" w:fill="auto"/>
            <w:noWrap/>
            <w:vAlign w:val="center"/>
            <w:hideMark/>
          </w:tcPr>
          <w:p w14:paraId="4D8464B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(0.689)</w:t>
            </w:r>
          </w:p>
        </w:tc>
        <w:tc>
          <w:tcPr>
            <w:tcW w:w="1152" w:type="dxa"/>
            <w:tcBorders>
              <w:top w:val="nil"/>
              <w:left w:val="nil"/>
              <w:bottom w:val="nil"/>
              <w:right w:val="nil"/>
            </w:tcBorders>
            <w:shd w:val="clear" w:color="auto" w:fill="auto"/>
            <w:noWrap/>
            <w:vAlign w:val="center"/>
            <w:hideMark/>
          </w:tcPr>
          <w:p w14:paraId="6B19421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(0.891)</w:t>
            </w:r>
          </w:p>
        </w:tc>
        <w:tc>
          <w:tcPr>
            <w:tcW w:w="1152" w:type="dxa"/>
            <w:tcBorders>
              <w:top w:val="nil"/>
              <w:left w:val="nil"/>
              <w:bottom w:val="nil"/>
              <w:right w:val="nil"/>
            </w:tcBorders>
            <w:shd w:val="clear" w:color="auto" w:fill="auto"/>
            <w:noWrap/>
            <w:vAlign w:val="center"/>
            <w:hideMark/>
          </w:tcPr>
          <w:p w14:paraId="43090BE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(0.714)</w:t>
            </w:r>
          </w:p>
        </w:tc>
        <w:tc>
          <w:tcPr>
            <w:tcW w:w="1152" w:type="dxa"/>
            <w:tcBorders>
              <w:top w:val="nil"/>
              <w:left w:val="nil"/>
              <w:bottom w:val="nil"/>
              <w:right w:val="nil"/>
            </w:tcBorders>
            <w:shd w:val="clear" w:color="auto" w:fill="auto"/>
            <w:noWrap/>
            <w:vAlign w:val="center"/>
            <w:hideMark/>
          </w:tcPr>
          <w:p w14:paraId="4D1A628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(0.745)</w:t>
            </w:r>
          </w:p>
        </w:tc>
        <w:tc>
          <w:tcPr>
            <w:tcW w:w="1152" w:type="dxa"/>
            <w:tcBorders>
              <w:top w:val="nil"/>
              <w:left w:val="nil"/>
              <w:bottom w:val="nil"/>
              <w:right w:val="nil"/>
            </w:tcBorders>
            <w:shd w:val="clear" w:color="auto" w:fill="auto"/>
            <w:noWrap/>
            <w:vAlign w:val="center"/>
            <w:hideMark/>
          </w:tcPr>
          <w:p w14:paraId="0842A51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(0.885)</w:t>
            </w:r>
          </w:p>
        </w:tc>
      </w:tr>
      <w:tr w:rsidR="0019574C" w:rsidRPr="00E56159" w14:paraId="6A69C70E"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03E286A5"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Greenfield</w:t>
            </w:r>
          </w:p>
        </w:tc>
        <w:tc>
          <w:tcPr>
            <w:tcW w:w="1152" w:type="dxa"/>
            <w:tcBorders>
              <w:top w:val="nil"/>
              <w:left w:val="nil"/>
              <w:bottom w:val="nil"/>
              <w:right w:val="nil"/>
            </w:tcBorders>
            <w:shd w:val="clear" w:color="auto" w:fill="auto"/>
            <w:noWrap/>
            <w:vAlign w:val="center"/>
            <w:hideMark/>
          </w:tcPr>
          <w:p w14:paraId="24542B9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-0.765</w:t>
            </w:r>
          </w:p>
        </w:tc>
        <w:tc>
          <w:tcPr>
            <w:tcW w:w="1152" w:type="dxa"/>
            <w:tcBorders>
              <w:top w:val="nil"/>
              <w:left w:val="nil"/>
              <w:bottom w:val="nil"/>
              <w:right w:val="nil"/>
            </w:tcBorders>
            <w:shd w:val="clear" w:color="auto" w:fill="auto"/>
            <w:noWrap/>
            <w:vAlign w:val="center"/>
            <w:hideMark/>
          </w:tcPr>
          <w:p w14:paraId="4C198D9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-0.684</w:t>
            </w:r>
          </w:p>
        </w:tc>
        <w:tc>
          <w:tcPr>
            <w:tcW w:w="1152" w:type="dxa"/>
            <w:tcBorders>
              <w:top w:val="nil"/>
              <w:left w:val="nil"/>
              <w:bottom w:val="nil"/>
              <w:right w:val="nil"/>
            </w:tcBorders>
            <w:shd w:val="clear" w:color="auto" w:fill="auto"/>
            <w:noWrap/>
            <w:vAlign w:val="center"/>
            <w:hideMark/>
          </w:tcPr>
          <w:p w14:paraId="0B5A6B4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-7.013</w:t>
            </w:r>
          </w:p>
        </w:tc>
        <w:tc>
          <w:tcPr>
            <w:tcW w:w="1152" w:type="dxa"/>
            <w:tcBorders>
              <w:top w:val="nil"/>
              <w:left w:val="nil"/>
              <w:bottom w:val="nil"/>
              <w:right w:val="nil"/>
            </w:tcBorders>
            <w:shd w:val="clear" w:color="auto" w:fill="auto"/>
            <w:noWrap/>
            <w:vAlign w:val="center"/>
            <w:hideMark/>
          </w:tcPr>
          <w:p w14:paraId="26D2087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-0.629</w:t>
            </w:r>
          </w:p>
        </w:tc>
        <w:tc>
          <w:tcPr>
            <w:tcW w:w="1152" w:type="dxa"/>
            <w:tcBorders>
              <w:top w:val="nil"/>
              <w:left w:val="nil"/>
              <w:bottom w:val="nil"/>
              <w:right w:val="nil"/>
            </w:tcBorders>
            <w:shd w:val="clear" w:color="auto" w:fill="auto"/>
            <w:noWrap/>
            <w:vAlign w:val="center"/>
            <w:hideMark/>
          </w:tcPr>
          <w:p w14:paraId="629C75C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-0.550</w:t>
            </w:r>
          </w:p>
        </w:tc>
        <w:tc>
          <w:tcPr>
            <w:tcW w:w="1152" w:type="dxa"/>
            <w:tcBorders>
              <w:top w:val="nil"/>
              <w:left w:val="nil"/>
              <w:bottom w:val="nil"/>
              <w:right w:val="nil"/>
            </w:tcBorders>
            <w:shd w:val="clear" w:color="auto" w:fill="auto"/>
            <w:noWrap/>
            <w:vAlign w:val="center"/>
            <w:hideMark/>
          </w:tcPr>
          <w:p w14:paraId="275E5ED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-0.528</w:t>
            </w:r>
          </w:p>
        </w:tc>
      </w:tr>
      <w:tr w:rsidR="0019574C" w:rsidRPr="00E56159" w14:paraId="5E545245" w14:textId="77777777" w:rsidTr="00EE0BCA">
        <w:trPr>
          <w:trHeight w:hRule="exact" w:val="245"/>
          <w:jc w:val="center"/>
        </w:trPr>
        <w:tc>
          <w:tcPr>
            <w:tcW w:w="2835" w:type="dxa"/>
            <w:vMerge/>
            <w:tcBorders>
              <w:top w:val="nil"/>
              <w:left w:val="nil"/>
              <w:bottom w:val="nil"/>
              <w:right w:val="nil"/>
            </w:tcBorders>
            <w:vAlign w:val="center"/>
            <w:hideMark/>
          </w:tcPr>
          <w:p w14:paraId="77065992"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9A72F0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(0.043)</w:t>
            </w:r>
          </w:p>
        </w:tc>
        <w:tc>
          <w:tcPr>
            <w:tcW w:w="1152" w:type="dxa"/>
            <w:tcBorders>
              <w:top w:val="nil"/>
              <w:left w:val="nil"/>
              <w:bottom w:val="nil"/>
              <w:right w:val="nil"/>
            </w:tcBorders>
            <w:shd w:val="clear" w:color="auto" w:fill="auto"/>
            <w:noWrap/>
            <w:vAlign w:val="center"/>
            <w:hideMark/>
          </w:tcPr>
          <w:p w14:paraId="2DC4C6B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(0.076)</w:t>
            </w:r>
          </w:p>
        </w:tc>
        <w:tc>
          <w:tcPr>
            <w:tcW w:w="1152" w:type="dxa"/>
            <w:tcBorders>
              <w:top w:val="nil"/>
              <w:left w:val="nil"/>
              <w:bottom w:val="nil"/>
              <w:right w:val="nil"/>
            </w:tcBorders>
            <w:shd w:val="clear" w:color="auto" w:fill="auto"/>
            <w:noWrap/>
            <w:vAlign w:val="center"/>
            <w:hideMark/>
          </w:tcPr>
          <w:p w14:paraId="710713E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(0.071)</w:t>
            </w:r>
          </w:p>
        </w:tc>
        <w:tc>
          <w:tcPr>
            <w:tcW w:w="1152" w:type="dxa"/>
            <w:tcBorders>
              <w:top w:val="nil"/>
              <w:left w:val="nil"/>
              <w:bottom w:val="nil"/>
              <w:right w:val="nil"/>
            </w:tcBorders>
            <w:shd w:val="clear" w:color="auto" w:fill="auto"/>
            <w:noWrap/>
            <w:vAlign w:val="center"/>
            <w:hideMark/>
          </w:tcPr>
          <w:p w14:paraId="3794113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(0.089)</w:t>
            </w:r>
          </w:p>
        </w:tc>
        <w:tc>
          <w:tcPr>
            <w:tcW w:w="1152" w:type="dxa"/>
            <w:tcBorders>
              <w:top w:val="nil"/>
              <w:left w:val="nil"/>
              <w:bottom w:val="nil"/>
              <w:right w:val="nil"/>
            </w:tcBorders>
            <w:shd w:val="clear" w:color="auto" w:fill="auto"/>
            <w:noWrap/>
            <w:vAlign w:val="center"/>
            <w:hideMark/>
          </w:tcPr>
          <w:p w14:paraId="4666162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(0.143)</w:t>
            </w:r>
          </w:p>
        </w:tc>
        <w:tc>
          <w:tcPr>
            <w:tcW w:w="1152" w:type="dxa"/>
            <w:tcBorders>
              <w:top w:val="nil"/>
              <w:left w:val="nil"/>
              <w:bottom w:val="nil"/>
              <w:right w:val="nil"/>
            </w:tcBorders>
            <w:shd w:val="clear" w:color="auto" w:fill="auto"/>
            <w:noWrap/>
            <w:vAlign w:val="center"/>
            <w:hideMark/>
          </w:tcPr>
          <w:p w14:paraId="556D54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(0.202)</w:t>
            </w:r>
          </w:p>
        </w:tc>
      </w:tr>
      <w:tr w:rsidR="0019574C" w:rsidRPr="00E56159" w14:paraId="2D994621"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63E4FA3B"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Government contract</w:t>
            </w:r>
          </w:p>
        </w:tc>
        <w:tc>
          <w:tcPr>
            <w:tcW w:w="1152" w:type="dxa"/>
            <w:tcBorders>
              <w:top w:val="nil"/>
              <w:left w:val="nil"/>
              <w:bottom w:val="nil"/>
              <w:right w:val="nil"/>
            </w:tcBorders>
            <w:shd w:val="clear" w:color="auto" w:fill="auto"/>
            <w:noWrap/>
            <w:vAlign w:val="center"/>
            <w:hideMark/>
          </w:tcPr>
          <w:p w14:paraId="6260891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-1.323</w:t>
            </w:r>
          </w:p>
        </w:tc>
        <w:tc>
          <w:tcPr>
            <w:tcW w:w="1152" w:type="dxa"/>
            <w:tcBorders>
              <w:top w:val="nil"/>
              <w:left w:val="nil"/>
              <w:bottom w:val="nil"/>
              <w:right w:val="nil"/>
            </w:tcBorders>
            <w:shd w:val="clear" w:color="auto" w:fill="auto"/>
            <w:noWrap/>
            <w:vAlign w:val="center"/>
            <w:hideMark/>
          </w:tcPr>
          <w:p w14:paraId="2C791C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-1.314</w:t>
            </w:r>
          </w:p>
        </w:tc>
        <w:tc>
          <w:tcPr>
            <w:tcW w:w="1152" w:type="dxa"/>
            <w:tcBorders>
              <w:top w:val="nil"/>
              <w:left w:val="nil"/>
              <w:bottom w:val="nil"/>
              <w:right w:val="nil"/>
            </w:tcBorders>
            <w:shd w:val="clear" w:color="auto" w:fill="auto"/>
            <w:noWrap/>
            <w:vAlign w:val="center"/>
            <w:hideMark/>
          </w:tcPr>
          <w:p w14:paraId="3D34904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1.284</w:t>
            </w:r>
          </w:p>
        </w:tc>
        <w:tc>
          <w:tcPr>
            <w:tcW w:w="1152" w:type="dxa"/>
            <w:tcBorders>
              <w:top w:val="nil"/>
              <w:left w:val="nil"/>
              <w:bottom w:val="nil"/>
              <w:right w:val="nil"/>
            </w:tcBorders>
            <w:shd w:val="clear" w:color="auto" w:fill="auto"/>
            <w:noWrap/>
            <w:vAlign w:val="center"/>
            <w:hideMark/>
          </w:tcPr>
          <w:p w14:paraId="2490EBC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-1.310</w:t>
            </w:r>
          </w:p>
        </w:tc>
        <w:tc>
          <w:tcPr>
            <w:tcW w:w="1152" w:type="dxa"/>
            <w:tcBorders>
              <w:top w:val="nil"/>
              <w:left w:val="nil"/>
              <w:bottom w:val="nil"/>
              <w:right w:val="nil"/>
            </w:tcBorders>
            <w:shd w:val="clear" w:color="auto" w:fill="auto"/>
            <w:noWrap/>
            <w:vAlign w:val="center"/>
            <w:hideMark/>
          </w:tcPr>
          <w:p w14:paraId="66B243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-1.308</w:t>
            </w:r>
          </w:p>
        </w:tc>
        <w:tc>
          <w:tcPr>
            <w:tcW w:w="1152" w:type="dxa"/>
            <w:tcBorders>
              <w:top w:val="nil"/>
              <w:left w:val="nil"/>
              <w:bottom w:val="nil"/>
              <w:right w:val="nil"/>
            </w:tcBorders>
            <w:shd w:val="clear" w:color="auto" w:fill="auto"/>
            <w:noWrap/>
            <w:vAlign w:val="center"/>
            <w:hideMark/>
          </w:tcPr>
          <w:p w14:paraId="5FD9478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-1.303</w:t>
            </w:r>
          </w:p>
        </w:tc>
      </w:tr>
      <w:tr w:rsidR="0019574C" w:rsidRPr="00E56159" w14:paraId="240D8B65" w14:textId="77777777" w:rsidTr="00EE0BCA">
        <w:trPr>
          <w:trHeight w:hRule="exact" w:val="245"/>
          <w:jc w:val="center"/>
        </w:trPr>
        <w:tc>
          <w:tcPr>
            <w:tcW w:w="2835" w:type="dxa"/>
            <w:vMerge/>
            <w:tcBorders>
              <w:top w:val="nil"/>
              <w:left w:val="nil"/>
              <w:bottom w:val="nil"/>
              <w:right w:val="nil"/>
            </w:tcBorders>
            <w:vAlign w:val="center"/>
            <w:hideMark/>
          </w:tcPr>
          <w:p w14:paraId="6C243C26"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452467A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0AA4B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400C92E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(0.715)</w:t>
            </w:r>
          </w:p>
        </w:tc>
        <w:tc>
          <w:tcPr>
            <w:tcW w:w="1152" w:type="dxa"/>
            <w:tcBorders>
              <w:top w:val="nil"/>
              <w:left w:val="nil"/>
              <w:bottom w:val="nil"/>
              <w:right w:val="nil"/>
            </w:tcBorders>
            <w:shd w:val="clear" w:color="auto" w:fill="auto"/>
            <w:noWrap/>
            <w:vAlign w:val="center"/>
            <w:hideMark/>
          </w:tcPr>
          <w:p w14:paraId="3D6C4F1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7F23989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13A10A1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09DC05DE"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36A97683"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Energy</w:t>
            </w:r>
          </w:p>
        </w:tc>
        <w:tc>
          <w:tcPr>
            <w:tcW w:w="1152" w:type="dxa"/>
            <w:tcBorders>
              <w:top w:val="nil"/>
              <w:left w:val="nil"/>
              <w:bottom w:val="nil"/>
              <w:right w:val="nil"/>
            </w:tcBorders>
            <w:shd w:val="clear" w:color="auto" w:fill="auto"/>
            <w:noWrap/>
            <w:vAlign w:val="center"/>
            <w:hideMark/>
          </w:tcPr>
          <w:p w14:paraId="1E344AB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-1.408</w:t>
            </w:r>
          </w:p>
        </w:tc>
        <w:tc>
          <w:tcPr>
            <w:tcW w:w="1152" w:type="dxa"/>
            <w:tcBorders>
              <w:top w:val="nil"/>
              <w:left w:val="nil"/>
              <w:bottom w:val="nil"/>
              <w:right w:val="nil"/>
            </w:tcBorders>
            <w:shd w:val="clear" w:color="auto" w:fill="auto"/>
            <w:noWrap/>
            <w:vAlign w:val="center"/>
            <w:hideMark/>
          </w:tcPr>
          <w:p w14:paraId="57243BF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-1.228</w:t>
            </w:r>
          </w:p>
        </w:tc>
        <w:tc>
          <w:tcPr>
            <w:tcW w:w="1152" w:type="dxa"/>
            <w:tcBorders>
              <w:top w:val="nil"/>
              <w:left w:val="nil"/>
              <w:bottom w:val="nil"/>
              <w:right w:val="nil"/>
            </w:tcBorders>
            <w:shd w:val="clear" w:color="auto" w:fill="auto"/>
            <w:noWrap/>
            <w:vAlign w:val="center"/>
            <w:hideMark/>
          </w:tcPr>
          <w:p w14:paraId="241DE7A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-0.715</w:t>
            </w:r>
          </w:p>
        </w:tc>
        <w:tc>
          <w:tcPr>
            <w:tcW w:w="1152" w:type="dxa"/>
            <w:tcBorders>
              <w:top w:val="nil"/>
              <w:left w:val="nil"/>
              <w:bottom w:val="nil"/>
              <w:right w:val="nil"/>
            </w:tcBorders>
            <w:shd w:val="clear" w:color="auto" w:fill="auto"/>
            <w:noWrap/>
            <w:vAlign w:val="center"/>
            <w:hideMark/>
          </w:tcPr>
          <w:p w14:paraId="2A4D830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-1.577</w:t>
            </w:r>
          </w:p>
        </w:tc>
        <w:tc>
          <w:tcPr>
            <w:tcW w:w="1152" w:type="dxa"/>
            <w:tcBorders>
              <w:top w:val="nil"/>
              <w:left w:val="nil"/>
              <w:bottom w:val="nil"/>
              <w:right w:val="nil"/>
            </w:tcBorders>
            <w:shd w:val="clear" w:color="auto" w:fill="auto"/>
            <w:noWrap/>
            <w:vAlign w:val="center"/>
            <w:hideMark/>
          </w:tcPr>
          <w:p w14:paraId="7AA7AF2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-1.413</w:t>
            </w:r>
          </w:p>
        </w:tc>
        <w:tc>
          <w:tcPr>
            <w:tcW w:w="1152" w:type="dxa"/>
            <w:tcBorders>
              <w:top w:val="nil"/>
              <w:left w:val="nil"/>
              <w:bottom w:val="nil"/>
              <w:right w:val="nil"/>
            </w:tcBorders>
            <w:shd w:val="clear" w:color="auto" w:fill="auto"/>
            <w:noWrap/>
            <w:vAlign w:val="center"/>
            <w:hideMark/>
          </w:tcPr>
          <w:p w14:paraId="0DF84E2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-1.481</w:t>
            </w:r>
          </w:p>
        </w:tc>
      </w:tr>
      <w:tr w:rsidR="0019574C" w:rsidRPr="00E56159" w14:paraId="6701C8AB" w14:textId="77777777" w:rsidTr="00EE0BCA">
        <w:trPr>
          <w:trHeight w:hRule="exact" w:val="245"/>
          <w:jc w:val="center"/>
        </w:trPr>
        <w:tc>
          <w:tcPr>
            <w:tcW w:w="2835" w:type="dxa"/>
            <w:vMerge/>
            <w:tcBorders>
              <w:top w:val="nil"/>
              <w:left w:val="nil"/>
              <w:bottom w:val="nil"/>
              <w:right w:val="nil"/>
            </w:tcBorders>
            <w:vAlign w:val="center"/>
            <w:hideMark/>
          </w:tcPr>
          <w:p w14:paraId="58D9D03E"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716B60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(0.038)</w:t>
            </w:r>
          </w:p>
        </w:tc>
        <w:tc>
          <w:tcPr>
            <w:tcW w:w="1152" w:type="dxa"/>
            <w:tcBorders>
              <w:top w:val="nil"/>
              <w:left w:val="nil"/>
              <w:bottom w:val="nil"/>
              <w:right w:val="nil"/>
            </w:tcBorders>
            <w:shd w:val="clear" w:color="auto" w:fill="auto"/>
            <w:noWrap/>
            <w:vAlign w:val="center"/>
            <w:hideMark/>
          </w:tcPr>
          <w:p w14:paraId="7D51629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(0.101)</w:t>
            </w:r>
          </w:p>
        </w:tc>
        <w:tc>
          <w:tcPr>
            <w:tcW w:w="1152" w:type="dxa"/>
            <w:tcBorders>
              <w:top w:val="nil"/>
              <w:left w:val="nil"/>
              <w:bottom w:val="nil"/>
              <w:right w:val="nil"/>
            </w:tcBorders>
            <w:shd w:val="clear" w:color="auto" w:fill="auto"/>
            <w:noWrap/>
            <w:vAlign w:val="center"/>
            <w:hideMark/>
          </w:tcPr>
          <w:p w14:paraId="3640EC7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(0.838)</w:t>
            </w:r>
          </w:p>
        </w:tc>
        <w:tc>
          <w:tcPr>
            <w:tcW w:w="1152" w:type="dxa"/>
            <w:tcBorders>
              <w:top w:val="nil"/>
              <w:left w:val="nil"/>
              <w:bottom w:val="nil"/>
              <w:right w:val="nil"/>
            </w:tcBorders>
            <w:shd w:val="clear" w:color="auto" w:fill="auto"/>
            <w:noWrap/>
            <w:vAlign w:val="center"/>
            <w:hideMark/>
          </w:tcPr>
          <w:p w14:paraId="73BD4DF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(0.007)</w:t>
            </w:r>
          </w:p>
        </w:tc>
        <w:tc>
          <w:tcPr>
            <w:tcW w:w="1152" w:type="dxa"/>
            <w:tcBorders>
              <w:top w:val="nil"/>
              <w:left w:val="nil"/>
              <w:bottom w:val="nil"/>
              <w:right w:val="nil"/>
            </w:tcBorders>
            <w:shd w:val="clear" w:color="auto" w:fill="auto"/>
            <w:noWrap/>
            <w:vAlign w:val="center"/>
            <w:hideMark/>
          </w:tcPr>
          <w:p w14:paraId="40645B9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(0.025)</w:t>
            </w:r>
          </w:p>
        </w:tc>
        <w:tc>
          <w:tcPr>
            <w:tcW w:w="1152" w:type="dxa"/>
            <w:tcBorders>
              <w:top w:val="nil"/>
              <w:left w:val="nil"/>
              <w:bottom w:val="nil"/>
              <w:right w:val="nil"/>
            </w:tcBorders>
            <w:shd w:val="clear" w:color="auto" w:fill="auto"/>
            <w:noWrap/>
            <w:vAlign w:val="center"/>
            <w:hideMark/>
          </w:tcPr>
          <w:p w14:paraId="651B651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(0.012)</w:t>
            </w:r>
          </w:p>
        </w:tc>
      </w:tr>
      <w:tr w:rsidR="0019574C" w:rsidRPr="00E56159" w14:paraId="41EDF098"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4A7C337E"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Transport</w:t>
            </w:r>
          </w:p>
        </w:tc>
        <w:tc>
          <w:tcPr>
            <w:tcW w:w="1152" w:type="dxa"/>
            <w:tcBorders>
              <w:top w:val="nil"/>
              <w:left w:val="nil"/>
              <w:bottom w:val="nil"/>
              <w:right w:val="nil"/>
            </w:tcBorders>
            <w:shd w:val="clear" w:color="auto" w:fill="auto"/>
            <w:noWrap/>
            <w:vAlign w:val="center"/>
            <w:hideMark/>
          </w:tcPr>
          <w:p w14:paraId="19D04DC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-1.124</w:t>
            </w:r>
          </w:p>
        </w:tc>
        <w:tc>
          <w:tcPr>
            <w:tcW w:w="1152" w:type="dxa"/>
            <w:tcBorders>
              <w:top w:val="nil"/>
              <w:left w:val="nil"/>
              <w:bottom w:val="nil"/>
              <w:right w:val="nil"/>
            </w:tcBorders>
            <w:shd w:val="clear" w:color="auto" w:fill="auto"/>
            <w:noWrap/>
            <w:vAlign w:val="center"/>
            <w:hideMark/>
          </w:tcPr>
          <w:p w14:paraId="67449F6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-0.938</w:t>
            </w:r>
          </w:p>
        </w:tc>
        <w:tc>
          <w:tcPr>
            <w:tcW w:w="1152" w:type="dxa"/>
            <w:tcBorders>
              <w:top w:val="nil"/>
              <w:left w:val="nil"/>
              <w:bottom w:val="nil"/>
              <w:right w:val="nil"/>
            </w:tcBorders>
            <w:shd w:val="clear" w:color="auto" w:fill="auto"/>
            <w:noWrap/>
            <w:vAlign w:val="center"/>
            <w:hideMark/>
          </w:tcPr>
          <w:p w14:paraId="4EA564D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-10.684</w:t>
            </w:r>
          </w:p>
        </w:tc>
        <w:tc>
          <w:tcPr>
            <w:tcW w:w="1152" w:type="dxa"/>
            <w:tcBorders>
              <w:top w:val="nil"/>
              <w:left w:val="nil"/>
              <w:bottom w:val="nil"/>
              <w:right w:val="nil"/>
            </w:tcBorders>
            <w:shd w:val="clear" w:color="auto" w:fill="auto"/>
            <w:noWrap/>
            <w:vAlign w:val="center"/>
            <w:hideMark/>
          </w:tcPr>
          <w:p w14:paraId="3A1ADEE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-1.092</w:t>
            </w:r>
          </w:p>
        </w:tc>
        <w:tc>
          <w:tcPr>
            <w:tcW w:w="1152" w:type="dxa"/>
            <w:tcBorders>
              <w:top w:val="nil"/>
              <w:left w:val="nil"/>
              <w:bottom w:val="nil"/>
              <w:right w:val="nil"/>
            </w:tcBorders>
            <w:shd w:val="clear" w:color="auto" w:fill="auto"/>
            <w:noWrap/>
            <w:vAlign w:val="center"/>
            <w:hideMark/>
          </w:tcPr>
          <w:p w14:paraId="33E535D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-0.920</w:t>
            </w:r>
          </w:p>
        </w:tc>
        <w:tc>
          <w:tcPr>
            <w:tcW w:w="1152" w:type="dxa"/>
            <w:tcBorders>
              <w:top w:val="nil"/>
              <w:left w:val="nil"/>
              <w:bottom w:val="nil"/>
              <w:right w:val="nil"/>
            </w:tcBorders>
            <w:shd w:val="clear" w:color="auto" w:fill="auto"/>
            <w:noWrap/>
            <w:vAlign w:val="center"/>
            <w:hideMark/>
          </w:tcPr>
          <w:p w14:paraId="7B4FDD6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-0.896</w:t>
            </w:r>
          </w:p>
        </w:tc>
      </w:tr>
      <w:tr w:rsidR="0019574C" w:rsidRPr="00E56159" w14:paraId="15CAED3F" w14:textId="77777777" w:rsidTr="00EE0BCA">
        <w:trPr>
          <w:trHeight w:hRule="exact" w:val="245"/>
          <w:jc w:val="center"/>
        </w:trPr>
        <w:tc>
          <w:tcPr>
            <w:tcW w:w="2835" w:type="dxa"/>
            <w:vMerge/>
            <w:tcBorders>
              <w:top w:val="nil"/>
              <w:left w:val="nil"/>
              <w:bottom w:val="nil"/>
              <w:right w:val="nil"/>
            </w:tcBorders>
            <w:vAlign w:val="center"/>
            <w:hideMark/>
          </w:tcPr>
          <w:p w14:paraId="6033BCFA"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BE5A0C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7355E9F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(0.082)</w:t>
            </w:r>
          </w:p>
        </w:tc>
        <w:tc>
          <w:tcPr>
            <w:tcW w:w="1152" w:type="dxa"/>
            <w:tcBorders>
              <w:top w:val="nil"/>
              <w:left w:val="nil"/>
              <w:bottom w:val="nil"/>
              <w:right w:val="nil"/>
            </w:tcBorders>
            <w:shd w:val="clear" w:color="auto" w:fill="auto"/>
            <w:noWrap/>
            <w:vAlign w:val="center"/>
            <w:hideMark/>
          </w:tcPr>
          <w:p w14:paraId="41FD12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(0.022)</w:t>
            </w:r>
          </w:p>
        </w:tc>
        <w:tc>
          <w:tcPr>
            <w:tcW w:w="1152" w:type="dxa"/>
            <w:tcBorders>
              <w:top w:val="nil"/>
              <w:left w:val="nil"/>
              <w:bottom w:val="nil"/>
              <w:right w:val="nil"/>
            </w:tcBorders>
            <w:shd w:val="clear" w:color="auto" w:fill="auto"/>
            <w:noWrap/>
            <w:vAlign w:val="center"/>
            <w:hideMark/>
          </w:tcPr>
          <w:p w14:paraId="24BD8E0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(0.059)</w:t>
            </w:r>
          </w:p>
        </w:tc>
        <w:tc>
          <w:tcPr>
            <w:tcW w:w="1152" w:type="dxa"/>
            <w:tcBorders>
              <w:top w:val="nil"/>
              <w:left w:val="nil"/>
              <w:bottom w:val="nil"/>
              <w:right w:val="nil"/>
            </w:tcBorders>
            <w:shd w:val="clear" w:color="auto" w:fill="auto"/>
            <w:noWrap/>
            <w:vAlign w:val="center"/>
            <w:hideMark/>
          </w:tcPr>
          <w:p w14:paraId="16FF78F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(0.088)</w:t>
            </w:r>
          </w:p>
        </w:tc>
        <w:tc>
          <w:tcPr>
            <w:tcW w:w="1152" w:type="dxa"/>
            <w:tcBorders>
              <w:top w:val="nil"/>
              <w:left w:val="nil"/>
              <w:bottom w:val="nil"/>
              <w:right w:val="nil"/>
            </w:tcBorders>
            <w:shd w:val="clear" w:color="auto" w:fill="auto"/>
            <w:noWrap/>
            <w:vAlign w:val="center"/>
            <w:hideMark/>
          </w:tcPr>
          <w:p w14:paraId="61D0795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(0.091)</w:t>
            </w:r>
          </w:p>
        </w:tc>
      </w:tr>
      <w:tr w:rsidR="0019574C" w:rsidRPr="00E56159" w14:paraId="7B0B3440"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24FC550B"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GDP growth</w:t>
            </w:r>
          </w:p>
        </w:tc>
        <w:tc>
          <w:tcPr>
            <w:tcW w:w="1152" w:type="dxa"/>
            <w:tcBorders>
              <w:top w:val="nil"/>
              <w:left w:val="nil"/>
              <w:bottom w:val="nil"/>
              <w:right w:val="nil"/>
            </w:tcBorders>
            <w:shd w:val="clear" w:color="auto" w:fill="auto"/>
            <w:noWrap/>
            <w:vAlign w:val="center"/>
            <w:hideMark/>
          </w:tcPr>
          <w:p w14:paraId="7F57419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0.164</w:t>
            </w:r>
          </w:p>
        </w:tc>
        <w:tc>
          <w:tcPr>
            <w:tcW w:w="1152" w:type="dxa"/>
            <w:tcBorders>
              <w:top w:val="nil"/>
              <w:left w:val="nil"/>
              <w:bottom w:val="nil"/>
              <w:right w:val="nil"/>
            </w:tcBorders>
            <w:shd w:val="clear" w:color="auto" w:fill="auto"/>
            <w:noWrap/>
            <w:vAlign w:val="center"/>
            <w:hideMark/>
          </w:tcPr>
          <w:p w14:paraId="517C195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0.169</w:t>
            </w:r>
          </w:p>
        </w:tc>
        <w:tc>
          <w:tcPr>
            <w:tcW w:w="1152" w:type="dxa"/>
            <w:tcBorders>
              <w:top w:val="nil"/>
              <w:left w:val="nil"/>
              <w:bottom w:val="nil"/>
              <w:right w:val="nil"/>
            </w:tcBorders>
            <w:shd w:val="clear" w:color="auto" w:fill="auto"/>
            <w:noWrap/>
            <w:vAlign w:val="center"/>
            <w:hideMark/>
          </w:tcPr>
          <w:p w14:paraId="20E5169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-0.137</w:t>
            </w:r>
          </w:p>
        </w:tc>
        <w:tc>
          <w:tcPr>
            <w:tcW w:w="1152" w:type="dxa"/>
            <w:tcBorders>
              <w:top w:val="nil"/>
              <w:left w:val="nil"/>
              <w:bottom w:val="nil"/>
              <w:right w:val="nil"/>
            </w:tcBorders>
            <w:shd w:val="clear" w:color="auto" w:fill="auto"/>
            <w:noWrap/>
            <w:vAlign w:val="center"/>
            <w:hideMark/>
          </w:tcPr>
          <w:p w14:paraId="0F9F8B1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0.171</w:t>
            </w:r>
          </w:p>
        </w:tc>
        <w:tc>
          <w:tcPr>
            <w:tcW w:w="1152" w:type="dxa"/>
            <w:tcBorders>
              <w:top w:val="nil"/>
              <w:left w:val="nil"/>
              <w:bottom w:val="nil"/>
              <w:right w:val="nil"/>
            </w:tcBorders>
            <w:shd w:val="clear" w:color="auto" w:fill="auto"/>
            <w:noWrap/>
            <w:vAlign w:val="center"/>
            <w:hideMark/>
          </w:tcPr>
          <w:p w14:paraId="76A8106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0.175</w:t>
            </w:r>
          </w:p>
        </w:tc>
        <w:tc>
          <w:tcPr>
            <w:tcW w:w="1152" w:type="dxa"/>
            <w:tcBorders>
              <w:top w:val="nil"/>
              <w:left w:val="nil"/>
              <w:bottom w:val="nil"/>
              <w:right w:val="nil"/>
            </w:tcBorders>
            <w:shd w:val="clear" w:color="auto" w:fill="auto"/>
            <w:noWrap/>
            <w:vAlign w:val="center"/>
            <w:hideMark/>
          </w:tcPr>
          <w:p w14:paraId="288B175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0.160</w:t>
            </w:r>
          </w:p>
        </w:tc>
      </w:tr>
      <w:tr w:rsidR="0019574C" w:rsidRPr="00E56159" w14:paraId="2445C034" w14:textId="77777777" w:rsidTr="00EE0BCA">
        <w:trPr>
          <w:trHeight w:hRule="exact" w:val="245"/>
          <w:jc w:val="center"/>
        </w:trPr>
        <w:tc>
          <w:tcPr>
            <w:tcW w:w="2835" w:type="dxa"/>
            <w:vMerge/>
            <w:tcBorders>
              <w:top w:val="nil"/>
              <w:left w:val="nil"/>
              <w:bottom w:val="nil"/>
              <w:right w:val="nil"/>
            </w:tcBorders>
            <w:vAlign w:val="center"/>
            <w:hideMark/>
          </w:tcPr>
          <w:p w14:paraId="77E07EAC"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A687D6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159FA81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28FF715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(0.127)</w:t>
            </w:r>
          </w:p>
        </w:tc>
        <w:tc>
          <w:tcPr>
            <w:tcW w:w="1152" w:type="dxa"/>
            <w:tcBorders>
              <w:top w:val="nil"/>
              <w:left w:val="nil"/>
              <w:bottom w:val="nil"/>
              <w:right w:val="nil"/>
            </w:tcBorders>
            <w:shd w:val="clear" w:color="auto" w:fill="auto"/>
            <w:noWrap/>
            <w:vAlign w:val="center"/>
            <w:hideMark/>
          </w:tcPr>
          <w:p w14:paraId="6AAADB6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37B1153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1F874A9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6DAA53E2"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22EB3E98"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GDP</w:t>
            </w:r>
          </w:p>
        </w:tc>
        <w:tc>
          <w:tcPr>
            <w:tcW w:w="1152" w:type="dxa"/>
            <w:tcBorders>
              <w:top w:val="nil"/>
              <w:left w:val="nil"/>
              <w:bottom w:val="nil"/>
              <w:right w:val="nil"/>
            </w:tcBorders>
            <w:shd w:val="clear" w:color="auto" w:fill="auto"/>
            <w:noWrap/>
            <w:vAlign w:val="center"/>
            <w:hideMark/>
          </w:tcPr>
          <w:p w14:paraId="35CD0D6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-0.611</w:t>
            </w:r>
          </w:p>
        </w:tc>
        <w:tc>
          <w:tcPr>
            <w:tcW w:w="1152" w:type="dxa"/>
            <w:tcBorders>
              <w:top w:val="nil"/>
              <w:left w:val="nil"/>
              <w:bottom w:val="nil"/>
              <w:right w:val="nil"/>
            </w:tcBorders>
            <w:shd w:val="clear" w:color="auto" w:fill="auto"/>
            <w:noWrap/>
            <w:vAlign w:val="center"/>
            <w:hideMark/>
          </w:tcPr>
          <w:p w14:paraId="168928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-0.554</w:t>
            </w:r>
          </w:p>
        </w:tc>
        <w:tc>
          <w:tcPr>
            <w:tcW w:w="1152" w:type="dxa"/>
            <w:tcBorders>
              <w:top w:val="nil"/>
              <w:left w:val="nil"/>
              <w:bottom w:val="nil"/>
              <w:right w:val="nil"/>
            </w:tcBorders>
            <w:shd w:val="clear" w:color="auto" w:fill="auto"/>
            <w:noWrap/>
            <w:vAlign w:val="center"/>
            <w:hideMark/>
          </w:tcPr>
          <w:p w14:paraId="26DDD40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0.227</w:t>
            </w:r>
          </w:p>
        </w:tc>
        <w:tc>
          <w:tcPr>
            <w:tcW w:w="1152" w:type="dxa"/>
            <w:tcBorders>
              <w:top w:val="nil"/>
              <w:left w:val="nil"/>
              <w:bottom w:val="nil"/>
              <w:right w:val="nil"/>
            </w:tcBorders>
            <w:shd w:val="clear" w:color="auto" w:fill="auto"/>
            <w:noWrap/>
            <w:vAlign w:val="center"/>
            <w:hideMark/>
          </w:tcPr>
          <w:p w14:paraId="271C91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-0.570</w:t>
            </w:r>
          </w:p>
        </w:tc>
        <w:tc>
          <w:tcPr>
            <w:tcW w:w="1152" w:type="dxa"/>
            <w:tcBorders>
              <w:top w:val="nil"/>
              <w:left w:val="nil"/>
              <w:bottom w:val="nil"/>
              <w:right w:val="nil"/>
            </w:tcBorders>
            <w:shd w:val="clear" w:color="auto" w:fill="auto"/>
            <w:noWrap/>
            <w:vAlign w:val="center"/>
            <w:hideMark/>
          </w:tcPr>
          <w:p w14:paraId="0E0882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-0.517</w:t>
            </w:r>
          </w:p>
        </w:tc>
        <w:tc>
          <w:tcPr>
            <w:tcW w:w="1152" w:type="dxa"/>
            <w:tcBorders>
              <w:top w:val="nil"/>
              <w:left w:val="nil"/>
              <w:bottom w:val="nil"/>
              <w:right w:val="nil"/>
            </w:tcBorders>
            <w:shd w:val="clear" w:color="auto" w:fill="auto"/>
            <w:noWrap/>
            <w:vAlign w:val="center"/>
            <w:hideMark/>
          </w:tcPr>
          <w:p w14:paraId="778CBFE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-0.558</w:t>
            </w:r>
          </w:p>
        </w:tc>
      </w:tr>
      <w:tr w:rsidR="0019574C" w:rsidRPr="00E56159" w14:paraId="1378B16C" w14:textId="77777777" w:rsidTr="00EE0BCA">
        <w:trPr>
          <w:trHeight w:hRule="exact" w:val="245"/>
          <w:jc w:val="center"/>
        </w:trPr>
        <w:tc>
          <w:tcPr>
            <w:tcW w:w="2835" w:type="dxa"/>
            <w:vMerge/>
            <w:tcBorders>
              <w:top w:val="nil"/>
              <w:left w:val="nil"/>
              <w:bottom w:val="nil"/>
              <w:right w:val="nil"/>
            </w:tcBorders>
            <w:vAlign w:val="center"/>
            <w:hideMark/>
          </w:tcPr>
          <w:p w14:paraId="3A60FF03"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623DDF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c>
          <w:tcPr>
            <w:tcW w:w="1152" w:type="dxa"/>
            <w:tcBorders>
              <w:top w:val="nil"/>
              <w:left w:val="nil"/>
              <w:bottom w:val="nil"/>
              <w:right w:val="nil"/>
            </w:tcBorders>
            <w:shd w:val="clear" w:color="auto" w:fill="auto"/>
            <w:noWrap/>
            <w:vAlign w:val="center"/>
            <w:hideMark/>
          </w:tcPr>
          <w:p w14:paraId="19066E2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(0.011)</w:t>
            </w:r>
          </w:p>
        </w:tc>
        <w:tc>
          <w:tcPr>
            <w:tcW w:w="1152" w:type="dxa"/>
            <w:tcBorders>
              <w:top w:val="nil"/>
              <w:left w:val="nil"/>
              <w:bottom w:val="nil"/>
              <w:right w:val="nil"/>
            </w:tcBorders>
            <w:shd w:val="clear" w:color="auto" w:fill="auto"/>
            <w:noWrap/>
            <w:vAlign w:val="center"/>
            <w:hideMark/>
          </w:tcPr>
          <w:p w14:paraId="26BD5E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(0.848)</w:t>
            </w:r>
          </w:p>
        </w:tc>
        <w:tc>
          <w:tcPr>
            <w:tcW w:w="1152" w:type="dxa"/>
            <w:tcBorders>
              <w:top w:val="nil"/>
              <w:left w:val="nil"/>
              <w:bottom w:val="nil"/>
              <w:right w:val="nil"/>
            </w:tcBorders>
            <w:shd w:val="clear" w:color="auto" w:fill="auto"/>
            <w:noWrap/>
            <w:vAlign w:val="center"/>
            <w:hideMark/>
          </w:tcPr>
          <w:p w14:paraId="49F1AA9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572A097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(0.004)</w:t>
            </w:r>
          </w:p>
        </w:tc>
        <w:tc>
          <w:tcPr>
            <w:tcW w:w="1152" w:type="dxa"/>
            <w:tcBorders>
              <w:top w:val="nil"/>
              <w:left w:val="nil"/>
              <w:bottom w:val="nil"/>
              <w:right w:val="nil"/>
            </w:tcBorders>
            <w:shd w:val="clear" w:color="auto" w:fill="auto"/>
            <w:noWrap/>
            <w:vAlign w:val="center"/>
            <w:hideMark/>
          </w:tcPr>
          <w:p w14:paraId="02B922C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(0.002)</w:t>
            </w:r>
          </w:p>
        </w:tc>
      </w:tr>
      <w:tr w:rsidR="0019574C" w:rsidRPr="00E56159" w14:paraId="58F3C510"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83B3064"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Population density</w:t>
            </w:r>
          </w:p>
        </w:tc>
        <w:tc>
          <w:tcPr>
            <w:tcW w:w="1152" w:type="dxa"/>
            <w:tcBorders>
              <w:top w:val="nil"/>
              <w:left w:val="nil"/>
              <w:bottom w:val="nil"/>
              <w:right w:val="nil"/>
            </w:tcBorders>
            <w:shd w:val="clear" w:color="auto" w:fill="auto"/>
            <w:noWrap/>
            <w:vAlign w:val="center"/>
            <w:hideMark/>
          </w:tcPr>
          <w:p w14:paraId="31BC20A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0.139</w:t>
            </w:r>
          </w:p>
        </w:tc>
        <w:tc>
          <w:tcPr>
            <w:tcW w:w="1152" w:type="dxa"/>
            <w:tcBorders>
              <w:top w:val="nil"/>
              <w:left w:val="nil"/>
              <w:bottom w:val="nil"/>
              <w:right w:val="nil"/>
            </w:tcBorders>
            <w:shd w:val="clear" w:color="auto" w:fill="auto"/>
            <w:noWrap/>
            <w:vAlign w:val="center"/>
            <w:hideMark/>
          </w:tcPr>
          <w:p w14:paraId="193C921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0.114</w:t>
            </w:r>
          </w:p>
        </w:tc>
        <w:tc>
          <w:tcPr>
            <w:tcW w:w="1152" w:type="dxa"/>
            <w:tcBorders>
              <w:top w:val="nil"/>
              <w:left w:val="nil"/>
              <w:bottom w:val="nil"/>
              <w:right w:val="nil"/>
            </w:tcBorders>
            <w:shd w:val="clear" w:color="auto" w:fill="auto"/>
            <w:noWrap/>
            <w:vAlign w:val="center"/>
            <w:hideMark/>
          </w:tcPr>
          <w:p w14:paraId="43BD286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-1.869</w:t>
            </w:r>
          </w:p>
        </w:tc>
        <w:tc>
          <w:tcPr>
            <w:tcW w:w="1152" w:type="dxa"/>
            <w:tcBorders>
              <w:top w:val="nil"/>
              <w:left w:val="nil"/>
              <w:bottom w:val="nil"/>
              <w:right w:val="nil"/>
            </w:tcBorders>
            <w:shd w:val="clear" w:color="auto" w:fill="auto"/>
            <w:noWrap/>
            <w:vAlign w:val="center"/>
            <w:hideMark/>
          </w:tcPr>
          <w:p w14:paraId="4AC43CD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0.127</w:t>
            </w:r>
          </w:p>
        </w:tc>
        <w:tc>
          <w:tcPr>
            <w:tcW w:w="1152" w:type="dxa"/>
            <w:tcBorders>
              <w:top w:val="nil"/>
              <w:left w:val="nil"/>
              <w:bottom w:val="nil"/>
              <w:right w:val="nil"/>
            </w:tcBorders>
            <w:shd w:val="clear" w:color="auto" w:fill="auto"/>
            <w:noWrap/>
            <w:vAlign w:val="center"/>
            <w:hideMark/>
          </w:tcPr>
          <w:p w14:paraId="655F68E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0.104</w:t>
            </w:r>
          </w:p>
        </w:tc>
        <w:tc>
          <w:tcPr>
            <w:tcW w:w="1152" w:type="dxa"/>
            <w:tcBorders>
              <w:top w:val="nil"/>
              <w:left w:val="nil"/>
              <w:bottom w:val="nil"/>
              <w:right w:val="nil"/>
            </w:tcBorders>
            <w:shd w:val="clear" w:color="auto" w:fill="auto"/>
            <w:noWrap/>
            <w:vAlign w:val="center"/>
            <w:hideMark/>
          </w:tcPr>
          <w:p w14:paraId="18498EB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0.109</w:t>
            </w:r>
          </w:p>
        </w:tc>
      </w:tr>
      <w:tr w:rsidR="0019574C" w:rsidRPr="00E56159" w14:paraId="569BD2DB" w14:textId="77777777" w:rsidTr="00EE0BCA">
        <w:trPr>
          <w:trHeight w:hRule="exact" w:val="245"/>
          <w:jc w:val="center"/>
        </w:trPr>
        <w:tc>
          <w:tcPr>
            <w:tcW w:w="2835" w:type="dxa"/>
            <w:vMerge/>
            <w:tcBorders>
              <w:top w:val="nil"/>
              <w:left w:val="nil"/>
              <w:bottom w:val="nil"/>
              <w:right w:val="nil"/>
            </w:tcBorders>
            <w:vAlign w:val="center"/>
            <w:hideMark/>
          </w:tcPr>
          <w:p w14:paraId="1ADBC976"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CCC74C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(0.600)</w:t>
            </w:r>
          </w:p>
        </w:tc>
        <w:tc>
          <w:tcPr>
            <w:tcW w:w="1152" w:type="dxa"/>
            <w:tcBorders>
              <w:top w:val="nil"/>
              <w:left w:val="nil"/>
              <w:bottom w:val="nil"/>
              <w:right w:val="nil"/>
            </w:tcBorders>
            <w:shd w:val="clear" w:color="auto" w:fill="auto"/>
            <w:noWrap/>
            <w:vAlign w:val="center"/>
            <w:hideMark/>
          </w:tcPr>
          <w:p w14:paraId="4AA7F57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(0.676)</w:t>
            </w:r>
          </w:p>
        </w:tc>
        <w:tc>
          <w:tcPr>
            <w:tcW w:w="1152" w:type="dxa"/>
            <w:tcBorders>
              <w:top w:val="nil"/>
              <w:left w:val="nil"/>
              <w:bottom w:val="nil"/>
              <w:right w:val="nil"/>
            </w:tcBorders>
            <w:shd w:val="clear" w:color="auto" w:fill="auto"/>
            <w:noWrap/>
            <w:vAlign w:val="center"/>
            <w:hideMark/>
          </w:tcPr>
          <w:p w14:paraId="2881B37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(0.046)</w:t>
            </w:r>
          </w:p>
        </w:tc>
        <w:tc>
          <w:tcPr>
            <w:tcW w:w="1152" w:type="dxa"/>
            <w:tcBorders>
              <w:top w:val="nil"/>
              <w:left w:val="nil"/>
              <w:bottom w:val="nil"/>
              <w:right w:val="nil"/>
            </w:tcBorders>
            <w:shd w:val="clear" w:color="auto" w:fill="auto"/>
            <w:noWrap/>
            <w:vAlign w:val="center"/>
            <w:hideMark/>
          </w:tcPr>
          <w:p w14:paraId="12CEF47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(0.608)</w:t>
            </w:r>
          </w:p>
        </w:tc>
        <w:tc>
          <w:tcPr>
            <w:tcW w:w="1152" w:type="dxa"/>
            <w:tcBorders>
              <w:top w:val="nil"/>
              <w:left w:val="nil"/>
              <w:bottom w:val="nil"/>
              <w:right w:val="nil"/>
            </w:tcBorders>
            <w:shd w:val="clear" w:color="auto" w:fill="auto"/>
            <w:noWrap/>
            <w:vAlign w:val="center"/>
            <w:hideMark/>
          </w:tcPr>
          <w:p w14:paraId="2886167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(0.681)</w:t>
            </w:r>
          </w:p>
        </w:tc>
        <w:tc>
          <w:tcPr>
            <w:tcW w:w="1152" w:type="dxa"/>
            <w:tcBorders>
              <w:top w:val="nil"/>
              <w:left w:val="nil"/>
              <w:bottom w:val="nil"/>
              <w:right w:val="nil"/>
            </w:tcBorders>
            <w:shd w:val="clear" w:color="auto" w:fill="auto"/>
            <w:noWrap/>
            <w:vAlign w:val="center"/>
            <w:hideMark/>
          </w:tcPr>
          <w:p w14:paraId="3B1959E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(0.641)</w:t>
            </w:r>
          </w:p>
        </w:tc>
      </w:tr>
      <w:tr w:rsidR="0019574C" w:rsidRPr="00E56159" w14:paraId="223BC1D9"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32F4FBC5"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International trade ratio</w:t>
            </w:r>
          </w:p>
        </w:tc>
        <w:tc>
          <w:tcPr>
            <w:tcW w:w="1152" w:type="dxa"/>
            <w:tcBorders>
              <w:top w:val="nil"/>
              <w:left w:val="nil"/>
              <w:bottom w:val="nil"/>
              <w:right w:val="nil"/>
            </w:tcBorders>
            <w:shd w:val="clear" w:color="auto" w:fill="auto"/>
            <w:noWrap/>
            <w:vAlign w:val="center"/>
            <w:hideMark/>
          </w:tcPr>
          <w:p w14:paraId="7B6B70B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63D0B0A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-0.009</w:t>
            </w:r>
          </w:p>
        </w:tc>
        <w:tc>
          <w:tcPr>
            <w:tcW w:w="1152" w:type="dxa"/>
            <w:tcBorders>
              <w:top w:val="nil"/>
              <w:left w:val="nil"/>
              <w:bottom w:val="nil"/>
              <w:right w:val="nil"/>
            </w:tcBorders>
            <w:shd w:val="clear" w:color="auto" w:fill="auto"/>
            <w:noWrap/>
            <w:vAlign w:val="center"/>
            <w:hideMark/>
          </w:tcPr>
          <w:p w14:paraId="581657F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6C39F31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-0.006</w:t>
            </w:r>
          </w:p>
        </w:tc>
        <w:tc>
          <w:tcPr>
            <w:tcW w:w="1152" w:type="dxa"/>
            <w:tcBorders>
              <w:top w:val="nil"/>
              <w:left w:val="nil"/>
              <w:bottom w:val="nil"/>
              <w:right w:val="nil"/>
            </w:tcBorders>
            <w:shd w:val="clear" w:color="auto" w:fill="auto"/>
            <w:noWrap/>
            <w:vAlign w:val="center"/>
            <w:hideMark/>
          </w:tcPr>
          <w:p w14:paraId="062F174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579C4CD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-0.009</w:t>
            </w:r>
          </w:p>
        </w:tc>
      </w:tr>
      <w:tr w:rsidR="0019574C" w:rsidRPr="00E56159" w14:paraId="10A9DCAA" w14:textId="77777777" w:rsidTr="00EE0BCA">
        <w:trPr>
          <w:trHeight w:hRule="exact" w:val="245"/>
          <w:jc w:val="center"/>
        </w:trPr>
        <w:tc>
          <w:tcPr>
            <w:tcW w:w="2835" w:type="dxa"/>
            <w:vMerge/>
            <w:tcBorders>
              <w:top w:val="nil"/>
              <w:left w:val="nil"/>
              <w:bottom w:val="nil"/>
              <w:right w:val="nil"/>
            </w:tcBorders>
            <w:vAlign w:val="center"/>
            <w:hideMark/>
          </w:tcPr>
          <w:p w14:paraId="69886617"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0C16C6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(0.179)</w:t>
            </w:r>
          </w:p>
        </w:tc>
        <w:tc>
          <w:tcPr>
            <w:tcW w:w="1152" w:type="dxa"/>
            <w:tcBorders>
              <w:top w:val="nil"/>
              <w:left w:val="nil"/>
              <w:bottom w:val="nil"/>
              <w:right w:val="nil"/>
            </w:tcBorders>
            <w:shd w:val="clear" w:color="auto" w:fill="auto"/>
            <w:noWrap/>
            <w:vAlign w:val="center"/>
            <w:hideMark/>
          </w:tcPr>
          <w:p w14:paraId="0768826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(0.121)</w:t>
            </w:r>
          </w:p>
        </w:tc>
        <w:tc>
          <w:tcPr>
            <w:tcW w:w="1152" w:type="dxa"/>
            <w:tcBorders>
              <w:top w:val="nil"/>
              <w:left w:val="nil"/>
              <w:bottom w:val="nil"/>
              <w:right w:val="nil"/>
            </w:tcBorders>
            <w:shd w:val="clear" w:color="auto" w:fill="auto"/>
            <w:noWrap/>
            <w:vAlign w:val="center"/>
            <w:hideMark/>
          </w:tcPr>
          <w:p w14:paraId="4F5FCB9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(0.980)</w:t>
            </w:r>
          </w:p>
        </w:tc>
        <w:tc>
          <w:tcPr>
            <w:tcW w:w="1152" w:type="dxa"/>
            <w:tcBorders>
              <w:top w:val="nil"/>
              <w:left w:val="nil"/>
              <w:bottom w:val="nil"/>
              <w:right w:val="nil"/>
            </w:tcBorders>
            <w:shd w:val="clear" w:color="auto" w:fill="auto"/>
            <w:noWrap/>
            <w:vAlign w:val="center"/>
            <w:hideMark/>
          </w:tcPr>
          <w:p w14:paraId="29112FD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(0.258)</w:t>
            </w:r>
          </w:p>
        </w:tc>
        <w:tc>
          <w:tcPr>
            <w:tcW w:w="1152" w:type="dxa"/>
            <w:tcBorders>
              <w:top w:val="nil"/>
              <w:left w:val="nil"/>
              <w:bottom w:val="nil"/>
              <w:right w:val="nil"/>
            </w:tcBorders>
            <w:shd w:val="clear" w:color="auto" w:fill="auto"/>
            <w:noWrap/>
            <w:vAlign w:val="center"/>
            <w:hideMark/>
          </w:tcPr>
          <w:p w14:paraId="13657E3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(0.193)</w:t>
            </w:r>
          </w:p>
        </w:tc>
        <w:tc>
          <w:tcPr>
            <w:tcW w:w="1152" w:type="dxa"/>
            <w:tcBorders>
              <w:top w:val="nil"/>
              <w:left w:val="nil"/>
              <w:bottom w:val="nil"/>
              <w:right w:val="nil"/>
            </w:tcBorders>
            <w:shd w:val="clear" w:color="auto" w:fill="auto"/>
            <w:noWrap/>
            <w:vAlign w:val="center"/>
            <w:hideMark/>
          </w:tcPr>
          <w:p w14:paraId="37A6AF8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(0.107)</w:t>
            </w:r>
          </w:p>
        </w:tc>
      </w:tr>
      <w:tr w:rsidR="0019574C" w:rsidRPr="00E56159" w14:paraId="20C43E7C"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5F8325D2"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FDI inflow</w:t>
            </w:r>
          </w:p>
        </w:tc>
        <w:tc>
          <w:tcPr>
            <w:tcW w:w="1152" w:type="dxa"/>
            <w:tcBorders>
              <w:top w:val="nil"/>
              <w:left w:val="nil"/>
              <w:bottom w:val="nil"/>
              <w:right w:val="nil"/>
            </w:tcBorders>
            <w:shd w:val="clear" w:color="auto" w:fill="auto"/>
            <w:noWrap/>
            <w:vAlign w:val="center"/>
            <w:hideMark/>
          </w:tcPr>
          <w:p w14:paraId="454ECEB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0.173</w:t>
            </w:r>
          </w:p>
        </w:tc>
        <w:tc>
          <w:tcPr>
            <w:tcW w:w="1152" w:type="dxa"/>
            <w:tcBorders>
              <w:top w:val="nil"/>
              <w:left w:val="nil"/>
              <w:bottom w:val="nil"/>
              <w:right w:val="nil"/>
            </w:tcBorders>
            <w:shd w:val="clear" w:color="auto" w:fill="auto"/>
            <w:noWrap/>
            <w:vAlign w:val="center"/>
            <w:hideMark/>
          </w:tcPr>
          <w:p w14:paraId="7B5E269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0.191</w:t>
            </w:r>
          </w:p>
        </w:tc>
        <w:tc>
          <w:tcPr>
            <w:tcW w:w="1152" w:type="dxa"/>
            <w:tcBorders>
              <w:top w:val="nil"/>
              <w:left w:val="nil"/>
              <w:bottom w:val="nil"/>
              <w:right w:val="nil"/>
            </w:tcBorders>
            <w:shd w:val="clear" w:color="auto" w:fill="auto"/>
            <w:noWrap/>
            <w:vAlign w:val="center"/>
            <w:hideMark/>
          </w:tcPr>
          <w:p w14:paraId="65FC3B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0.338</w:t>
            </w:r>
          </w:p>
        </w:tc>
        <w:tc>
          <w:tcPr>
            <w:tcW w:w="1152" w:type="dxa"/>
            <w:tcBorders>
              <w:top w:val="nil"/>
              <w:left w:val="nil"/>
              <w:bottom w:val="nil"/>
              <w:right w:val="nil"/>
            </w:tcBorders>
            <w:shd w:val="clear" w:color="auto" w:fill="auto"/>
            <w:noWrap/>
            <w:vAlign w:val="center"/>
            <w:hideMark/>
          </w:tcPr>
          <w:p w14:paraId="189062A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0.175</w:t>
            </w:r>
          </w:p>
        </w:tc>
        <w:tc>
          <w:tcPr>
            <w:tcW w:w="1152" w:type="dxa"/>
            <w:tcBorders>
              <w:top w:val="nil"/>
              <w:left w:val="nil"/>
              <w:bottom w:val="nil"/>
              <w:right w:val="nil"/>
            </w:tcBorders>
            <w:shd w:val="clear" w:color="auto" w:fill="auto"/>
            <w:noWrap/>
            <w:vAlign w:val="center"/>
            <w:hideMark/>
          </w:tcPr>
          <w:p w14:paraId="762649D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0.190</w:t>
            </w:r>
          </w:p>
        </w:tc>
        <w:tc>
          <w:tcPr>
            <w:tcW w:w="1152" w:type="dxa"/>
            <w:tcBorders>
              <w:top w:val="nil"/>
              <w:left w:val="nil"/>
              <w:bottom w:val="nil"/>
              <w:right w:val="nil"/>
            </w:tcBorders>
            <w:shd w:val="clear" w:color="auto" w:fill="auto"/>
            <w:noWrap/>
            <w:vAlign w:val="center"/>
            <w:hideMark/>
          </w:tcPr>
          <w:p w14:paraId="35EB590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0.191</w:t>
            </w:r>
          </w:p>
        </w:tc>
      </w:tr>
      <w:tr w:rsidR="0019574C" w:rsidRPr="00E56159" w14:paraId="6A198CAF" w14:textId="77777777" w:rsidTr="00EE0BCA">
        <w:trPr>
          <w:trHeight w:hRule="exact" w:val="245"/>
          <w:jc w:val="center"/>
        </w:trPr>
        <w:tc>
          <w:tcPr>
            <w:tcW w:w="2835" w:type="dxa"/>
            <w:vMerge/>
            <w:tcBorders>
              <w:top w:val="nil"/>
              <w:left w:val="nil"/>
              <w:bottom w:val="nil"/>
              <w:right w:val="nil"/>
            </w:tcBorders>
            <w:vAlign w:val="center"/>
            <w:hideMark/>
          </w:tcPr>
          <w:p w14:paraId="239DF111"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D35E0B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16FB51A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c>
          <w:tcPr>
            <w:tcW w:w="1152" w:type="dxa"/>
            <w:tcBorders>
              <w:top w:val="nil"/>
              <w:left w:val="nil"/>
              <w:bottom w:val="nil"/>
              <w:right w:val="nil"/>
            </w:tcBorders>
            <w:shd w:val="clear" w:color="auto" w:fill="auto"/>
            <w:noWrap/>
            <w:vAlign w:val="center"/>
            <w:hideMark/>
          </w:tcPr>
          <w:p w14:paraId="427961D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c>
          <w:tcPr>
            <w:tcW w:w="1152" w:type="dxa"/>
            <w:tcBorders>
              <w:top w:val="nil"/>
              <w:left w:val="nil"/>
              <w:bottom w:val="nil"/>
              <w:right w:val="nil"/>
            </w:tcBorders>
            <w:shd w:val="clear" w:color="auto" w:fill="auto"/>
            <w:noWrap/>
            <w:vAlign w:val="center"/>
            <w:hideMark/>
          </w:tcPr>
          <w:p w14:paraId="45AB68F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(0.007)</w:t>
            </w:r>
          </w:p>
        </w:tc>
        <w:tc>
          <w:tcPr>
            <w:tcW w:w="1152" w:type="dxa"/>
            <w:tcBorders>
              <w:top w:val="nil"/>
              <w:left w:val="nil"/>
              <w:bottom w:val="nil"/>
              <w:right w:val="nil"/>
            </w:tcBorders>
            <w:shd w:val="clear" w:color="auto" w:fill="auto"/>
            <w:noWrap/>
            <w:vAlign w:val="center"/>
            <w:hideMark/>
          </w:tcPr>
          <w:p w14:paraId="5BE5DEB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(0.001)</w:t>
            </w:r>
          </w:p>
        </w:tc>
        <w:tc>
          <w:tcPr>
            <w:tcW w:w="1152" w:type="dxa"/>
            <w:tcBorders>
              <w:top w:val="nil"/>
              <w:left w:val="nil"/>
              <w:bottom w:val="nil"/>
              <w:right w:val="nil"/>
            </w:tcBorders>
            <w:shd w:val="clear" w:color="auto" w:fill="auto"/>
            <w:noWrap/>
            <w:vAlign w:val="center"/>
            <w:hideMark/>
          </w:tcPr>
          <w:p w14:paraId="1C9DBAF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(0.000)</w:t>
            </w:r>
          </w:p>
        </w:tc>
      </w:tr>
      <w:tr w:rsidR="0019574C" w:rsidRPr="00E56159" w14:paraId="0C2E0E12"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71370D4F"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FDI outflow</w:t>
            </w:r>
          </w:p>
        </w:tc>
        <w:tc>
          <w:tcPr>
            <w:tcW w:w="1152" w:type="dxa"/>
            <w:tcBorders>
              <w:top w:val="nil"/>
              <w:left w:val="nil"/>
              <w:bottom w:val="nil"/>
              <w:right w:val="nil"/>
            </w:tcBorders>
            <w:shd w:val="clear" w:color="auto" w:fill="auto"/>
            <w:noWrap/>
            <w:vAlign w:val="center"/>
            <w:hideMark/>
          </w:tcPr>
          <w:p w14:paraId="6806739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5A8CD38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-0.059</w:t>
            </w:r>
          </w:p>
        </w:tc>
        <w:tc>
          <w:tcPr>
            <w:tcW w:w="1152" w:type="dxa"/>
            <w:tcBorders>
              <w:top w:val="nil"/>
              <w:left w:val="nil"/>
              <w:bottom w:val="nil"/>
              <w:right w:val="nil"/>
            </w:tcBorders>
            <w:shd w:val="clear" w:color="auto" w:fill="auto"/>
            <w:noWrap/>
            <w:vAlign w:val="center"/>
            <w:hideMark/>
          </w:tcPr>
          <w:p w14:paraId="679C9971"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0.034</w:t>
            </w:r>
          </w:p>
        </w:tc>
        <w:tc>
          <w:tcPr>
            <w:tcW w:w="1152" w:type="dxa"/>
            <w:tcBorders>
              <w:top w:val="nil"/>
              <w:left w:val="nil"/>
              <w:bottom w:val="nil"/>
              <w:right w:val="nil"/>
            </w:tcBorders>
            <w:shd w:val="clear" w:color="auto" w:fill="auto"/>
            <w:noWrap/>
            <w:vAlign w:val="center"/>
            <w:hideMark/>
          </w:tcPr>
          <w:p w14:paraId="7DB780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-0.051</w:t>
            </w:r>
          </w:p>
        </w:tc>
        <w:tc>
          <w:tcPr>
            <w:tcW w:w="1152" w:type="dxa"/>
            <w:tcBorders>
              <w:top w:val="nil"/>
              <w:left w:val="nil"/>
              <w:bottom w:val="nil"/>
              <w:right w:val="nil"/>
            </w:tcBorders>
            <w:shd w:val="clear" w:color="auto" w:fill="auto"/>
            <w:noWrap/>
            <w:vAlign w:val="center"/>
            <w:hideMark/>
          </w:tcPr>
          <w:p w14:paraId="03C40A0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-0.058</w:t>
            </w:r>
          </w:p>
        </w:tc>
        <w:tc>
          <w:tcPr>
            <w:tcW w:w="1152" w:type="dxa"/>
            <w:tcBorders>
              <w:top w:val="nil"/>
              <w:left w:val="nil"/>
              <w:bottom w:val="nil"/>
              <w:right w:val="nil"/>
            </w:tcBorders>
            <w:shd w:val="clear" w:color="auto" w:fill="auto"/>
            <w:noWrap/>
            <w:vAlign w:val="center"/>
            <w:hideMark/>
          </w:tcPr>
          <w:p w14:paraId="12C0DEB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-0.040</w:t>
            </w:r>
          </w:p>
        </w:tc>
      </w:tr>
      <w:tr w:rsidR="0019574C" w:rsidRPr="00E56159" w14:paraId="1775C833" w14:textId="77777777" w:rsidTr="00EE0BCA">
        <w:trPr>
          <w:trHeight w:hRule="exact" w:val="245"/>
          <w:jc w:val="center"/>
        </w:trPr>
        <w:tc>
          <w:tcPr>
            <w:tcW w:w="2835" w:type="dxa"/>
            <w:vMerge/>
            <w:tcBorders>
              <w:top w:val="nil"/>
              <w:left w:val="nil"/>
              <w:bottom w:val="nil"/>
              <w:right w:val="nil"/>
            </w:tcBorders>
            <w:vAlign w:val="center"/>
            <w:hideMark/>
          </w:tcPr>
          <w:p w14:paraId="5DDE835B"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C622A7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(0.417)</w:t>
            </w:r>
          </w:p>
        </w:tc>
        <w:tc>
          <w:tcPr>
            <w:tcW w:w="1152" w:type="dxa"/>
            <w:tcBorders>
              <w:top w:val="nil"/>
              <w:left w:val="nil"/>
              <w:bottom w:val="nil"/>
              <w:right w:val="nil"/>
            </w:tcBorders>
            <w:shd w:val="clear" w:color="auto" w:fill="auto"/>
            <w:noWrap/>
            <w:vAlign w:val="center"/>
            <w:hideMark/>
          </w:tcPr>
          <w:p w14:paraId="1D03694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(0.364)</w:t>
            </w:r>
          </w:p>
        </w:tc>
        <w:tc>
          <w:tcPr>
            <w:tcW w:w="1152" w:type="dxa"/>
            <w:tcBorders>
              <w:top w:val="nil"/>
              <w:left w:val="nil"/>
              <w:bottom w:val="nil"/>
              <w:right w:val="nil"/>
            </w:tcBorders>
            <w:shd w:val="clear" w:color="auto" w:fill="auto"/>
            <w:noWrap/>
            <w:vAlign w:val="center"/>
            <w:hideMark/>
          </w:tcPr>
          <w:p w14:paraId="26EB7B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(0.665)</w:t>
            </w:r>
          </w:p>
        </w:tc>
        <w:tc>
          <w:tcPr>
            <w:tcW w:w="1152" w:type="dxa"/>
            <w:tcBorders>
              <w:top w:val="nil"/>
              <w:left w:val="nil"/>
              <w:bottom w:val="nil"/>
              <w:right w:val="nil"/>
            </w:tcBorders>
            <w:shd w:val="clear" w:color="auto" w:fill="auto"/>
            <w:noWrap/>
            <w:vAlign w:val="center"/>
            <w:hideMark/>
          </w:tcPr>
          <w:p w14:paraId="32EF9C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(0.444)</w:t>
            </w:r>
          </w:p>
        </w:tc>
        <w:tc>
          <w:tcPr>
            <w:tcW w:w="1152" w:type="dxa"/>
            <w:tcBorders>
              <w:top w:val="nil"/>
              <w:left w:val="nil"/>
              <w:bottom w:val="nil"/>
              <w:right w:val="nil"/>
            </w:tcBorders>
            <w:shd w:val="clear" w:color="auto" w:fill="auto"/>
            <w:noWrap/>
            <w:vAlign w:val="center"/>
            <w:hideMark/>
          </w:tcPr>
          <w:p w14:paraId="2D45518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(0.398)</w:t>
            </w:r>
          </w:p>
        </w:tc>
        <w:tc>
          <w:tcPr>
            <w:tcW w:w="1152" w:type="dxa"/>
            <w:tcBorders>
              <w:top w:val="nil"/>
              <w:left w:val="nil"/>
              <w:bottom w:val="nil"/>
              <w:right w:val="nil"/>
            </w:tcBorders>
            <w:shd w:val="clear" w:color="auto" w:fill="auto"/>
            <w:noWrap/>
            <w:vAlign w:val="center"/>
            <w:hideMark/>
          </w:tcPr>
          <w:p w14:paraId="5755F3C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(0.471)</w:t>
            </w:r>
          </w:p>
        </w:tc>
      </w:tr>
      <w:tr w:rsidR="0019574C" w:rsidRPr="00E56159" w14:paraId="514102A7"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C8E1B21"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Oil reserves</w:t>
            </w:r>
          </w:p>
        </w:tc>
        <w:tc>
          <w:tcPr>
            <w:tcW w:w="1152" w:type="dxa"/>
            <w:tcBorders>
              <w:top w:val="nil"/>
              <w:left w:val="nil"/>
              <w:bottom w:val="nil"/>
              <w:right w:val="nil"/>
            </w:tcBorders>
            <w:shd w:val="clear" w:color="auto" w:fill="auto"/>
            <w:noWrap/>
            <w:vAlign w:val="center"/>
            <w:hideMark/>
          </w:tcPr>
          <w:p w14:paraId="12B3893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0.028</w:t>
            </w:r>
          </w:p>
        </w:tc>
        <w:tc>
          <w:tcPr>
            <w:tcW w:w="1152" w:type="dxa"/>
            <w:tcBorders>
              <w:top w:val="nil"/>
              <w:left w:val="nil"/>
              <w:bottom w:val="nil"/>
              <w:right w:val="nil"/>
            </w:tcBorders>
            <w:shd w:val="clear" w:color="auto" w:fill="auto"/>
            <w:noWrap/>
            <w:vAlign w:val="center"/>
            <w:hideMark/>
          </w:tcPr>
          <w:p w14:paraId="0CA4071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0.046</w:t>
            </w:r>
          </w:p>
        </w:tc>
        <w:tc>
          <w:tcPr>
            <w:tcW w:w="1152" w:type="dxa"/>
            <w:tcBorders>
              <w:top w:val="nil"/>
              <w:left w:val="nil"/>
              <w:bottom w:val="nil"/>
              <w:right w:val="nil"/>
            </w:tcBorders>
            <w:shd w:val="clear" w:color="auto" w:fill="auto"/>
            <w:noWrap/>
            <w:vAlign w:val="center"/>
            <w:hideMark/>
          </w:tcPr>
          <w:p w14:paraId="0BB06D0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0.495</w:t>
            </w:r>
          </w:p>
        </w:tc>
        <w:tc>
          <w:tcPr>
            <w:tcW w:w="1152" w:type="dxa"/>
            <w:tcBorders>
              <w:top w:val="nil"/>
              <w:left w:val="nil"/>
              <w:bottom w:val="nil"/>
              <w:right w:val="nil"/>
            </w:tcBorders>
            <w:shd w:val="clear" w:color="auto" w:fill="auto"/>
            <w:noWrap/>
            <w:vAlign w:val="center"/>
            <w:hideMark/>
          </w:tcPr>
          <w:p w14:paraId="0A53421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0.022</w:t>
            </w:r>
          </w:p>
        </w:tc>
        <w:tc>
          <w:tcPr>
            <w:tcW w:w="1152" w:type="dxa"/>
            <w:tcBorders>
              <w:top w:val="nil"/>
              <w:left w:val="nil"/>
              <w:bottom w:val="nil"/>
              <w:right w:val="nil"/>
            </w:tcBorders>
            <w:shd w:val="clear" w:color="auto" w:fill="auto"/>
            <w:noWrap/>
            <w:vAlign w:val="center"/>
            <w:hideMark/>
          </w:tcPr>
          <w:p w14:paraId="371B4E1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0.040</w:t>
            </w:r>
          </w:p>
        </w:tc>
        <w:tc>
          <w:tcPr>
            <w:tcW w:w="1152" w:type="dxa"/>
            <w:tcBorders>
              <w:top w:val="nil"/>
              <w:left w:val="nil"/>
              <w:bottom w:val="nil"/>
              <w:right w:val="nil"/>
            </w:tcBorders>
            <w:shd w:val="clear" w:color="auto" w:fill="auto"/>
            <w:noWrap/>
            <w:vAlign w:val="center"/>
            <w:hideMark/>
          </w:tcPr>
          <w:p w14:paraId="2D8E90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0.077</w:t>
            </w:r>
          </w:p>
        </w:tc>
      </w:tr>
      <w:tr w:rsidR="0019574C" w:rsidRPr="00E56159" w14:paraId="11C018D5" w14:textId="77777777" w:rsidTr="00EE0BCA">
        <w:trPr>
          <w:trHeight w:hRule="exact" w:val="245"/>
          <w:jc w:val="center"/>
        </w:trPr>
        <w:tc>
          <w:tcPr>
            <w:tcW w:w="2835" w:type="dxa"/>
            <w:vMerge/>
            <w:tcBorders>
              <w:top w:val="nil"/>
              <w:left w:val="nil"/>
              <w:bottom w:val="nil"/>
              <w:right w:val="nil"/>
            </w:tcBorders>
            <w:vAlign w:val="center"/>
            <w:hideMark/>
          </w:tcPr>
          <w:p w14:paraId="460F8FDE"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E0F114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(0.833)</w:t>
            </w:r>
          </w:p>
        </w:tc>
        <w:tc>
          <w:tcPr>
            <w:tcW w:w="1152" w:type="dxa"/>
            <w:tcBorders>
              <w:top w:val="nil"/>
              <w:left w:val="nil"/>
              <w:bottom w:val="nil"/>
              <w:right w:val="nil"/>
            </w:tcBorders>
            <w:shd w:val="clear" w:color="auto" w:fill="auto"/>
            <w:noWrap/>
            <w:vAlign w:val="center"/>
            <w:hideMark/>
          </w:tcPr>
          <w:p w14:paraId="03161A7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(0.740)</w:t>
            </w:r>
          </w:p>
        </w:tc>
        <w:tc>
          <w:tcPr>
            <w:tcW w:w="1152" w:type="dxa"/>
            <w:tcBorders>
              <w:top w:val="nil"/>
              <w:left w:val="nil"/>
              <w:bottom w:val="nil"/>
              <w:right w:val="nil"/>
            </w:tcBorders>
            <w:shd w:val="clear" w:color="auto" w:fill="auto"/>
            <w:noWrap/>
            <w:vAlign w:val="center"/>
            <w:hideMark/>
          </w:tcPr>
          <w:p w14:paraId="0202535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(0.027)</w:t>
            </w:r>
          </w:p>
        </w:tc>
        <w:tc>
          <w:tcPr>
            <w:tcW w:w="1152" w:type="dxa"/>
            <w:tcBorders>
              <w:top w:val="nil"/>
              <w:left w:val="nil"/>
              <w:bottom w:val="nil"/>
              <w:right w:val="nil"/>
            </w:tcBorders>
            <w:shd w:val="clear" w:color="auto" w:fill="auto"/>
            <w:noWrap/>
            <w:vAlign w:val="center"/>
            <w:hideMark/>
          </w:tcPr>
          <w:p w14:paraId="2E444A7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(0.846)</w:t>
            </w:r>
          </w:p>
        </w:tc>
        <w:tc>
          <w:tcPr>
            <w:tcW w:w="1152" w:type="dxa"/>
            <w:tcBorders>
              <w:top w:val="nil"/>
              <w:left w:val="nil"/>
              <w:bottom w:val="nil"/>
              <w:right w:val="nil"/>
            </w:tcBorders>
            <w:shd w:val="clear" w:color="auto" w:fill="auto"/>
            <w:noWrap/>
            <w:vAlign w:val="center"/>
            <w:hideMark/>
          </w:tcPr>
          <w:p w14:paraId="0CE871A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(0.734)</w:t>
            </w:r>
          </w:p>
        </w:tc>
        <w:tc>
          <w:tcPr>
            <w:tcW w:w="1152" w:type="dxa"/>
            <w:tcBorders>
              <w:top w:val="nil"/>
              <w:left w:val="nil"/>
              <w:bottom w:val="nil"/>
              <w:right w:val="nil"/>
            </w:tcBorders>
            <w:shd w:val="clear" w:color="auto" w:fill="auto"/>
            <w:noWrap/>
            <w:vAlign w:val="center"/>
            <w:hideMark/>
          </w:tcPr>
          <w:p w14:paraId="4C5C734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(0.491)</w:t>
            </w:r>
          </w:p>
        </w:tc>
      </w:tr>
      <w:tr w:rsidR="0019574C" w:rsidRPr="00E56159" w14:paraId="53CD7569"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1855E47"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Political risk</w:t>
            </w:r>
          </w:p>
        </w:tc>
        <w:tc>
          <w:tcPr>
            <w:tcW w:w="1152" w:type="dxa"/>
            <w:tcBorders>
              <w:top w:val="nil"/>
              <w:left w:val="nil"/>
              <w:bottom w:val="nil"/>
              <w:right w:val="nil"/>
            </w:tcBorders>
            <w:shd w:val="clear" w:color="auto" w:fill="auto"/>
            <w:noWrap/>
            <w:vAlign w:val="center"/>
            <w:hideMark/>
          </w:tcPr>
          <w:p w14:paraId="447E746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0.539</w:t>
            </w:r>
          </w:p>
        </w:tc>
        <w:tc>
          <w:tcPr>
            <w:tcW w:w="1152" w:type="dxa"/>
            <w:tcBorders>
              <w:top w:val="nil"/>
              <w:left w:val="nil"/>
              <w:bottom w:val="nil"/>
              <w:right w:val="nil"/>
            </w:tcBorders>
            <w:shd w:val="clear" w:color="auto" w:fill="auto"/>
            <w:noWrap/>
            <w:vAlign w:val="center"/>
            <w:hideMark/>
          </w:tcPr>
          <w:p w14:paraId="4245610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0.412</w:t>
            </w:r>
          </w:p>
        </w:tc>
        <w:tc>
          <w:tcPr>
            <w:tcW w:w="1152" w:type="dxa"/>
            <w:tcBorders>
              <w:top w:val="nil"/>
              <w:left w:val="nil"/>
              <w:bottom w:val="nil"/>
              <w:right w:val="nil"/>
            </w:tcBorders>
            <w:shd w:val="clear" w:color="auto" w:fill="auto"/>
            <w:noWrap/>
            <w:vAlign w:val="center"/>
            <w:hideMark/>
          </w:tcPr>
          <w:p w14:paraId="7AA709F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4.407</w:t>
            </w:r>
          </w:p>
        </w:tc>
        <w:tc>
          <w:tcPr>
            <w:tcW w:w="1152" w:type="dxa"/>
            <w:tcBorders>
              <w:top w:val="nil"/>
              <w:left w:val="nil"/>
              <w:bottom w:val="nil"/>
              <w:right w:val="nil"/>
            </w:tcBorders>
            <w:shd w:val="clear" w:color="auto" w:fill="auto"/>
            <w:noWrap/>
            <w:vAlign w:val="center"/>
            <w:hideMark/>
          </w:tcPr>
          <w:p w14:paraId="75359E0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0.502</w:t>
            </w:r>
          </w:p>
        </w:tc>
        <w:tc>
          <w:tcPr>
            <w:tcW w:w="1152" w:type="dxa"/>
            <w:tcBorders>
              <w:top w:val="nil"/>
              <w:left w:val="nil"/>
              <w:bottom w:val="nil"/>
              <w:right w:val="nil"/>
            </w:tcBorders>
            <w:shd w:val="clear" w:color="auto" w:fill="auto"/>
            <w:noWrap/>
            <w:vAlign w:val="center"/>
            <w:hideMark/>
          </w:tcPr>
          <w:p w14:paraId="24FC11A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0.389</w:t>
            </w:r>
          </w:p>
        </w:tc>
        <w:tc>
          <w:tcPr>
            <w:tcW w:w="1152" w:type="dxa"/>
            <w:tcBorders>
              <w:top w:val="nil"/>
              <w:left w:val="nil"/>
              <w:bottom w:val="nil"/>
              <w:right w:val="nil"/>
            </w:tcBorders>
            <w:shd w:val="clear" w:color="auto" w:fill="auto"/>
            <w:noWrap/>
            <w:vAlign w:val="center"/>
            <w:hideMark/>
          </w:tcPr>
          <w:p w14:paraId="753D82B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0.312</w:t>
            </w:r>
          </w:p>
        </w:tc>
      </w:tr>
      <w:tr w:rsidR="0019574C" w:rsidRPr="00E56159" w14:paraId="202B0DE9" w14:textId="77777777" w:rsidTr="00EE0BCA">
        <w:trPr>
          <w:trHeight w:hRule="exact" w:val="245"/>
          <w:jc w:val="center"/>
        </w:trPr>
        <w:tc>
          <w:tcPr>
            <w:tcW w:w="2835" w:type="dxa"/>
            <w:vMerge/>
            <w:tcBorders>
              <w:top w:val="nil"/>
              <w:left w:val="nil"/>
              <w:bottom w:val="nil"/>
              <w:right w:val="nil"/>
            </w:tcBorders>
            <w:vAlign w:val="center"/>
            <w:hideMark/>
          </w:tcPr>
          <w:p w14:paraId="0C1E1497"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7908975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(0.220)</w:t>
            </w:r>
          </w:p>
        </w:tc>
        <w:tc>
          <w:tcPr>
            <w:tcW w:w="1152" w:type="dxa"/>
            <w:tcBorders>
              <w:top w:val="nil"/>
              <w:left w:val="nil"/>
              <w:bottom w:val="nil"/>
              <w:right w:val="nil"/>
            </w:tcBorders>
            <w:shd w:val="clear" w:color="auto" w:fill="auto"/>
            <w:noWrap/>
            <w:vAlign w:val="center"/>
            <w:hideMark/>
          </w:tcPr>
          <w:p w14:paraId="59A3683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(0.391)</w:t>
            </w:r>
          </w:p>
        </w:tc>
        <w:tc>
          <w:tcPr>
            <w:tcW w:w="1152" w:type="dxa"/>
            <w:tcBorders>
              <w:top w:val="nil"/>
              <w:left w:val="nil"/>
              <w:bottom w:val="nil"/>
              <w:right w:val="nil"/>
            </w:tcBorders>
            <w:shd w:val="clear" w:color="auto" w:fill="auto"/>
            <w:noWrap/>
            <w:vAlign w:val="center"/>
            <w:hideMark/>
          </w:tcPr>
          <w:p w14:paraId="6CE2881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(0.200)</w:t>
            </w:r>
          </w:p>
        </w:tc>
        <w:tc>
          <w:tcPr>
            <w:tcW w:w="1152" w:type="dxa"/>
            <w:tcBorders>
              <w:top w:val="nil"/>
              <w:left w:val="nil"/>
              <w:bottom w:val="nil"/>
              <w:right w:val="nil"/>
            </w:tcBorders>
            <w:shd w:val="clear" w:color="auto" w:fill="auto"/>
            <w:noWrap/>
            <w:vAlign w:val="center"/>
            <w:hideMark/>
          </w:tcPr>
          <w:p w14:paraId="498C6A7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(0.336)</w:t>
            </w:r>
          </w:p>
        </w:tc>
        <w:tc>
          <w:tcPr>
            <w:tcW w:w="1152" w:type="dxa"/>
            <w:tcBorders>
              <w:top w:val="nil"/>
              <w:left w:val="nil"/>
              <w:bottom w:val="nil"/>
              <w:right w:val="nil"/>
            </w:tcBorders>
            <w:shd w:val="clear" w:color="auto" w:fill="auto"/>
            <w:noWrap/>
            <w:vAlign w:val="center"/>
            <w:hideMark/>
          </w:tcPr>
          <w:p w14:paraId="2ADE593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(0.473)</w:t>
            </w:r>
          </w:p>
        </w:tc>
        <w:tc>
          <w:tcPr>
            <w:tcW w:w="1152" w:type="dxa"/>
            <w:tcBorders>
              <w:top w:val="nil"/>
              <w:left w:val="nil"/>
              <w:bottom w:val="nil"/>
              <w:right w:val="nil"/>
            </w:tcBorders>
            <w:shd w:val="clear" w:color="auto" w:fill="auto"/>
            <w:noWrap/>
            <w:vAlign w:val="center"/>
            <w:hideMark/>
          </w:tcPr>
          <w:p w14:paraId="2F10521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(0.620)</w:t>
            </w:r>
          </w:p>
        </w:tc>
      </w:tr>
      <w:tr w:rsidR="0019574C" w:rsidRPr="00E56159" w14:paraId="104E897F"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2EC16249"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Eth</w:t>
            </w:r>
            <w:r w:rsidRPr="00E56159">
              <w:rPr>
                <w:rFonts w:ascii="Times New Roman" w:hAnsi="Times New Roman" w:cs="Times New Roman"/>
                <w:kern w:val="0"/>
                <w:szCs w:val="22"/>
              </w:rPr>
              <w:t>n</w:t>
            </w:r>
            <w:r w:rsidRPr="00E56159">
              <w:rPr>
                <w:rFonts w:ascii="Times New Roman" w:eastAsia="Times New Roman" w:hAnsi="Times New Roman" w:cs="Times New Roman"/>
                <w:kern w:val="0"/>
                <w:szCs w:val="22"/>
              </w:rPr>
              <w:t>ic diversity</w:t>
            </w:r>
          </w:p>
        </w:tc>
        <w:tc>
          <w:tcPr>
            <w:tcW w:w="1152" w:type="dxa"/>
            <w:tcBorders>
              <w:top w:val="nil"/>
              <w:left w:val="nil"/>
              <w:bottom w:val="nil"/>
              <w:right w:val="nil"/>
            </w:tcBorders>
            <w:shd w:val="clear" w:color="auto" w:fill="auto"/>
            <w:noWrap/>
            <w:vAlign w:val="center"/>
            <w:hideMark/>
          </w:tcPr>
          <w:p w14:paraId="4BE45EA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0.304</w:t>
            </w:r>
          </w:p>
        </w:tc>
        <w:tc>
          <w:tcPr>
            <w:tcW w:w="1152" w:type="dxa"/>
            <w:tcBorders>
              <w:top w:val="nil"/>
              <w:left w:val="nil"/>
              <w:bottom w:val="nil"/>
              <w:right w:val="nil"/>
            </w:tcBorders>
            <w:shd w:val="clear" w:color="auto" w:fill="auto"/>
            <w:noWrap/>
            <w:vAlign w:val="center"/>
            <w:hideMark/>
          </w:tcPr>
          <w:p w14:paraId="131078E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-0.281</w:t>
            </w:r>
          </w:p>
        </w:tc>
        <w:tc>
          <w:tcPr>
            <w:tcW w:w="1152" w:type="dxa"/>
            <w:tcBorders>
              <w:top w:val="nil"/>
              <w:left w:val="nil"/>
              <w:bottom w:val="nil"/>
              <w:right w:val="nil"/>
            </w:tcBorders>
            <w:shd w:val="clear" w:color="auto" w:fill="auto"/>
            <w:noWrap/>
            <w:vAlign w:val="center"/>
            <w:hideMark/>
          </w:tcPr>
          <w:p w14:paraId="79FBD56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-10.133</w:t>
            </w:r>
          </w:p>
        </w:tc>
        <w:tc>
          <w:tcPr>
            <w:tcW w:w="1152" w:type="dxa"/>
            <w:tcBorders>
              <w:top w:val="nil"/>
              <w:left w:val="nil"/>
              <w:bottom w:val="nil"/>
              <w:right w:val="nil"/>
            </w:tcBorders>
            <w:shd w:val="clear" w:color="auto" w:fill="auto"/>
            <w:noWrap/>
            <w:vAlign w:val="center"/>
            <w:hideMark/>
          </w:tcPr>
          <w:p w14:paraId="4D3741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0.135</w:t>
            </w:r>
          </w:p>
        </w:tc>
        <w:tc>
          <w:tcPr>
            <w:tcW w:w="1152" w:type="dxa"/>
            <w:tcBorders>
              <w:top w:val="nil"/>
              <w:left w:val="nil"/>
              <w:bottom w:val="nil"/>
              <w:right w:val="nil"/>
            </w:tcBorders>
            <w:shd w:val="clear" w:color="auto" w:fill="auto"/>
            <w:noWrap/>
            <w:vAlign w:val="center"/>
            <w:hideMark/>
          </w:tcPr>
          <w:p w14:paraId="5BEB51C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-0.374</w:t>
            </w:r>
          </w:p>
        </w:tc>
        <w:tc>
          <w:tcPr>
            <w:tcW w:w="1152" w:type="dxa"/>
            <w:tcBorders>
              <w:top w:val="nil"/>
              <w:left w:val="nil"/>
              <w:bottom w:val="nil"/>
              <w:right w:val="nil"/>
            </w:tcBorders>
            <w:shd w:val="clear" w:color="auto" w:fill="auto"/>
            <w:noWrap/>
            <w:vAlign w:val="center"/>
            <w:hideMark/>
          </w:tcPr>
          <w:p w14:paraId="6DAC914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-0.114</w:t>
            </w:r>
          </w:p>
        </w:tc>
      </w:tr>
      <w:tr w:rsidR="0019574C" w:rsidRPr="00E56159" w14:paraId="5D6879B7" w14:textId="77777777" w:rsidTr="00EE0BCA">
        <w:trPr>
          <w:trHeight w:hRule="exact" w:val="245"/>
          <w:jc w:val="center"/>
        </w:trPr>
        <w:tc>
          <w:tcPr>
            <w:tcW w:w="2835" w:type="dxa"/>
            <w:vMerge/>
            <w:tcBorders>
              <w:top w:val="nil"/>
              <w:left w:val="nil"/>
              <w:bottom w:val="nil"/>
              <w:right w:val="nil"/>
            </w:tcBorders>
            <w:vAlign w:val="center"/>
            <w:hideMark/>
          </w:tcPr>
          <w:p w14:paraId="2FFD76E0"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29C62985"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(0.762)</w:t>
            </w:r>
          </w:p>
        </w:tc>
        <w:tc>
          <w:tcPr>
            <w:tcW w:w="1152" w:type="dxa"/>
            <w:tcBorders>
              <w:top w:val="nil"/>
              <w:left w:val="nil"/>
              <w:bottom w:val="nil"/>
              <w:right w:val="nil"/>
            </w:tcBorders>
            <w:shd w:val="clear" w:color="auto" w:fill="auto"/>
            <w:noWrap/>
            <w:vAlign w:val="center"/>
            <w:hideMark/>
          </w:tcPr>
          <w:p w14:paraId="3233AB5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(0.710)</w:t>
            </w:r>
          </w:p>
        </w:tc>
        <w:tc>
          <w:tcPr>
            <w:tcW w:w="1152" w:type="dxa"/>
            <w:tcBorders>
              <w:top w:val="nil"/>
              <w:left w:val="nil"/>
              <w:bottom w:val="nil"/>
              <w:right w:val="nil"/>
            </w:tcBorders>
            <w:shd w:val="clear" w:color="auto" w:fill="auto"/>
            <w:noWrap/>
            <w:vAlign w:val="center"/>
            <w:hideMark/>
          </w:tcPr>
          <w:p w14:paraId="0341AC5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(0.099)</w:t>
            </w:r>
          </w:p>
        </w:tc>
        <w:tc>
          <w:tcPr>
            <w:tcW w:w="1152" w:type="dxa"/>
            <w:tcBorders>
              <w:top w:val="nil"/>
              <w:left w:val="nil"/>
              <w:bottom w:val="nil"/>
              <w:right w:val="nil"/>
            </w:tcBorders>
            <w:shd w:val="clear" w:color="auto" w:fill="auto"/>
            <w:noWrap/>
            <w:vAlign w:val="center"/>
            <w:hideMark/>
          </w:tcPr>
          <w:p w14:paraId="097C1BE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(0.886)</w:t>
            </w:r>
          </w:p>
        </w:tc>
        <w:tc>
          <w:tcPr>
            <w:tcW w:w="1152" w:type="dxa"/>
            <w:tcBorders>
              <w:top w:val="nil"/>
              <w:left w:val="nil"/>
              <w:bottom w:val="nil"/>
              <w:right w:val="nil"/>
            </w:tcBorders>
            <w:shd w:val="clear" w:color="auto" w:fill="auto"/>
            <w:noWrap/>
            <w:vAlign w:val="center"/>
            <w:hideMark/>
          </w:tcPr>
          <w:p w14:paraId="7947588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(0.630)</w:t>
            </w:r>
          </w:p>
        </w:tc>
        <w:tc>
          <w:tcPr>
            <w:tcW w:w="1152" w:type="dxa"/>
            <w:tcBorders>
              <w:top w:val="nil"/>
              <w:left w:val="nil"/>
              <w:bottom w:val="nil"/>
              <w:right w:val="nil"/>
            </w:tcBorders>
            <w:shd w:val="clear" w:color="auto" w:fill="auto"/>
            <w:noWrap/>
            <w:vAlign w:val="center"/>
            <w:hideMark/>
          </w:tcPr>
          <w:p w14:paraId="411BAA7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(0.869)</w:t>
            </w:r>
          </w:p>
        </w:tc>
      </w:tr>
      <w:tr w:rsidR="0019574C" w:rsidRPr="00E56159" w14:paraId="12748EAE"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0C12486F"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French colonial territories</w:t>
            </w:r>
          </w:p>
        </w:tc>
        <w:tc>
          <w:tcPr>
            <w:tcW w:w="1152" w:type="dxa"/>
            <w:tcBorders>
              <w:top w:val="nil"/>
              <w:left w:val="nil"/>
              <w:bottom w:val="nil"/>
              <w:right w:val="nil"/>
            </w:tcBorders>
            <w:shd w:val="clear" w:color="auto" w:fill="auto"/>
            <w:noWrap/>
            <w:vAlign w:val="center"/>
            <w:hideMark/>
          </w:tcPr>
          <w:p w14:paraId="347193D4"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0.531</w:t>
            </w:r>
          </w:p>
        </w:tc>
        <w:tc>
          <w:tcPr>
            <w:tcW w:w="1152" w:type="dxa"/>
            <w:tcBorders>
              <w:top w:val="nil"/>
              <w:left w:val="nil"/>
              <w:bottom w:val="nil"/>
              <w:right w:val="nil"/>
            </w:tcBorders>
            <w:shd w:val="clear" w:color="auto" w:fill="auto"/>
            <w:noWrap/>
            <w:vAlign w:val="center"/>
            <w:hideMark/>
          </w:tcPr>
          <w:p w14:paraId="04410D2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0.527</w:t>
            </w:r>
          </w:p>
        </w:tc>
        <w:tc>
          <w:tcPr>
            <w:tcW w:w="1152" w:type="dxa"/>
            <w:tcBorders>
              <w:top w:val="nil"/>
              <w:left w:val="nil"/>
              <w:bottom w:val="nil"/>
              <w:right w:val="nil"/>
            </w:tcBorders>
            <w:shd w:val="clear" w:color="auto" w:fill="auto"/>
            <w:noWrap/>
            <w:vAlign w:val="center"/>
            <w:hideMark/>
          </w:tcPr>
          <w:p w14:paraId="4EA147A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3.953</w:t>
            </w:r>
          </w:p>
        </w:tc>
        <w:tc>
          <w:tcPr>
            <w:tcW w:w="1152" w:type="dxa"/>
            <w:tcBorders>
              <w:top w:val="nil"/>
              <w:left w:val="nil"/>
              <w:bottom w:val="nil"/>
              <w:right w:val="nil"/>
            </w:tcBorders>
            <w:shd w:val="clear" w:color="auto" w:fill="auto"/>
            <w:noWrap/>
            <w:vAlign w:val="center"/>
            <w:hideMark/>
          </w:tcPr>
          <w:p w14:paraId="1C47F43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0.476</w:t>
            </w:r>
          </w:p>
        </w:tc>
        <w:tc>
          <w:tcPr>
            <w:tcW w:w="1152" w:type="dxa"/>
            <w:tcBorders>
              <w:top w:val="nil"/>
              <w:left w:val="nil"/>
              <w:bottom w:val="nil"/>
              <w:right w:val="nil"/>
            </w:tcBorders>
            <w:shd w:val="clear" w:color="auto" w:fill="auto"/>
            <w:noWrap/>
            <w:vAlign w:val="center"/>
            <w:hideMark/>
          </w:tcPr>
          <w:p w14:paraId="0F70D48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0.461</w:t>
            </w:r>
          </w:p>
        </w:tc>
        <w:tc>
          <w:tcPr>
            <w:tcW w:w="1152" w:type="dxa"/>
            <w:tcBorders>
              <w:top w:val="nil"/>
              <w:left w:val="nil"/>
              <w:bottom w:val="nil"/>
              <w:right w:val="nil"/>
            </w:tcBorders>
            <w:shd w:val="clear" w:color="auto" w:fill="auto"/>
            <w:noWrap/>
            <w:vAlign w:val="center"/>
            <w:hideMark/>
          </w:tcPr>
          <w:p w14:paraId="7696CE4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0.395</w:t>
            </w:r>
          </w:p>
        </w:tc>
      </w:tr>
      <w:tr w:rsidR="0019574C" w:rsidRPr="00E56159" w14:paraId="2A1912EC" w14:textId="77777777" w:rsidTr="00EE0BCA">
        <w:trPr>
          <w:trHeight w:hRule="exact" w:val="245"/>
          <w:jc w:val="center"/>
        </w:trPr>
        <w:tc>
          <w:tcPr>
            <w:tcW w:w="2835" w:type="dxa"/>
            <w:vMerge/>
            <w:tcBorders>
              <w:top w:val="nil"/>
              <w:left w:val="nil"/>
              <w:bottom w:val="nil"/>
              <w:right w:val="nil"/>
            </w:tcBorders>
            <w:vAlign w:val="center"/>
            <w:hideMark/>
          </w:tcPr>
          <w:p w14:paraId="1C9259B1"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3587A2C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(0.534)</w:t>
            </w:r>
          </w:p>
        </w:tc>
        <w:tc>
          <w:tcPr>
            <w:tcW w:w="1152" w:type="dxa"/>
            <w:tcBorders>
              <w:top w:val="nil"/>
              <w:left w:val="nil"/>
              <w:bottom w:val="nil"/>
              <w:right w:val="nil"/>
            </w:tcBorders>
            <w:shd w:val="clear" w:color="auto" w:fill="auto"/>
            <w:noWrap/>
            <w:vAlign w:val="center"/>
            <w:hideMark/>
          </w:tcPr>
          <w:p w14:paraId="2F7CB77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(0.546)</w:t>
            </w:r>
          </w:p>
        </w:tc>
        <w:tc>
          <w:tcPr>
            <w:tcW w:w="1152" w:type="dxa"/>
            <w:tcBorders>
              <w:top w:val="nil"/>
              <w:left w:val="nil"/>
              <w:bottom w:val="nil"/>
              <w:right w:val="nil"/>
            </w:tcBorders>
            <w:shd w:val="clear" w:color="auto" w:fill="auto"/>
            <w:noWrap/>
            <w:vAlign w:val="center"/>
            <w:hideMark/>
          </w:tcPr>
          <w:p w14:paraId="5E9602E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(0.045)</w:t>
            </w:r>
          </w:p>
        </w:tc>
        <w:tc>
          <w:tcPr>
            <w:tcW w:w="1152" w:type="dxa"/>
            <w:tcBorders>
              <w:top w:val="nil"/>
              <w:left w:val="nil"/>
              <w:bottom w:val="nil"/>
              <w:right w:val="nil"/>
            </w:tcBorders>
            <w:shd w:val="clear" w:color="auto" w:fill="auto"/>
            <w:noWrap/>
            <w:vAlign w:val="center"/>
            <w:hideMark/>
          </w:tcPr>
          <w:p w14:paraId="3BFB23A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(0.560)</w:t>
            </w:r>
          </w:p>
        </w:tc>
        <w:tc>
          <w:tcPr>
            <w:tcW w:w="1152" w:type="dxa"/>
            <w:tcBorders>
              <w:top w:val="nil"/>
              <w:left w:val="nil"/>
              <w:bottom w:val="nil"/>
              <w:right w:val="nil"/>
            </w:tcBorders>
            <w:shd w:val="clear" w:color="auto" w:fill="auto"/>
            <w:noWrap/>
            <w:vAlign w:val="center"/>
            <w:hideMark/>
          </w:tcPr>
          <w:p w14:paraId="2C928FB0"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(0.584)</w:t>
            </w:r>
          </w:p>
        </w:tc>
        <w:tc>
          <w:tcPr>
            <w:tcW w:w="1152" w:type="dxa"/>
            <w:tcBorders>
              <w:top w:val="nil"/>
              <w:left w:val="nil"/>
              <w:bottom w:val="nil"/>
              <w:right w:val="nil"/>
            </w:tcBorders>
            <w:shd w:val="clear" w:color="auto" w:fill="auto"/>
            <w:noWrap/>
            <w:vAlign w:val="center"/>
            <w:hideMark/>
          </w:tcPr>
          <w:p w14:paraId="0D9F0F42"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(0.628)</w:t>
            </w:r>
          </w:p>
        </w:tc>
      </w:tr>
      <w:tr w:rsidR="0019574C" w:rsidRPr="00E56159" w14:paraId="77F1A687" w14:textId="77777777" w:rsidTr="00EE0BCA">
        <w:trPr>
          <w:trHeight w:hRule="exact" w:val="245"/>
          <w:jc w:val="center"/>
        </w:trPr>
        <w:tc>
          <w:tcPr>
            <w:tcW w:w="2835" w:type="dxa"/>
            <w:vMerge w:val="restart"/>
            <w:tcBorders>
              <w:top w:val="nil"/>
              <w:left w:val="nil"/>
              <w:bottom w:val="nil"/>
              <w:right w:val="nil"/>
            </w:tcBorders>
            <w:shd w:val="clear" w:color="auto" w:fill="auto"/>
            <w:noWrap/>
            <w:vAlign w:val="center"/>
            <w:hideMark/>
          </w:tcPr>
          <w:p w14:paraId="1EF7A733"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Constant</w:t>
            </w:r>
          </w:p>
        </w:tc>
        <w:tc>
          <w:tcPr>
            <w:tcW w:w="1152" w:type="dxa"/>
            <w:tcBorders>
              <w:top w:val="nil"/>
              <w:left w:val="nil"/>
              <w:bottom w:val="nil"/>
              <w:right w:val="nil"/>
            </w:tcBorders>
            <w:shd w:val="clear" w:color="auto" w:fill="auto"/>
            <w:noWrap/>
            <w:vAlign w:val="center"/>
            <w:hideMark/>
          </w:tcPr>
          <w:p w14:paraId="1DD6239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10.284</w:t>
            </w:r>
          </w:p>
        </w:tc>
        <w:tc>
          <w:tcPr>
            <w:tcW w:w="1152" w:type="dxa"/>
            <w:tcBorders>
              <w:top w:val="nil"/>
              <w:left w:val="nil"/>
              <w:bottom w:val="nil"/>
              <w:right w:val="nil"/>
            </w:tcBorders>
            <w:shd w:val="clear" w:color="auto" w:fill="auto"/>
            <w:noWrap/>
            <w:vAlign w:val="center"/>
            <w:hideMark/>
          </w:tcPr>
          <w:p w14:paraId="3B2076C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8.944</w:t>
            </w:r>
          </w:p>
        </w:tc>
        <w:tc>
          <w:tcPr>
            <w:tcW w:w="1152" w:type="dxa"/>
            <w:tcBorders>
              <w:top w:val="nil"/>
              <w:left w:val="nil"/>
              <w:bottom w:val="nil"/>
              <w:right w:val="nil"/>
            </w:tcBorders>
            <w:shd w:val="clear" w:color="auto" w:fill="auto"/>
            <w:noWrap/>
            <w:vAlign w:val="center"/>
            <w:hideMark/>
          </w:tcPr>
          <w:p w14:paraId="67799418"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9.868</w:t>
            </w:r>
          </w:p>
        </w:tc>
        <w:tc>
          <w:tcPr>
            <w:tcW w:w="1152" w:type="dxa"/>
            <w:tcBorders>
              <w:top w:val="nil"/>
              <w:left w:val="nil"/>
              <w:bottom w:val="nil"/>
              <w:right w:val="nil"/>
            </w:tcBorders>
            <w:shd w:val="clear" w:color="auto" w:fill="auto"/>
            <w:noWrap/>
            <w:vAlign w:val="center"/>
            <w:hideMark/>
          </w:tcPr>
          <w:p w14:paraId="3E335AD3"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9.395</w:t>
            </w:r>
          </w:p>
        </w:tc>
        <w:tc>
          <w:tcPr>
            <w:tcW w:w="1152" w:type="dxa"/>
            <w:tcBorders>
              <w:top w:val="nil"/>
              <w:left w:val="nil"/>
              <w:bottom w:val="nil"/>
              <w:right w:val="nil"/>
            </w:tcBorders>
            <w:shd w:val="clear" w:color="auto" w:fill="auto"/>
            <w:noWrap/>
            <w:vAlign w:val="center"/>
            <w:hideMark/>
          </w:tcPr>
          <w:p w14:paraId="53301F0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8.179</w:t>
            </w:r>
          </w:p>
        </w:tc>
        <w:tc>
          <w:tcPr>
            <w:tcW w:w="1152" w:type="dxa"/>
            <w:tcBorders>
              <w:top w:val="nil"/>
              <w:left w:val="nil"/>
              <w:bottom w:val="nil"/>
              <w:right w:val="nil"/>
            </w:tcBorders>
            <w:shd w:val="clear" w:color="auto" w:fill="auto"/>
            <w:noWrap/>
            <w:vAlign w:val="center"/>
            <w:hideMark/>
          </w:tcPr>
          <w:p w14:paraId="7823293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9.305</w:t>
            </w:r>
          </w:p>
        </w:tc>
      </w:tr>
      <w:tr w:rsidR="0019574C" w:rsidRPr="00E56159" w14:paraId="0DEEE0BC" w14:textId="77777777" w:rsidTr="00EE0BCA">
        <w:trPr>
          <w:trHeight w:hRule="exact" w:val="245"/>
          <w:jc w:val="center"/>
        </w:trPr>
        <w:tc>
          <w:tcPr>
            <w:tcW w:w="2835" w:type="dxa"/>
            <w:vMerge/>
            <w:tcBorders>
              <w:top w:val="nil"/>
              <w:left w:val="nil"/>
              <w:bottom w:val="nil"/>
              <w:right w:val="nil"/>
            </w:tcBorders>
            <w:vAlign w:val="center"/>
            <w:hideMark/>
          </w:tcPr>
          <w:p w14:paraId="0C8E910B" w14:textId="77777777" w:rsidR="0019574C" w:rsidRPr="00E56159" w:rsidRDefault="0019574C" w:rsidP="00EE0BCA">
            <w:pPr>
              <w:spacing w:after="0" w:line="240" w:lineRule="auto"/>
              <w:rPr>
                <w:rFonts w:ascii="Times New Roman" w:eastAsia="Times New Roman" w:hAnsi="Times New Roman" w:cs="Times New Roman"/>
                <w:kern w:val="0"/>
                <w:szCs w:val="22"/>
              </w:rPr>
            </w:pPr>
          </w:p>
        </w:tc>
        <w:tc>
          <w:tcPr>
            <w:tcW w:w="1152" w:type="dxa"/>
            <w:tcBorders>
              <w:top w:val="nil"/>
              <w:left w:val="nil"/>
              <w:bottom w:val="nil"/>
              <w:right w:val="nil"/>
            </w:tcBorders>
            <w:shd w:val="clear" w:color="auto" w:fill="auto"/>
            <w:noWrap/>
            <w:vAlign w:val="center"/>
            <w:hideMark/>
          </w:tcPr>
          <w:p w14:paraId="545EFA2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(0.020)</w:t>
            </w:r>
          </w:p>
        </w:tc>
        <w:tc>
          <w:tcPr>
            <w:tcW w:w="1152" w:type="dxa"/>
            <w:tcBorders>
              <w:top w:val="nil"/>
              <w:left w:val="nil"/>
              <w:bottom w:val="nil"/>
              <w:right w:val="nil"/>
            </w:tcBorders>
            <w:shd w:val="clear" w:color="auto" w:fill="auto"/>
            <w:noWrap/>
            <w:vAlign w:val="center"/>
            <w:hideMark/>
          </w:tcPr>
          <w:p w14:paraId="5AB0B6D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(0.058)</w:t>
            </w:r>
          </w:p>
        </w:tc>
        <w:tc>
          <w:tcPr>
            <w:tcW w:w="1152" w:type="dxa"/>
            <w:tcBorders>
              <w:top w:val="nil"/>
              <w:left w:val="nil"/>
              <w:bottom w:val="nil"/>
              <w:right w:val="nil"/>
            </w:tcBorders>
            <w:shd w:val="clear" w:color="auto" w:fill="auto"/>
            <w:noWrap/>
            <w:vAlign w:val="center"/>
            <w:hideMark/>
          </w:tcPr>
          <w:p w14:paraId="486320CF"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(0.748)</w:t>
            </w:r>
          </w:p>
        </w:tc>
        <w:tc>
          <w:tcPr>
            <w:tcW w:w="1152" w:type="dxa"/>
            <w:tcBorders>
              <w:top w:val="nil"/>
              <w:left w:val="nil"/>
              <w:bottom w:val="nil"/>
              <w:right w:val="nil"/>
            </w:tcBorders>
            <w:shd w:val="clear" w:color="auto" w:fill="auto"/>
            <w:noWrap/>
            <w:vAlign w:val="center"/>
            <w:hideMark/>
          </w:tcPr>
          <w:p w14:paraId="1DEE82B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(0.008)</w:t>
            </w:r>
          </w:p>
        </w:tc>
        <w:tc>
          <w:tcPr>
            <w:tcW w:w="1152" w:type="dxa"/>
            <w:tcBorders>
              <w:top w:val="nil"/>
              <w:left w:val="nil"/>
              <w:bottom w:val="nil"/>
              <w:right w:val="nil"/>
            </w:tcBorders>
            <w:shd w:val="clear" w:color="auto" w:fill="auto"/>
            <w:noWrap/>
            <w:vAlign w:val="center"/>
            <w:hideMark/>
          </w:tcPr>
          <w:p w14:paraId="62194DF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(0.035)</w:t>
            </w:r>
          </w:p>
        </w:tc>
        <w:tc>
          <w:tcPr>
            <w:tcW w:w="1152" w:type="dxa"/>
            <w:tcBorders>
              <w:top w:val="nil"/>
              <w:left w:val="nil"/>
              <w:bottom w:val="nil"/>
              <w:right w:val="nil"/>
            </w:tcBorders>
            <w:shd w:val="clear" w:color="auto" w:fill="auto"/>
            <w:noWrap/>
            <w:vAlign w:val="center"/>
            <w:hideMark/>
          </w:tcPr>
          <w:p w14:paraId="7FD0F25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(0.029)</w:t>
            </w:r>
          </w:p>
        </w:tc>
      </w:tr>
      <w:tr w:rsidR="0019574C" w:rsidRPr="00E56159" w14:paraId="077DA2A3" w14:textId="77777777" w:rsidTr="00EE0BCA">
        <w:trPr>
          <w:trHeight w:hRule="exact" w:val="245"/>
          <w:jc w:val="center"/>
        </w:trPr>
        <w:tc>
          <w:tcPr>
            <w:tcW w:w="2835" w:type="dxa"/>
            <w:tcBorders>
              <w:top w:val="nil"/>
              <w:left w:val="nil"/>
              <w:right w:val="nil"/>
            </w:tcBorders>
            <w:shd w:val="clear" w:color="auto" w:fill="auto"/>
            <w:noWrap/>
            <w:vAlign w:val="center"/>
            <w:hideMark/>
          </w:tcPr>
          <w:p w14:paraId="20304505"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Observations</w:t>
            </w:r>
          </w:p>
        </w:tc>
        <w:tc>
          <w:tcPr>
            <w:tcW w:w="1152" w:type="dxa"/>
            <w:tcBorders>
              <w:top w:val="nil"/>
              <w:left w:val="nil"/>
              <w:right w:val="nil"/>
            </w:tcBorders>
            <w:shd w:val="clear" w:color="auto" w:fill="auto"/>
            <w:noWrap/>
            <w:vAlign w:val="center"/>
            <w:hideMark/>
          </w:tcPr>
          <w:p w14:paraId="76D4978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54C6C1AE"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680118B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0D1ECD0D"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71AD1CA6"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c>
          <w:tcPr>
            <w:tcW w:w="1152" w:type="dxa"/>
            <w:tcBorders>
              <w:top w:val="nil"/>
              <w:left w:val="nil"/>
              <w:right w:val="nil"/>
            </w:tcBorders>
            <w:shd w:val="clear" w:color="auto" w:fill="auto"/>
            <w:noWrap/>
            <w:vAlign w:val="center"/>
            <w:hideMark/>
          </w:tcPr>
          <w:p w14:paraId="1930FD9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2908</w:t>
            </w:r>
          </w:p>
        </w:tc>
      </w:tr>
      <w:tr w:rsidR="0019574C" w:rsidRPr="00E56159" w14:paraId="66BFC7D2" w14:textId="77777777" w:rsidTr="00EE0BCA">
        <w:trPr>
          <w:trHeight w:hRule="exact" w:val="245"/>
          <w:jc w:val="center"/>
        </w:trPr>
        <w:tc>
          <w:tcPr>
            <w:tcW w:w="2835" w:type="dxa"/>
            <w:tcBorders>
              <w:top w:val="nil"/>
              <w:left w:val="nil"/>
              <w:bottom w:val="single" w:sz="4" w:space="0" w:color="auto"/>
              <w:right w:val="nil"/>
            </w:tcBorders>
            <w:shd w:val="clear" w:color="auto" w:fill="auto"/>
            <w:noWrap/>
            <w:vAlign w:val="center"/>
            <w:hideMark/>
          </w:tcPr>
          <w:p w14:paraId="79D508B3" w14:textId="77777777" w:rsidR="0019574C" w:rsidRPr="00E56159" w:rsidRDefault="0019574C" w:rsidP="00EE0BCA">
            <w:pPr>
              <w:spacing w:after="0" w:line="240" w:lineRule="auto"/>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R-squared</w:t>
            </w:r>
          </w:p>
        </w:tc>
        <w:tc>
          <w:tcPr>
            <w:tcW w:w="1152" w:type="dxa"/>
            <w:tcBorders>
              <w:top w:val="nil"/>
              <w:left w:val="nil"/>
              <w:bottom w:val="single" w:sz="4" w:space="0" w:color="auto"/>
              <w:right w:val="nil"/>
            </w:tcBorders>
            <w:shd w:val="clear" w:color="auto" w:fill="auto"/>
            <w:noWrap/>
            <w:vAlign w:val="center"/>
            <w:hideMark/>
          </w:tcPr>
          <w:p w14:paraId="7CBBB1C9"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47A0687A"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6FD4DEEB"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0.029</w:t>
            </w:r>
          </w:p>
        </w:tc>
        <w:tc>
          <w:tcPr>
            <w:tcW w:w="1152" w:type="dxa"/>
            <w:tcBorders>
              <w:top w:val="nil"/>
              <w:left w:val="nil"/>
              <w:bottom w:val="single" w:sz="4" w:space="0" w:color="auto"/>
              <w:right w:val="nil"/>
            </w:tcBorders>
            <w:shd w:val="clear" w:color="auto" w:fill="auto"/>
            <w:noWrap/>
            <w:vAlign w:val="center"/>
            <w:hideMark/>
          </w:tcPr>
          <w:p w14:paraId="5478CBF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3935A077"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c>
          <w:tcPr>
            <w:tcW w:w="1152" w:type="dxa"/>
            <w:tcBorders>
              <w:top w:val="nil"/>
              <w:left w:val="nil"/>
              <w:bottom w:val="single" w:sz="4" w:space="0" w:color="auto"/>
              <w:right w:val="nil"/>
            </w:tcBorders>
            <w:shd w:val="clear" w:color="auto" w:fill="auto"/>
            <w:noWrap/>
            <w:vAlign w:val="center"/>
            <w:hideMark/>
          </w:tcPr>
          <w:p w14:paraId="5959D7FC" w14:textId="77777777" w:rsidR="0019574C" w:rsidRPr="00E56159" w:rsidRDefault="0019574C" w:rsidP="00EE0BCA">
            <w:pPr>
              <w:spacing w:after="0" w:line="240" w:lineRule="auto"/>
              <w:jc w:val="center"/>
              <w:rPr>
                <w:rFonts w:ascii="Times New Roman" w:eastAsia="Times New Roman" w:hAnsi="Times New Roman" w:cs="Times New Roman"/>
                <w:kern w:val="0"/>
                <w:szCs w:val="22"/>
              </w:rPr>
            </w:pPr>
            <w:r w:rsidRPr="00E56159">
              <w:rPr>
                <w:rFonts w:ascii="Times New Roman" w:eastAsia="Times New Roman" w:hAnsi="Times New Roman" w:cs="Times New Roman"/>
                <w:kern w:val="0"/>
                <w:szCs w:val="22"/>
              </w:rPr>
              <w:t> </w:t>
            </w:r>
          </w:p>
        </w:tc>
      </w:tr>
    </w:tbl>
    <w:p w14:paraId="6069880D" w14:textId="0101418D" w:rsidR="0019574C" w:rsidRPr="00E56159" w:rsidRDefault="0019574C" w:rsidP="00EE0BCA">
      <w:pPr>
        <w:spacing w:after="0" w:line="240" w:lineRule="auto"/>
        <w:rPr>
          <w:rFonts w:ascii="Times New Roman" w:hAnsi="Times New Roman" w:cs="Times New Roman"/>
          <w:kern w:val="0"/>
          <w:szCs w:val="22"/>
        </w:rPr>
      </w:pPr>
      <w:r w:rsidRPr="00E56159">
        <w:rPr>
          <w:rFonts w:ascii="Times New Roman" w:hAnsi="Times New Roman" w:cs="Times New Roman"/>
          <w:kern w:val="0"/>
          <w:szCs w:val="22"/>
        </w:rPr>
        <w:t xml:space="preserve">Note: </w:t>
      </w:r>
      <w:r w:rsidRPr="00E56159">
        <w:rPr>
          <w:rFonts w:ascii="Times New Roman" w:eastAsia="Times New Roman" w:hAnsi="Times New Roman" w:cs="Times New Roman"/>
          <w:kern w:val="0"/>
          <w:szCs w:val="22"/>
        </w:rPr>
        <w:t xml:space="preserve">p-values </w:t>
      </w:r>
      <w:r w:rsidRPr="00E56159">
        <w:rPr>
          <w:rFonts w:ascii="Times New Roman" w:hAnsi="Times New Roman" w:cs="Times New Roman"/>
          <w:kern w:val="0"/>
          <w:szCs w:val="22"/>
        </w:rPr>
        <w:t xml:space="preserve">are reported </w:t>
      </w:r>
      <w:r w:rsidRPr="00E56159">
        <w:rPr>
          <w:rFonts w:ascii="Times New Roman" w:eastAsia="Times New Roman" w:hAnsi="Times New Roman" w:cs="Times New Roman"/>
          <w:kern w:val="0"/>
          <w:szCs w:val="22"/>
        </w:rPr>
        <w:t>in parentheses</w:t>
      </w:r>
      <w:r w:rsidRPr="00E56159">
        <w:rPr>
          <w:rFonts w:ascii="Times New Roman" w:hAnsi="Times New Roman" w:cs="Times New Roman"/>
          <w:kern w:val="0"/>
          <w:szCs w:val="22"/>
        </w:rPr>
        <w:t>.</w:t>
      </w:r>
    </w:p>
    <w:p w14:paraId="00413C3E" w14:textId="77777777" w:rsidR="00F821FB" w:rsidRPr="00E56159" w:rsidRDefault="00F821FB" w:rsidP="00EE0BCA">
      <w:pPr>
        <w:spacing w:after="0" w:line="240" w:lineRule="auto"/>
        <w:rPr>
          <w:rFonts w:ascii="Times New Roman" w:hAnsi="Times New Roman" w:cs="Times New Roman"/>
          <w:kern w:val="0"/>
          <w:szCs w:val="22"/>
        </w:rPr>
      </w:pPr>
    </w:p>
    <w:p w14:paraId="56509307" w14:textId="77777777" w:rsidR="00F821FB" w:rsidRPr="00E56159" w:rsidRDefault="00F821FB" w:rsidP="00EE0BCA">
      <w:pPr>
        <w:spacing w:after="0" w:line="240" w:lineRule="auto"/>
        <w:rPr>
          <w:rFonts w:ascii="Times New Roman" w:hAnsi="Times New Roman" w:cs="Times New Roman"/>
          <w:kern w:val="0"/>
          <w:szCs w:val="22"/>
        </w:rPr>
      </w:pPr>
    </w:p>
    <w:p w14:paraId="57F047DD" w14:textId="67FC6269" w:rsidR="00B176DE" w:rsidRPr="00E56159" w:rsidRDefault="00B176DE" w:rsidP="00EE0BCA">
      <w:pPr>
        <w:widowControl/>
        <w:spacing w:after="0" w:line="240" w:lineRule="auto"/>
        <w:rPr>
          <w:rFonts w:ascii="Times New Roman" w:eastAsia="DengXian" w:hAnsi="Times New Roman" w:cs="Times New Roman"/>
          <w:spacing w:val="-6"/>
          <w:szCs w:val="22"/>
        </w:rPr>
      </w:pPr>
    </w:p>
    <w:p w14:paraId="3C6F340C" w14:textId="078923BD" w:rsidR="00031277" w:rsidRPr="003E228B" w:rsidRDefault="00031277" w:rsidP="00EE0BCA">
      <w:pPr>
        <w:pStyle w:val="EndNoteBibliography"/>
        <w:spacing w:after="0"/>
        <w:rPr>
          <w:b/>
          <w:bCs/>
          <w:spacing w:val="-6"/>
          <w:szCs w:val="22"/>
        </w:rPr>
      </w:pPr>
      <w:r w:rsidRPr="003E228B">
        <w:rPr>
          <w:b/>
          <w:bCs/>
          <w:spacing w:val="-6"/>
          <w:szCs w:val="22"/>
        </w:rPr>
        <w:lastRenderedPageBreak/>
        <w:t>REFERENCE</w:t>
      </w:r>
    </w:p>
    <w:p w14:paraId="19BCA519" w14:textId="77777777" w:rsidR="00713D9A" w:rsidRPr="00713D9A" w:rsidRDefault="00031277" w:rsidP="00713D9A">
      <w:pPr>
        <w:pStyle w:val="EndNoteBibliography"/>
        <w:spacing w:after="0"/>
        <w:rPr>
          <w:noProof/>
        </w:rPr>
      </w:pPr>
      <w:r w:rsidRPr="00E56159">
        <w:rPr>
          <w:spacing w:val="-6"/>
          <w:szCs w:val="22"/>
        </w:rPr>
        <w:fldChar w:fldCharType="begin"/>
      </w:r>
      <w:r w:rsidRPr="00E56159">
        <w:rPr>
          <w:spacing w:val="-6"/>
          <w:szCs w:val="22"/>
        </w:rPr>
        <w:instrText xml:space="preserve"> ADDIN EN.REFLIST </w:instrText>
      </w:r>
      <w:r w:rsidRPr="00E56159">
        <w:rPr>
          <w:spacing w:val="-6"/>
          <w:szCs w:val="22"/>
        </w:rPr>
        <w:fldChar w:fldCharType="separate"/>
      </w:r>
      <w:r w:rsidR="00713D9A" w:rsidRPr="00713D9A">
        <w:rPr>
          <w:rFonts w:hint="eastAsia"/>
          <w:noProof/>
        </w:rPr>
        <w:t xml:space="preserve">Alesbury, A. (2013). A society in motion: the Tuareg from the pre-colonial era to today. </w:t>
      </w:r>
      <w:r w:rsidR="00713D9A" w:rsidRPr="00713D9A">
        <w:rPr>
          <w:rFonts w:hint="eastAsia"/>
          <w:i/>
          <w:noProof/>
        </w:rPr>
        <w:t>Nomadic Peoples</w:t>
      </w:r>
      <w:r w:rsidR="00713D9A" w:rsidRPr="00713D9A">
        <w:rPr>
          <w:rFonts w:hint="eastAsia"/>
          <w:noProof/>
        </w:rPr>
        <w:t>, 17(1), 106-125.</w:t>
      </w:r>
    </w:p>
    <w:p w14:paraId="790CDE90" w14:textId="77777777" w:rsidR="00713D9A" w:rsidRPr="00713D9A" w:rsidRDefault="00713D9A" w:rsidP="00713D9A">
      <w:pPr>
        <w:pStyle w:val="EndNoteBibliography"/>
        <w:spacing w:after="0"/>
        <w:rPr>
          <w:noProof/>
        </w:rPr>
      </w:pPr>
      <w:r w:rsidRPr="00713D9A">
        <w:rPr>
          <w:rFonts w:hint="eastAsia"/>
          <w:noProof/>
        </w:rPr>
        <w:t xml:space="preserve">Ananyev, M. &amp; Poyker, M. (2023). Identity and conflict: evidence from Tuareg rebellion in Mali. </w:t>
      </w:r>
      <w:r w:rsidRPr="00713D9A">
        <w:rPr>
          <w:rFonts w:hint="eastAsia"/>
          <w:i/>
          <w:noProof/>
        </w:rPr>
        <w:t>World Development</w:t>
      </w:r>
      <w:r w:rsidRPr="00713D9A">
        <w:rPr>
          <w:rFonts w:hint="eastAsia"/>
          <w:noProof/>
        </w:rPr>
        <w:t>, 161.</w:t>
      </w:r>
    </w:p>
    <w:p w14:paraId="2BE97A06" w14:textId="218C3ECB" w:rsidR="00713D9A" w:rsidRPr="00713D9A" w:rsidRDefault="00713D9A" w:rsidP="00713D9A">
      <w:pPr>
        <w:pStyle w:val="EndNoteBibliography"/>
        <w:spacing w:after="0"/>
        <w:rPr>
          <w:noProof/>
        </w:rPr>
      </w:pPr>
      <w:r w:rsidRPr="00713D9A">
        <w:rPr>
          <w:rFonts w:hint="eastAsia"/>
          <w:noProof/>
        </w:rPr>
        <w:t xml:space="preserve">Barducci, A. M. (2012), </w:t>
      </w:r>
      <w:r w:rsidRPr="00713D9A">
        <w:rPr>
          <w:rFonts w:hint="eastAsia"/>
          <w:i/>
          <w:noProof/>
        </w:rPr>
        <w:t>The MLNA</w:t>
      </w:r>
      <w:r w:rsidRPr="00713D9A">
        <w:rPr>
          <w:rFonts w:hint="eastAsia"/>
          <w:i/>
          <w:noProof/>
        </w:rPr>
        <w:t>’</w:t>
      </w:r>
      <w:r w:rsidRPr="00713D9A">
        <w:rPr>
          <w:rFonts w:hint="eastAsia"/>
          <w:i/>
          <w:noProof/>
        </w:rPr>
        <w:t>s Fight for a Secular State of Azawad</w:t>
      </w:r>
      <w:r w:rsidRPr="00713D9A">
        <w:rPr>
          <w:rFonts w:hint="eastAsia"/>
          <w:noProof/>
        </w:rPr>
        <w:t xml:space="preserve">. Inquiry and Analysis Series. IDC Herzliya: International Institute for Counter-Terrorism. Retrieved Oct 28th, 2024, from </w:t>
      </w:r>
      <w:hyperlink r:id="rId11" w:history="1">
        <w:r w:rsidRPr="00713D9A">
          <w:rPr>
            <w:rStyle w:val="Hyperlink"/>
            <w:rFonts w:hint="eastAsia"/>
            <w:noProof/>
          </w:rPr>
          <w:t>https://www.ict.org.il/UserFiles/AzawadICT%20-%20Barducci%20final.pdf</w:t>
        </w:r>
      </w:hyperlink>
      <w:r w:rsidRPr="00713D9A">
        <w:rPr>
          <w:rFonts w:hint="eastAsia"/>
          <w:noProof/>
        </w:rPr>
        <w:t>.</w:t>
      </w:r>
    </w:p>
    <w:p w14:paraId="1F504468" w14:textId="70DAC4B9" w:rsidR="00713D9A" w:rsidRPr="00713D9A" w:rsidRDefault="00713D9A" w:rsidP="00713D9A">
      <w:pPr>
        <w:pStyle w:val="EndNoteBibliography"/>
        <w:spacing w:after="0"/>
        <w:rPr>
          <w:noProof/>
        </w:rPr>
      </w:pPr>
      <w:r w:rsidRPr="00713D9A">
        <w:rPr>
          <w:rFonts w:hint="eastAsia"/>
          <w:noProof/>
        </w:rPr>
        <w:t xml:space="preserve">BBC News (2011), Ex-Gaddafi Tuareg fighters boost Mali rebels. </w:t>
      </w:r>
      <w:r w:rsidRPr="00713D9A">
        <w:rPr>
          <w:rFonts w:hint="eastAsia"/>
          <w:i/>
          <w:noProof/>
        </w:rPr>
        <w:t>BBC News</w:t>
      </w:r>
      <w:r w:rsidRPr="00713D9A">
        <w:rPr>
          <w:rFonts w:hint="eastAsia"/>
          <w:noProof/>
        </w:rPr>
        <w:t xml:space="preserve">, </w:t>
      </w:r>
      <w:hyperlink r:id="rId12" w:history="1">
        <w:r w:rsidRPr="00713D9A">
          <w:rPr>
            <w:rStyle w:val="Hyperlink"/>
            <w:rFonts w:hint="eastAsia"/>
            <w:noProof/>
          </w:rPr>
          <w:t>https://www.bbc.com/news/world-africa-15334088</w:t>
        </w:r>
      </w:hyperlink>
      <w:r w:rsidRPr="00713D9A">
        <w:rPr>
          <w:rFonts w:hint="eastAsia"/>
          <w:noProof/>
        </w:rPr>
        <w:t>. Accessed on June 2, 2024.</w:t>
      </w:r>
    </w:p>
    <w:p w14:paraId="3AADF5B6" w14:textId="77777777" w:rsidR="00713D9A" w:rsidRPr="00713D9A" w:rsidRDefault="00713D9A" w:rsidP="00713D9A">
      <w:pPr>
        <w:pStyle w:val="EndNoteBibliography"/>
        <w:spacing w:after="0"/>
        <w:rPr>
          <w:noProof/>
        </w:rPr>
      </w:pPr>
      <w:r w:rsidRPr="00713D9A">
        <w:rPr>
          <w:rFonts w:hint="eastAsia"/>
          <w:noProof/>
        </w:rPr>
        <w:t xml:space="preserve">Berntsen, J. L. (1976). The Maasai and their neighbors: variables of interaction. </w:t>
      </w:r>
      <w:r w:rsidRPr="00713D9A">
        <w:rPr>
          <w:rFonts w:hint="eastAsia"/>
          <w:i/>
          <w:noProof/>
        </w:rPr>
        <w:t>African Economic History</w:t>
      </w:r>
      <w:r w:rsidRPr="00713D9A">
        <w:rPr>
          <w:rFonts w:hint="eastAsia"/>
          <w:noProof/>
        </w:rPr>
        <w:t>, 2, 1-11.</w:t>
      </w:r>
    </w:p>
    <w:p w14:paraId="35A7AD47" w14:textId="77777777" w:rsidR="00713D9A" w:rsidRPr="00713D9A" w:rsidRDefault="00713D9A" w:rsidP="00713D9A">
      <w:pPr>
        <w:pStyle w:val="EndNoteBibliography"/>
        <w:spacing w:after="0"/>
        <w:rPr>
          <w:noProof/>
        </w:rPr>
      </w:pPr>
      <w:r w:rsidRPr="00713D9A">
        <w:rPr>
          <w:rFonts w:hint="eastAsia"/>
          <w:noProof/>
        </w:rPr>
        <w:t xml:space="preserve">Bolt, J. (2013). The partitioning of Africa. In and E. Hillbom E. Frankema (Ed.), </w:t>
      </w:r>
      <w:r w:rsidRPr="00713D9A">
        <w:rPr>
          <w:rFonts w:hint="eastAsia"/>
          <w:i/>
          <w:noProof/>
        </w:rPr>
        <w:t>The History of African Development Textbook</w:t>
      </w:r>
      <w:r w:rsidRPr="00713D9A">
        <w:rPr>
          <w:rFonts w:hint="eastAsia"/>
          <w:noProof/>
        </w:rPr>
        <w:t xml:space="preserve"> (pp. 78-95), African Economic History Network.</w:t>
      </w:r>
    </w:p>
    <w:p w14:paraId="273BB45E" w14:textId="77777777" w:rsidR="00713D9A" w:rsidRPr="00713D9A" w:rsidRDefault="00713D9A" w:rsidP="00713D9A">
      <w:pPr>
        <w:pStyle w:val="EndNoteBibliography"/>
        <w:spacing w:after="0"/>
        <w:rPr>
          <w:noProof/>
        </w:rPr>
      </w:pPr>
      <w:r w:rsidRPr="00713D9A">
        <w:rPr>
          <w:rFonts w:hint="eastAsia"/>
          <w:noProof/>
        </w:rPr>
        <w:t xml:space="preserve">Cappelen, C. &amp; Sorens, J. (2018). Pre-colonial centralisation, traditional indirect rule, and state capacity in Africa. </w:t>
      </w:r>
      <w:r w:rsidRPr="00713D9A">
        <w:rPr>
          <w:rFonts w:hint="eastAsia"/>
          <w:i/>
          <w:noProof/>
        </w:rPr>
        <w:t>Commonwealth &amp; Comparative Politics</w:t>
      </w:r>
      <w:r w:rsidRPr="00713D9A">
        <w:rPr>
          <w:rFonts w:hint="eastAsia"/>
          <w:noProof/>
        </w:rPr>
        <w:t>, 56(2), 195-215.</w:t>
      </w:r>
    </w:p>
    <w:p w14:paraId="11AEA379" w14:textId="025670AC" w:rsidR="00713D9A" w:rsidRPr="00713D9A" w:rsidRDefault="00713D9A" w:rsidP="00713D9A">
      <w:pPr>
        <w:pStyle w:val="EndNoteBibliography"/>
        <w:spacing w:after="0"/>
        <w:rPr>
          <w:noProof/>
        </w:rPr>
      </w:pPr>
      <w:r w:rsidRPr="00713D9A">
        <w:rPr>
          <w:rFonts w:hint="eastAsia"/>
          <w:noProof/>
        </w:rPr>
        <w:t xml:space="preserve">Chrisafis, A., Borger, J., McCurry, J., &amp; Macalister, T. (2015), Algeria hostage crisis: the full story of the kidnapping in the desert. </w:t>
      </w:r>
      <w:r w:rsidRPr="00713D9A">
        <w:rPr>
          <w:rFonts w:hint="eastAsia"/>
          <w:i/>
          <w:noProof/>
        </w:rPr>
        <w:t>The Guardian</w:t>
      </w:r>
      <w:r w:rsidRPr="00713D9A">
        <w:rPr>
          <w:rFonts w:hint="eastAsia"/>
          <w:noProof/>
        </w:rPr>
        <w:t xml:space="preserve">, </w:t>
      </w:r>
      <w:hyperlink r:id="rId13" w:history="1">
        <w:r w:rsidRPr="00713D9A">
          <w:rPr>
            <w:rStyle w:val="Hyperlink"/>
            <w:rFonts w:hint="eastAsia"/>
            <w:noProof/>
          </w:rPr>
          <w:t>https://www.theguardian.com/world/2013/jan/25/in-amenas-timeline-siege-algeria</w:t>
        </w:r>
      </w:hyperlink>
      <w:r w:rsidRPr="00713D9A">
        <w:rPr>
          <w:rFonts w:hint="eastAsia"/>
          <w:noProof/>
        </w:rPr>
        <w:t>. Accessed on June 2, 2024.</w:t>
      </w:r>
    </w:p>
    <w:p w14:paraId="373AB9BE" w14:textId="77777777" w:rsidR="00713D9A" w:rsidRPr="00713D9A" w:rsidRDefault="00713D9A" w:rsidP="00713D9A">
      <w:pPr>
        <w:pStyle w:val="EndNoteBibliography"/>
        <w:spacing w:after="0"/>
        <w:rPr>
          <w:noProof/>
        </w:rPr>
      </w:pPr>
      <w:r w:rsidRPr="00713D9A">
        <w:rPr>
          <w:rFonts w:hint="eastAsia"/>
          <w:noProof/>
        </w:rPr>
        <w:t xml:space="preserve">Claudot-Hawad, H. (2006). A nomadic fight against immobility: the Tuareg in the modern state. In D. Chatty (Ed.), </w:t>
      </w:r>
      <w:r w:rsidRPr="00713D9A">
        <w:rPr>
          <w:rFonts w:hint="eastAsia"/>
          <w:i/>
          <w:noProof/>
        </w:rPr>
        <w:t>Nomadic Societies in The Middle East and North Africa: Entering the 21st Century</w:t>
      </w:r>
      <w:r w:rsidRPr="00713D9A">
        <w:rPr>
          <w:rFonts w:hint="eastAsia"/>
          <w:noProof/>
        </w:rPr>
        <w:t xml:space="preserve"> (pp. 654-681), Brill.</w:t>
      </w:r>
    </w:p>
    <w:p w14:paraId="58918C07" w14:textId="77777777" w:rsidR="00713D9A" w:rsidRPr="00713D9A" w:rsidRDefault="00713D9A" w:rsidP="00713D9A">
      <w:pPr>
        <w:pStyle w:val="EndNoteBibliography"/>
        <w:spacing w:after="0"/>
        <w:rPr>
          <w:noProof/>
        </w:rPr>
      </w:pPr>
      <w:r w:rsidRPr="00713D9A">
        <w:rPr>
          <w:rFonts w:hint="eastAsia"/>
          <w:noProof/>
        </w:rPr>
        <w:lastRenderedPageBreak/>
        <w:t xml:space="preserve">Coast, E. E. (2001). </w:t>
      </w:r>
      <w:r w:rsidRPr="00713D9A">
        <w:rPr>
          <w:rFonts w:hint="eastAsia"/>
          <w:i/>
          <w:noProof/>
        </w:rPr>
        <w:t>Maasai demography</w:t>
      </w:r>
      <w:r w:rsidRPr="00713D9A">
        <w:rPr>
          <w:rFonts w:hint="eastAsia"/>
          <w:noProof/>
        </w:rPr>
        <w:t>, University of London, University College London.</w:t>
      </w:r>
    </w:p>
    <w:p w14:paraId="03D2186C" w14:textId="77777777" w:rsidR="00713D9A" w:rsidRPr="00713D9A" w:rsidRDefault="00713D9A" w:rsidP="00713D9A">
      <w:pPr>
        <w:pStyle w:val="EndNoteBibliography"/>
        <w:spacing w:after="0"/>
        <w:rPr>
          <w:noProof/>
        </w:rPr>
      </w:pPr>
      <w:r w:rsidRPr="00713D9A">
        <w:rPr>
          <w:rFonts w:hint="eastAsia"/>
          <w:noProof/>
        </w:rPr>
        <w:t xml:space="preserve">Coote, B. &amp; Hopkins, K. V. (2017). </w:t>
      </w:r>
      <w:r w:rsidRPr="00713D9A">
        <w:rPr>
          <w:rFonts w:hint="eastAsia"/>
          <w:i/>
          <w:noProof/>
        </w:rPr>
        <w:t>Key Risks Companies Face in Petroleum Investment and Operations</w:t>
      </w:r>
      <w:r w:rsidRPr="00713D9A">
        <w:rPr>
          <w:rFonts w:hint="eastAsia"/>
          <w:noProof/>
        </w:rPr>
        <w:t>, Atlantic Council.</w:t>
      </w:r>
    </w:p>
    <w:p w14:paraId="7B9DC593" w14:textId="4B54B973" w:rsidR="00713D9A" w:rsidRPr="00713D9A" w:rsidRDefault="00713D9A" w:rsidP="00713D9A">
      <w:pPr>
        <w:pStyle w:val="EndNoteBibliography"/>
        <w:spacing w:after="0"/>
        <w:rPr>
          <w:noProof/>
        </w:rPr>
      </w:pPr>
      <w:r w:rsidRPr="00713D9A">
        <w:rPr>
          <w:rFonts w:hint="eastAsia"/>
          <w:noProof/>
        </w:rPr>
        <w:t xml:space="preserve">Global Energy Monitor. (2024), </w:t>
      </w:r>
      <w:r w:rsidRPr="00713D9A">
        <w:rPr>
          <w:rFonts w:hint="eastAsia"/>
          <w:i/>
          <w:noProof/>
        </w:rPr>
        <w:t>Maghreb-Europe Gas Pipeline - Global Energy Monitor</w:t>
      </w:r>
      <w:r w:rsidRPr="00713D9A">
        <w:rPr>
          <w:rFonts w:hint="eastAsia"/>
          <w:noProof/>
        </w:rPr>
        <w:t xml:space="preserve">. Retrieved July 7, 2024, from </w:t>
      </w:r>
      <w:hyperlink r:id="rId14" w:anchor=":~:text=The%20Maghreb%2DEurope%20Gas%20Pipeline%20links%20the%20Hassi%20R'mel,Spanish%20and%20Portuguese%20gas%20grids" w:history="1">
        <w:r w:rsidRPr="00713D9A">
          <w:rPr>
            <w:rStyle w:val="Hyperlink"/>
            <w:rFonts w:hint="eastAsia"/>
            <w:noProof/>
          </w:rPr>
          <w:t>https://www.gem.wiki/Maghreb-Europe_Gas_Pipeline#:~:text=The%20Maghreb%2DEurope%20Gas%20Pipeline%20links%20the%20Hassi%20R'mel,Spanish%20and%20Portuguese%20gas%20grids</w:t>
        </w:r>
      </w:hyperlink>
      <w:r w:rsidRPr="00713D9A">
        <w:rPr>
          <w:rFonts w:hint="eastAsia"/>
          <w:noProof/>
        </w:rPr>
        <w:t>.</w:t>
      </w:r>
    </w:p>
    <w:p w14:paraId="2ABA4C34" w14:textId="77777777" w:rsidR="00713D9A" w:rsidRPr="00713D9A" w:rsidRDefault="00713D9A" w:rsidP="00713D9A">
      <w:pPr>
        <w:pStyle w:val="EndNoteBibliography"/>
        <w:spacing w:after="0"/>
        <w:rPr>
          <w:noProof/>
        </w:rPr>
      </w:pPr>
      <w:r w:rsidRPr="00713D9A">
        <w:rPr>
          <w:rFonts w:hint="eastAsia"/>
          <w:noProof/>
        </w:rPr>
        <w:t xml:space="preserve">Goldsmith, P. (2013). The future of pastoralist conflict in the Horn of Africa. In Andy Catley, Jeremy Lind, &amp; Ian Scoones (Eds.), </w:t>
      </w:r>
      <w:r w:rsidRPr="00713D9A">
        <w:rPr>
          <w:rFonts w:hint="eastAsia"/>
          <w:i/>
          <w:noProof/>
        </w:rPr>
        <w:t>Pastoralism and development in Africa</w:t>
      </w:r>
      <w:r w:rsidRPr="00713D9A">
        <w:rPr>
          <w:rFonts w:hint="eastAsia"/>
          <w:noProof/>
        </w:rPr>
        <w:t xml:space="preserve"> (pp. 131-142), Routledge.</w:t>
      </w:r>
    </w:p>
    <w:p w14:paraId="3D790860" w14:textId="77777777" w:rsidR="00713D9A" w:rsidRPr="00713D9A" w:rsidRDefault="00713D9A" w:rsidP="00713D9A">
      <w:pPr>
        <w:pStyle w:val="EndNoteBibliography"/>
        <w:spacing w:after="0"/>
        <w:rPr>
          <w:noProof/>
        </w:rPr>
      </w:pPr>
      <w:r w:rsidRPr="00713D9A">
        <w:rPr>
          <w:rFonts w:hint="eastAsia"/>
          <w:noProof/>
        </w:rPr>
        <w:t xml:space="preserve">Griffiths, I. (1986). The scramble for Africa: Inherited political boundaries. </w:t>
      </w:r>
      <w:r w:rsidRPr="00713D9A">
        <w:rPr>
          <w:rFonts w:hint="eastAsia"/>
          <w:i/>
          <w:noProof/>
        </w:rPr>
        <w:t>The Geographical Journal</w:t>
      </w:r>
      <w:r w:rsidRPr="00713D9A">
        <w:rPr>
          <w:rFonts w:hint="eastAsia"/>
          <w:noProof/>
        </w:rPr>
        <w:t>, 152(2), 204-216.</w:t>
      </w:r>
    </w:p>
    <w:p w14:paraId="141B46B8" w14:textId="77777777" w:rsidR="00713D9A" w:rsidRPr="00713D9A" w:rsidRDefault="00713D9A" w:rsidP="00713D9A">
      <w:pPr>
        <w:pStyle w:val="EndNoteBibliography"/>
        <w:spacing w:after="0"/>
        <w:rPr>
          <w:noProof/>
        </w:rPr>
      </w:pPr>
      <w:r w:rsidRPr="00713D9A">
        <w:rPr>
          <w:rFonts w:hint="eastAsia"/>
          <w:noProof/>
        </w:rPr>
        <w:t xml:space="preserve">Guido, J. (2018). </w:t>
      </w:r>
      <w:r w:rsidRPr="00713D9A">
        <w:rPr>
          <w:rFonts w:hint="eastAsia"/>
          <w:i/>
          <w:noProof/>
        </w:rPr>
        <w:t>Terrorist Sanctuary in the Sahara: A Case Study</w:t>
      </w:r>
      <w:r w:rsidRPr="00713D9A">
        <w:rPr>
          <w:rFonts w:hint="eastAsia"/>
          <w:noProof/>
        </w:rPr>
        <w:t>, Department of the Army.</w:t>
      </w:r>
    </w:p>
    <w:p w14:paraId="6E652581" w14:textId="78D18939" w:rsidR="00713D9A" w:rsidRPr="00713D9A" w:rsidRDefault="00713D9A" w:rsidP="00713D9A">
      <w:pPr>
        <w:pStyle w:val="EndNoteBibliography"/>
        <w:spacing w:after="0"/>
        <w:rPr>
          <w:noProof/>
        </w:rPr>
      </w:pPr>
      <w:r w:rsidRPr="00713D9A">
        <w:rPr>
          <w:rFonts w:hint="eastAsia"/>
          <w:noProof/>
        </w:rPr>
        <w:t xml:space="preserve">Heinrich Böll Stiftung. (2017), </w:t>
      </w:r>
      <w:r w:rsidRPr="00713D9A">
        <w:rPr>
          <w:rFonts w:hint="eastAsia"/>
          <w:i/>
          <w:noProof/>
        </w:rPr>
        <w:t>Perspectives: Putting People Back Into Infrastructure</w:t>
      </w:r>
      <w:r w:rsidRPr="00713D9A">
        <w:rPr>
          <w:rFonts w:hint="eastAsia"/>
          <w:noProof/>
        </w:rPr>
        <w:t xml:space="preserve">. Retrieved Jan 6, 2024, from </w:t>
      </w:r>
      <w:hyperlink r:id="rId15" w:history="1">
        <w:r w:rsidRPr="00713D9A">
          <w:rPr>
            <w:rStyle w:val="Hyperlink"/>
            <w:rFonts w:hint="eastAsia"/>
            <w:noProof/>
          </w:rPr>
          <w:t>https://www.boell.de/en/2017/06/13/perspectives-022017-putting-people-back-infrastructure</w:t>
        </w:r>
      </w:hyperlink>
      <w:r w:rsidRPr="00713D9A">
        <w:rPr>
          <w:rFonts w:hint="eastAsia"/>
          <w:noProof/>
        </w:rPr>
        <w:t>.</w:t>
      </w:r>
    </w:p>
    <w:p w14:paraId="19D692D9" w14:textId="77777777" w:rsidR="00713D9A" w:rsidRPr="00713D9A" w:rsidRDefault="00713D9A" w:rsidP="00713D9A">
      <w:pPr>
        <w:pStyle w:val="EndNoteBibliography"/>
        <w:spacing w:after="0"/>
        <w:rPr>
          <w:noProof/>
        </w:rPr>
      </w:pPr>
      <w:r w:rsidRPr="00713D9A">
        <w:rPr>
          <w:rFonts w:hint="eastAsia"/>
          <w:noProof/>
        </w:rPr>
        <w:t xml:space="preserve">Hughes, L. (2005). Malice in Maasailand: the historical roots of current political struggles. </w:t>
      </w:r>
      <w:r w:rsidRPr="00713D9A">
        <w:rPr>
          <w:rFonts w:hint="eastAsia"/>
          <w:i/>
          <w:noProof/>
        </w:rPr>
        <w:t>African Affairs</w:t>
      </w:r>
      <w:r w:rsidRPr="00713D9A">
        <w:rPr>
          <w:rFonts w:hint="eastAsia"/>
          <w:noProof/>
        </w:rPr>
        <w:t>, 104(415), 207-224.</w:t>
      </w:r>
    </w:p>
    <w:p w14:paraId="56B32D59" w14:textId="77777777" w:rsidR="00713D9A" w:rsidRPr="00713D9A" w:rsidRDefault="00713D9A" w:rsidP="00713D9A">
      <w:pPr>
        <w:pStyle w:val="EndNoteBibliography"/>
        <w:spacing w:after="0"/>
        <w:rPr>
          <w:noProof/>
        </w:rPr>
      </w:pPr>
      <w:r w:rsidRPr="00713D9A">
        <w:rPr>
          <w:rFonts w:hint="eastAsia"/>
          <w:noProof/>
        </w:rPr>
        <w:t xml:space="preserve">Hughes, L. (2006). </w:t>
      </w:r>
      <w:r w:rsidRPr="00713D9A">
        <w:rPr>
          <w:rFonts w:hint="eastAsia"/>
          <w:i/>
          <w:noProof/>
        </w:rPr>
        <w:t>Moving the Maasai: a colonial misadventure</w:t>
      </w:r>
      <w:r w:rsidRPr="00713D9A">
        <w:rPr>
          <w:rFonts w:hint="eastAsia"/>
          <w:noProof/>
        </w:rPr>
        <w:t>, Springer.</w:t>
      </w:r>
    </w:p>
    <w:p w14:paraId="73BD277B" w14:textId="64D78E3B" w:rsidR="00713D9A" w:rsidRPr="00713D9A" w:rsidRDefault="00713D9A" w:rsidP="00713D9A">
      <w:pPr>
        <w:pStyle w:val="EndNoteBibliography"/>
        <w:spacing w:after="0"/>
        <w:rPr>
          <w:noProof/>
        </w:rPr>
      </w:pPr>
      <w:r w:rsidRPr="00713D9A">
        <w:rPr>
          <w:rFonts w:hint="eastAsia"/>
          <w:noProof/>
        </w:rPr>
        <w:t xml:space="preserve">International Accountability Project (2019), Community campaign leads the European Investment Bank to withdraw from geothermal project in Kenya, </w:t>
      </w:r>
      <w:hyperlink r:id="rId16" w:history="1">
        <w:r w:rsidRPr="00713D9A">
          <w:rPr>
            <w:rStyle w:val="Hyperlink"/>
            <w:rFonts w:hint="eastAsia"/>
            <w:noProof/>
          </w:rPr>
          <w:t>https://accountability.medium.com/community-campaign-leads-the-european-investment-bank-to-withdraw-from-geothermal-project-in-kenya-2348c76748a2</w:t>
        </w:r>
      </w:hyperlink>
      <w:r w:rsidRPr="00713D9A">
        <w:rPr>
          <w:rFonts w:hint="eastAsia"/>
          <w:noProof/>
        </w:rPr>
        <w:t>. Accessed on Dec 21, 2023.</w:t>
      </w:r>
    </w:p>
    <w:p w14:paraId="1BC2F15C" w14:textId="77777777" w:rsidR="00713D9A" w:rsidRPr="00713D9A" w:rsidRDefault="00713D9A" w:rsidP="00713D9A">
      <w:pPr>
        <w:pStyle w:val="EndNoteBibliography"/>
        <w:spacing w:after="0"/>
        <w:rPr>
          <w:noProof/>
        </w:rPr>
      </w:pPr>
      <w:r w:rsidRPr="00713D9A">
        <w:rPr>
          <w:rFonts w:hint="eastAsia"/>
          <w:noProof/>
        </w:rPr>
        <w:lastRenderedPageBreak/>
        <w:t xml:space="preserve">Ito, G. (2020). Why does ethnic partition foster violence? Unpacking the deep historical roots of civil conflicts. </w:t>
      </w:r>
      <w:r w:rsidRPr="00713D9A">
        <w:rPr>
          <w:rFonts w:hint="eastAsia"/>
          <w:i/>
          <w:noProof/>
        </w:rPr>
        <w:t>Journal of Peace Research</w:t>
      </w:r>
      <w:r w:rsidRPr="00713D9A">
        <w:rPr>
          <w:rFonts w:hint="eastAsia"/>
          <w:noProof/>
        </w:rPr>
        <w:t>, 58(5), 986-1003.</w:t>
      </w:r>
    </w:p>
    <w:p w14:paraId="6DE4182A" w14:textId="77777777" w:rsidR="00713D9A" w:rsidRPr="00713D9A" w:rsidRDefault="00713D9A" w:rsidP="00713D9A">
      <w:pPr>
        <w:pStyle w:val="EndNoteBibliography"/>
        <w:spacing w:after="0"/>
        <w:rPr>
          <w:noProof/>
        </w:rPr>
      </w:pPr>
      <w:r w:rsidRPr="00713D9A">
        <w:rPr>
          <w:rFonts w:hint="eastAsia"/>
          <w:noProof/>
        </w:rPr>
        <w:t xml:space="preserve">Keenan, J. (2004). </w:t>
      </w:r>
      <w:r w:rsidRPr="00713D9A">
        <w:rPr>
          <w:rFonts w:hint="eastAsia"/>
          <w:i/>
          <w:noProof/>
        </w:rPr>
        <w:t>The lesser gods of the Sahara: social change and contested terrain amongst the Tuareg of Algeria</w:t>
      </w:r>
      <w:r w:rsidRPr="00713D9A">
        <w:rPr>
          <w:rFonts w:hint="eastAsia"/>
          <w:noProof/>
        </w:rPr>
        <w:t>, Psychology Press.</w:t>
      </w:r>
    </w:p>
    <w:p w14:paraId="060C7596" w14:textId="77777777" w:rsidR="00713D9A" w:rsidRPr="00713D9A" w:rsidRDefault="00713D9A" w:rsidP="00713D9A">
      <w:pPr>
        <w:pStyle w:val="EndNoteBibliography"/>
        <w:spacing w:after="0"/>
        <w:rPr>
          <w:noProof/>
        </w:rPr>
      </w:pPr>
      <w:r w:rsidRPr="00713D9A">
        <w:rPr>
          <w:rFonts w:hint="eastAsia"/>
          <w:noProof/>
        </w:rPr>
        <w:t xml:space="preserve">Keita, K. (1998). Conflict and conflict resolution in the Sahel: The Tuareg insurgency in Mali. </w:t>
      </w:r>
      <w:r w:rsidRPr="00713D9A">
        <w:rPr>
          <w:rFonts w:hint="eastAsia"/>
          <w:i/>
          <w:noProof/>
        </w:rPr>
        <w:t>Small Wars &amp; Insurgencies</w:t>
      </w:r>
      <w:r w:rsidRPr="00713D9A">
        <w:rPr>
          <w:rFonts w:hint="eastAsia"/>
          <w:noProof/>
        </w:rPr>
        <w:t>, 9(3), 102-128.</w:t>
      </w:r>
    </w:p>
    <w:p w14:paraId="58D2287F" w14:textId="22EEAAD4" w:rsidR="00713D9A" w:rsidRPr="00713D9A" w:rsidRDefault="00713D9A" w:rsidP="00713D9A">
      <w:pPr>
        <w:pStyle w:val="EndNoteBibliography"/>
        <w:spacing w:after="0"/>
        <w:rPr>
          <w:noProof/>
        </w:rPr>
      </w:pPr>
      <w:r w:rsidRPr="00713D9A">
        <w:rPr>
          <w:rFonts w:hint="eastAsia"/>
          <w:noProof/>
        </w:rPr>
        <w:t xml:space="preserve">Koissaba, B. O. (2013), Forceful Evictions of Maasai from Narasha: A Recipe for Tribal Clashes in Kenya. </w:t>
      </w:r>
      <w:r w:rsidRPr="00713D9A">
        <w:rPr>
          <w:rFonts w:hint="eastAsia"/>
          <w:i/>
          <w:noProof/>
        </w:rPr>
        <w:t>Cultural Survival</w:t>
      </w:r>
      <w:r w:rsidRPr="00713D9A">
        <w:rPr>
          <w:rFonts w:hint="eastAsia"/>
          <w:noProof/>
        </w:rPr>
        <w:t xml:space="preserve">, </w:t>
      </w:r>
      <w:hyperlink r:id="rId17" w:history="1">
        <w:r w:rsidRPr="00713D9A">
          <w:rPr>
            <w:rStyle w:val="Hyperlink"/>
            <w:rFonts w:hint="eastAsia"/>
            <w:noProof/>
          </w:rPr>
          <w:t>https://www.culturalsurvival.org/news/forceful-evictions-maasai-narasha-recipe-tribal-clashes-kenya</w:t>
        </w:r>
      </w:hyperlink>
      <w:r w:rsidRPr="00713D9A">
        <w:rPr>
          <w:rFonts w:hint="eastAsia"/>
          <w:noProof/>
        </w:rPr>
        <w:t>. Accessed on Dec 25, 2023.</w:t>
      </w:r>
    </w:p>
    <w:p w14:paraId="4ACC178E" w14:textId="601C1B31" w:rsidR="00713D9A" w:rsidRPr="00713D9A" w:rsidRDefault="00713D9A" w:rsidP="00713D9A">
      <w:pPr>
        <w:pStyle w:val="EndNoteBibliography"/>
        <w:spacing w:after="0"/>
        <w:rPr>
          <w:noProof/>
        </w:rPr>
      </w:pPr>
      <w:r w:rsidRPr="00713D9A">
        <w:rPr>
          <w:rFonts w:hint="eastAsia"/>
          <w:noProof/>
        </w:rPr>
        <w:t xml:space="preserve">Koissaba, B. R. O. (2018). Geothermal Energy and Indigenous Communities: The Olkaria Projects in Kenya. Retrieved Jan 24th, 2024, from </w:t>
      </w:r>
      <w:hyperlink r:id="rId18" w:history="1">
        <w:r w:rsidRPr="00713D9A">
          <w:rPr>
            <w:rStyle w:val="Hyperlink"/>
            <w:rFonts w:hint="eastAsia"/>
            <w:noProof/>
          </w:rPr>
          <w:t>https://eu.boell.org/sites/default/files/geothermal-energy-and-indigenous-communities-olkariaproject-kenya.pdf</w:t>
        </w:r>
      </w:hyperlink>
    </w:p>
    <w:p w14:paraId="7C06B52A" w14:textId="692BC640" w:rsidR="00713D9A" w:rsidRPr="00713D9A" w:rsidRDefault="00713D9A" w:rsidP="00713D9A">
      <w:pPr>
        <w:pStyle w:val="EndNoteBibliography"/>
        <w:spacing w:after="0"/>
        <w:rPr>
          <w:noProof/>
        </w:rPr>
      </w:pPr>
      <w:r w:rsidRPr="00713D9A">
        <w:rPr>
          <w:rFonts w:hint="eastAsia"/>
          <w:noProof/>
        </w:rPr>
        <w:t xml:space="preserve">Lewis, D. &amp; Diarra, A. (2012), Arms and men out of Libya fortify Mali rebellion. </w:t>
      </w:r>
      <w:r w:rsidRPr="00713D9A">
        <w:rPr>
          <w:rFonts w:hint="eastAsia"/>
          <w:i/>
          <w:noProof/>
        </w:rPr>
        <w:t>Reuters</w:t>
      </w:r>
      <w:r w:rsidRPr="00713D9A">
        <w:rPr>
          <w:rFonts w:hint="eastAsia"/>
          <w:noProof/>
        </w:rPr>
        <w:t xml:space="preserve">, </w:t>
      </w:r>
      <w:hyperlink r:id="rId19" w:history="1">
        <w:r w:rsidRPr="00713D9A">
          <w:rPr>
            <w:rStyle w:val="Hyperlink"/>
            <w:rFonts w:hint="eastAsia"/>
            <w:noProof/>
          </w:rPr>
          <w:t>https://www.reuters.com/article/world/arms-and-men-out-of-libya-fortify-mali-rebellion-idUSTRE8190UY/</w:t>
        </w:r>
      </w:hyperlink>
      <w:r w:rsidRPr="00713D9A">
        <w:rPr>
          <w:rFonts w:hint="eastAsia"/>
          <w:noProof/>
        </w:rPr>
        <w:t>. Accessed on June 25, 2024.</w:t>
      </w:r>
    </w:p>
    <w:p w14:paraId="2ED1750F" w14:textId="77777777" w:rsidR="00713D9A" w:rsidRPr="00713D9A" w:rsidRDefault="00713D9A" w:rsidP="00713D9A">
      <w:pPr>
        <w:pStyle w:val="EndNoteBibliography"/>
        <w:spacing w:after="0"/>
        <w:rPr>
          <w:noProof/>
        </w:rPr>
      </w:pPr>
      <w:r w:rsidRPr="00713D9A">
        <w:rPr>
          <w:rFonts w:hint="eastAsia"/>
          <w:noProof/>
        </w:rPr>
        <w:t xml:space="preserve">Livermore, D. (2013). The case for Azawad: rectifying the past to save the future in Northern Africa. </w:t>
      </w:r>
      <w:r w:rsidRPr="00713D9A">
        <w:rPr>
          <w:rFonts w:hint="eastAsia"/>
          <w:i/>
          <w:noProof/>
        </w:rPr>
        <w:t>African Security Review</w:t>
      </w:r>
      <w:r w:rsidRPr="00713D9A">
        <w:rPr>
          <w:rFonts w:hint="eastAsia"/>
          <w:noProof/>
        </w:rPr>
        <w:t>, 22(4), 282-293.</w:t>
      </w:r>
    </w:p>
    <w:p w14:paraId="0AFD3837" w14:textId="6B2CEEE2" w:rsidR="00713D9A" w:rsidRPr="00713D9A" w:rsidRDefault="00713D9A" w:rsidP="00713D9A">
      <w:pPr>
        <w:pStyle w:val="EndNoteBibliography"/>
        <w:spacing w:after="0"/>
        <w:rPr>
          <w:noProof/>
        </w:rPr>
      </w:pPr>
      <w:r w:rsidRPr="00713D9A">
        <w:rPr>
          <w:rFonts w:hint="eastAsia"/>
          <w:noProof/>
        </w:rPr>
        <w:t xml:space="preserve">Michalopoulos, S. &amp; Papaioannou, E. (2011), </w:t>
      </w:r>
      <w:r w:rsidRPr="00713D9A">
        <w:rPr>
          <w:rFonts w:hint="eastAsia"/>
          <w:i/>
          <w:noProof/>
        </w:rPr>
        <w:t>Divide and rule or the rule of the divided? evidence from Africa</w:t>
      </w:r>
      <w:r w:rsidRPr="00713D9A">
        <w:rPr>
          <w:rFonts w:hint="eastAsia"/>
          <w:noProof/>
        </w:rPr>
        <w:t xml:space="preserve">. National Bureau of Economic Research. Retrieved Oct 28th, 2024, from </w:t>
      </w:r>
      <w:hyperlink r:id="rId20" w:history="1">
        <w:r w:rsidRPr="00713D9A">
          <w:rPr>
            <w:rStyle w:val="Hyperlink"/>
            <w:rFonts w:hint="eastAsia"/>
            <w:noProof/>
          </w:rPr>
          <w:t>https://www.nber.org/papers/w17184</w:t>
        </w:r>
      </w:hyperlink>
      <w:r w:rsidRPr="00713D9A">
        <w:rPr>
          <w:rFonts w:hint="eastAsia"/>
          <w:noProof/>
        </w:rPr>
        <w:t>.</w:t>
      </w:r>
    </w:p>
    <w:p w14:paraId="0084F7DD" w14:textId="77777777" w:rsidR="00713D9A" w:rsidRPr="00713D9A" w:rsidRDefault="00713D9A" w:rsidP="00713D9A">
      <w:pPr>
        <w:pStyle w:val="EndNoteBibliography"/>
        <w:spacing w:after="0"/>
        <w:rPr>
          <w:noProof/>
        </w:rPr>
      </w:pPr>
      <w:r w:rsidRPr="00713D9A">
        <w:rPr>
          <w:rFonts w:hint="eastAsia"/>
          <w:noProof/>
        </w:rPr>
        <w:t xml:space="preserve">Michalopoulos, S. &amp; Papaioannou, E. (2013). National institutions and subnational development in Africa. </w:t>
      </w:r>
      <w:r w:rsidRPr="00713D9A">
        <w:rPr>
          <w:rFonts w:hint="eastAsia"/>
          <w:i/>
          <w:noProof/>
        </w:rPr>
        <w:t>The Quarterly Journal of Economics</w:t>
      </w:r>
      <w:r w:rsidRPr="00713D9A">
        <w:rPr>
          <w:rFonts w:hint="eastAsia"/>
          <w:noProof/>
        </w:rPr>
        <w:t>, 129(1), 151-213.</w:t>
      </w:r>
    </w:p>
    <w:p w14:paraId="20DB65F1" w14:textId="77777777" w:rsidR="00713D9A" w:rsidRPr="00713D9A" w:rsidRDefault="00713D9A" w:rsidP="00713D9A">
      <w:pPr>
        <w:pStyle w:val="EndNoteBibliography"/>
        <w:spacing w:after="0"/>
        <w:rPr>
          <w:noProof/>
        </w:rPr>
      </w:pPr>
      <w:r w:rsidRPr="00713D9A">
        <w:rPr>
          <w:rFonts w:hint="eastAsia"/>
          <w:noProof/>
        </w:rPr>
        <w:lastRenderedPageBreak/>
        <w:t xml:space="preserve">Michalopoulos, S. &amp; Papaioannou, E. (2015). On the ethnic origins of African development: chiefs and precolonial political centralization. </w:t>
      </w:r>
      <w:r w:rsidRPr="00713D9A">
        <w:rPr>
          <w:rFonts w:hint="eastAsia"/>
          <w:i/>
          <w:noProof/>
        </w:rPr>
        <w:t>Academy of Management Perspectives</w:t>
      </w:r>
      <w:r w:rsidRPr="00713D9A">
        <w:rPr>
          <w:rFonts w:hint="eastAsia"/>
          <w:noProof/>
        </w:rPr>
        <w:t>, 29(1), 32-71.</w:t>
      </w:r>
    </w:p>
    <w:p w14:paraId="790ABE72" w14:textId="77777777" w:rsidR="00713D9A" w:rsidRPr="00713D9A" w:rsidRDefault="00713D9A" w:rsidP="00713D9A">
      <w:pPr>
        <w:pStyle w:val="EndNoteBibliography"/>
        <w:spacing w:after="0"/>
        <w:rPr>
          <w:noProof/>
        </w:rPr>
      </w:pPr>
      <w:r w:rsidRPr="00713D9A">
        <w:rPr>
          <w:rFonts w:hint="eastAsia"/>
          <w:noProof/>
        </w:rPr>
        <w:t>Miles, W. F. (2015). Postcolonial borderland legacies of Anglo</w:t>
      </w:r>
      <w:r w:rsidRPr="00713D9A">
        <w:rPr>
          <w:rFonts w:hint="eastAsia"/>
          <w:noProof/>
        </w:rPr>
        <w:t>–</w:t>
      </w:r>
      <w:r w:rsidRPr="00713D9A">
        <w:rPr>
          <w:rFonts w:hint="eastAsia"/>
          <w:noProof/>
        </w:rPr>
        <w:t xml:space="preserve">French partition in West Africa. </w:t>
      </w:r>
      <w:r w:rsidRPr="00713D9A">
        <w:rPr>
          <w:rFonts w:hint="eastAsia"/>
          <w:i/>
          <w:noProof/>
        </w:rPr>
        <w:t>African Studies Review</w:t>
      </w:r>
      <w:r w:rsidRPr="00713D9A">
        <w:rPr>
          <w:rFonts w:hint="eastAsia"/>
          <w:noProof/>
        </w:rPr>
        <w:t>, 58(3), 191-213.</w:t>
      </w:r>
    </w:p>
    <w:p w14:paraId="2A476B06" w14:textId="30B1054A" w:rsidR="00713D9A" w:rsidRPr="00713D9A" w:rsidRDefault="00713D9A" w:rsidP="00713D9A">
      <w:pPr>
        <w:pStyle w:val="EndNoteBibliography"/>
        <w:spacing w:after="0"/>
        <w:rPr>
          <w:noProof/>
        </w:rPr>
      </w:pPr>
      <w:r w:rsidRPr="00713D9A">
        <w:rPr>
          <w:rFonts w:hint="eastAsia"/>
          <w:noProof/>
        </w:rPr>
        <w:t xml:space="preserve">Morgan, A. (2014), What do the Tuareg want?, </w:t>
      </w:r>
      <w:r w:rsidRPr="00713D9A">
        <w:rPr>
          <w:rFonts w:hint="eastAsia"/>
          <w:i/>
          <w:noProof/>
        </w:rPr>
        <w:t>Al Jazeera</w:t>
      </w:r>
      <w:r w:rsidRPr="00713D9A">
        <w:rPr>
          <w:rFonts w:hint="eastAsia"/>
          <w:noProof/>
        </w:rPr>
        <w:t xml:space="preserve">, </w:t>
      </w:r>
      <w:hyperlink r:id="rId21" w:history="1">
        <w:r w:rsidRPr="00713D9A">
          <w:rPr>
            <w:rStyle w:val="Hyperlink"/>
            <w:rFonts w:hint="eastAsia"/>
            <w:noProof/>
          </w:rPr>
          <w:t>https://www.aljazeera.com/opinions/2014/1/9/what-do-the-tuareg-want</w:t>
        </w:r>
      </w:hyperlink>
      <w:r w:rsidRPr="00713D9A">
        <w:rPr>
          <w:rFonts w:hint="eastAsia"/>
          <w:noProof/>
        </w:rPr>
        <w:t>. Accessed on Jan 14, 2024.</w:t>
      </w:r>
    </w:p>
    <w:p w14:paraId="393424C9" w14:textId="740E7B19" w:rsidR="00713D9A" w:rsidRPr="00713D9A" w:rsidRDefault="00713D9A" w:rsidP="00713D9A">
      <w:pPr>
        <w:pStyle w:val="EndNoteBibliography"/>
        <w:spacing w:after="0"/>
        <w:rPr>
          <w:noProof/>
        </w:rPr>
      </w:pPr>
      <w:r w:rsidRPr="00713D9A">
        <w:rPr>
          <w:rFonts w:hint="eastAsia"/>
          <w:noProof/>
        </w:rPr>
        <w:t xml:space="preserve">Mukeu, P. &amp; Langat, R. (2016), </w:t>
      </w:r>
      <w:r w:rsidRPr="00713D9A">
        <w:rPr>
          <w:rFonts w:hint="eastAsia"/>
          <w:i/>
          <w:noProof/>
        </w:rPr>
        <w:t>Olkaria (Kenya) Geothermal Project Case Study</w:t>
      </w:r>
      <w:r w:rsidRPr="00713D9A">
        <w:rPr>
          <w:rFonts w:hint="eastAsia"/>
          <w:noProof/>
        </w:rPr>
        <w:t xml:space="preserve">. Retrieved Jan 15, 2024, from </w:t>
      </w:r>
      <w:hyperlink r:id="rId22" w:history="1">
        <w:r w:rsidRPr="00713D9A">
          <w:rPr>
            <w:rStyle w:val="Hyperlink"/>
            <w:rFonts w:hint="eastAsia"/>
            <w:noProof/>
          </w:rPr>
          <w:t>http://pubs.geothermal-library.org/lib/grc/1032311.pdf</w:t>
        </w:r>
      </w:hyperlink>
      <w:r w:rsidRPr="00713D9A">
        <w:rPr>
          <w:rFonts w:hint="eastAsia"/>
          <w:noProof/>
        </w:rPr>
        <w:t>.</w:t>
      </w:r>
    </w:p>
    <w:p w14:paraId="47782449" w14:textId="77777777" w:rsidR="00713D9A" w:rsidRPr="00713D9A" w:rsidRDefault="00713D9A" w:rsidP="00713D9A">
      <w:pPr>
        <w:pStyle w:val="EndNoteBibliography"/>
        <w:spacing w:after="0"/>
        <w:rPr>
          <w:noProof/>
        </w:rPr>
      </w:pPr>
      <w:r w:rsidRPr="00713D9A">
        <w:rPr>
          <w:rFonts w:hint="eastAsia"/>
          <w:noProof/>
        </w:rPr>
        <w:t xml:space="preserve">Mwangi, E. (2006). The footprints of history: path dependence in the transformation of property rights in Kenya's Maasailand. </w:t>
      </w:r>
      <w:r w:rsidRPr="00713D9A">
        <w:rPr>
          <w:rFonts w:hint="eastAsia"/>
          <w:i/>
          <w:noProof/>
        </w:rPr>
        <w:t>Journal of Institutional Economics</w:t>
      </w:r>
      <w:r w:rsidRPr="00713D9A">
        <w:rPr>
          <w:rFonts w:hint="eastAsia"/>
          <w:noProof/>
        </w:rPr>
        <w:t>, 2(2), 157-180.</w:t>
      </w:r>
    </w:p>
    <w:p w14:paraId="3A4DA781" w14:textId="262057F2" w:rsidR="00713D9A" w:rsidRPr="00713D9A" w:rsidRDefault="00713D9A" w:rsidP="00713D9A">
      <w:pPr>
        <w:pStyle w:val="EndNoteBibliography"/>
        <w:spacing w:after="0"/>
        <w:rPr>
          <w:noProof/>
        </w:rPr>
      </w:pPr>
      <w:r w:rsidRPr="00713D9A">
        <w:rPr>
          <w:rFonts w:hint="eastAsia"/>
          <w:noProof/>
        </w:rPr>
        <w:t xml:space="preserve">Mwanza, K. (2018), When the Maasai met the Maori: Kenya seeks to end geothermal land conflicts. </w:t>
      </w:r>
      <w:r w:rsidRPr="00713D9A">
        <w:rPr>
          <w:rFonts w:hint="eastAsia"/>
          <w:i/>
          <w:noProof/>
        </w:rPr>
        <w:t>IPMG</w:t>
      </w:r>
      <w:r w:rsidRPr="00713D9A">
        <w:rPr>
          <w:rFonts w:hint="eastAsia"/>
          <w:noProof/>
        </w:rPr>
        <w:t xml:space="preserve">, </w:t>
      </w:r>
      <w:hyperlink r:id="rId23" w:history="1">
        <w:r w:rsidRPr="00713D9A">
          <w:rPr>
            <w:rStyle w:val="Hyperlink"/>
            <w:rFonts w:hint="eastAsia"/>
            <w:noProof/>
          </w:rPr>
          <w:t>https://indigenouspeoples-sdg.org/index.php/english/all-global-news/553-when-the-maasai-met-the-maori-kenya-seeks-to-end-geothermal-land-conflicts</w:t>
        </w:r>
      </w:hyperlink>
      <w:r w:rsidRPr="00713D9A">
        <w:rPr>
          <w:rFonts w:hint="eastAsia"/>
          <w:noProof/>
        </w:rPr>
        <w:t>. Accessed on May 29, 2024.</w:t>
      </w:r>
    </w:p>
    <w:p w14:paraId="25D1741E" w14:textId="35724384" w:rsidR="00713D9A" w:rsidRPr="00713D9A" w:rsidRDefault="00713D9A" w:rsidP="00713D9A">
      <w:pPr>
        <w:pStyle w:val="EndNoteBibliography"/>
        <w:spacing w:after="0"/>
        <w:rPr>
          <w:noProof/>
        </w:rPr>
      </w:pPr>
      <w:r w:rsidRPr="00713D9A">
        <w:rPr>
          <w:rFonts w:hint="eastAsia"/>
          <w:noProof/>
        </w:rPr>
        <w:t xml:space="preserve">Reeve, R. (2015), </w:t>
      </w:r>
      <w:r w:rsidRPr="00713D9A">
        <w:rPr>
          <w:rFonts w:hint="eastAsia"/>
          <w:i/>
          <w:noProof/>
        </w:rPr>
        <w:t>Libya's Proxy Battlefield</w:t>
      </w:r>
      <w:r w:rsidRPr="00713D9A">
        <w:rPr>
          <w:rFonts w:hint="eastAsia"/>
          <w:noProof/>
        </w:rPr>
        <w:t xml:space="preserve">. Oxford Research Group. Retrieved Oct 23, 2024, from </w:t>
      </w:r>
      <w:hyperlink r:id="rId24" w:history="1">
        <w:r w:rsidRPr="00713D9A">
          <w:rPr>
            <w:rStyle w:val="Hyperlink"/>
            <w:rFonts w:hint="eastAsia"/>
            <w:noProof/>
          </w:rPr>
          <w:t>https://www.files.ethz.ch/isn/187322/ORGJan15LibyaProxyBattlefield.pdf</w:t>
        </w:r>
      </w:hyperlink>
      <w:r w:rsidRPr="00713D9A">
        <w:rPr>
          <w:rFonts w:hint="eastAsia"/>
          <w:noProof/>
        </w:rPr>
        <w:t>.</w:t>
      </w:r>
    </w:p>
    <w:p w14:paraId="5E236F71" w14:textId="77777777" w:rsidR="00713D9A" w:rsidRPr="00713D9A" w:rsidRDefault="00713D9A" w:rsidP="00713D9A">
      <w:pPr>
        <w:pStyle w:val="EndNoteBibliography"/>
        <w:spacing w:after="0"/>
        <w:rPr>
          <w:noProof/>
        </w:rPr>
      </w:pPr>
      <w:r w:rsidRPr="00713D9A">
        <w:rPr>
          <w:rFonts w:hint="eastAsia"/>
          <w:noProof/>
        </w:rPr>
        <w:t xml:space="preserve">Seno, S. K. &amp; Shaw, W. W. (2011). Land Tenure Policies, Maasai Traditions, and Wildlife Conservation in Kenya. </w:t>
      </w:r>
      <w:r w:rsidRPr="00713D9A">
        <w:rPr>
          <w:rFonts w:hint="eastAsia"/>
          <w:i/>
          <w:noProof/>
        </w:rPr>
        <w:t>Society &amp; Natural Resources</w:t>
      </w:r>
      <w:r w:rsidRPr="00713D9A">
        <w:rPr>
          <w:rFonts w:hint="eastAsia"/>
          <w:noProof/>
        </w:rPr>
        <w:t>, 15(1), 79-88.</w:t>
      </w:r>
    </w:p>
    <w:p w14:paraId="485C77B6" w14:textId="77777777" w:rsidR="00713D9A" w:rsidRPr="00713D9A" w:rsidRDefault="00713D9A" w:rsidP="00713D9A">
      <w:pPr>
        <w:pStyle w:val="EndNoteBibliography"/>
        <w:spacing w:after="0"/>
        <w:rPr>
          <w:noProof/>
        </w:rPr>
      </w:pPr>
      <w:r w:rsidRPr="00713D9A">
        <w:rPr>
          <w:rFonts w:hint="eastAsia"/>
          <w:noProof/>
        </w:rPr>
        <w:t>Shanguhyia, M. &amp; Koster, M. M. (2014). Land and Conflict in Kenya</w:t>
      </w:r>
      <w:r w:rsidRPr="00713D9A">
        <w:rPr>
          <w:rFonts w:hint="eastAsia"/>
          <w:noProof/>
        </w:rPr>
        <w:t>’</w:t>
      </w:r>
      <w:r w:rsidRPr="00713D9A">
        <w:rPr>
          <w:rFonts w:hint="eastAsia"/>
          <w:noProof/>
        </w:rPr>
        <w:t xml:space="preserve">s Rift Valley: Historical and Contemporary Perspectives. In T. Falola &amp; E. Mbah (Eds.), </w:t>
      </w:r>
      <w:r w:rsidRPr="00713D9A">
        <w:rPr>
          <w:rFonts w:hint="eastAsia"/>
          <w:i/>
          <w:noProof/>
        </w:rPr>
        <w:t>Contemporary Africa: Challenges and Opportunities</w:t>
      </w:r>
      <w:r w:rsidRPr="00713D9A">
        <w:rPr>
          <w:rFonts w:hint="eastAsia"/>
          <w:noProof/>
        </w:rPr>
        <w:t xml:space="preserve"> (pp. 191-223), Springer.</w:t>
      </w:r>
    </w:p>
    <w:p w14:paraId="61C39F3F" w14:textId="4915C74E" w:rsidR="00713D9A" w:rsidRPr="00713D9A" w:rsidRDefault="00713D9A" w:rsidP="00713D9A">
      <w:pPr>
        <w:pStyle w:val="EndNoteBibliography"/>
        <w:spacing w:after="0"/>
        <w:rPr>
          <w:noProof/>
        </w:rPr>
      </w:pPr>
      <w:r w:rsidRPr="00713D9A">
        <w:rPr>
          <w:rFonts w:hint="eastAsia"/>
          <w:noProof/>
        </w:rPr>
        <w:t xml:space="preserve">Smith-Spark, L. &amp; Sterling, J. (2013), Bloody Algeria hostage crisis ends after </w:t>
      </w:r>
      <w:r w:rsidRPr="00713D9A">
        <w:rPr>
          <w:rFonts w:hint="eastAsia"/>
          <w:noProof/>
        </w:rPr>
        <w:t>‘</w:t>
      </w:r>
      <w:r w:rsidRPr="00713D9A">
        <w:rPr>
          <w:rFonts w:hint="eastAsia"/>
          <w:noProof/>
        </w:rPr>
        <w:t>final</w:t>
      </w:r>
      <w:r w:rsidRPr="00713D9A">
        <w:rPr>
          <w:rFonts w:hint="eastAsia"/>
          <w:noProof/>
        </w:rPr>
        <w:t>’</w:t>
      </w:r>
      <w:r w:rsidRPr="00713D9A">
        <w:rPr>
          <w:rFonts w:hint="eastAsia"/>
          <w:noProof/>
        </w:rPr>
        <w:t xml:space="preserve"> assault, officials say. </w:t>
      </w:r>
      <w:r w:rsidRPr="00713D9A">
        <w:rPr>
          <w:rFonts w:hint="eastAsia"/>
          <w:i/>
          <w:noProof/>
        </w:rPr>
        <w:t>CNN</w:t>
      </w:r>
      <w:r w:rsidRPr="00713D9A">
        <w:rPr>
          <w:rFonts w:hint="eastAsia"/>
          <w:noProof/>
        </w:rPr>
        <w:t xml:space="preserve">, </w:t>
      </w:r>
      <w:hyperlink r:id="rId25" w:history="1">
        <w:r w:rsidRPr="00713D9A">
          <w:rPr>
            <w:rStyle w:val="Hyperlink"/>
            <w:rFonts w:hint="eastAsia"/>
            <w:noProof/>
          </w:rPr>
          <w:t>https://edition.cnn.com/2013/01/19/world/africa/algeria-hostage-crisis/index.html</w:t>
        </w:r>
      </w:hyperlink>
      <w:r w:rsidRPr="00713D9A">
        <w:rPr>
          <w:rFonts w:hint="eastAsia"/>
          <w:noProof/>
        </w:rPr>
        <w:t xml:space="preserve">. Accessed </w:t>
      </w:r>
      <w:r w:rsidRPr="00713D9A">
        <w:rPr>
          <w:rFonts w:hint="eastAsia"/>
          <w:noProof/>
        </w:rPr>
        <w:lastRenderedPageBreak/>
        <w:t>on June 2, 2024.</w:t>
      </w:r>
    </w:p>
    <w:p w14:paraId="43ADFBF4" w14:textId="77777777" w:rsidR="00713D9A" w:rsidRPr="00713D9A" w:rsidRDefault="00713D9A" w:rsidP="00713D9A">
      <w:pPr>
        <w:pStyle w:val="EndNoteBibliography"/>
        <w:spacing w:after="0"/>
        <w:rPr>
          <w:noProof/>
        </w:rPr>
      </w:pPr>
      <w:r w:rsidRPr="00713D9A">
        <w:rPr>
          <w:rFonts w:hint="eastAsia"/>
          <w:noProof/>
        </w:rPr>
        <w:t xml:space="preserve">Solomon, H. (2015). Ansar Dine in Mali: Between Tuareg Nationalism and Islamism. </w:t>
      </w:r>
      <w:r w:rsidRPr="00713D9A">
        <w:rPr>
          <w:rFonts w:hint="eastAsia"/>
          <w:i/>
          <w:noProof/>
        </w:rPr>
        <w:t>Terrorism and Counter-Terrorism in Africa</w:t>
      </w:r>
      <w:r w:rsidRPr="00713D9A">
        <w:rPr>
          <w:rFonts w:hint="eastAsia"/>
          <w:noProof/>
        </w:rPr>
        <w:t xml:space="preserve"> (pp. 67-84), Springer.</w:t>
      </w:r>
    </w:p>
    <w:p w14:paraId="2EDCDCA8" w14:textId="77777777" w:rsidR="00713D9A" w:rsidRPr="00713D9A" w:rsidRDefault="00713D9A" w:rsidP="00713D9A">
      <w:pPr>
        <w:pStyle w:val="EndNoteBibliography"/>
        <w:spacing w:after="0"/>
        <w:rPr>
          <w:noProof/>
        </w:rPr>
      </w:pPr>
      <w:r w:rsidRPr="00713D9A">
        <w:rPr>
          <w:rFonts w:hint="eastAsia"/>
          <w:noProof/>
        </w:rPr>
        <w:t xml:space="preserve">Spear, T. &amp; Waller, R. (1993). </w:t>
      </w:r>
      <w:r w:rsidRPr="00713D9A">
        <w:rPr>
          <w:rFonts w:hint="eastAsia"/>
          <w:i/>
          <w:noProof/>
        </w:rPr>
        <w:t>Being Maasai: ethnicity and identity in East Africa</w:t>
      </w:r>
      <w:r w:rsidRPr="00713D9A">
        <w:rPr>
          <w:rFonts w:hint="eastAsia"/>
          <w:noProof/>
        </w:rPr>
        <w:t>, Ohio University Press.</w:t>
      </w:r>
    </w:p>
    <w:p w14:paraId="42C9C898" w14:textId="419C32E5" w:rsidR="00713D9A" w:rsidRPr="00713D9A" w:rsidRDefault="00713D9A" w:rsidP="00713D9A">
      <w:pPr>
        <w:pStyle w:val="EndNoteBibliography"/>
        <w:spacing w:after="0"/>
        <w:rPr>
          <w:noProof/>
        </w:rPr>
      </w:pPr>
      <w:r w:rsidRPr="00713D9A">
        <w:rPr>
          <w:rFonts w:hint="eastAsia"/>
          <w:noProof/>
        </w:rPr>
        <w:t xml:space="preserve">Statoil. (2013). The in Amenas Attack: Report of the Investigation into the Terrorist Attack on in Amenas. Retrieved Oct 4th, 2024, from </w:t>
      </w:r>
      <w:hyperlink r:id="rId26" w:history="1">
        <w:r w:rsidRPr="00713D9A">
          <w:rPr>
            <w:rStyle w:val="Hyperlink"/>
            <w:rFonts w:hint="eastAsia"/>
            <w:noProof/>
          </w:rPr>
          <w:t>https://www.equinor.com/news/archive/2013/09/12/12SepInAmenasreport</w:t>
        </w:r>
      </w:hyperlink>
    </w:p>
    <w:p w14:paraId="624752C2" w14:textId="77777777" w:rsidR="00713D9A" w:rsidRPr="00713D9A" w:rsidRDefault="00713D9A" w:rsidP="00713D9A">
      <w:pPr>
        <w:pStyle w:val="EndNoteBibliography"/>
        <w:spacing w:after="0"/>
        <w:rPr>
          <w:noProof/>
        </w:rPr>
      </w:pPr>
      <w:r w:rsidRPr="00713D9A">
        <w:rPr>
          <w:rFonts w:hint="eastAsia"/>
          <w:noProof/>
        </w:rPr>
        <w:t xml:space="preserve">Tariq, S. &amp; Zhang, X. (2021). A critical analysis of water PPP failures in sub-Saharan Africa. </w:t>
      </w:r>
      <w:r w:rsidRPr="00713D9A">
        <w:rPr>
          <w:rFonts w:hint="eastAsia"/>
          <w:i/>
          <w:noProof/>
        </w:rPr>
        <w:t>Engineering, Construction and Architectural Management</w:t>
      </w:r>
      <w:r w:rsidRPr="00713D9A">
        <w:rPr>
          <w:rFonts w:hint="eastAsia"/>
          <w:noProof/>
        </w:rPr>
        <w:t>, 29(8), 3157-3180.</w:t>
      </w:r>
    </w:p>
    <w:p w14:paraId="4F9BDC8A" w14:textId="2A1CDF0A" w:rsidR="00713D9A" w:rsidRPr="00713D9A" w:rsidRDefault="00713D9A" w:rsidP="00713D9A">
      <w:pPr>
        <w:pStyle w:val="EndNoteBibliography"/>
        <w:spacing w:after="0"/>
        <w:rPr>
          <w:noProof/>
        </w:rPr>
      </w:pPr>
      <w:r w:rsidRPr="00713D9A">
        <w:rPr>
          <w:rFonts w:hint="eastAsia"/>
          <w:noProof/>
        </w:rPr>
        <w:t xml:space="preserve">UCDP (2023), Uppsala Conflict Data Program, </w:t>
      </w:r>
      <w:hyperlink r:id="rId27" w:history="1">
        <w:r w:rsidRPr="00713D9A">
          <w:rPr>
            <w:rStyle w:val="Hyperlink"/>
            <w:rFonts w:hint="eastAsia"/>
            <w:noProof/>
          </w:rPr>
          <w:t>https://ucdp.uu.se/nonstate/5376</w:t>
        </w:r>
      </w:hyperlink>
      <w:r w:rsidRPr="00713D9A">
        <w:rPr>
          <w:rFonts w:hint="eastAsia"/>
          <w:noProof/>
        </w:rPr>
        <w:t>. Accessed on Dec 28, 2023.</w:t>
      </w:r>
    </w:p>
    <w:p w14:paraId="6A4E5CA2" w14:textId="77777777" w:rsidR="00713D9A" w:rsidRPr="00713D9A" w:rsidRDefault="00713D9A" w:rsidP="00713D9A">
      <w:pPr>
        <w:pStyle w:val="EndNoteBibliography"/>
        <w:spacing w:after="0"/>
        <w:rPr>
          <w:noProof/>
        </w:rPr>
      </w:pPr>
      <w:r w:rsidRPr="00713D9A">
        <w:rPr>
          <w:rFonts w:hint="eastAsia"/>
          <w:noProof/>
        </w:rPr>
        <w:t xml:space="preserve">Unruh, J., Pritchard, M., Savage, E., Wade, C., Nair, P., Adenwala, A., Lee, L., Malloy, M., Taner, I., &amp; Frilander, M. (2019). Linkages Between Large-scale Infrastructure Development and Conflict Dynamics in East Africa. </w:t>
      </w:r>
      <w:r w:rsidRPr="00713D9A">
        <w:rPr>
          <w:rFonts w:hint="eastAsia"/>
          <w:i/>
          <w:noProof/>
        </w:rPr>
        <w:t>Journal of Infrastructure Development</w:t>
      </w:r>
      <w:r w:rsidRPr="00713D9A">
        <w:rPr>
          <w:rFonts w:hint="eastAsia"/>
          <w:noProof/>
        </w:rPr>
        <w:t>, 11(1-2), 1-13.</w:t>
      </w:r>
    </w:p>
    <w:p w14:paraId="39C28926" w14:textId="77777777" w:rsidR="00713D9A" w:rsidRPr="00713D9A" w:rsidRDefault="00713D9A" w:rsidP="00713D9A">
      <w:pPr>
        <w:pStyle w:val="EndNoteBibliography"/>
        <w:spacing w:after="0"/>
        <w:rPr>
          <w:noProof/>
        </w:rPr>
      </w:pPr>
      <w:r w:rsidRPr="00713D9A">
        <w:rPr>
          <w:rFonts w:hint="eastAsia"/>
          <w:noProof/>
        </w:rPr>
        <w:t xml:space="preserve">Voytyuk, O. (2023). New Gas Pipelines as an Element of the Geopolitical Competition of Algeria and Morocco in Africa. </w:t>
      </w:r>
      <w:r w:rsidRPr="00713D9A">
        <w:rPr>
          <w:rFonts w:hint="eastAsia"/>
          <w:i/>
          <w:noProof/>
        </w:rPr>
        <w:t>African Journal of Economics, Politics and Social Studies</w:t>
      </w:r>
      <w:r w:rsidRPr="00713D9A">
        <w:rPr>
          <w:rFonts w:hint="eastAsia"/>
          <w:noProof/>
        </w:rPr>
        <w:t>, 2(1), 21-44.</w:t>
      </w:r>
    </w:p>
    <w:p w14:paraId="6194998B" w14:textId="77777777" w:rsidR="00713D9A" w:rsidRPr="00713D9A" w:rsidRDefault="00713D9A" w:rsidP="00713D9A">
      <w:pPr>
        <w:pStyle w:val="EndNoteBibliography"/>
        <w:spacing w:after="0"/>
        <w:rPr>
          <w:noProof/>
        </w:rPr>
      </w:pPr>
      <w:r w:rsidRPr="00713D9A">
        <w:rPr>
          <w:rFonts w:hint="eastAsia"/>
          <w:noProof/>
        </w:rPr>
        <w:t xml:space="preserve">Wolf, A. &amp; Lefevre, R. (2013). Algeria: no easy times for the generals. </w:t>
      </w:r>
      <w:r w:rsidRPr="00713D9A">
        <w:rPr>
          <w:rFonts w:hint="eastAsia"/>
          <w:i/>
          <w:noProof/>
        </w:rPr>
        <w:t>The Journal of North African Studies</w:t>
      </w:r>
      <w:r w:rsidRPr="00713D9A">
        <w:rPr>
          <w:rFonts w:hint="eastAsia"/>
          <w:noProof/>
        </w:rPr>
        <w:t>, 18(3), 509-513.</w:t>
      </w:r>
    </w:p>
    <w:p w14:paraId="2A16D217" w14:textId="58673C32" w:rsidR="00713D9A" w:rsidRPr="00713D9A" w:rsidRDefault="00713D9A" w:rsidP="00713D9A">
      <w:pPr>
        <w:pStyle w:val="EndNoteBibliography"/>
        <w:rPr>
          <w:noProof/>
        </w:rPr>
      </w:pPr>
      <w:r w:rsidRPr="00713D9A">
        <w:rPr>
          <w:rFonts w:hint="eastAsia"/>
          <w:noProof/>
        </w:rPr>
        <w:t xml:space="preserve">World Bank (2024), The World Bank in Algeria, World Bank, </w:t>
      </w:r>
      <w:hyperlink r:id="rId28" w:history="1">
        <w:r w:rsidRPr="00713D9A">
          <w:rPr>
            <w:rStyle w:val="Hyperlink"/>
            <w:rFonts w:hint="eastAsia"/>
            <w:noProof/>
          </w:rPr>
          <w:t>https://www.worldbank.org/en/country/algeria/overview</w:t>
        </w:r>
      </w:hyperlink>
      <w:r w:rsidRPr="00713D9A">
        <w:rPr>
          <w:rFonts w:hint="eastAsia"/>
          <w:noProof/>
        </w:rPr>
        <w:t>. Accessed on July 1, 2024.</w:t>
      </w:r>
    </w:p>
    <w:p w14:paraId="07656281" w14:textId="715D79CE" w:rsidR="00031277" w:rsidRPr="00E56159" w:rsidRDefault="00031277" w:rsidP="00EE0BCA">
      <w:pPr>
        <w:spacing w:after="0"/>
        <w:rPr>
          <w:rFonts w:ascii="Times New Roman" w:hAnsi="Times New Roman" w:cs="Times New Roman"/>
          <w:spacing w:val="-6"/>
          <w:szCs w:val="22"/>
        </w:rPr>
      </w:pPr>
      <w:r w:rsidRPr="00E56159">
        <w:rPr>
          <w:rFonts w:ascii="Times New Roman" w:hAnsi="Times New Roman" w:cs="Times New Roman"/>
          <w:spacing w:val="-6"/>
          <w:szCs w:val="22"/>
        </w:rPr>
        <w:fldChar w:fldCharType="end"/>
      </w:r>
    </w:p>
    <w:sectPr w:rsidR="00031277" w:rsidRPr="00E56159" w:rsidSect="006279C5">
      <w:footerReference w:type="default" r:id="rId29"/>
      <w:pgSz w:w="11906" w:h="16838"/>
      <w:pgMar w:top="1411" w:right="1411" w:bottom="1411" w:left="1411" w:header="851" w:footer="86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C23B" w14:textId="77777777" w:rsidR="00E837B2" w:rsidRDefault="00E837B2">
      <w:pPr>
        <w:spacing w:line="240" w:lineRule="auto"/>
      </w:pPr>
      <w:r>
        <w:separator/>
      </w:r>
    </w:p>
  </w:endnote>
  <w:endnote w:type="continuationSeparator" w:id="0">
    <w:p w14:paraId="475BEAF1" w14:textId="77777777" w:rsidR="00E837B2" w:rsidRDefault="00E83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605527"/>
      <w:docPartObj>
        <w:docPartGallery w:val="Page Numbers (Bottom of Page)"/>
        <w:docPartUnique/>
      </w:docPartObj>
    </w:sdtPr>
    <w:sdtEndPr>
      <w:rPr>
        <w:rFonts w:ascii="Times New Roman" w:hAnsi="Times New Roman" w:cs="Times New Roman"/>
        <w:noProof/>
      </w:rPr>
    </w:sdtEndPr>
    <w:sdtContent>
      <w:p w14:paraId="661BBF25" w14:textId="55F1D3EC" w:rsidR="006279C5" w:rsidRDefault="006279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1C585D" w14:textId="77777777" w:rsidR="009307C3" w:rsidRDefault="00930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C51F" w14:textId="77777777" w:rsidR="00E837B2" w:rsidRDefault="00E837B2">
      <w:pPr>
        <w:spacing w:after="0"/>
      </w:pPr>
      <w:r>
        <w:separator/>
      </w:r>
    </w:p>
  </w:footnote>
  <w:footnote w:type="continuationSeparator" w:id="0">
    <w:p w14:paraId="6EC397AB" w14:textId="77777777" w:rsidR="00E837B2" w:rsidRDefault="00E837B2">
      <w:pPr>
        <w:spacing w:after="0"/>
      </w:pPr>
      <w:r>
        <w:continuationSeparator/>
      </w:r>
    </w:p>
  </w:footnote>
  <w:footnote w:id="1">
    <w:p w14:paraId="5648A04E" w14:textId="77777777" w:rsidR="00EE0BCA" w:rsidRPr="00EE0BCA" w:rsidRDefault="00EE0BCA" w:rsidP="00EE0BCA">
      <w:pPr>
        <w:pStyle w:val="FootnoteText"/>
        <w:rPr>
          <w:rFonts w:ascii="Times New Roman" w:hAnsi="Times New Roman" w:cs="Times New Roman"/>
          <w:sz w:val="20"/>
          <w:szCs w:val="20"/>
        </w:rPr>
      </w:pPr>
      <w:r w:rsidRPr="00EE0BCA">
        <w:rPr>
          <w:rStyle w:val="FootnoteReference"/>
          <w:sz w:val="20"/>
          <w:szCs w:val="20"/>
        </w:rPr>
        <w:footnoteRef/>
      </w:r>
      <w:r w:rsidRPr="00EE0BCA">
        <w:rPr>
          <w:sz w:val="20"/>
          <w:szCs w:val="20"/>
        </w:rPr>
        <w:t xml:space="preserve"> </w:t>
      </w:r>
      <w:r w:rsidRPr="00EE0BCA">
        <w:rPr>
          <w:rFonts w:ascii="Times New Roman" w:hAnsi="Times New Roman" w:cs="Times New Roman"/>
          <w:sz w:val="20"/>
          <w:szCs w:val="20"/>
        </w:rPr>
        <w:t>National Movement for the Liberation of Azawad (MNLA) is a political and military organization that advocates for the independence and self-determination of the Tuareg people in northern Mali.</w:t>
      </w:r>
    </w:p>
  </w:footnote>
  <w:footnote w:id="2">
    <w:p w14:paraId="582E8906" w14:textId="77777777" w:rsidR="00EE0BCA" w:rsidRPr="00EE0BCA" w:rsidRDefault="00EE0BCA" w:rsidP="00EE0BCA">
      <w:pPr>
        <w:pStyle w:val="FootnoteText"/>
        <w:rPr>
          <w:rFonts w:ascii="Times New Roman" w:hAnsi="Times New Roman" w:cs="Times New Roman"/>
          <w:sz w:val="20"/>
          <w:szCs w:val="20"/>
        </w:rPr>
      </w:pPr>
      <w:r w:rsidRPr="00EE0BCA">
        <w:rPr>
          <w:rStyle w:val="FootnoteReference"/>
          <w:sz w:val="20"/>
          <w:szCs w:val="20"/>
        </w:rPr>
        <w:footnoteRef/>
      </w:r>
      <w:r w:rsidRPr="00EE0BCA">
        <w:rPr>
          <w:rFonts w:ascii="Times New Roman" w:hAnsi="Times New Roman" w:cs="Times New Roman"/>
          <w:sz w:val="20"/>
          <w:szCs w:val="20"/>
        </w:rPr>
        <w:t xml:space="preserve"> Maghreb–Europe Gas Pipeline was included in the World Bank’s Private Participation in Infrastructure (PPI) dataset. It is also known as Pere Duran Farell pipeline or Gazoduc Maghreb Europe (GME).</w:t>
      </w:r>
    </w:p>
  </w:footnote>
  <w:footnote w:id="3">
    <w:p w14:paraId="51EB9890" w14:textId="77777777" w:rsidR="00EE0BCA" w:rsidRDefault="00EE0BCA" w:rsidP="00EE0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62A0B"/>
    <w:multiLevelType w:val="multilevel"/>
    <w:tmpl w:val="2CB816C0"/>
    <w:lvl w:ilvl="0">
      <w:start w:val="1"/>
      <w:numFmt w:val="decimal"/>
      <w:lvlText w:val="%1."/>
      <w:lvlJc w:val="left"/>
      <w:pPr>
        <w:ind w:left="360" w:hanging="360"/>
      </w:pPr>
      <w:rPr>
        <w:rFonts w:hint="default"/>
        <w:b/>
        <w:bCs w:val="0"/>
        <w:i w:val="0"/>
        <w:iCs/>
      </w:rPr>
    </w:lvl>
    <w:lvl w:ilvl="1">
      <w:start w:val="1"/>
      <w:numFmt w:val="decimal"/>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5BB618F3"/>
    <w:multiLevelType w:val="hybridMultilevel"/>
    <w:tmpl w:val="A3EC3A32"/>
    <w:lvl w:ilvl="0" w:tplc="04090011">
      <w:start w:val="1"/>
      <w:numFmt w:val="decimal"/>
      <w:lvlText w:val="%1)"/>
      <w:lvlJc w:val="left"/>
      <w:pPr>
        <w:ind w:left="800" w:hanging="440"/>
      </w:p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num w:numId="1" w16cid:durableId="1761482756">
    <w:abstractNumId w:val="0"/>
  </w:num>
  <w:num w:numId="2" w16cid:durableId="1240864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yNjAwMTA3MbUwMrVU0lEKTi0uzszPAykwqQUA4JiuaiwAAAA="/>
    <w:docVar w:name="commondata" w:val="eyJoZGlkIjoiZTdiZTU3MDBjMWJiMTM3ZDkxMzgwOTM1YWEwMWJjYjMifQ=="/>
    <w:docVar w:name="EN.InstantFormat" w:val="&lt;ENInstantFormat&gt;&lt;Enabled&gt;1&lt;/Enabled&gt;&lt;ScanUnformatted&gt;1&lt;/ScanUnformatted&gt;&lt;ScanChanges&gt;1&lt;/ScanChanges&gt;&lt;Suspended&gt;0&lt;/Suspended&gt;&lt;/ENInstantFormat&gt;"/>
    <w:docVar w:name="EN.Layout" w:val="&lt;ENLayout&gt;&lt;Style&gt;J Intl Business Studie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9rv05s2taeez0oe22x2xw5dcsta5x2e0v0zz&quot;&gt;revision revision revison4&lt;record-ids&gt;&lt;item&gt;2&lt;/item&gt;&lt;item&gt;23&lt;/item&gt;&lt;item&gt;31&lt;/item&gt;&lt;item&gt;106&lt;/item&gt;&lt;item&gt;122&lt;/item&gt;&lt;item&gt;126&lt;/item&gt;&lt;item&gt;319&lt;/item&gt;&lt;item&gt;322&lt;/item&gt;&lt;item&gt;324&lt;/item&gt;&lt;item&gt;327&lt;/item&gt;&lt;item&gt;329&lt;/item&gt;&lt;item&gt;332&lt;/item&gt;&lt;item&gt;351&lt;/item&gt;&lt;item&gt;375&lt;/item&gt;&lt;item&gt;379&lt;/item&gt;&lt;item&gt;415&lt;/item&gt;&lt;item&gt;416&lt;/item&gt;&lt;item&gt;417&lt;/item&gt;&lt;item&gt;418&lt;/item&gt;&lt;item&gt;459&lt;/item&gt;&lt;item&gt;497&lt;/item&gt;&lt;item&gt;512&lt;/item&gt;&lt;item&gt;514&lt;/item&gt;&lt;item&gt;516&lt;/item&gt;&lt;item&gt;518&lt;/item&gt;&lt;item&gt;520&lt;/item&gt;&lt;item&gt;521&lt;/item&gt;&lt;item&gt;522&lt;/item&gt;&lt;item&gt;523&lt;/item&gt;&lt;item&gt;524&lt;/item&gt;&lt;item&gt;525&lt;/item&gt;&lt;item&gt;526&lt;/item&gt;&lt;item&gt;527&lt;/item&gt;&lt;item&gt;528&lt;/item&gt;&lt;item&gt;574&lt;/item&gt;&lt;item&gt;639&lt;/item&gt;&lt;item&gt;640&lt;/item&gt;&lt;item&gt;641&lt;/item&gt;&lt;item&gt;642&lt;/item&gt;&lt;item&gt;644&lt;/item&gt;&lt;item&gt;645&lt;/item&gt;&lt;item&gt;646&lt;/item&gt;&lt;item&gt;647&lt;/item&gt;&lt;item&gt;648&lt;/item&gt;&lt;item&gt;649&lt;/item&gt;&lt;item&gt;650&lt;/item&gt;&lt;item&gt;651&lt;/item&gt;&lt;/record-ids&gt;&lt;/item&gt;&lt;/Libraries&gt;"/>
  </w:docVars>
  <w:rsids>
    <w:rsidRoot w:val="003B6AC8"/>
    <w:rsid w:val="000005BF"/>
    <w:rsid w:val="00031277"/>
    <w:rsid w:val="00031F98"/>
    <w:rsid w:val="00050EAD"/>
    <w:rsid w:val="00087FFA"/>
    <w:rsid w:val="000E7C49"/>
    <w:rsid w:val="001875DC"/>
    <w:rsid w:val="001955A0"/>
    <w:rsid w:val="0019574C"/>
    <w:rsid w:val="001A46CE"/>
    <w:rsid w:val="001A7A94"/>
    <w:rsid w:val="001F1335"/>
    <w:rsid w:val="001F2211"/>
    <w:rsid w:val="00232929"/>
    <w:rsid w:val="0023479B"/>
    <w:rsid w:val="00255574"/>
    <w:rsid w:val="002B4DD5"/>
    <w:rsid w:val="002D18FA"/>
    <w:rsid w:val="002E2673"/>
    <w:rsid w:val="003116B7"/>
    <w:rsid w:val="003B6AC8"/>
    <w:rsid w:val="003E228B"/>
    <w:rsid w:val="00461EE8"/>
    <w:rsid w:val="004723E3"/>
    <w:rsid w:val="004F417E"/>
    <w:rsid w:val="004F7730"/>
    <w:rsid w:val="004F77E3"/>
    <w:rsid w:val="00502E4F"/>
    <w:rsid w:val="005130FE"/>
    <w:rsid w:val="00521019"/>
    <w:rsid w:val="00556758"/>
    <w:rsid w:val="00570A98"/>
    <w:rsid w:val="00574D57"/>
    <w:rsid w:val="0059098C"/>
    <w:rsid w:val="0059514E"/>
    <w:rsid w:val="005A5219"/>
    <w:rsid w:val="005F1884"/>
    <w:rsid w:val="005F3F65"/>
    <w:rsid w:val="0061671D"/>
    <w:rsid w:val="006279C5"/>
    <w:rsid w:val="00655A4A"/>
    <w:rsid w:val="006A4984"/>
    <w:rsid w:val="006C3E55"/>
    <w:rsid w:val="00713D9A"/>
    <w:rsid w:val="00786128"/>
    <w:rsid w:val="007A4BCA"/>
    <w:rsid w:val="007B6C32"/>
    <w:rsid w:val="007D42AD"/>
    <w:rsid w:val="007F2666"/>
    <w:rsid w:val="00811932"/>
    <w:rsid w:val="00834BD1"/>
    <w:rsid w:val="008571FF"/>
    <w:rsid w:val="00883478"/>
    <w:rsid w:val="0088752A"/>
    <w:rsid w:val="008B2975"/>
    <w:rsid w:val="008F21A7"/>
    <w:rsid w:val="008F259C"/>
    <w:rsid w:val="00927E78"/>
    <w:rsid w:val="009307C3"/>
    <w:rsid w:val="0093084A"/>
    <w:rsid w:val="00957596"/>
    <w:rsid w:val="0098143E"/>
    <w:rsid w:val="009B1508"/>
    <w:rsid w:val="009D157A"/>
    <w:rsid w:val="00A31AD7"/>
    <w:rsid w:val="00A52F0E"/>
    <w:rsid w:val="00A727E7"/>
    <w:rsid w:val="00AB13AE"/>
    <w:rsid w:val="00AF2944"/>
    <w:rsid w:val="00B176DE"/>
    <w:rsid w:val="00B50A3E"/>
    <w:rsid w:val="00B75F17"/>
    <w:rsid w:val="00BB7044"/>
    <w:rsid w:val="00C21579"/>
    <w:rsid w:val="00C56492"/>
    <w:rsid w:val="00C64D27"/>
    <w:rsid w:val="00C853D2"/>
    <w:rsid w:val="00CA1B68"/>
    <w:rsid w:val="00CD1183"/>
    <w:rsid w:val="00D2724F"/>
    <w:rsid w:val="00D37CF9"/>
    <w:rsid w:val="00D77621"/>
    <w:rsid w:val="00D97A1E"/>
    <w:rsid w:val="00DB6524"/>
    <w:rsid w:val="00DC1BA0"/>
    <w:rsid w:val="00DD2FF4"/>
    <w:rsid w:val="00DF3975"/>
    <w:rsid w:val="00E001D0"/>
    <w:rsid w:val="00E133D7"/>
    <w:rsid w:val="00E56159"/>
    <w:rsid w:val="00E61EEC"/>
    <w:rsid w:val="00E837B2"/>
    <w:rsid w:val="00E841CE"/>
    <w:rsid w:val="00EA7EBA"/>
    <w:rsid w:val="00EB0B2A"/>
    <w:rsid w:val="00EB1C7A"/>
    <w:rsid w:val="00EC419C"/>
    <w:rsid w:val="00ED016A"/>
    <w:rsid w:val="00ED2745"/>
    <w:rsid w:val="00EE0BCA"/>
    <w:rsid w:val="00F10E67"/>
    <w:rsid w:val="00F202AC"/>
    <w:rsid w:val="00F7167D"/>
    <w:rsid w:val="00F72281"/>
    <w:rsid w:val="00F821FB"/>
    <w:rsid w:val="00FB6477"/>
    <w:rsid w:val="17474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7734007"/>
  <w15:docId w15:val="{39AD59BE-4617-4A9D-830B-F165997D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78" w:lineRule="auto"/>
    </w:pPr>
    <w:rPr>
      <w:kern w:val="2"/>
      <w:sz w:val="22"/>
      <w:szCs w:val="24"/>
      <w14:ligatures w14:val="standardContextual"/>
    </w:rPr>
  </w:style>
  <w:style w:type="paragraph" w:styleId="Heading1">
    <w:name w:val="heading 1"/>
    <w:basedOn w:val="Normal"/>
    <w:next w:val="Normal"/>
    <w:link w:val="Heading1Char"/>
    <w:autoRedefine/>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153"/>
        <w:tab w:val="right" w:pos="8306"/>
      </w:tabs>
      <w:snapToGrid w:val="0"/>
      <w:spacing w:line="240" w:lineRule="auto"/>
    </w:pPr>
    <w:rPr>
      <w:sz w:val="18"/>
      <w:szCs w:val="18"/>
    </w:rPr>
  </w:style>
  <w:style w:type="paragraph" w:styleId="Header">
    <w:name w:val="header"/>
    <w:basedOn w:val="Normal"/>
    <w:link w:val="HeaderChar"/>
    <w:uiPriority w:val="99"/>
    <w:unhideWhenUsed/>
    <w:pPr>
      <w:tabs>
        <w:tab w:val="center" w:pos="4153"/>
        <w:tab w:val="right" w:pos="8306"/>
      </w:tabs>
      <w:snapToGrid w:val="0"/>
      <w:spacing w:line="240" w:lineRule="auto"/>
      <w:jc w:val="center"/>
    </w:pPr>
    <w:rPr>
      <w:sz w:val="18"/>
      <w:szCs w:val="18"/>
    </w:rPr>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FootnoteText">
    <w:name w:val="footnote text"/>
    <w:basedOn w:val="Normal"/>
    <w:link w:val="FootnoteTextChar"/>
    <w:uiPriority w:val="99"/>
    <w:semiHidden/>
    <w:unhideWhenUsed/>
    <w:pPr>
      <w:snapToGrid w:val="0"/>
    </w:pPr>
    <w:rPr>
      <w:sz w:val="18"/>
      <w:szCs w:val="18"/>
    </w:rPr>
  </w:style>
  <w:style w:type="paragraph" w:styleId="NormalWeb">
    <w:name w:val="Normal (Web)"/>
    <w:basedOn w:val="Normal"/>
    <w:uiPriority w:val="99"/>
    <w:unhideWhenUsed/>
    <w:pPr>
      <w:widowControl/>
      <w:spacing w:before="100" w:beforeAutospacing="1" w:after="100" w:afterAutospacing="1" w:line="240" w:lineRule="auto"/>
    </w:pPr>
    <w:rPr>
      <w:rFonts w:ascii="SimSun" w:eastAsia="SimSun" w:hAnsi="SimSun" w:cs="SimSun"/>
      <w:kern w:val="0"/>
      <w:sz w:val="24"/>
      <w14:ligatures w14:val="none"/>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96607D" w:themeColor="followedHyperlink"/>
      <w:u w:val="single"/>
    </w:rPr>
  </w:style>
  <w:style w:type="character" w:styleId="Hyperlink">
    <w:name w:val="Hyperlink"/>
    <w:basedOn w:val="DefaultParagraphFont"/>
    <w:uiPriority w:val="99"/>
    <w:unhideWhenUsed/>
    <w:qFormat/>
    <w:rPr>
      <w:color w:val="467886" w:themeColor="hyperlink"/>
      <w:u w:val="single"/>
    </w:rPr>
  </w:style>
  <w:style w:type="character" w:styleId="CommentReference">
    <w:name w:val="annotation reference"/>
    <w:basedOn w:val="DefaultParagraphFont"/>
    <w:uiPriority w:val="99"/>
    <w:semiHidden/>
    <w:unhideWhenUsed/>
    <w:rPr>
      <w:sz w:val="21"/>
      <w:szCs w:val="21"/>
    </w:rPr>
  </w:style>
  <w:style w:type="character" w:styleId="FootnoteReference">
    <w:name w:val="footnote reference"/>
    <w:basedOn w:val="DefaultParagraphFont"/>
    <w:uiPriority w:val="99"/>
    <w:semiHidden/>
    <w:unhideWhenUsed/>
    <w:qFormat/>
    <w:rPr>
      <w:vertAlign w:val="superscrip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rPr>
  </w:style>
  <w:style w:type="character" w:customStyle="1" w:styleId="Heading6Char">
    <w:name w:val="Heading 6 Char"/>
    <w:basedOn w:val="DefaultParagraphFont"/>
    <w:link w:val="Heading6"/>
    <w:uiPriority w:val="9"/>
    <w:semiHidden/>
    <w:rPr>
      <w:rFonts w:cstheme="majorBidi"/>
      <w:b/>
      <w:bCs/>
      <w:color w:val="0F4761"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1">
    <w:name w:val="明显强调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10">
    <w:name w:val="明显参考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 w:type="paragraph" w:customStyle="1" w:styleId="EndNoteBibliographyTitle">
    <w:name w:val="EndNote Bibliography Title"/>
    <w:basedOn w:val="Normal"/>
    <w:link w:val="EndNoteBibliographyTitle0"/>
    <w:pPr>
      <w:spacing w:after="0"/>
      <w:jc w:val="center"/>
    </w:pPr>
    <w:rPr>
      <w:rFonts w:ascii="Times New Roman" w:eastAsia="DengXian" w:hAnsi="Times New Roman" w:cs="Times New Roman"/>
    </w:rPr>
  </w:style>
  <w:style w:type="character" w:customStyle="1" w:styleId="EndNoteBibliographyTitle0">
    <w:name w:val="EndNote Bibliography Title 字符"/>
    <w:basedOn w:val="DefaultParagraphFont"/>
    <w:link w:val="EndNoteBibliographyTitle"/>
    <w:rPr>
      <w:rFonts w:ascii="Times New Roman" w:eastAsia="DengXian" w:hAnsi="Times New Roman" w:cs="Times New Roman"/>
      <w:kern w:val="2"/>
      <w:sz w:val="22"/>
      <w:szCs w:val="24"/>
      <w14:ligatures w14:val="standardContextual"/>
    </w:rPr>
  </w:style>
  <w:style w:type="paragraph" w:customStyle="1" w:styleId="EndNoteBibliography">
    <w:name w:val="EndNote Bibliography"/>
    <w:basedOn w:val="Normal"/>
    <w:link w:val="EndNoteBibliography0"/>
    <w:pPr>
      <w:spacing w:line="480" w:lineRule="auto"/>
    </w:pPr>
    <w:rPr>
      <w:rFonts w:ascii="Times New Roman" w:eastAsia="DengXian" w:hAnsi="Times New Roman" w:cs="Times New Roman"/>
    </w:rPr>
  </w:style>
  <w:style w:type="character" w:customStyle="1" w:styleId="EndNoteBibliography0">
    <w:name w:val="EndNote Bibliography 字符"/>
    <w:basedOn w:val="DefaultParagraphFont"/>
    <w:link w:val="EndNoteBibliography"/>
    <w:rPr>
      <w:rFonts w:ascii="Times New Roman" w:eastAsia="DengXian" w:hAnsi="Times New Roman" w:cs="Times New Roman"/>
      <w:kern w:val="2"/>
      <w:sz w:val="22"/>
      <w:szCs w:val="24"/>
      <w14:ligatures w14:val="standardContextual"/>
    </w:rPr>
  </w:style>
  <w:style w:type="character" w:customStyle="1" w:styleId="CommentTextChar">
    <w:name w:val="Comment Text Char"/>
    <w:basedOn w:val="DefaultParagraphFont"/>
    <w:link w:val="CommentText"/>
    <w:uiPriority w:val="99"/>
  </w:style>
  <w:style w:type="character" w:customStyle="1" w:styleId="CommentSubjectChar">
    <w:name w:val="Comment Subject Char"/>
    <w:basedOn w:val="CommentTextChar"/>
    <w:link w:val="CommentSubject"/>
    <w:uiPriority w:val="99"/>
    <w:semiHidden/>
    <w:rPr>
      <w:b/>
      <w:bCs/>
    </w:rPr>
  </w:style>
  <w:style w:type="character" w:customStyle="1" w:styleId="FootnoteTextChar">
    <w:name w:val="Footnote Text Char"/>
    <w:basedOn w:val="DefaultParagraphFont"/>
    <w:link w:val="FootnoteText"/>
    <w:uiPriority w:val="99"/>
    <w:semiHidden/>
    <w:rPr>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11">
    <w:name w:val="修订1"/>
    <w:hidden/>
    <w:uiPriority w:val="99"/>
    <w:semiHidden/>
    <w:rPr>
      <w:kern w:val="2"/>
      <w:sz w:val="22"/>
      <w:szCs w:val="24"/>
      <w14:ligatures w14:val="standardContextual"/>
    </w:rPr>
  </w:style>
  <w:style w:type="character" w:customStyle="1" w:styleId="12">
    <w:name w:val="未处理的提及1"/>
    <w:basedOn w:val="DefaultParagraphFont"/>
    <w:uiPriority w:val="99"/>
    <w:semiHidden/>
    <w:unhideWhenUsed/>
    <w:rPr>
      <w:color w:val="605E5C"/>
      <w:shd w:val="clear" w:color="auto" w:fill="E1DFDD"/>
    </w:rPr>
  </w:style>
  <w:style w:type="paragraph" w:customStyle="1" w:styleId="13">
    <w:name w:val="书目1"/>
    <w:basedOn w:val="Normal"/>
    <w:next w:val="Normal"/>
    <w:uiPriority w:val="37"/>
    <w:semiHidden/>
    <w:unhideWhenUsed/>
    <w:pPr>
      <w:spacing w:after="0" w:line="240" w:lineRule="auto"/>
      <w:jc w:val="both"/>
    </w:pPr>
    <w:rPr>
      <w:sz w:val="21"/>
      <w14:ligatures w14:val="none"/>
    </w:rPr>
  </w:style>
  <w:style w:type="paragraph" w:styleId="EndnoteText">
    <w:name w:val="endnote text"/>
    <w:basedOn w:val="Normal"/>
    <w:link w:val="EndnoteTextChar"/>
    <w:uiPriority w:val="99"/>
    <w:unhideWhenUsed/>
    <w:qFormat/>
    <w:rsid w:val="00031277"/>
    <w:pPr>
      <w:widowControl/>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qFormat/>
    <w:rsid w:val="00031277"/>
  </w:style>
  <w:style w:type="character" w:styleId="EndnoteReference">
    <w:name w:val="endnote reference"/>
    <w:basedOn w:val="DefaultParagraphFont"/>
    <w:uiPriority w:val="99"/>
    <w:semiHidden/>
    <w:unhideWhenUsed/>
    <w:qFormat/>
    <w:rsid w:val="00031277"/>
    <w:rPr>
      <w:vertAlign w:val="superscript"/>
    </w:rPr>
  </w:style>
  <w:style w:type="paragraph" w:customStyle="1" w:styleId="EEBodyText">
    <w:name w:val="EE Body Text"/>
    <w:basedOn w:val="Normal"/>
    <w:qFormat/>
    <w:rsid w:val="00031277"/>
    <w:pPr>
      <w:widowControl/>
      <w:suppressAutoHyphens/>
      <w:spacing w:before="240" w:after="240" w:line="480" w:lineRule="auto"/>
    </w:pPr>
    <w:rPr>
      <w:rFonts w:ascii="Times New Roman" w:eastAsia="SimSun" w:hAnsi="Times New Roman" w:cs="Times New Roman"/>
      <w:kern w:val="0"/>
      <w:sz w:val="24"/>
      <w14:ligatures w14:val="none"/>
    </w:rPr>
  </w:style>
  <w:style w:type="paragraph" w:styleId="Revision">
    <w:name w:val="Revision"/>
    <w:hidden/>
    <w:uiPriority w:val="99"/>
    <w:unhideWhenUsed/>
    <w:rsid w:val="00087FFA"/>
    <w:rPr>
      <w:kern w:val="2"/>
      <w:sz w:val="22"/>
      <w:szCs w:val="24"/>
      <w14:ligatures w14:val="standardContextual"/>
    </w:rPr>
  </w:style>
  <w:style w:type="character" w:styleId="UnresolvedMention">
    <w:name w:val="Unresolved Mention"/>
    <w:basedOn w:val="DefaultParagraphFont"/>
    <w:uiPriority w:val="99"/>
    <w:semiHidden/>
    <w:unhideWhenUsed/>
    <w:rsid w:val="003E2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theguardian.com/world/2013/jan/25/in-amenas-timeline-siege-algeria" TargetMode="External"/><Relationship Id="rId18" Type="http://schemas.openxmlformats.org/officeDocument/2006/relationships/hyperlink" Target="https://eu.boell.org/sites/default/files/geothermal-energy-and-indigenous-communities-olkariaproject-kenya.pdf" TargetMode="External"/><Relationship Id="rId26" Type="http://schemas.openxmlformats.org/officeDocument/2006/relationships/hyperlink" Target="https://www.equinor.com/news/archive/2013/09/12/12SepInAmenasreport" TargetMode="External"/><Relationship Id="rId3" Type="http://schemas.openxmlformats.org/officeDocument/2006/relationships/styles" Target="styles.xml"/><Relationship Id="rId21" Type="http://schemas.openxmlformats.org/officeDocument/2006/relationships/hyperlink" Target="https://www.aljazeera.com/opinions/2014/1/9/what-do-the-tuareg-want" TargetMode="External"/><Relationship Id="rId7" Type="http://schemas.openxmlformats.org/officeDocument/2006/relationships/endnotes" Target="endnotes.xml"/><Relationship Id="rId12" Type="http://schemas.openxmlformats.org/officeDocument/2006/relationships/hyperlink" Target="https://www.bbc.com/news/world-africa-15334088" TargetMode="External"/><Relationship Id="rId17" Type="http://schemas.openxmlformats.org/officeDocument/2006/relationships/hyperlink" Target="https://www.culturalsurvival.org/news/forceful-evictions-maasai-narasha-recipe-tribal-clashes-kenya" TargetMode="External"/><Relationship Id="rId25" Type="http://schemas.openxmlformats.org/officeDocument/2006/relationships/hyperlink" Target="https://edition.cnn.com/2013/01/19/world/africa/algeria-hostage-crisis/index.html" TargetMode="External"/><Relationship Id="rId2" Type="http://schemas.openxmlformats.org/officeDocument/2006/relationships/numbering" Target="numbering.xml"/><Relationship Id="rId16" Type="http://schemas.openxmlformats.org/officeDocument/2006/relationships/hyperlink" Target="https://accountability.medium.com/community-campaign-leads-the-european-investment-bank-to-withdraw-from-geothermal-project-in-kenya-2348c76748a2" TargetMode="External"/><Relationship Id="rId20" Type="http://schemas.openxmlformats.org/officeDocument/2006/relationships/hyperlink" Target="https://www.nber.org/papers/w1718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t.org.il/UserFiles/AzawadICT%20-%20Barducci%20final.pdf" TargetMode="External"/><Relationship Id="rId24" Type="http://schemas.openxmlformats.org/officeDocument/2006/relationships/hyperlink" Target="https://www.files.ethz.ch/isn/187322/ORGJan15LibyaProxyBattlefield.pdf" TargetMode="External"/><Relationship Id="rId5" Type="http://schemas.openxmlformats.org/officeDocument/2006/relationships/webSettings" Target="webSettings.xml"/><Relationship Id="rId15" Type="http://schemas.openxmlformats.org/officeDocument/2006/relationships/hyperlink" Target="https://www.boell.de/en/2017/06/13/perspectives-022017-putting-people-back-infrastructure" TargetMode="External"/><Relationship Id="rId23" Type="http://schemas.openxmlformats.org/officeDocument/2006/relationships/hyperlink" Target="https://indigenouspeoples-sdg.org/index.php/english/all-global-news/553-when-the-maasai-met-the-maori-kenya-seeks-to-end-geothermal-land-conflicts" TargetMode="External"/><Relationship Id="rId28" Type="http://schemas.openxmlformats.org/officeDocument/2006/relationships/hyperlink" Target="https://www.worldbank.org/en/country/algeria/overview" TargetMode="External"/><Relationship Id="rId10" Type="http://schemas.openxmlformats.org/officeDocument/2006/relationships/chart" Target="charts/chart3.xml"/><Relationship Id="rId19" Type="http://schemas.openxmlformats.org/officeDocument/2006/relationships/hyperlink" Target="https://www.reuters.com/article/world/arms-and-men-out-of-libya-fortify-mali-rebellion-idUSTRE8190U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gem.wiki/Maghreb-Europe_Gas_Pipeline" TargetMode="External"/><Relationship Id="rId22" Type="http://schemas.openxmlformats.org/officeDocument/2006/relationships/hyperlink" Target="http://pubs.geothermal-library.org/lib/grc/1032311.pdf" TargetMode="External"/><Relationship Id="rId27" Type="http://schemas.openxmlformats.org/officeDocument/2006/relationships/hyperlink" Target="https://ucdp.uu.se/nonstate/5376"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71\Documents\Apply%20for%20RA\CityU%20RA\7.18%20pie%20chart%20of%20investment%20size%20+%20new%20results%20tables\New%20pie%20chart_2\Industry%20distribution_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71\Documents\Apply%20for%20RA\CityU%20RA\7.14%20PPP%20project%20results\New%20projects%20each%20yea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71\Documents\Apply%20for%20RA\CityU%20RA\7.18%20pie%20chart%20of%20investment%20size\Investment%20distribution_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466-41EC-8E02-04E482A1B0A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466-41EC-8E02-04E482A1B0A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466-41EC-8E02-04E482A1B0A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466-41EC-8E02-04E482A1B0A7}"/>
              </c:ext>
            </c:extLst>
          </c:dPt>
          <c:dLbls>
            <c:dLbl>
              <c:idx val="3"/>
              <c:layout>
                <c:manualLayout>
                  <c:x val="-2.3510184270549201E-2"/>
                  <c:y val="2.89463527595523E-3"/>
                </c:manualLayout>
              </c:layout>
              <c:numFmt formatCode="0.00%" sourceLinked="0"/>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en-US"/>
                </a:p>
              </c:txPr>
              <c:dLblPos val="bestFit"/>
              <c:showLegendKey val="1"/>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D466-41EC-8E02-04E482A1B0A7}"/>
                </c:ext>
              </c:extLst>
            </c:dLbl>
            <c:numFmt formatCode="0.00%" sourceLinked="0"/>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bg1"/>
                    </a:solidFill>
                    <a:latin typeface="Times New Roman" panose="02020603050405020304" charset="0"/>
                    <a:ea typeface="+mn-ea"/>
                    <a:cs typeface="Times New Roman" panose="02020603050405020304" charset="0"/>
                  </a:defRPr>
                </a:pPr>
                <a:endParaRPr lang="en-US"/>
              </a:p>
            </c:txPr>
            <c:dLblPos val="bestFit"/>
            <c:showLegendKey val="1"/>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'Distribution of projects'!$A$2:$A$5</c:f>
              <c:strCache>
                <c:ptCount val="4"/>
                <c:pt idx="0">
                  <c:v>Energy</c:v>
                </c:pt>
                <c:pt idx="1">
                  <c:v>Transport</c:v>
                </c:pt>
                <c:pt idx="2">
                  <c:v>ICT</c:v>
                </c:pt>
                <c:pt idx="3">
                  <c:v>Water and sewerage</c:v>
                </c:pt>
              </c:strCache>
            </c:strRef>
          </c:cat>
          <c:val>
            <c:numRef>
              <c:f>'Distribution of projects'!$B$2:$B$5</c:f>
              <c:numCache>
                <c:formatCode>General</c:formatCode>
                <c:ptCount val="4"/>
                <c:pt idx="0">
                  <c:v>175</c:v>
                </c:pt>
                <c:pt idx="1">
                  <c:v>86</c:v>
                </c:pt>
                <c:pt idx="2">
                  <c:v>20</c:v>
                </c:pt>
                <c:pt idx="3">
                  <c:v>20</c:v>
                </c:pt>
              </c:numCache>
            </c:numRef>
          </c:val>
          <c:extLst>
            <c:ext xmlns:c16="http://schemas.microsoft.com/office/drawing/2014/chart" uri="{C3380CC4-5D6E-409C-BE32-E72D297353CC}">
              <c16:uniqueId val="{00000008-D466-41EC-8E02-04E482A1B0A7}"/>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cs typeface="Times New Roman" panose="0202060305040502030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'Projects created each year (2)'!$B$1</c:f>
              <c:strCache>
                <c:ptCount val="1"/>
                <c:pt idx="0">
                  <c:v>Projects created</c:v>
                </c:pt>
              </c:strCache>
            </c:strRef>
          </c:tx>
          <c:spPr>
            <a:solidFill>
              <a:schemeClr val="accent1"/>
            </a:solidFill>
            <a:ln>
              <a:noFill/>
            </a:ln>
            <a:effectLst/>
          </c:spPr>
          <c:invertIfNegative val="0"/>
          <c:cat>
            <c:numRef>
              <c:f>'Projects created each year (2)'!$A$2:$A$24</c:f>
              <c:numCache>
                <c:formatCode>General</c:formatCode>
                <c:ptCount val="23"/>
                <c:pt idx="0">
                  <c:v>1992</c:v>
                </c:pt>
                <c:pt idx="1">
                  <c:v>1993</c:v>
                </c:pt>
                <c:pt idx="2">
                  <c:v>1994</c:v>
                </c:pt>
                <c:pt idx="3">
                  <c:v>1995</c:v>
                </c:pt>
                <c:pt idx="4">
                  <c:v>1996</c:v>
                </c:pt>
                <c:pt idx="5">
                  <c:v>1997</c:v>
                </c:pt>
                <c:pt idx="6">
                  <c:v>1998</c:v>
                </c:pt>
                <c:pt idx="7">
                  <c:v>1999</c:v>
                </c:pt>
                <c:pt idx="8">
                  <c:v>2000</c:v>
                </c:pt>
                <c:pt idx="9">
                  <c:v>2001</c:v>
                </c:pt>
                <c:pt idx="10">
                  <c:v>2002</c:v>
                </c:pt>
                <c:pt idx="11">
                  <c:v>2003</c:v>
                </c:pt>
                <c:pt idx="12">
                  <c:v>2004</c:v>
                </c:pt>
                <c:pt idx="13">
                  <c:v>2005</c:v>
                </c:pt>
                <c:pt idx="14">
                  <c:v>2006</c:v>
                </c:pt>
                <c:pt idx="15">
                  <c:v>2007</c:v>
                </c:pt>
                <c:pt idx="16">
                  <c:v>2008</c:v>
                </c:pt>
                <c:pt idx="17">
                  <c:v>2009</c:v>
                </c:pt>
                <c:pt idx="18">
                  <c:v>2010</c:v>
                </c:pt>
                <c:pt idx="19">
                  <c:v>2011</c:v>
                </c:pt>
                <c:pt idx="20">
                  <c:v>2012</c:v>
                </c:pt>
                <c:pt idx="21">
                  <c:v>2013</c:v>
                </c:pt>
                <c:pt idx="22">
                  <c:v>2014</c:v>
                </c:pt>
              </c:numCache>
            </c:numRef>
          </c:cat>
          <c:val>
            <c:numRef>
              <c:f>'Projects created each year (2)'!$B$2:$B$24</c:f>
              <c:numCache>
                <c:formatCode>General</c:formatCode>
                <c:ptCount val="23"/>
                <c:pt idx="0">
                  <c:v>1</c:v>
                </c:pt>
                <c:pt idx="1">
                  <c:v>3</c:v>
                </c:pt>
                <c:pt idx="2">
                  <c:v>4</c:v>
                </c:pt>
                <c:pt idx="3">
                  <c:v>5</c:v>
                </c:pt>
                <c:pt idx="4">
                  <c:v>10</c:v>
                </c:pt>
                <c:pt idx="5">
                  <c:v>10</c:v>
                </c:pt>
                <c:pt idx="6">
                  <c:v>15</c:v>
                </c:pt>
                <c:pt idx="7">
                  <c:v>9</c:v>
                </c:pt>
                <c:pt idx="8">
                  <c:v>9</c:v>
                </c:pt>
                <c:pt idx="9">
                  <c:v>4</c:v>
                </c:pt>
                <c:pt idx="10">
                  <c:v>17</c:v>
                </c:pt>
                <c:pt idx="11">
                  <c:v>8</c:v>
                </c:pt>
                <c:pt idx="12">
                  <c:v>39</c:v>
                </c:pt>
                <c:pt idx="13">
                  <c:v>22</c:v>
                </c:pt>
                <c:pt idx="14">
                  <c:v>14</c:v>
                </c:pt>
                <c:pt idx="15">
                  <c:v>13</c:v>
                </c:pt>
                <c:pt idx="16">
                  <c:v>16</c:v>
                </c:pt>
                <c:pt idx="17">
                  <c:v>8</c:v>
                </c:pt>
                <c:pt idx="18">
                  <c:v>12</c:v>
                </c:pt>
                <c:pt idx="19">
                  <c:v>35</c:v>
                </c:pt>
                <c:pt idx="20">
                  <c:v>20</c:v>
                </c:pt>
                <c:pt idx="21">
                  <c:v>9</c:v>
                </c:pt>
                <c:pt idx="22">
                  <c:v>18</c:v>
                </c:pt>
              </c:numCache>
            </c:numRef>
          </c:val>
          <c:extLst>
            <c:ext xmlns:c16="http://schemas.microsoft.com/office/drawing/2014/chart" uri="{C3380CC4-5D6E-409C-BE32-E72D297353CC}">
              <c16:uniqueId val="{00000000-23C5-4560-8596-F58B0E18E415}"/>
            </c:ext>
          </c:extLst>
        </c:ser>
        <c:dLbls>
          <c:showLegendKey val="0"/>
          <c:showVal val="0"/>
          <c:showCatName val="0"/>
          <c:showSerName val="0"/>
          <c:showPercent val="0"/>
          <c:showBubbleSize val="0"/>
        </c:dLbls>
        <c:gapWidth val="219"/>
        <c:overlap val="-27"/>
        <c:axId val="2122156032"/>
        <c:axId val="2122155072"/>
      </c:barChart>
      <c:catAx>
        <c:axId val="2122156032"/>
        <c:scaling>
          <c:orientation val="minMax"/>
        </c:scaling>
        <c:delete val="0"/>
        <c:axPos val="b"/>
        <c:title>
          <c:tx>
            <c:rich>
              <a:bodyPr rot="0" spcFirstLastPara="1" vertOverflow="ellipsis" vert="horz" wrap="square" anchor="ctr" anchorCtr="1"/>
              <a:lstStyle/>
              <a:p>
                <a:pPr>
                  <a:defRPr lang="zh-CN" sz="105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en-US" sz="1050">
                    <a:latin typeface="Times New Roman" panose="02020603050405020304" charset="0"/>
                    <a:cs typeface="Times New Roman" panose="02020603050405020304" charset="0"/>
                  </a:rPr>
                  <a:t>Year</a:t>
                </a:r>
              </a:p>
            </c:rich>
          </c:tx>
          <c:overlay val="0"/>
          <c:spPr>
            <a:noFill/>
            <a:ln>
              <a:noFill/>
            </a:ln>
            <a:effectLst/>
          </c:spPr>
          <c:txPr>
            <a:bodyPr rot="0" spcFirstLastPara="1" vertOverflow="ellipsis" vert="horz" wrap="square" anchor="ctr" anchorCtr="1"/>
            <a:lstStyle/>
            <a:p>
              <a:pPr>
                <a:defRPr lang="zh-CN" sz="105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0" i="0" u="none" strike="noStrike" kern="1200" baseline="0">
                <a:ln>
                  <a:noFill/>
                </a:ln>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2122155072"/>
        <c:crosses val="autoZero"/>
        <c:auto val="1"/>
        <c:lblAlgn val="ctr"/>
        <c:lblOffset val="100"/>
        <c:noMultiLvlLbl val="0"/>
      </c:catAx>
      <c:valAx>
        <c:axId val="2122155072"/>
        <c:scaling>
          <c:orientation val="minMax"/>
        </c:scaling>
        <c:delete val="0"/>
        <c:axPos val="l"/>
        <c:majorGridlines>
          <c:spPr>
            <a:ln w="9525" cap="flat" cmpd="sng" algn="ctr">
              <a:solidFill>
                <a:schemeClr val="tx1">
                  <a:lumMod val="15000"/>
                  <a:lumOff val="85000"/>
                </a:schemeClr>
              </a:solidFill>
              <a:round/>
            </a:ln>
            <a:effectLst>
              <a:glow rad="127000">
                <a:schemeClr val="bg1"/>
              </a:glow>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en-US" sz="1000">
                    <a:latin typeface="Times New Roman" panose="02020603050405020304" charset="0"/>
                    <a:cs typeface="Times New Roman" panose="02020603050405020304" charset="0"/>
                  </a:rPr>
                  <a:t>Projects</a:t>
                </a:r>
                <a:r>
                  <a:rPr lang="en-US" sz="1000" baseline="0">
                    <a:latin typeface="Times New Roman" panose="02020603050405020304" charset="0"/>
                    <a:cs typeface="Times New Roman" panose="02020603050405020304" charset="0"/>
                  </a:rPr>
                  <a:t> created</a:t>
                </a:r>
                <a:endParaRPr lang="en-US" sz="1000">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lumMod val="15000"/>
                <a:lumOff val="85000"/>
              </a:schemeClr>
            </a:solidFill>
          </a:ln>
          <a:effectLst>
            <a:outerShdw blurRad="50800" dist="25400" dir="5400000" sx="5000" sy="5000" algn="ctr" rotWithShape="0">
              <a:srgbClr val="000000">
                <a:alpha val="43137"/>
              </a:srgbClr>
            </a:outerShdw>
          </a:effectLst>
        </c:spPr>
        <c:txPr>
          <a:bodyPr rot="-60000000" spcFirstLastPara="1" vertOverflow="ellipsis" vert="horz" wrap="square" anchor="ctr" anchorCtr="1"/>
          <a:lstStyle/>
          <a:p>
            <a:pPr>
              <a:defRPr lang="zh-CN" sz="105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crossAx val="212215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2"/>
      </a:solidFill>
      <a:round/>
    </a:ln>
    <a:effectLst/>
  </c:spPr>
  <c:txPr>
    <a:bodyPr/>
    <a:lstStyle/>
    <a:p>
      <a:pPr>
        <a:defRPr lang="zh-CN"/>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(2)'!$E$7</c:f>
              <c:strCache>
                <c:ptCount val="1"/>
                <c:pt idx="0">
                  <c:v>Amount of projects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EF3-4447-B0B2-A46580CF3B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EF3-4447-B0B2-A46580CF3B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EF3-4447-B0B2-A46580CF3B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EF3-4447-B0B2-A46580CF3B0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EF3-4447-B0B2-A46580CF3B0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EF3-4447-B0B2-A46580CF3B0C}"/>
              </c:ext>
            </c:extLst>
          </c:dPt>
          <c:dLbls>
            <c:dLbl>
              <c:idx val="0"/>
              <c:layout>
                <c:manualLayout>
                  <c:x val="-0.16219261793008"/>
                  <c:y val="1.7646675744479302E-2"/>
                </c:manualLayout>
              </c:layout>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bg1"/>
                      </a:solidFill>
                      <a:latin typeface="Times New Roman" panose="02020603050405020304" charset="0"/>
                      <a:ea typeface="+mn-ea"/>
                      <a:cs typeface="Times New Roman" panose="02020603050405020304" charset="0"/>
                    </a:defRPr>
                  </a:pPr>
                  <a:endParaRPr lang="en-US"/>
                </a:p>
              </c:txPr>
              <c:dLblPos val="bestFit"/>
              <c:showLegendKey val="1"/>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EF3-4447-B0B2-A46580CF3B0C}"/>
                </c:ext>
              </c:extLst>
            </c:dLbl>
            <c:dLbl>
              <c:idx val="2"/>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bg1"/>
                      </a:solidFill>
                      <a:latin typeface="Times New Roman" panose="02020603050405020304" charset="0"/>
                      <a:ea typeface="+mn-ea"/>
                      <a:cs typeface="Times New Roman" panose="02020603050405020304" charset="0"/>
                    </a:defRPr>
                  </a:pPr>
                  <a:endParaRPr lang="en-US"/>
                </a:p>
              </c:txPr>
              <c:dLblPos val="bestFit"/>
              <c:showLegendKey val="1"/>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AEF3-4447-B0B2-A46580CF3B0C}"/>
                </c:ext>
              </c:extLst>
            </c:dLbl>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en-US"/>
              </a:p>
            </c:txPr>
            <c:dLblPos val="bestFit"/>
            <c:showLegendKey val="1"/>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 (2)'!$F$6:$K$6</c:f>
              <c:strCache>
                <c:ptCount val="6"/>
                <c:pt idx="0">
                  <c:v>&lt;=100</c:v>
                </c:pt>
                <c:pt idx="1">
                  <c:v>101-200</c:v>
                </c:pt>
                <c:pt idx="2">
                  <c:v>201-300</c:v>
                </c:pt>
                <c:pt idx="3">
                  <c:v>301-400</c:v>
                </c:pt>
                <c:pt idx="4">
                  <c:v>401-500</c:v>
                </c:pt>
                <c:pt idx="5">
                  <c:v>&gt;500</c:v>
                </c:pt>
              </c:strCache>
            </c:strRef>
          </c:cat>
          <c:val>
            <c:numRef>
              <c:f>'Sheet1 (2)'!$F$7:$K$7</c:f>
              <c:numCache>
                <c:formatCode>General</c:formatCode>
                <c:ptCount val="6"/>
                <c:pt idx="0">
                  <c:v>152</c:v>
                </c:pt>
                <c:pt idx="1">
                  <c:v>67</c:v>
                </c:pt>
                <c:pt idx="2">
                  <c:v>32</c:v>
                </c:pt>
                <c:pt idx="3">
                  <c:v>14</c:v>
                </c:pt>
                <c:pt idx="4">
                  <c:v>10</c:v>
                </c:pt>
                <c:pt idx="5">
                  <c:v>26</c:v>
                </c:pt>
              </c:numCache>
            </c:numRef>
          </c:val>
          <c:extLst>
            <c:ext xmlns:c16="http://schemas.microsoft.com/office/drawing/2014/chart" uri="{C3380CC4-5D6E-409C-BE32-E72D297353CC}">
              <c16:uniqueId val="{0000000C-AEF3-4447-B0B2-A46580CF3B0C}"/>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80940364130589504"/>
          <c:y val="0.50546578794946895"/>
          <c:w val="0.112267397103593"/>
          <c:h val="0.38064176188502802"/>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latin typeface="Times New Roman" panose="02020603050405020304" charset="0"/>
          <a:cs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47F0-BA1D-4B59-B227-F18D24660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13128</Words>
  <Characters>74836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ZHANG</dc:creator>
  <cp:lastModifiedBy>Hoekman, Angeline</cp:lastModifiedBy>
  <cp:revision>2</cp:revision>
  <dcterms:created xsi:type="dcterms:W3CDTF">2024-12-23T17:53:00Z</dcterms:created>
  <dcterms:modified xsi:type="dcterms:W3CDTF">2024-12-23T17:53:00Z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a6754156934f54dbd7cd808aed0e2e510bcfb1eff1a2f10cdec283b96cf9e9a1</vt:lpwstr>
  </property>
  <property fmtid="{D5CDD505-2E9C-101B-9397-08002B2CF9AE}" pid="3" name="KSOProductBuildVer">
    <vt:lpwstr>2052-12.1.0.16120</vt:lpwstr>
  </property>
  <property fmtid="{D5CDD505-2E9C-101B-9397-08002B2CF9AE}" pid="4" name="ICV">
    <vt:lpwstr>BE7D7931FF764AA896193C80200C46F6_13</vt:lpwstr>
  </property>
</Properties>
</file>