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640DE" w14:textId="77777777" w:rsidR="00CA27C1" w:rsidRPr="00B875C6" w:rsidRDefault="00CA27C1" w:rsidP="00CA27C1">
      <w:pPr>
        <w:rPr>
          <w:b/>
          <w:bCs/>
          <w:lang w:val="en-GB"/>
        </w:rPr>
      </w:pPr>
      <w:r w:rsidRPr="00B875C6">
        <w:rPr>
          <w:b/>
          <w:bCs/>
          <w:lang w:val="en-GB"/>
        </w:rPr>
        <w:t>Appendix</w:t>
      </w:r>
    </w:p>
    <w:p w14:paraId="33E35B57" w14:textId="5A7368F9" w:rsidR="00CA27C1" w:rsidRPr="00B875C6" w:rsidRDefault="00CA27C1" w:rsidP="00CA27C1">
      <w:pPr>
        <w:rPr>
          <w:lang w:val="en-GB"/>
        </w:rPr>
      </w:pPr>
      <w:r w:rsidRPr="00B875C6">
        <w:rPr>
          <w:lang w:val="en-GB"/>
        </w:rPr>
        <w:t xml:space="preserve">This appendix complements the article </w:t>
      </w:r>
      <w:r>
        <w:rPr>
          <w:lang w:val="en-GB"/>
        </w:rPr>
        <w:t>‘</w:t>
      </w:r>
      <w:r w:rsidRPr="00B875C6">
        <w:rPr>
          <w:lang w:val="en-GB"/>
        </w:rPr>
        <w:t>Reluctant acceptance of legal solutions to territorial disputes as signals of foreign policy reorientation.</w:t>
      </w:r>
      <w:r>
        <w:rPr>
          <w:lang w:val="en-GB"/>
        </w:rPr>
        <w:t>’</w:t>
      </w:r>
      <w:r w:rsidRPr="00B875C6">
        <w:rPr>
          <w:lang w:val="en-GB"/>
        </w:rPr>
        <w:t xml:space="preserve"> The first section contains information on the media sources used for the Libyan case, and the complete references for cited news items. The second section provides information regarding methods and ethics for the interviews conducted for the Israeli case. This also includes additional information about the cited interviewees. A third section explains the coding for Table 1 in the article, which motivates the method of agreement for case selection strategy. The fourth and final section specifies cases of legal dispute resolution of interstate territorial disputes 1945-2000, including information regarding the relative strengths of legal claims, disputant reluctance to accept </w:t>
      </w:r>
      <w:r>
        <w:rPr>
          <w:lang w:val="en-GB"/>
        </w:rPr>
        <w:t>legal settlement</w:t>
      </w:r>
      <w:r w:rsidRPr="00B875C6">
        <w:rPr>
          <w:lang w:val="en-GB"/>
        </w:rPr>
        <w:t xml:space="preserve">, and outcomes of the legal processes. </w:t>
      </w:r>
    </w:p>
    <w:p w14:paraId="3433F884" w14:textId="77777777" w:rsidR="00CA27C1" w:rsidRPr="00B875C6" w:rsidRDefault="00CA27C1" w:rsidP="00CA27C1">
      <w:pPr>
        <w:pStyle w:val="Heading1"/>
      </w:pPr>
      <w:r w:rsidRPr="00B875C6">
        <w:t>News archives</w:t>
      </w:r>
    </w:p>
    <w:p w14:paraId="48D1A69C" w14:textId="77777777" w:rsidR="00CA27C1" w:rsidRPr="00B875C6" w:rsidRDefault="00CA27C1" w:rsidP="00CA27C1">
      <w:pPr>
        <w:rPr>
          <w:lang w:val="en-GB"/>
        </w:rPr>
      </w:pPr>
      <w:r w:rsidRPr="00B875C6">
        <w:rPr>
          <w:lang w:val="en-GB"/>
        </w:rPr>
        <w:t xml:space="preserve">I manually collected and </w:t>
      </w:r>
      <w:proofErr w:type="spellStart"/>
      <w:r w:rsidRPr="00B875C6">
        <w:rPr>
          <w:lang w:val="en-GB"/>
        </w:rPr>
        <w:t>analyzed</w:t>
      </w:r>
      <w:proofErr w:type="spellEnd"/>
      <w:r w:rsidRPr="00B875C6">
        <w:rPr>
          <w:lang w:val="en-GB"/>
        </w:rPr>
        <w:t xml:space="preserve"> close to 900 news items, spanning more than 1,200 pages of text, for the Libyan case study. The entries spanned international and domestic media reporting, including broadcast media (TV and radio), newspaper reports, and news digests. I relied on two main sources for media reports: the British Broadcasting Corporation (BBC) monitoring service, and the Africa Research Bulletin (ARB). The BBC monitoring service provides translations of domestic and international media (print and broadcast) </w:t>
      </w:r>
      <w:proofErr w:type="gramStart"/>
      <w:r w:rsidRPr="00B875C6">
        <w:rPr>
          <w:lang w:val="en-GB"/>
        </w:rPr>
        <w:t>on a daily basis</w:t>
      </w:r>
      <w:proofErr w:type="gramEnd"/>
      <w:r w:rsidRPr="00B875C6">
        <w:rPr>
          <w:lang w:val="en-GB"/>
        </w:rPr>
        <w:t xml:space="preserve"> (</w:t>
      </w:r>
      <w:proofErr w:type="spellStart"/>
      <w:r w:rsidRPr="00B875C6">
        <w:rPr>
          <w:lang w:val="en-GB"/>
        </w:rPr>
        <w:t>Leetaru</w:t>
      </w:r>
      <w:proofErr w:type="spellEnd"/>
      <w:r w:rsidRPr="00B875C6">
        <w:rPr>
          <w:lang w:val="en-GB"/>
        </w:rPr>
        <w:t xml:space="preserve"> 2010). Access to domestic reporting offers detailed and context-sensitive primary material on parliamentary proceedings, government statements, speeches, and general framing of foreign policy and the Aouzou issue, which may be omitted or distorted in international news coverage. BBC’s monitoring service furthermore enables access to daily media other than the major western and/or international news agencies and news organizations, without the need for proficiency in the vernacular. I consider two potential pitfalls associated with reliance on this source. First, given that monitoring services introduce a selection process of what news items </w:t>
      </w:r>
      <w:r w:rsidRPr="00B875C6">
        <w:rPr>
          <w:lang w:val="en-GB"/>
        </w:rPr>
        <w:lastRenderedPageBreak/>
        <w:t xml:space="preserve">to translate, it could be that they underreport important political developments and statements, and that I thereby miss important information on the </w:t>
      </w:r>
      <w:proofErr w:type="spellStart"/>
      <w:r w:rsidRPr="00B875C6">
        <w:rPr>
          <w:lang w:val="en-GB"/>
        </w:rPr>
        <w:t>behavior</w:t>
      </w:r>
      <w:proofErr w:type="spellEnd"/>
      <w:r w:rsidRPr="00B875C6">
        <w:rPr>
          <w:lang w:val="en-GB"/>
        </w:rPr>
        <w:t xml:space="preserve"> and motivations of the involved parties. This is especially problematic when monitoring services summarize and paraphrase domestic media, rather than translate items per verbatim. I have consequently ensured that all citations from BBC monitoring were clearly marked as actual </w:t>
      </w:r>
      <w:proofErr w:type="gramStart"/>
      <w:r w:rsidRPr="00B875C6">
        <w:rPr>
          <w:lang w:val="en-GB"/>
        </w:rPr>
        <w:t>quotes, and</w:t>
      </w:r>
      <w:proofErr w:type="gramEnd"/>
      <w:r w:rsidRPr="00B875C6">
        <w:rPr>
          <w:lang w:val="en-GB"/>
        </w:rPr>
        <w:t xml:space="preserve"> not paraphrases. Regarding the overarching fear of underreporting, BBC monitoring provide ample reporting on the Aouzou issue, and Libyan foreign policy in general, given the high salience of Libyan interventionist policy during the examined period. A substantial share of the </w:t>
      </w:r>
      <w:proofErr w:type="spellStart"/>
      <w:r w:rsidRPr="00B875C6">
        <w:rPr>
          <w:lang w:val="en-GB"/>
        </w:rPr>
        <w:t>analyzed</w:t>
      </w:r>
      <w:proofErr w:type="spellEnd"/>
      <w:r w:rsidRPr="00B875C6">
        <w:rPr>
          <w:lang w:val="en-GB"/>
        </w:rPr>
        <w:t xml:space="preserve"> monitoring items furthermore concerned translations of speeches, interviews, and government statements, reported in their entirety. This should mitigate the worst fears of selective and distortive reporting. </w:t>
      </w:r>
    </w:p>
    <w:p w14:paraId="2DF19387" w14:textId="77777777" w:rsidR="00CA27C1" w:rsidRPr="00B875C6" w:rsidRDefault="00CA27C1" w:rsidP="00CA27C1">
      <w:pPr>
        <w:rPr>
          <w:lang w:val="en-GB"/>
        </w:rPr>
      </w:pPr>
      <w:r w:rsidRPr="00B875C6">
        <w:rPr>
          <w:lang w:val="en-GB"/>
        </w:rPr>
        <w:t>A second issue concerns potential loss of nuance and meaning in the process of translation. In short, context sensitive meaning may be lost in the process of translation, introducing errors in the analysis. Relatedly, foreign policy utterances during the Qaddafi era were arguably embedded within an overarching discourse of Nasserite Pan-Arabism, Libyan (or maybe more aptly Qaddafi’s) Revolutionary theory, situated in the overarching Cold-War dynamics, and drawing on central concepts such as antisemitism, Palestinian solidarity, Islamism, African self-determination movements, and anti-imperialism. Admittedly, reliance on translations for the analysis of changes in foreign policy outlooks, and the framing of territorial dispute resolution efforts, introduces an additional risk of misinterpretation in relation to such a complex overarching discourse. Within a positivist methodology, this speaks to issues concerning both validity and reliability of measurement. I have tried to mitigate this by focusing on the more manifest aspects of foreign policy statements, such as whether the foreign policy agents declare actual changes in policy, as well as whether they explicitly call for cooperation.</w:t>
      </w:r>
    </w:p>
    <w:p w14:paraId="27B56841" w14:textId="77777777" w:rsidR="00CA27C1" w:rsidRPr="00B875C6" w:rsidRDefault="00CA27C1" w:rsidP="00CA27C1">
      <w:pPr>
        <w:rPr>
          <w:lang w:val="en-GB"/>
        </w:rPr>
      </w:pPr>
      <w:r w:rsidRPr="00B875C6">
        <w:rPr>
          <w:lang w:val="en-GB"/>
        </w:rPr>
        <w:lastRenderedPageBreak/>
        <w:t xml:space="preserve">ARB is a London based bulletin service that complements BBC monitoring by providing peer-reviewed reporting and commentary on regional and national issues in Africa. While sharing BBC monitoring’s focus on domestic print and broadcast media as primary sources for reporting, and predominantly relying on paraphrasing rather than verbatim translations, ARB complements news sources with an extensive network of local contacts, as well as other sources such as International Organizations, and international media. The primary benefit of ARB is to contextualize and corroborate the information from BBC monitoring. </w:t>
      </w:r>
    </w:p>
    <w:p w14:paraId="756D40A7" w14:textId="77777777" w:rsidR="00CA27C1" w:rsidRPr="00B875C6" w:rsidRDefault="00CA27C1" w:rsidP="00CA27C1">
      <w:pPr>
        <w:rPr>
          <w:rFonts w:eastAsia="Times New Roman"/>
          <w:lang w:val="en-GB" w:eastAsia="sv-SE"/>
        </w:rPr>
      </w:pPr>
      <w:r w:rsidRPr="00B875C6">
        <w:rPr>
          <w:rFonts w:eastAsia="Times New Roman"/>
          <w:lang w:val="en-GB" w:eastAsia="sv-SE"/>
        </w:rPr>
        <w:t xml:space="preserve">Below, I provide full references for the news-items cited in the article. </w:t>
      </w:r>
    </w:p>
    <w:p w14:paraId="7B564BF6" w14:textId="77777777" w:rsidR="00CA27C1" w:rsidRPr="003824DE" w:rsidRDefault="00CA27C1" w:rsidP="00CA27C1">
      <w:pPr>
        <w:spacing w:after="0"/>
        <w:rPr>
          <w:bCs/>
          <w:i/>
          <w:lang w:val="en-GB"/>
        </w:rPr>
      </w:pPr>
      <w:bookmarkStart w:id="0" w:name="_Hlk189485714"/>
      <w:r w:rsidRPr="003824DE">
        <w:rPr>
          <w:bCs/>
          <w:i/>
          <w:lang w:val="en-GB"/>
        </w:rPr>
        <w:t>References to cited news-items</w:t>
      </w:r>
      <w:bookmarkEnd w:id="0"/>
    </w:p>
    <w:p w14:paraId="38AD21F7" w14:textId="77777777" w:rsidR="00CA27C1" w:rsidRPr="00411DCA" w:rsidRDefault="00CA27C1" w:rsidP="00CA27C1">
      <w:pPr>
        <w:spacing w:line="278" w:lineRule="auto"/>
        <w:ind w:left="709" w:hanging="709"/>
      </w:pPr>
      <w:r w:rsidRPr="00411DCA">
        <w:t>Africa No 1</w:t>
      </w:r>
      <w:r>
        <w:t xml:space="preserve"> (1987)</w:t>
      </w:r>
      <w:r w:rsidRPr="00411DCA">
        <w:t xml:space="preserve"> ‘Chad: OAU Talks Proceed Without Libya’. </w:t>
      </w:r>
      <w:r w:rsidRPr="00411DCA">
        <w:rPr>
          <w:i/>
          <w:iCs/>
        </w:rPr>
        <w:t>Africa No 1 (BBC Summary of World Broadcasts)</w:t>
      </w:r>
      <w:r w:rsidRPr="00411DCA">
        <w:t xml:space="preserve"> </w:t>
      </w:r>
      <w:r>
        <w:t xml:space="preserve">(21 </w:t>
      </w:r>
      <w:r w:rsidRPr="00411DCA">
        <w:t>May</w:t>
      </w:r>
      <w:r>
        <w:t>).</w:t>
      </w:r>
    </w:p>
    <w:p w14:paraId="64FCD579" w14:textId="77777777" w:rsidR="00CA27C1" w:rsidRPr="00411DCA" w:rsidRDefault="00CA27C1" w:rsidP="00CA27C1">
      <w:pPr>
        <w:spacing w:line="278" w:lineRule="auto"/>
        <w:ind w:left="709" w:hanging="709"/>
      </w:pPr>
      <w:r w:rsidRPr="00411DCA">
        <w:t>ARB</w:t>
      </w:r>
      <w:r>
        <w:t xml:space="preserve"> (1987a)</w:t>
      </w:r>
      <w:r w:rsidRPr="00411DCA">
        <w:t xml:space="preserve"> ‘Chad: Last Stronghold Falls as Libyan Troops Retreat’. </w:t>
      </w:r>
      <w:r w:rsidRPr="00411DCA">
        <w:rPr>
          <w:i/>
          <w:iCs/>
        </w:rPr>
        <w:t>Africa Research Bulletin, Political, Social and Cultural Series</w:t>
      </w:r>
      <w:r>
        <w:t xml:space="preserve"> (15 </w:t>
      </w:r>
      <w:r w:rsidRPr="00411DCA">
        <w:t>April</w:t>
      </w:r>
      <w:r>
        <w:t xml:space="preserve">): </w:t>
      </w:r>
      <w:r w:rsidRPr="00411DCA">
        <w:t>8432-8435</w:t>
      </w:r>
      <w:r>
        <w:t>.</w:t>
      </w:r>
    </w:p>
    <w:p w14:paraId="52966D81" w14:textId="77777777" w:rsidR="00CA27C1" w:rsidRPr="00411DCA" w:rsidRDefault="00CA27C1" w:rsidP="00CA27C1">
      <w:pPr>
        <w:spacing w:line="278" w:lineRule="auto"/>
        <w:ind w:left="709" w:hanging="709"/>
      </w:pPr>
      <w:r w:rsidRPr="00411DCA">
        <w:t xml:space="preserve">ARB </w:t>
      </w:r>
      <w:r>
        <w:t xml:space="preserve">(1987b) </w:t>
      </w:r>
      <w:r w:rsidRPr="00411DCA">
        <w:t xml:space="preserve">‘Chad: Libyan Rout Revealed’. </w:t>
      </w:r>
      <w:r w:rsidRPr="00411DCA">
        <w:rPr>
          <w:i/>
          <w:iCs/>
        </w:rPr>
        <w:t>Africa Research Bulletin, Political, Social and Cultural Series</w:t>
      </w:r>
      <w:r>
        <w:t xml:space="preserve"> (15 </w:t>
      </w:r>
      <w:r w:rsidRPr="00411DCA">
        <w:t>May</w:t>
      </w:r>
      <w:r>
        <w:t xml:space="preserve">): </w:t>
      </w:r>
      <w:r w:rsidRPr="00411DCA">
        <w:t>8468-8469</w:t>
      </w:r>
      <w:r>
        <w:t>.</w:t>
      </w:r>
    </w:p>
    <w:p w14:paraId="6FF3D2F0" w14:textId="77777777" w:rsidR="00CA27C1" w:rsidRPr="00411DCA" w:rsidRDefault="00CA27C1" w:rsidP="00CA27C1">
      <w:pPr>
        <w:spacing w:line="278" w:lineRule="auto"/>
        <w:ind w:left="709" w:hanging="709"/>
      </w:pPr>
      <w:r w:rsidRPr="00411DCA">
        <w:t>ARB</w:t>
      </w:r>
      <w:r>
        <w:t xml:space="preserve"> (1987c)</w:t>
      </w:r>
      <w:r w:rsidRPr="00411DCA">
        <w:t xml:space="preserve"> ‘Chad: Struggle to Continue’. </w:t>
      </w:r>
      <w:r w:rsidRPr="00411DCA">
        <w:rPr>
          <w:i/>
          <w:iCs/>
        </w:rPr>
        <w:t>Africa Research Bulletin, Political, Social and Cultural Series</w:t>
      </w:r>
      <w:r w:rsidRPr="00411DCA">
        <w:t xml:space="preserve"> </w:t>
      </w:r>
      <w:r>
        <w:t xml:space="preserve">(15 </w:t>
      </w:r>
      <w:r w:rsidRPr="00411DCA">
        <w:t>July</w:t>
      </w:r>
      <w:r>
        <w:t xml:space="preserve">): </w:t>
      </w:r>
      <w:r w:rsidRPr="00411DCA">
        <w:t>8538-8539</w:t>
      </w:r>
      <w:r>
        <w:t>.</w:t>
      </w:r>
    </w:p>
    <w:p w14:paraId="77F042A9" w14:textId="77777777" w:rsidR="00CA27C1" w:rsidRPr="00411DCA" w:rsidRDefault="00CA27C1" w:rsidP="00CA27C1">
      <w:pPr>
        <w:spacing w:line="278" w:lineRule="auto"/>
        <w:ind w:left="709" w:hanging="709"/>
      </w:pPr>
      <w:r w:rsidRPr="00411DCA">
        <w:t>ARB</w:t>
      </w:r>
      <w:r>
        <w:t xml:space="preserve"> (1987d)</w:t>
      </w:r>
      <w:r w:rsidRPr="00411DCA">
        <w:t xml:space="preserve"> ‘Chad-Libya: Aouzou Claims Filed’. </w:t>
      </w:r>
      <w:r w:rsidRPr="00411DCA">
        <w:rPr>
          <w:i/>
          <w:iCs/>
        </w:rPr>
        <w:t>Africa Research Bulletin, Political, Social and Cultural Series</w:t>
      </w:r>
      <w:r w:rsidRPr="00411DCA">
        <w:t xml:space="preserve"> </w:t>
      </w:r>
      <w:r>
        <w:t xml:space="preserve">(15 </w:t>
      </w:r>
      <w:r w:rsidRPr="00411DCA">
        <w:t>December</w:t>
      </w:r>
      <w:r>
        <w:t xml:space="preserve">): </w:t>
      </w:r>
      <w:r w:rsidRPr="00411DCA">
        <w:t>8687-8688</w:t>
      </w:r>
      <w:r>
        <w:t>.</w:t>
      </w:r>
    </w:p>
    <w:p w14:paraId="573A48CD" w14:textId="77777777" w:rsidR="00CA27C1" w:rsidRPr="00411DCA" w:rsidRDefault="00CA27C1" w:rsidP="00CA27C1">
      <w:pPr>
        <w:spacing w:line="278" w:lineRule="auto"/>
        <w:ind w:left="709" w:hanging="709"/>
      </w:pPr>
      <w:r w:rsidRPr="00411DCA">
        <w:t xml:space="preserve">ARB </w:t>
      </w:r>
      <w:r>
        <w:t>(1988)</w:t>
      </w:r>
      <w:r w:rsidRPr="00411DCA">
        <w:t xml:space="preserve"> ‘Chad-Libya</w:t>
      </w:r>
      <w:r>
        <w:t xml:space="preserve">: </w:t>
      </w:r>
      <w:r w:rsidRPr="00411DCA">
        <w:t xml:space="preserve">Peace Process Accelerates’. </w:t>
      </w:r>
      <w:r w:rsidRPr="00411DCA">
        <w:rPr>
          <w:i/>
          <w:iCs/>
        </w:rPr>
        <w:t>Africa Research Bulletin, Political, Social and Cultural Series</w:t>
      </w:r>
      <w:r w:rsidRPr="00411DCA">
        <w:t xml:space="preserve"> </w:t>
      </w:r>
      <w:r>
        <w:t xml:space="preserve">(15 </w:t>
      </w:r>
      <w:r w:rsidRPr="00411DCA">
        <w:t>December</w:t>
      </w:r>
      <w:r>
        <w:t xml:space="preserve">): </w:t>
      </w:r>
      <w:r w:rsidRPr="00411DCA">
        <w:t>9063-9064</w:t>
      </w:r>
      <w:r>
        <w:t>.</w:t>
      </w:r>
    </w:p>
    <w:p w14:paraId="7207C09A" w14:textId="77777777" w:rsidR="00CA27C1" w:rsidRPr="00411DCA" w:rsidRDefault="00CA27C1" w:rsidP="00CA27C1">
      <w:pPr>
        <w:spacing w:line="278" w:lineRule="auto"/>
        <w:ind w:left="709" w:hanging="709"/>
      </w:pPr>
      <w:r w:rsidRPr="00411DCA">
        <w:t>ARB</w:t>
      </w:r>
      <w:r>
        <w:t xml:space="preserve"> (1989)</w:t>
      </w:r>
      <w:r w:rsidRPr="00411DCA">
        <w:t xml:space="preserve"> ‘Libya: </w:t>
      </w:r>
      <w:proofErr w:type="spellStart"/>
      <w:r w:rsidRPr="00411DCA">
        <w:t>Gaddafy’s</w:t>
      </w:r>
      <w:proofErr w:type="spellEnd"/>
      <w:r w:rsidRPr="00411DCA">
        <w:t xml:space="preserve"> 20th Anniversary’. </w:t>
      </w:r>
      <w:r w:rsidRPr="00411DCA">
        <w:rPr>
          <w:i/>
          <w:iCs/>
        </w:rPr>
        <w:t>Africa Research Bulletin, Political, Social and Cultural Series</w:t>
      </w:r>
      <w:r w:rsidRPr="00411DCA">
        <w:t xml:space="preserve"> </w:t>
      </w:r>
      <w:r>
        <w:t xml:space="preserve">(15 </w:t>
      </w:r>
      <w:r w:rsidRPr="00411DCA">
        <w:t>October</w:t>
      </w:r>
      <w:r>
        <w:t xml:space="preserve">): </w:t>
      </w:r>
      <w:r w:rsidRPr="00411DCA">
        <w:t>9409-9410</w:t>
      </w:r>
      <w:r>
        <w:t>.</w:t>
      </w:r>
    </w:p>
    <w:p w14:paraId="2E74D5DF" w14:textId="77777777" w:rsidR="00CA27C1" w:rsidRDefault="00CA27C1" w:rsidP="00CA27C1">
      <w:pPr>
        <w:spacing w:line="278" w:lineRule="auto"/>
        <w:ind w:left="709" w:hanging="709"/>
      </w:pPr>
      <w:r w:rsidRPr="00411DCA">
        <w:t>Dakar Radio</w:t>
      </w:r>
      <w:r>
        <w:t xml:space="preserve"> (1985)</w:t>
      </w:r>
      <w:r w:rsidRPr="00411DCA">
        <w:t xml:space="preserve"> ‘Qadhafi in Senegal and Mali: policy towards Chad’. </w:t>
      </w:r>
      <w:r w:rsidRPr="00411DCA">
        <w:rPr>
          <w:i/>
          <w:iCs/>
        </w:rPr>
        <w:t>Dakar Radio (BBC Summary of World Broadcasts)</w:t>
      </w:r>
      <w:r w:rsidRPr="00411DCA">
        <w:t xml:space="preserve"> </w:t>
      </w:r>
      <w:r>
        <w:t xml:space="preserve">(5 </w:t>
      </w:r>
      <w:r w:rsidRPr="00411DCA">
        <w:t>December</w:t>
      </w:r>
      <w:r>
        <w:t>).</w:t>
      </w:r>
    </w:p>
    <w:p w14:paraId="74933BBA" w14:textId="32F4B348" w:rsidR="0005067F" w:rsidRPr="00411DCA" w:rsidRDefault="0005067F" w:rsidP="0005067F">
      <w:pPr>
        <w:spacing w:line="278" w:lineRule="auto"/>
        <w:ind w:left="709" w:hanging="709"/>
      </w:pPr>
      <w:r w:rsidRPr="0005067F">
        <w:t xml:space="preserve">The Guardian on Sunday Web Site ‘Nigeria’s Military Command Denies Deploying Troops to Bakassi Peninsula’. </w:t>
      </w:r>
      <w:r w:rsidRPr="0005067F">
        <w:rPr>
          <w:i/>
          <w:iCs/>
        </w:rPr>
        <w:t>The Guardian on Sunday Web Site (BBC Summary of World Broadcasts)</w:t>
      </w:r>
      <w:r w:rsidRPr="0005067F">
        <w:t>, September 8.</w:t>
      </w:r>
    </w:p>
    <w:p w14:paraId="533DA4A7" w14:textId="77777777" w:rsidR="00CA27C1" w:rsidRPr="00411DCA" w:rsidRDefault="00CA27C1" w:rsidP="00CA27C1">
      <w:pPr>
        <w:spacing w:line="278" w:lineRule="auto"/>
        <w:ind w:left="709" w:hanging="709"/>
      </w:pPr>
      <w:r w:rsidRPr="00411DCA">
        <w:t>JANA</w:t>
      </w:r>
      <w:r>
        <w:t xml:space="preserve"> (1983)</w:t>
      </w:r>
      <w:r w:rsidRPr="00411DCA">
        <w:t xml:space="preserve"> ‘Libyan Statements on “‘Imperialist’” Ambitions in Chad: The </w:t>
      </w:r>
      <w:proofErr w:type="spellStart"/>
      <w:r w:rsidRPr="00411DCA">
        <w:t>Aozou</w:t>
      </w:r>
      <w:proofErr w:type="spellEnd"/>
      <w:r w:rsidRPr="00411DCA">
        <w:t xml:space="preserve"> Strip’. </w:t>
      </w:r>
      <w:proofErr w:type="spellStart"/>
      <w:r w:rsidRPr="00411DCA">
        <w:rPr>
          <w:i/>
          <w:iCs/>
        </w:rPr>
        <w:t>Jamahiriyah</w:t>
      </w:r>
      <w:proofErr w:type="spellEnd"/>
      <w:r w:rsidRPr="00411DCA">
        <w:rPr>
          <w:i/>
          <w:iCs/>
        </w:rPr>
        <w:t xml:space="preserve"> News Agency (BBC Summary of World Broadcasts)</w:t>
      </w:r>
      <w:r w:rsidRPr="00411DCA">
        <w:t xml:space="preserve"> </w:t>
      </w:r>
      <w:r>
        <w:t xml:space="preserve">(21 </w:t>
      </w:r>
      <w:r w:rsidRPr="00411DCA">
        <w:t>July</w:t>
      </w:r>
      <w:r>
        <w:t>).</w:t>
      </w:r>
    </w:p>
    <w:p w14:paraId="7EE26FEF" w14:textId="77777777" w:rsidR="00CA27C1" w:rsidRPr="00411DCA" w:rsidRDefault="00CA27C1" w:rsidP="00CA27C1">
      <w:pPr>
        <w:spacing w:line="278" w:lineRule="auto"/>
        <w:ind w:left="709" w:hanging="709"/>
      </w:pPr>
      <w:r w:rsidRPr="00411DCA">
        <w:lastRenderedPageBreak/>
        <w:t>JANA</w:t>
      </w:r>
      <w:r>
        <w:t xml:space="preserve"> (1987)</w:t>
      </w:r>
      <w:r w:rsidRPr="00411DCA">
        <w:t xml:space="preserve"> ‘Libya Replies to French and Zairean Comments on Chad’. </w:t>
      </w:r>
      <w:proofErr w:type="spellStart"/>
      <w:r w:rsidRPr="00411DCA">
        <w:rPr>
          <w:i/>
          <w:iCs/>
        </w:rPr>
        <w:t>Jamahiriyah</w:t>
      </w:r>
      <w:proofErr w:type="spellEnd"/>
      <w:r w:rsidRPr="00411DCA">
        <w:rPr>
          <w:i/>
          <w:iCs/>
        </w:rPr>
        <w:t xml:space="preserve"> News Agency (BBC Summary of World Broadcasts)</w:t>
      </w:r>
      <w:r w:rsidRPr="00411DCA">
        <w:t xml:space="preserve"> </w:t>
      </w:r>
      <w:r>
        <w:t xml:space="preserve">(12 </w:t>
      </w:r>
      <w:r w:rsidRPr="00411DCA">
        <w:t>April 12</w:t>
      </w:r>
      <w:r>
        <w:t>).</w:t>
      </w:r>
    </w:p>
    <w:p w14:paraId="4FED18C9" w14:textId="77777777" w:rsidR="00CA27C1" w:rsidRPr="00411DCA" w:rsidRDefault="00CA27C1" w:rsidP="00CA27C1">
      <w:pPr>
        <w:spacing w:line="278" w:lineRule="auto"/>
        <w:ind w:left="709" w:hanging="709"/>
      </w:pPr>
      <w:r w:rsidRPr="00411DCA">
        <w:t>JANA</w:t>
      </w:r>
      <w:r>
        <w:t xml:space="preserve"> (1988)</w:t>
      </w:r>
      <w:r w:rsidRPr="00411DCA">
        <w:t xml:space="preserve"> ‘Libya: Chadian Ambassador Presents Credentials’. </w:t>
      </w:r>
      <w:proofErr w:type="spellStart"/>
      <w:r w:rsidRPr="00411DCA">
        <w:rPr>
          <w:i/>
          <w:iCs/>
        </w:rPr>
        <w:t>Jamahiriyah</w:t>
      </w:r>
      <w:proofErr w:type="spellEnd"/>
      <w:r w:rsidRPr="00411DCA">
        <w:rPr>
          <w:i/>
          <w:iCs/>
        </w:rPr>
        <w:t xml:space="preserve"> News Agency (BBC Summary of World Broadcasts)</w:t>
      </w:r>
      <w:r w:rsidRPr="00411DCA">
        <w:t xml:space="preserve"> </w:t>
      </w:r>
      <w:r>
        <w:t xml:space="preserve">(10 </w:t>
      </w:r>
      <w:r w:rsidRPr="00411DCA">
        <w:t>November 10</w:t>
      </w:r>
      <w:r>
        <w:t>).</w:t>
      </w:r>
    </w:p>
    <w:p w14:paraId="55DCC5B0" w14:textId="77777777" w:rsidR="00CA27C1" w:rsidRPr="00411DCA" w:rsidRDefault="00CA27C1" w:rsidP="00CA27C1">
      <w:pPr>
        <w:spacing w:line="278" w:lineRule="auto"/>
        <w:ind w:left="709" w:hanging="709"/>
      </w:pPr>
      <w:r w:rsidRPr="00411DCA">
        <w:t>JANA</w:t>
      </w:r>
      <w:r>
        <w:t xml:space="preserve"> (1990)</w:t>
      </w:r>
      <w:r w:rsidRPr="00411DCA">
        <w:t xml:space="preserve"> ‘Libya takes dispute with Chad to the International Court of Justice’. </w:t>
      </w:r>
      <w:proofErr w:type="spellStart"/>
      <w:r w:rsidRPr="00411DCA">
        <w:rPr>
          <w:i/>
          <w:iCs/>
        </w:rPr>
        <w:t>Jamahiriyah</w:t>
      </w:r>
      <w:proofErr w:type="spellEnd"/>
      <w:r w:rsidRPr="00411DCA">
        <w:rPr>
          <w:i/>
          <w:iCs/>
        </w:rPr>
        <w:t xml:space="preserve"> News Agency (BBC Summary of World Broadcasts)</w:t>
      </w:r>
      <w:r w:rsidRPr="00411DCA">
        <w:t xml:space="preserve"> </w:t>
      </w:r>
      <w:r>
        <w:t xml:space="preserve">(5 </w:t>
      </w:r>
      <w:r w:rsidRPr="00411DCA">
        <w:t>September</w:t>
      </w:r>
      <w:r>
        <w:t>).</w:t>
      </w:r>
    </w:p>
    <w:p w14:paraId="1198D5A5" w14:textId="77777777" w:rsidR="00CA27C1" w:rsidRPr="00411DCA" w:rsidRDefault="00CA27C1" w:rsidP="00CA27C1">
      <w:pPr>
        <w:spacing w:line="278" w:lineRule="auto"/>
        <w:ind w:left="709" w:hanging="709"/>
      </w:pPr>
      <w:r w:rsidRPr="00411DCA">
        <w:t xml:space="preserve">RFI </w:t>
      </w:r>
      <w:r>
        <w:t xml:space="preserve">(1984) </w:t>
      </w:r>
      <w:r w:rsidRPr="00411DCA">
        <w:t xml:space="preserve">‘Libyan support for GUNT to continue’. </w:t>
      </w:r>
      <w:r w:rsidRPr="00411DCA">
        <w:rPr>
          <w:i/>
          <w:iCs/>
        </w:rPr>
        <w:t xml:space="preserve">Radio France </w:t>
      </w:r>
      <w:proofErr w:type="spellStart"/>
      <w:r w:rsidRPr="00411DCA">
        <w:rPr>
          <w:i/>
          <w:iCs/>
        </w:rPr>
        <w:t>Internationale</w:t>
      </w:r>
      <w:proofErr w:type="spellEnd"/>
      <w:r w:rsidRPr="00411DCA">
        <w:rPr>
          <w:i/>
          <w:iCs/>
        </w:rPr>
        <w:t xml:space="preserve"> (BBC Summary of World Broadcasts)</w:t>
      </w:r>
      <w:r>
        <w:t xml:space="preserve"> (18 </w:t>
      </w:r>
      <w:r w:rsidRPr="00411DCA">
        <w:t>September</w:t>
      </w:r>
      <w:r>
        <w:t>).</w:t>
      </w:r>
    </w:p>
    <w:p w14:paraId="2F48D337" w14:textId="77777777" w:rsidR="00CA27C1" w:rsidRPr="00411DCA" w:rsidRDefault="00CA27C1" w:rsidP="00CA27C1">
      <w:pPr>
        <w:spacing w:line="278" w:lineRule="auto"/>
        <w:ind w:left="709" w:hanging="709"/>
      </w:pPr>
      <w:r w:rsidRPr="00411DCA">
        <w:t>RFI</w:t>
      </w:r>
      <w:r>
        <w:t xml:space="preserve"> (1987)</w:t>
      </w:r>
      <w:r w:rsidRPr="00411DCA">
        <w:t xml:space="preserve"> ‘Libya Replies to French and Zairean Comments on Chad’. </w:t>
      </w:r>
      <w:r w:rsidRPr="00411DCA">
        <w:rPr>
          <w:i/>
          <w:iCs/>
        </w:rPr>
        <w:t xml:space="preserve">Radio France </w:t>
      </w:r>
      <w:proofErr w:type="spellStart"/>
      <w:r w:rsidRPr="00411DCA">
        <w:rPr>
          <w:i/>
          <w:iCs/>
        </w:rPr>
        <w:t>Internationale</w:t>
      </w:r>
      <w:proofErr w:type="spellEnd"/>
      <w:r w:rsidRPr="00411DCA">
        <w:rPr>
          <w:i/>
          <w:iCs/>
        </w:rPr>
        <w:t xml:space="preserve"> (BBC Summary of World Broadcasts)</w:t>
      </w:r>
      <w:r>
        <w:t xml:space="preserve"> (13 April).</w:t>
      </w:r>
    </w:p>
    <w:p w14:paraId="17DBA845" w14:textId="77777777" w:rsidR="00CA27C1" w:rsidRPr="00411DCA" w:rsidRDefault="00CA27C1" w:rsidP="00CA27C1">
      <w:pPr>
        <w:spacing w:line="278" w:lineRule="auto"/>
        <w:ind w:left="709" w:hanging="709"/>
      </w:pPr>
      <w:r w:rsidRPr="00411DCA">
        <w:t xml:space="preserve">Tripoli TV </w:t>
      </w:r>
      <w:r>
        <w:t xml:space="preserve">(1988a) </w:t>
      </w:r>
      <w:r w:rsidRPr="00411DCA">
        <w:t xml:space="preserve">‘Libyan Leader’s Speech on OAU Anniversary Recognition of Chad and End to All “‘Outstanding Problems’”’. </w:t>
      </w:r>
      <w:r w:rsidRPr="00411DCA">
        <w:rPr>
          <w:i/>
          <w:iCs/>
        </w:rPr>
        <w:t>Tripoli television (BBC Summary of World Broadcasts)</w:t>
      </w:r>
      <w:r>
        <w:t xml:space="preserve"> (25 </w:t>
      </w:r>
      <w:r w:rsidRPr="00411DCA">
        <w:t>May</w:t>
      </w:r>
      <w:r>
        <w:t>)</w:t>
      </w:r>
      <w:r w:rsidRPr="00411DCA">
        <w:t>.</w:t>
      </w:r>
    </w:p>
    <w:p w14:paraId="60D316E3" w14:textId="77777777" w:rsidR="00CA27C1" w:rsidRPr="00411DCA" w:rsidRDefault="00CA27C1" w:rsidP="00CA27C1">
      <w:pPr>
        <w:spacing w:line="278" w:lineRule="auto"/>
        <w:ind w:left="709" w:hanging="709"/>
      </w:pPr>
      <w:r w:rsidRPr="00411DCA">
        <w:t>Tripoli TV</w:t>
      </w:r>
      <w:r>
        <w:t xml:space="preserve"> (1988b)</w:t>
      </w:r>
      <w:r w:rsidRPr="00411DCA">
        <w:t xml:space="preserve"> ‘Qadhafi on Maghrib Unity, Intervention in Chad, Other Issues’. </w:t>
      </w:r>
      <w:r w:rsidRPr="00411DCA">
        <w:rPr>
          <w:i/>
          <w:iCs/>
        </w:rPr>
        <w:t>Tripoli television (BBC Summary of World Broadcasts)</w:t>
      </w:r>
      <w:r>
        <w:t xml:space="preserve"> (6 </w:t>
      </w:r>
      <w:r w:rsidRPr="00411DCA">
        <w:t>September</w:t>
      </w:r>
      <w:r>
        <w:t>).</w:t>
      </w:r>
    </w:p>
    <w:p w14:paraId="1D21E8AB" w14:textId="77777777" w:rsidR="00CA27C1" w:rsidRPr="00411DCA" w:rsidRDefault="00CA27C1" w:rsidP="00CA27C1">
      <w:pPr>
        <w:spacing w:line="278" w:lineRule="auto"/>
        <w:ind w:left="709" w:hanging="709"/>
      </w:pPr>
      <w:r w:rsidRPr="00411DCA">
        <w:t>Tripoli TV</w:t>
      </w:r>
      <w:r>
        <w:t xml:space="preserve"> (1989a)</w:t>
      </w:r>
      <w:r w:rsidRPr="00411DCA">
        <w:t xml:space="preserve"> ‘Libya: Resolutions Adopted at the End of Sessions of General People’s Congress’. </w:t>
      </w:r>
      <w:r w:rsidRPr="00411DCA">
        <w:rPr>
          <w:i/>
          <w:iCs/>
        </w:rPr>
        <w:t>Tripoli television (BBC Summary of World Broadcasts)</w:t>
      </w:r>
      <w:r>
        <w:t xml:space="preserve"> (9</w:t>
      </w:r>
      <w:r w:rsidRPr="00411DCA">
        <w:t xml:space="preserve"> March</w:t>
      </w:r>
      <w:r>
        <w:t>).</w:t>
      </w:r>
    </w:p>
    <w:p w14:paraId="38E7B8AB" w14:textId="77777777" w:rsidR="00CA27C1" w:rsidRPr="00411DCA" w:rsidRDefault="00CA27C1" w:rsidP="00CA27C1">
      <w:pPr>
        <w:spacing w:line="278" w:lineRule="auto"/>
        <w:ind w:left="709" w:hanging="709"/>
      </w:pPr>
      <w:r w:rsidRPr="00411DCA">
        <w:t>Tripoli TV</w:t>
      </w:r>
      <w:r>
        <w:t xml:space="preserve"> (1989b)</w:t>
      </w:r>
      <w:r w:rsidRPr="00411DCA">
        <w:t xml:space="preserve"> ‘Libyan Leader Addresses OAU </w:t>
      </w:r>
      <w:proofErr w:type="spellStart"/>
      <w:r w:rsidRPr="00411DCA">
        <w:t>Defence</w:t>
      </w:r>
      <w:proofErr w:type="spellEnd"/>
      <w:r w:rsidRPr="00411DCA">
        <w:t xml:space="preserve"> Committee’. </w:t>
      </w:r>
      <w:r w:rsidRPr="00411DCA">
        <w:rPr>
          <w:i/>
          <w:iCs/>
        </w:rPr>
        <w:t>Tripoli television (BBC Summary of World Broadcasts)</w:t>
      </w:r>
      <w:r>
        <w:t xml:space="preserve"> (29 </w:t>
      </w:r>
      <w:r w:rsidRPr="00411DCA">
        <w:t>March</w:t>
      </w:r>
      <w:r>
        <w:t>).</w:t>
      </w:r>
    </w:p>
    <w:p w14:paraId="2CA45C14" w14:textId="77777777" w:rsidR="00CA27C1" w:rsidRPr="00411DCA" w:rsidRDefault="00CA27C1" w:rsidP="00CA27C1">
      <w:pPr>
        <w:spacing w:line="278" w:lineRule="auto"/>
        <w:ind w:left="709" w:hanging="709"/>
      </w:pPr>
      <w:r w:rsidRPr="00411DCA">
        <w:t>Tripoli TV</w:t>
      </w:r>
      <w:r>
        <w:t xml:space="preserve"> (1989c)</w:t>
      </w:r>
      <w:r w:rsidRPr="00411DCA">
        <w:t xml:space="preserve"> ‘Qadhafi Tells Libyan People Why He is Going to the Arab Summit: Boycott Threat’. </w:t>
      </w:r>
      <w:r w:rsidRPr="00411DCA">
        <w:rPr>
          <w:i/>
          <w:iCs/>
        </w:rPr>
        <w:t>Tripoli television (BBC Summary of World Broadcasts)</w:t>
      </w:r>
      <w:r>
        <w:t xml:space="preserve"> (22 </w:t>
      </w:r>
      <w:r w:rsidRPr="00411DCA">
        <w:t>May</w:t>
      </w:r>
      <w:r>
        <w:t>).</w:t>
      </w:r>
    </w:p>
    <w:p w14:paraId="386D2A95" w14:textId="77777777" w:rsidR="00CA27C1" w:rsidRPr="00411DCA" w:rsidRDefault="00CA27C1" w:rsidP="00CA27C1">
      <w:pPr>
        <w:spacing w:line="278" w:lineRule="auto"/>
        <w:ind w:left="709" w:hanging="709"/>
      </w:pPr>
      <w:r w:rsidRPr="00411DCA">
        <w:t>Tripoli TV</w:t>
      </w:r>
      <w:r>
        <w:t xml:space="preserve"> (1990a)</w:t>
      </w:r>
      <w:r w:rsidRPr="00411DCA">
        <w:t xml:space="preserve"> ‘Libyan Leader Addresses Arab Summit’. </w:t>
      </w:r>
      <w:r w:rsidRPr="00411DCA">
        <w:rPr>
          <w:i/>
          <w:iCs/>
        </w:rPr>
        <w:t>Tripoli television (BBC Summary of World Broadcasts)</w:t>
      </w:r>
      <w:r>
        <w:t xml:space="preserve"> (30 </w:t>
      </w:r>
      <w:r w:rsidRPr="00411DCA">
        <w:t>May</w:t>
      </w:r>
      <w:r>
        <w:t>).</w:t>
      </w:r>
    </w:p>
    <w:p w14:paraId="4F075C43" w14:textId="77777777" w:rsidR="00CA27C1" w:rsidRPr="00411DCA" w:rsidRDefault="00CA27C1" w:rsidP="00CA27C1">
      <w:pPr>
        <w:spacing w:line="278" w:lineRule="auto"/>
        <w:ind w:left="709" w:hanging="709"/>
      </w:pPr>
      <w:r w:rsidRPr="00411DCA">
        <w:t>Tripoli TV</w:t>
      </w:r>
      <w:r>
        <w:t xml:space="preserve"> (1990</w:t>
      </w:r>
      <w:proofErr w:type="gramStart"/>
      <w:r>
        <w:t>b)</w:t>
      </w:r>
      <w:r w:rsidRPr="00411DCA">
        <w:t xml:space="preserve"> ‘</w:t>
      </w:r>
      <w:proofErr w:type="gramEnd"/>
      <w:r w:rsidRPr="00411DCA">
        <w:t xml:space="preserve">Qadhafi’s Address to the General People’s Congress to Mark Vengeance Day’. </w:t>
      </w:r>
      <w:r w:rsidRPr="00411DCA">
        <w:rPr>
          <w:i/>
          <w:iCs/>
        </w:rPr>
        <w:t>Tripoli television (BBC Summary of World Broadcasts)</w:t>
      </w:r>
      <w:r>
        <w:t xml:space="preserve"> (7</w:t>
      </w:r>
      <w:r w:rsidRPr="00411DCA">
        <w:t xml:space="preserve"> October</w:t>
      </w:r>
      <w:r>
        <w:t>)</w:t>
      </w:r>
      <w:r w:rsidRPr="00411DCA">
        <w:t>.</w:t>
      </w:r>
    </w:p>
    <w:p w14:paraId="686B50C7" w14:textId="77777777" w:rsidR="00CA27C1" w:rsidRPr="00B875C6" w:rsidRDefault="00CA27C1" w:rsidP="00CA27C1">
      <w:pPr>
        <w:spacing w:after="0"/>
        <w:rPr>
          <w:lang w:val="en-GB"/>
        </w:rPr>
      </w:pPr>
    </w:p>
    <w:p w14:paraId="7806C558" w14:textId="77777777" w:rsidR="00CA27C1" w:rsidRPr="00B875C6" w:rsidRDefault="00CA27C1" w:rsidP="00CA27C1">
      <w:pPr>
        <w:pStyle w:val="Heading1"/>
      </w:pPr>
      <w:r w:rsidRPr="00B875C6">
        <w:t>Interviews</w:t>
      </w:r>
    </w:p>
    <w:p w14:paraId="36CDC61E" w14:textId="77777777" w:rsidR="00CA27C1" w:rsidRPr="00B875C6" w:rsidRDefault="00CA27C1" w:rsidP="00CA27C1">
      <w:pPr>
        <w:rPr>
          <w:lang w:val="en-GB"/>
        </w:rPr>
      </w:pPr>
      <w:r w:rsidRPr="00B875C6">
        <w:rPr>
          <w:lang w:val="en-GB"/>
        </w:rPr>
        <w:t xml:space="preserve">The Israeli case study draws on interview material as one of several data sources. I conducted interviews during fieldwork in Israel over a three-week period in May-June 2018. I sought to interview people who had participated in the political decision-making process on the Israeli side, or who had special insight into the dispute resolution process. This included civil servants or technical experts who had worked with the resolution and the implementation of the </w:t>
      </w:r>
      <w:r w:rsidRPr="00B875C6">
        <w:rPr>
          <w:lang w:val="en-GB"/>
        </w:rPr>
        <w:lastRenderedPageBreak/>
        <w:t xml:space="preserve">territorial settlement, politicians who had been directly part of the decision-making, and experts who had observed and advised on the issue. I interviewed 13 people, </w:t>
      </w:r>
      <w:r>
        <w:rPr>
          <w:lang w:val="en-GB"/>
        </w:rPr>
        <w:t>seven</w:t>
      </w:r>
      <w:r w:rsidRPr="00B875C6">
        <w:rPr>
          <w:lang w:val="en-GB"/>
        </w:rPr>
        <w:t xml:space="preserve"> of which are cited in the text. The selection of interviewees depended on a combination of conscious sampling, and </w:t>
      </w:r>
      <w:r>
        <w:rPr>
          <w:lang w:val="en-GB"/>
        </w:rPr>
        <w:t>‘</w:t>
      </w:r>
      <w:r w:rsidRPr="00B875C6">
        <w:rPr>
          <w:lang w:val="en-GB"/>
        </w:rPr>
        <w:t>snowball</w:t>
      </w:r>
      <w:r>
        <w:rPr>
          <w:lang w:val="en-GB"/>
        </w:rPr>
        <w:t>’</w:t>
      </w:r>
      <w:r w:rsidRPr="00B875C6">
        <w:rPr>
          <w:lang w:val="en-GB"/>
        </w:rPr>
        <w:t xml:space="preserve"> referral (Goldstein 2002; Tansey 2007). Regarding the former, I purposely ensured access to interviewees from all major political camps on the issue: i.e. the Alignment and the Likud. This was to ensure that the potential bias of informants from either of the major political factions could be cross-checked or corroborated with the testimonies of informants from the other factions. Additionally, I also strategically included civil servants. This had a twofold purpose. First, given that politicians handle a broad range of domestic-, foreign-, and even intra-party affairs during their tenures, their recollection of a specific issue such as the Taba dispute might have been overshadowed by other prominent events. For civil servants, especially legal advisers or technical staff, the issue might have had much more of a central focus. As such, they might better recall details of the process. Second, although civil servants were often assessed to have had certain political alignments, as reflected by what political faction recruited them, I sought to include professionals as an additional check to potential bias in the accounts of the politicians involved. This for instance applies to the role of the legal adviser of the Foreign Ministry, as well as the Director General of the same institution. </w:t>
      </w:r>
    </w:p>
    <w:p w14:paraId="0F363E33" w14:textId="77777777" w:rsidR="00CA27C1" w:rsidRPr="00B875C6" w:rsidRDefault="00CA27C1" w:rsidP="00CA27C1">
      <w:pPr>
        <w:rPr>
          <w:lang w:val="en-GB"/>
        </w:rPr>
      </w:pPr>
      <w:r w:rsidRPr="00B875C6">
        <w:rPr>
          <w:lang w:val="en-GB"/>
        </w:rPr>
        <w:t xml:space="preserve">The time laps provided one of the most pronounced challenges for assessment of the information gathered through the interviews. In short, how credible are details about a process that transpired some 30 years back in time? Two main issues are at play here. First, participants might not recollect facts and thought processes for events so far back in time. At worst, they may remember it wrong. Overall, interviewees were quite candid about their inability to remember details, and I explicitly asked them not to try to fill in the blanks or </w:t>
      </w:r>
      <w:proofErr w:type="gramStart"/>
      <w:r w:rsidRPr="00B875C6">
        <w:rPr>
          <w:lang w:val="en-GB"/>
        </w:rPr>
        <w:t>guess, but</w:t>
      </w:r>
      <w:proofErr w:type="gramEnd"/>
      <w:r w:rsidRPr="00B875C6">
        <w:rPr>
          <w:lang w:val="en-GB"/>
        </w:rPr>
        <w:t xml:space="preserve"> rather tell me if they could not recollect. Some nonetheless had quite detailed memories of the </w:t>
      </w:r>
      <w:proofErr w:type="gramStart"/>
      <w:r w:rsidRPr="00B875C6">
        <w:rPr>
          <w:lang w:val="en-GB"/>
        </w:rPr>
        <w:t>process, and</w:t>
      </w:r>
      <w:proofErr w:type="gramEnd"/>
      <w:r w:rsidRPr="00B875C6">
        <w:rPr>
          <w:lang w:val="en-GB"/>
        </w:rPr>
        <w:t xml:space="preserve"> could provide specifics of events. Overall, I sought to minimize these problems by </w:t>
      </w:r>
      <w:r w:rsidRPr="00B875C6">
        <w:rPr>
          <w:lang w:val="en-GB"/>
        </w:rPr>
        <w:lastRenderedPageBreak/>
        <w:t>crosschecking accounts with contemporary and/or secondary reporting. A second issue concerns the tendency of people to rationalize behaviour as time passes. This especially pertains to questions about what motivated behaviour far back in time. Again, I primarily relied on triangulation with more contemporary sources to mitigate this aspect, when possible.</w:t>
      </w:r>
    </w:p>
    <w:p w14:paraId="2EFCE114" w14:textId="77777777" w:rsidR="00CA27C1" w:rsidRPr="00B875C6" w:rsidRDefault="00CA27C1" w:rsidP="00CA27C1">
      <w:pPr>
        <w:rPr>
          <w:lang w:val="en-GB"/>
        </w:rPr>
      </w:pPr>
      <w:r w:rsidRPr="00B875C6">
        <w:rPr>
          <w:lang w:val="en-GB"/>
        </w:rPr>
        <w:t xml:space="preserve">The interviews were semi-structured, meaning that an overall template of standardized questions guided all interviews, but that the specific set of questions posed differed across interviews, as did the sequencing and form of the questions (Kvale 2007: 50-51). This was intended to best leverage the type of information that the interviewee had access to, and to allow follow-up questions and themes to be adapted to whatever reasoning the informant wanted to develop on. All interviews were carried out in English by the author. If the informant consented, interviews were audio </w:t>
      </w:r>
      <w:proofErr w:type="gramStart"/>
      <w:r w:rsidRPr="00B875C6">
        <w:rPr>
          <w:lang w:val="en-GB"/>
        </w:rPr>
        <w:t>recorded, and</w:t>
      </w:r>
      <w:proofErr w:type="gramEnd"/>
      <w:r w:rsidRPr="00B875C6">
        <w:rPr>
          <w:lang w:val="en-GB"/>
        </w:rPr>
        <w:t xml:space="preserve"> subsequently transcribed by the author. Other interviews were documented through extensive field notes.</w:t>
      </w:r>
    </w:p>
    <w:p w14:paraId="365378BC" w14:textId="77777777" w:rsidR="00CA27C1" w:rsidRPr="00B875C6" w:rsidRDefault="00CA27C1" w:rsidP="00CA27C1">
      <w:pPr>
        <w:rPr>
          <w:lang w:val="en-GB"/>
        </w:rPr>
      </w:pPr>
      <w:r w:rsidRPr="00B875C6">
        <w:rPr>
          <w:lang w:val="en-GB"/>
        </w:rPr>
        <w:t>The interviews were conducted as part of a broader research project that addressed the complete process regarding the use of arbitration for the Taba dispute, spanning the lead up to acceptance of arbitration, the interactions during the legal deliberations, as well as the implementation of the eventual award. Due to space constraints, I here only present information regarding the aspects that concerned adoption of the legal process. Additional information about the project is available from the author upon request.</w:t>
      </w:r>
    </w:p>
    <w:p w14:paraId="3B4B8E2D" w14:textId="77777777" w:rsidR="00CA27C1" w:rsidRPr="003824DE" w:rsidRDefault="00CA27C1" w:rsidP="00CA27C1">
      <w:pPr>
        <w:rPr>
          <w:bCs/>
          <w:i/>
          <w:lang w:val="en-GB"/>
        </w:rPr>
      </w:pPr>
      <w:r w:rsidRPr="003824DE">
        <w:rPr>
          <w:bCs/>
          <w:i/>
          <w:lang w:val="en-GB"/>
        </w:rPr>
        <w:t>Selected interview questions:</w:t>
      </w:r>
    </w:p>
    <w:p w14:paraId="5C9A31EF" w14:textId="77777777" w:rsidR="00CA27C1" w:rsidRPr="00B875C6" w:rsidRDefault="00CA27C1" w:rsidP="00CA27C1">
      <w:pPr>
        <w:pStyle w:val="ListParagraph"/>
        <w:numPr>
          <w:ilvl w:val="0"/>
          <w:numId w:val="1"/>
        </w:numPr>
        <w:rPr>
          <w:lang w:val="en-GB"/>
        </w:rPr>
      </w:pPr>
      <w:r w:rsidRPr="00B875C6">
        <w:rPr>
          <w:lang w:val="en-GB"/>
        </w:rPr>
        <w:t xml:space="preserve">Beginning with your participation in the Taba issue, [insert summary of the participation or position of the participant]. Is this description </w:t>
      </w:r>
      <w:proofErr w:type="gramStart"/>
      <w:r w:rsidRPr="00B875C6">
        <w:rPr>
          <w:lang w:val="en-GB"/>
        </w:rPr>
        <w:t>correct</w:t>
      </w:r>
      <w:proofErr w:type="gramEnd"/>
      <w:r w:rsidRPr="00B875C6">
        <w:rPr>
          <w:lang w:val="en-GB"/>
        </w:rPr>
        <w:t xml:space="preserve"> or would you like to add or adjust it?</w:t>
      </w:r>
    </w:p>
    <w:p w14:paraId="227A72A5" w14:textId="77777777" w:rsidR="00CA27C1" w:rsidRPr="00B875C6" w:rsidRDefault="00CA27C1" w:rsidP="00CA27C1">
      <w:pPr>
        <w:pStyle w:val="ListParagraph"/>
        <w:numPr>
          <w:ilvl w:val="1"/>
          <w:numId w:val="1"/>
        </w:numPr>
        <w:rPr>
          <w:lang w:val="en-GB"/>
        </w:rPr>
      </w:pPr>
      <w:r w:rsidRPr="00B875C6">
        <w:rPr>
          <w:lang w:val="en-GB"/>
        </w:rPr>
        <w:t>Which negotiations, deliberations, and/or decisions did you participate in (domestically and internationally)?</w:t>
      </w:r>
    </w:p>
    <w:p w14:paraId="4E8CEF18" w14:textId="77777777" w:rsidR="00CA27C1" w:rsidRPr="00B875C6" w:rsidRDefault="00CA27C1" w:rsidP="00CA27C1">
      <w:pPr>
        <w:pStyle w:val="ListParagraph"/>
        <w:numPr>
          <w:ilvl w:val="1"/>
          <w:numId w:val="1"/>
        </w:numPr>
        <w:rPr>
          <w:lang w:val="en-GB"/>
        </w:rPr>
      </w:pPr>
      <w:r w:rsidRPr="00B875C6">
        <w:rPr>
          <w:lang w:val="en-GB"/>
        </w:rPr>
        <w:lastRenderedPageBreak/>
        <w:t>Throughout which time-periods did you participate?</w:t>
      </w:r>
    </w:p>
    <w:p w14:paraId="0FBD4CAE" w14:textId="77777777" w:rsidR="00CA27C1" w:rsidRPr="00B875C6" w:rsidRDefault="00CA27C1" w:rsidP="00CA27C1">
      <w:pPr>
        <w:pStyle w:val="ListParagraph"/>
        <w:numPr>
          <w:ilvl w:val="0"/>
          <w:numId w:val="1"/>
        </w:numPr>
        <w:rPr>
          <w:lang w:val="en-GB"/>
        </w:rPr>
      </w:pPr>
      <w:r w:rsidRPr="00B875C6">
        <w:rPr>
          <w:lang w:val="en-GB"/>
        </w:rPr>
        <w:t>In your understanding, why was arbitration applied concerning the Taba issue?</w:t>
      </w:r>
    </w:p>
    <w:p w14:paraId="6C336455" w14:textId="77777777" w:rsidR="00CA27C1" w:rsidRPr="00B875C6" w:rsidRDefault="00CA27C1" w:rsidP="00CA27C1">
      <w:pPr>
        <w:pStyle w:val="ListParagraph"/>
        <w:numPr>
          <w:ilvl w:val="1"/>
          <w:numId w:val="1"/>
        </w:numPr>
        <w:rPr>
          <w:lang w:val="en-GB"/>
        </w:rPr>
      </w:pPr>
      <w:r w:rsidRPr="00B875C6">
        <w:rPr>
          <w:lang w:val="en-GB"/>
        </w:rPr>
        <w:t>Why was the issue not resolved through the preceding negotiations or through the conciliation process?</w:t>
      </w:r>
    </w:p>
    <w:p w14:paraId="0A9D08C5" w14:textId="77777777" w:rsidR="00CA27C1" w:rsidRPr="00B875C6" w:rsidRDefault="00CA27C1" w:rsidP="00CA27C1">
      <w:pPr>
        <w:pStyle w:val="ListParagraph"/>
        <w:numPr>
          <w:ilvl w:val="0"/>
          <w:numId w:val="1"/>
        </w:numPr>
        <w:rPr>
          <w:lang w:val="en-GB"/>
        </w:rPr>
      </w:pPr>
      <w:r w:rsidRPr="00B875C6">
        <w:rPr>
          <w:lang w:val="en-GB"/>
        </w:rPr>
        <w:t xml:space="preserve">Can you tell me who you consider </w:t>
      </w:r>
      <w:proofErr w:type="gramStart"/>
      <w:r w:rsidRPr="00B875C6">
        <w:rPr>
          <w:lang w:val="en-GB"/>
        </w:rPr>
        <w:t>to have</w:t>
      </w:r>
      <w:proofErr w:type="gramEnd"/>
      <w:r w:rsidRPr="00B875C6">
        <w:rPr>
          <w:lang w:val="en-GB"/>
        </w:rPr>
        <w:t xml:space="preserve"> been the key Israeli actors concerning the Taba issue as well as their position on the application of the arbitration procedure?</w:t>
      </w:r>
    </w:p>
    <w:p w14:paraId="456612A8" w14:textId="77777777" w:rsidR="00CA27C1" w:rsidRPr="00B875C6" w:rsidRDefault="00CA27C1" w:rsidP="00CA27C1">
      <w:pPr>
        <w:pStyle w:val="ListParagraph"/>
        <w:numPr>
          <w:ilvl w:val="1"/>
          <w:numId w:val="1"/>
        </w:numPr>
        <w:rPr>
          <w:lang w:val="en-GB"/>
        </w:rPr>
      </w:pPr>
      <w:r w:rsidRPr="00B875C6">
        <w:rPr>
          <w:lang w:val="en-GB"/>
        </w:rPr>
        <w:t>(I.e. who were crucial to the shape and the outcome of the process? Who were most influential?)</w:t>
      </w:r>
    </w:p>
    <w:p w14:paraId="77E68D7F" w14:textId="77777777" w:rsidR="00CA27C1" w:rsidRPr="00B875C6" w:rsidRDefault="00CA27C1" w:rsidP="00CA27C1">
      <w:pPr>
        <w:pStyle w:val="ListParagraph"/>
        <w:numPr>
          <w:ilvl w:val="1"/>
          <w:numId w:val="1"/>
        </w:numPr>
        <w:rPr>
          <w:lang w:val="en-GB"/>
        </w:rPr>
      </w:pPr>
      <w:r w:rsidRPr="00B875C6">
        <w:rPr>
          <w:lang w:val="en-GB"/>
        </w:rPr>
        <w:t>Why were they the key actors?</w:t>
      </w:r>
    </w:p>
    <w:p w14:paraId="62CF3280" w14:textId="77777777" w:rsidR="00CA27C1" w:rsidRPr="00B875C6" w:rsidRDefault="00CA27C1" w:rsidP="00CA27C1">
      <w:pPr>
        <w:pStyle w:val="ListParagraph"/>
        <w:numPr>
          <w:ilvl w:val="1"/>
          <w:numId w:val="1"/>
        </w:numPr>
        <w:rPr>
          <w:lang w:val="en-GB"/>
        </w:rPr>
      </w:pPr>
      <w:r w:rsidRPr="00B875C6">
        <w:rPr>
          <w:lang w:val="en-GB"/>
        </w:rPr>
        <w:t>What perceptions and motives did they have on the issue?</w:t>
      </w:r>
    </w:p>
    <w:p w14:paraId="41D151F5" w14:textId="77777777" w:rsidR="00CA27C1" w:rsidRPr="00B875C6" w:rsidRDefault="00CA27C1" w:rsidP="00CA27C1">
      <w:pPr>
        <w:pStyle w:val="ListParagraph"/>
        <w:numPr>
          <w:ilvl w:val="1"/>
          <w:numId w:val="1"/>
        </w:numPr>
        <w:rPr>
          <w:lang w:val="en-GB"/>
        </w:rPr>
      </w:pPr>
      <w:r w:rsidRPr="00B875C6">
        <w:rPr>
          <w:lang w:val="en-GB"/>
        </w:rPr>
        <w:t>What control did they have over the outcome of the issue?</w:t>
      </w:r>
    </w:p>
    <w:p w14:paraId="16420EB4" w14:textId="77777777" w:rsidR="00CA27C1" w:rsidRPr="00B875C6" w:rsidRDefault="00CA27C1" w:rsidP="00CA27C1">
      <w:pPr>
        <w:pStyle w:val="ListParagraph"/>
        <w:numPr>
          <w:ilvl w:val="1"/>
          <w:numId w:val="1"/>
        </w:numPr>
        <w:rPr>
          <w:lang w:val="en-GB"/>
        </w:rPr>
      </w:pPr>
      <w:r w:rsidRPr="00B875C6">
        <w:rPr>
          <w:lang w:val="en-GB"/>
        </w:rPr>
        <w:t>From where did they draw their main support on the issue?</w:t>
      </w:r>
    </w:p>
    <w:p w14:paraId="7F3ADC0A" w14:textId="77777777" w:rsidR="00CA27C1" w:rsidRPr="00B875C6" w:rsidRDefault="00CA27C1" w:rsidP="00CA27C1">
      <w:pPr>
        <w:pStyle w:val="ListParagraph"/>
        <w:numPr>
          <w:ilvl w:val="1"/>
          <w:numId w:val="1"/>
        </w:numPr>
        <w:rPr>
          <w:lang w:val="en-GB"/>
        </w:rPr>
      </w:pPr>
      <w:r w:rsidRPr="00B875C6">
        <w:rPr>
          <w:lang w:val="en-GB"/>
        </w:rPr>
        <w:t xml:space="preserve">To </w:t>
      </w:r>
      <w:proofErr w:type="gramStart"/>
      <w:r w:rsidRPr="00B875C6">
        <w:rPr>
          <w:lang w:val="en-GB"/>
        </w:rPr>
        <w:t>who</w:t>
      </w:r>
      <w:proofErr w:type="gramEnd"/>
      <w:r w:rsidRPr="00B875C6">
        <w:rPr>
          <w:lang w:val="en-GB"/>
        </w:rPr>
        <w:t xml:space="preserve"> where </w:t>
      </w:r>
      <w:proofErr w:type="gramStart"/>
      <w:r w:rsidRPr="00B875C6">
        <w:rPr>
          <w:lang w:val="en-GB"/>
        </w:rPr>
        <w:t>they</w:t>
      </w:r>
      <w:proofErr w:type="gramEnd"/>
      <w:r w:rsidRPr="00B875C6">
        <w:rPr>
          <w:lang w:val="en-GB"/>
        </w:rPr>
        <w:t xml:space="preserve"> mainly responsible on the issue? </w:t>
      </w:r>
    </w:p>
    <w:p w14:paraId="101864DF" w14:textId="77777777" w:rsidR="00CA27C1" w:rsidRPr="00B875C6" w:rsidRDefault="00CA27C1" w:rsidP="00CA27C1">
      <w:pPr>
        <w:pStyle w:val="ListParagraph"/>
        <w:numPr>
          <w:ilvl w:val="1"/>
          <w:numId w:val="1"/>
        </w:numPr>
        <w:rPr>
          <w:lang w:val="en-GB"/>
        </w:rPr>
      </w:pPr>
      <w:r w:rsidRPr="00B875C6">
        <w:rPr>
          <w:lang w:val="en-GB"/>
        </w:rPr>
        <w:t>What did they think of the arbitration process? Why did they oppose or support it?</w:t>
      </w:r>
    </w:p>
    <w:p w14:paraId="12E26E98" w14:textId="77777777" w:rsidR="00CA27C1" w:rsidRPr="00B875C6" w:rsidRDefault="00CA27C1" w:rsidP="00CA27C1">
      <w:pPr>
        <w:pStyle w:val="ListParagraph"/>
        <w:numPr>
          <w:ilvl w:val="0"/>
          <w:numId w:val="1"/>
        </w:numPr>
        <w:rPr>
          <w:lang w:val="en-GB"/>
        </w:rPr>
      </w:pPr>
      <w:r w:rsidRPr="00B875C6">
        <w:rPr>
          <w:lang w:val="en-GB"/>
        </w:rPr>
        <w:t>Do you think that any other aspects or issues were important in explaining the handover [the question was originally formulated to focus on compliance, but allowed for discussions concerning all aspects of the resolution process, depending on the direction of the interview]?</w:t>
      </w:r>
    </w:p>
    <w:p w14:paraId="13B97DCF" w14:textId="77777777" w:rsidR="00CA27C1" w:rsidRPr="00B875C6" w:rsidRDefault="00CA27C1" w:rsidP="00CA27C1">
      <w:pPr>
        <w:pStyle w:val="ListParagraph"/>
        <w:numPr>
          <w:ilvl w:val="1"/>
          <w:numId w:val="1"/>
        </w:numPr>
        <w:rPr>
          <w:lang w:val="en-GB"/>
        </w:rPr>
      </w:pPr>
      <w:r w:rsidRPr="00B875C6">
        <w:rPr>
          <w:lang w:val="en-GB"/>
        </w:rPr>
        <w:t>Were there any fears of international sanctions or enforcement if Israel did not comply?</w:t>
      </w:r>
    </w:p>
    <w:p w14:paraId="4E1C37B4" w14:textId="77777777" w:rsidR="00CA27C1" w:rsidRPr="00B875C6" w:rsidRDefault="00CA27C1" w:rsidP="00CA27C1">
      <w:pPr>
        <w:pStyle w:val="ListParagraph"/>
        <w:numPr>
          <w:ilvl w:val="1"/>
          <w:numId w:val="1"/>
        </w:numPr>
        <w:rPr>
          <w:lang w:val="en-GB"/>
        </w:rPr>
      </w:pPr>
      <w:r w:rsidRPr="00B875C6">
        <w:rPr>
          <w:lang w:val="en-GB"/>
        </w:rPr>
        <w:t>What about US interests (e.g. pressure or rewards)?</w:t>
      </w:r>
    </w:p>
    <w:p w14:paraId="2B91D580" w14:textId="77777777" w:rsidR="00CA27C1" w:rsidRPr="00B875C6" w:rsidRDefault="00CA27C1" w:rsidP="00CA27C1">
      <w:pPr>
        <w:pStyle w:val="ListParagraph"/>
        <w:numPr>
          <w:ilvl w:val="1"/>
          <w:numId w:val="1"/>
        </w:numPr>
        <w:rPr>
          <w:lang w:val="en-GB"/>
        </w:rPr>
      </w:pPr>
      <w:r w:rsidRPr="00B875C6">
        <w:rPr>
          <w:lang w:val="en-GB"/>
        </w:rPr>
        <w:t>What about the bilateral relationship with Egypt?</w:t>
      </w:r>
    </w:p>
    <w:p w14:paraId="14B85290" w14:textId="77777777" w:rsidR="00CA27C1" w:rsidRPr="00B875C6" w:rsidRDefault="00CA27C1" w:rsidP="00CA27C1">
      <w:pPr>
        <w:pStyle w:val="ListParagraph"/>
        <w:numPr>
          <w:ilvl w:val="1"/>
          <w:numId w:val="1"/>
        </w:numPr>
        <w:rPr>
          <w:lang w:val="en-GB"/>
        </w:rPr>
      </w:pPr>
      <w:r w:rsidRPr="00B875C6">
        <w:rPr>
          <w:lang w:val="en-GB"/>
        </w:rPr>
        <w:t xml:space="preserve">How did the handover fit into the political and strategic environment (e.g. would it increase security)? </w:t>
      </w:r>
    </w:p>
    <w:p w14:paraId="7E442797" w14:textId="77777777" w:rsidR="00CA27C1" w:rsidRPr="00B875C6" w:rsidRDefault="00CA27C1" w:rsidP="00CA27C1">
      <w:pPr>
        <w:pStyle w:val="ListParagraph"/>
        <w:numPr>
          <w:ilvl w:val="1"/>
          <w:numId w:val="1"/>
        </w:numPr>
        <w:rPr>
          <w:lang w:val="en-GB"/>
        </w:rPr>
      </w:pPr>
      <w:r w:rsidRPr="00B875C6">
        <w:rPr>
          <w:lang w:val="en-GB"/>
        </w:rPr>
        <w:lastRenderedPageBreak/>
        <w:t xml:space="preserve">What about the </w:t>
      </w:r>
      <w:proofErr w:type="gramStart"/>
      <w:r w:rsidRPr="00B875C6">
        <w:rPr>
          <w:lang w:val="en-GB"/>
        </w:rPr>
        <w:t>Israeli-Arab</w:t>
      </w:r>
      <w:proofErr w:type="gramEnd"/>
      <w:r w:rsidRPr="00B875C6">
        <w:rPr>
          <w:lang w:val="en-GB"/>
        </w:rPr>
        <w:t xml:space="preserve"> peace process?</w:t>
      </w:r>
    </w:p>
    <w:p w14:paraId="17AFBE6C" w14:textId="77777777" w:rsidR="00CA27C1" w:rsidRPr="00B875C6" w:rsidRDefault="00CA27C1" w:rsidP="00CA27C1">
      <w:pPr>
        <w:pStyle w:val="ListParagraph"/>
        <w:numPr>
          <w:ilvl w:val="1"/>
          <w:numId w:val="1"/>
        </w:numPr>
        <w:rPr>
          <w:lang w:val="en-GB"/>
        </w:rPr>
      </w:pPr>
      <w:r w:rsidRPr="00B875C6">
        <w:rPr>
          <w:lang w:val="en-GB"/>
        </w:rPr>
        <w:t>How important was reciprocation in other issues to handover (e.g. restoration of diplomatic relationship, economic cooperation, and/or support in the peace process)?</w:t>
      </w:r>
    </w:p>
    <w:p w14:paraId="4C2904BC" w14:textId="77777777" w:rsidR="00CA27C1" w:rsidRPr="00B875C6" w:rsidRDefault="00CA27C1" w:rsidP="00CA27C1">
      <w:pPr>
        <w:pStyle w:val="ListParagraph"/>
        <w:numPr>
          <w:ilvl w:val="1"/>
          <w:numId w:val="1"/>
        </w:numPr>
        <w:rPr>
          <w:lang w:val="en-GB"/>
        </w:rPr>
      </w:pPr>
      <w:r w:rsidRPr="00B875C6">
        <w:rPr>
          <w:lang w:val="en-GB"/>
        </w:rPr>
        <w:t>Was there a fear of renewed conflict if the issue was not resolved?</w:t>
      </w:r>
    </w:p>
    <w:p w14:paraId="5CA76F6B" w14:textId="77777777" w:rsidR="00CA27C1" w:rsidRPr="00B875C6" w:rsidRDefault="00CA27C1" w:rsidP="00CA27C1">
      <w:pPr>
        <w:rPr>
          <w:lang w:val="en-GB"/>
        </w:rPr>
      </w:pPr>
      <w:r w:rsidRPr="00B875C6">
        <w:rPr>
          <w:lang w:val="en-GB"/>
        </w:rPr>
        <w:t xml:space="preserve">Ethical approval for the fieldwork and interviews was obtained from the </w:t>
      </w:r>
      <w:r>
        <w:rPr>
          <w:lang w:val="en-GB"/>
        </w:rPr>
        <w:t xml:space="preserve">[national review board]. </w:t>
      </w:r>
      <w:r w:rsidRPr="00B875C6">
        <w:rPr>
          <w:lang w:val="en-GB"/>
        </w:rPr>
        <w:t xml:space="preserve">The agency, which vetted the ethics of all research involving human subjects in accordance with </w:t>
      </w:r>
      <w:r>
        <w:rPr>
          <w:lang w:val="en-GB"/>
        </w:rPr>
        <w:t>[</w:t>
      </w:r>
      <w:r>
        <w:t>stringent national] law</w:t>
      </w:r>
      <w:r w:rsidRPr="00B875C6">
        <w:rPr>
          <w:lang w:val="en-GB"/>
        </w:rPr>
        <w:t>, approved the study on 11 April 2018.</w:t>
      </w:r>
      <w:r w:rsidRPr="00DE3A74">
        <w:rPr>
          <w:rStyle w:val="FootnoteReference"/>
        </w:rPr>
        <w:footnoteReference w:id="1"/>
      </w:r>
    </w:p>
    <w:p w14:paraId="1E6A54E2" w14:textId="77777777" w:rsidR="00CA27C1" w:rsidRPr="00B875C6" w:rsidRDefault="00CA27C1" w:rsidP="00CA27C1">
      <w:pPr>
        <w:rPr>
          <w:lang w:val="en-GB"/>
        </w:rPr>
      </w:pPr>
      <w:r w:rsidRPr="00B875C6">
        <w:rPr>
          <w:lang w:val="en-GB"/>
        </w:rPr>
        <w:t>Given the less salient nature of the issue by 2018, risk for psychological or emotional stress due to re-traumatization of the recounting of past traumatic events was considered less of an issue (</w:t>
      </w:r>
      <w:proofErr w:type="spellStart"/>
      <w:r w:rsidRPr="00B875C6">
        <w:rPr>
          <w:lang w:val="en-GB"/>
        </w:rPr>
        <w:t>Brounéus</w:t>
      </w:r>
      <w:proofErr w:type="spellEnd"/>
      <w:r w:rsidRPr="00B875C6">
        <w:rPr>
          <w:lang w:val="en-GB"/>
        </w:rPr>
        <w:t xml:space="preserve"> 2011). All interviewees were supplied with summary information about the project, their rights as participants, and contact information. Following this orientation, all interviewees supplied oral and informed consent, before the initiation of the interview. As required by Swedish regulation, and best practice of ethical research, informants had the right to demand </w:t>
      </w:r>
      <w:proofErr w:type="gramStart"/>
      <w:r w:rsidRPr="00B875C6">
        <w:rPr>
          <w:lang w:val="en-GB"/>
        </w:rPr>
        <w:t>anonymity, or</w:t>
      </w:r>
      <w:proofErr w:type="gramEnd"/>
      <w:r w:rsidRPr="00B875C6">
        <w:rPr>
          <w:lang w:val="en-GB"/>
        </w:rPr>
        <w:t xml:space="preserve"> withdraw their consent for participation at any point during or after the interview. Some interviewees exercised the former of these rights, and requested anonymity, or to have their responses be treated as background. I have chosen not to cite any of those interviews in the final article. That said, the exclusion of their accounts does not systematically skew the results, as the information and recollections that they provided were shared by interviewees that agreed to be cited by name. </w:t>
      </w:r>
    </w:p>
    <w:p w14:paraId="704722FD" w14:textId="77777777" w:rsidR="00CA27C1" w:rsidRDefault="00CA27C1" w:rsidP="00CA27C1">
      <w:pPr>
        <w:spacing w:line="259" w:lineRule="auto"/>
        <w:jc w:val="left"/>
        <w:rPr>
          <w:bCs/>
          <w:i/>
          <w:lang w:val="en-GB"/>
        </w:rPr>
      </w:pPr>
      <w:r>
        <w:rPr>
          <w:bCs/>
          <w:i/>
          <w:lang w:val="en-GB"/>
        </w:rPr>
        <w:br w:type="page"/>
      </w:r>
    </w:p>
    <w:p w14:paraId="74162949" w14:textId="77777777" w:rsidR="00CA27C1" w:rsidRPr="003824DE" w:rsidRDefault="00CA27C1" w:rsidP="00CA27C1">
      <w:pPr>
        <w:rPr>
          <w:bCs/>
          <w:i/>
          <w:lang w:val="en-GB"/>
        </w:rPr>
      </w:pPr>
      <w:r w:rsidRPr="003824DE">
        <w:rPr>
          <w:bCs/>
          <w:i/>
          <w:lang w:val="en-GB"/>
        </w:rPr>
        <w:lastRenderedPageBreak/>
        <w:t>List of cited interviews:</w:t>
      </w:r>
    </w:p>
    <w:p w14:paraId="113ACC95" w14:textId="77777777" w:rsidR="00CA27C1" w:rsidRPr="00B875C6" w:rsidRDefault="00CA27C1" w:rsidP="00CA27C1">
      <w:pPr>
        <w:ind w:left="567" w:hanging="567"/>
        <w:rPr>
          <w:lang w:val="en-GB"/>
        </w:rPr>
      </w:pPr>
      <w:r w:rsidRPr="00B875C6">
        <w:rPr>
          <w:lang w:val="en-GB"/>
        </w:rPr>
        <w:t>Beilin, Yossi. 2018. Cabinet Secretary, Director General of the Foreign Ministry, Deputy Minister of Finance. Interview by Author, 27 May. Tel Aviv. Beilin was a member of the Alignment and a close confident of Peres. He served as cabinet secretary during the premiership of Peres from 1984–1986, and as director-general of the foreign ministry throughout Peres’ term as foreign minister from 1986–1988.</w:t>
      </w:r>
    </w:p>
    <w:p w14:paraId="17C73BBC" w14:textId="77777777" w:rsidR="00CA27C1" w:rsidRPr="00B875C6" w:rsidRDefault="00CA27C1" w:rsidP="00CA27C1">
      <w:pPr>
        <w:ind w:left="567" w:hanging="567"/>
        <w:rPr>
          <w:lang w:val="en-GB"/>
        </w:rPr>
      </w:pPr>
      <w:r w:rsidRPr="00B875C6">
        <w:rPr>
          <w:lang w:val="en-GB"/>
        </w:rPr>
        <w:t xml:space="preserve">Lapidoth, Ruth. 2018. Arbiter in the Taba Tribunal Appointed by Israel. Interview by Author, 28 May. Jerusalem. Lapidoth served as arbiter in the </w:t>
      </w:r>
      <w:r w:rsidRPr="00B875C6">
        <w:rPr>
          <w:i/>
          <w:lang w:val="en-GB"/>
        </w:rPr>
        <w:t>ad-hoc</w:t>
      </w:r>
      <w:r w:rsidRPr="00B875C6">
        <w:rPr>
          <w:lang w:val="en-GB"/>
        </w:rPr>
        <w:t xml:space="preserve"> tribunal that decided the Taba dispute, as the Israeli appointee. In the Taba arbitration, the tribunal consisted of three jointly agreed neutral arbiters, and two directly appointed by the respective disputants (Lapidoth 1992, 224).</w:t>
      </w:r>
    </w:p>
    <w:p w14:paraId="514B5956" w14:textId="77777777" w:rsidR="00CA27C1" w:rsidRPr="00B875C6" w:rsidRDefault="00CA27C1" w:rsidP="00CA27C1">
      <w:pPr>
        <w:ind w:left="567" w:hanging="567"/>
        <w:rPr>
          <w:lang w:val="en-GB"/>
        </w:rPr>
      </w:pPr>
      <w:proofErr w:type="spellStart"/>
      <w:r w:rsidRPr="00B875C6">
        <w:rPr>
          <w:lang w:val="en-GB"/>
        </w:rPr>
        <w:t>Merhav</w:t>
      </w:r>
      <w:proofErr w:type="spellEnd"/>
      <w:r w:rsidRPr="00B875C6">
        <w:rPr>
          <w:lang w:val="en-GB"/>
        </w:rPr>
        <w:t xml:space="preserve">, Reuven. 2018. Director General of the Foreign Ministry. Interview by Author, 24 May. Jerusalem. </w:t>
      </w:r>
      <w:proofErr w:type="spellStart"/>
      <w:r w:rsidRPr="00B875C6">
        <w:rPr>
          <w:lang w:val="en-GB"/>
        </w:rPr>
        <w:t>Merhav</w:t>
      </w:r>
      <w:proofErr w:type="spellEnd"/>
      <w:r w:rsidRPr="00B875C6">
        <w:rPr>
          <w:lang w:val="en-GB"/>
        </w:rPr>
        <w:t xml:space="preserve"> served as director-general of the foreign ministry under the second National Unity government (the one formed after the 1988 election).</w:t>
      </w:r>
    </w:p>
    <w:p w14:paraId="52AF215E" w14:textId="77777777" w:rsidR="00CA27C1" w:rsidRPr="00B875C6" w:rsidRDefault="00CA27C1" w:rsidP="00CA27C1">
      <w:pPr>
        <w:ind w:left="567" w:hanging="567"/>
        <w:rPr>
          <w:lang w:val="en-GB"/>
        </w:rPr>
      </w:pPr>
      <w:r w:rsidRPr="00B875C6">
        <w:rPr>
          <w:lang w:val="en-GB"/>
        </w:rPr>
        <w:t xml:space="preserve">Meridor, Dan. 2018. Minister of Justice. Interview by Author, 21 May. Jerusalem. Meridor served as minister of justice in the government established after the 1988 elections. A member of the Likud, he participated in the inner cabinet’s meetings on the issue following his appointment as minister of justice. </w:t>
      </w:r>
    </w:p>
    <w:p w14:paraId="239FE6EC" w14:textId="77777777" w:rsidR="00CA27C1" w:rsidRPr="00B875C6" w:rsidRDefault="00CA27C1" w:rsidP="00CA27C1">
      <w:pPr>
        <w:ind w:left="567" w:hanging="567"/>
        <w:rPr>
          <w:lang w:val="en-GB"/>
        </w:rPr>
      </w:pPr>
      <w:r w:rsidRPr="00B875C6">
        <w:rPr>
          <w:lang w:val="en-GB"/>
        </w:rPr>
        <w:t xml:space="preserve">Novik, Nimrod. 2018. Senior Adviser to Shimon Peres. Interview by Author, 3 </w:t>
      </w:r>
      <w:r>
        <w:rPr>
          <w:lang w:val="en-GB"/>
        </w:rPr>
        <w:t>June</w:t>
      </w:r>
      <w:r w:rsidRPr="00B875C6">
        <w:rPr>
          <w:lang w:val="en-GB"/>
        </w:rPr>
        <w:t>. Tel Aviv. Novik served as senior adviser to Shimon Peres throughout the 1980s. He worked for the Alignment and participated in the inner cabinet’s meetings on Taba.</w:t>
      </w:r>
    </w:p>
    <w:p w14:paraId="486AA20F" w14:textId="77777777" w:rsidR="00CA27C1" w:rsidRDefault="00CA27C1" w:rsidP="00CA27C1">
      <w:pPr>
        <w:ind w:left="567" w:hanging="567"/>
        <w:rPr>
          <w:lang w:val="en-GB"/>
        </w:rPr>
      </w:pPr>
      <w:r w:rsidRPr="00B875C6">
        <w:rPr>
          <w:lang w:val="en-GB"/>
        </w:rPr>
        <w:t xml:space="preserve">Sabel, Robbie. 2018. Legal Adviser to the Israel Foreign Ministry. Interview by Author, 17 May. Jerusalem. Sabel served as legal adviser to the Israeli foreign ministry at the time of the Taba dispute from 1985 on. He was not politically appointed or affiliated, but he </w:t>
      </w:r>
      <w:r w:rsidRPr="00B875C6">
        <w:rPr>
          <w:lang w:val="en-GB"/>
        </w:rPr>
        <w:lastRenderedPageBreak/>
        <w:t>participated in all meetings on the issue with the prime minister or the cabinet in his capacity as main legal adviser at the foreign ministry.</w:t>
      </w:r>
    </w:p>
    <w:p w14:paraId="3DD7E760" w14:textId="77777777" w:rsidR="00CA27C1" w:rsidRPr="00D357E3" w:rsidRDefault="00CA27C1" w:rsidP="00CA27C1">
      <w:pPr>
        <w:ind w:left="567" w:hanging="567"/>
        <w:rPr>
          <w:rFonts w:eastAsia="Calibri"/>
          <w:b/>
        </w:rPr>
      </w:pPr>
      <w:r w:rsidRPr="00D357E3">
        <w:rPr>
          <w:rFonts w:eastAsia="Calibri"/>
        </w:rPr>
        <w:t xml:space="preserve">Sofaer, Abraham D. 2018. Legal Adviser to the US Department of State, Mediator on the Taba Issue. Interview by Author, 4 June. Jerusalem. </w:t>
      </w:r>
    </w:p>
    <w:p w14:paraId="1ED4241F" w14:textId="77777777" w:rsidR="00CA27C1" w:rsidRPr="00B875C6" w:rsidRDefault="00CA27C1" w:rsidP="00CA27C1">
      <w:pPr>
        <w:ind w:left="567" w:hanging="567"/>
        <w:rPr>
          <w:lang w:val="en-GB"/>
        </w:rPr>
      </w:pPr>
    </w:p>
    <w:p w14:paraId="4B7A6F5C" w14:textId="77777777" w:rsidR="00CA27C1" w:rsidRPr="00B875C6" w:rsidRDefault="00CA27C1" w:rsidP="00CA27C1">
      <w:pPr>
        <w:pStyle w:val="Heading1"/>
      </w:pPr>
      <w:r w:rsidRPr="00B875C6">
        <w:t xml:space="preserve">Coding criteria for alternative explanations in Table 1. </w:t>
      </w:r>
    </w:p>
    <w:p w14:paraId="330EFBCF" w14:textId="77777777" w:rsidR="00CA27C1" w:rsidRPr="00B875C6" w:rsidRDefault="00CA27C1" w:rsidP="00CA27C1">
      <w:pPr>
        <w:rPr>
          <w:lang w:val="en-GB"/>
        </w:rPr>
      </w:pPr>
      <w:r w:rsidRPr="00B875C6">
        <w:rPr>
          <w:i/>
          <w:lang w:val="en-GB"/>
        </w:rPr>
        <w:t>Regime type:</w:t>
      </w:r>
      <w:r w:rsidRPr="00B875C6">
        <w:rPr>
          <w:lang w:val="en-GB"/>
        </w:rPr>
        <w:t xml:space="preserve"> Coded based on Polity4 (v2018) dataset (Marshall, Gurr, and Jaggers 2019), polity variable. Value at the time of adoption. Israel = 9 (Democracy), Libya -7 (Autocracy).</w:t>
      </w:r>
    </w:p>
    <w:p w14:paraId="60DEF071" w14:textId="77777777" w:rsidR="00CA27C1" w:rsidRPr="00B875C6" w:rsidRDefault="00CA27C1" w:rsidP="00CA27C1">
      <w:pPr>
        <w:rPr>
          <w:lang w:val="en-GB"/>
        </w:rPr>
      </w:pPr>
      <w:r w:rsidRPr="00B875C6">
        <w:rPr>
          <w:i/>
          <w:lang w:val="en-GB"/>
        </w:rPr>
        <w:t>Domestic legal system:</w:t>
      </w:r>
      <w:r w:rsidRPr="00B875C6">
        <w:rPr>
          <w:b/>
          <w:lang w:val="en-GB"/>
        </w:rPr>
        <w:t xml:space="preserve"> </w:t>
      </w:r>
      <w:r w:rsidRPr="00B875C6">
        <w:rPr>
          <w:lang w:val="en-GB"/>
        </w:rPr>
        <w:t>Libya is coded as an Islam law country, based on Powell (2015). Israel is coded as a Common law country based on Metz (1990).</w:t>
      </w:r>
    </w:p>
    <w:p w14:paraId="63BAFA63" w14:textId="77777777" w:rsidR="00CA27C1" w:rsidRPr="00B875C6" w:rsidRDefault="00CA27C1" w:rsidP="00CA27C1">
      <w:pPr>
        <w:rPr>
          <w:b/>
          <w:lang w:val="en-GB"/>
        </w:rPr>
      </w:pPr>
      <w:proofErr w:type="gramStart"/>
      <w:r w:rsidRPr="00B875C6">
        <w:rPr>
          <w:i/>
          <w:lang w:val="en-GB"/>
        </w:rPr>
        <w:t>Past experience</w:t>
      </w:r>
      <w:proofErr w:type="gramEnd"/>
      <w:r w:rsidRPr="00B875C6">
        <w:rPr>
          <w:i/>
          <w:lang w:val="en-GB"/>
        </w:rPr>
        <w:t xml:space="preserve"> of Legal Dispute Resolution (LDR):</w:t>
      </w:r>
      <w:r w:rsidRPr="00B875C6">
        <w:rPr>
          <w:b/>
          <w:lang w:val="en-GB"/>
        </w:rPr>
        <w:t xml:space="preserve"> </w:t>
      </w:r>
      <w:r w:rsidRPr="00B875C6">
        <w:rPr>
          <w:lang w:val="en-GB"/>
        </w:rPr>
        <w:t xml:space="preserve">Qualitative assessment on the </w:t>
      </w:r>
      <w:proofErr w:type="gramStart"/>
      <w:r w:rsidRPr="00B875C6">
        <w:rPr>
          <w:lang w:val="en-GB"/>
        </w:rPr>
        <w:t>disputants</w:t>
      </w:r>
      <w:proofErr w:type="gramEnd"/>
      <w:r w:rsidRPr="00B875C6">
        <w:rPr>
          <w:lang w:val="en-GB"/>
        </w:rPr>
        <w:t xml:space="preserve"> previous experience with legal dispute resolution, at the time of acceptance. Libya is considered to have relative success with the ICJ in its two past cases regarding maritime delimitation (in relation to Tunisia in 1982 and Malta in 1985) (Paulson 2004, 440). Israel is not found to have had any </w:t>
      </w:r>
      <w:proofErr w:type="gramStart"/>
      <w:r w:rsidRPr="00B875C6">
        <w:rPr>
          <w:lang w:val="en-GB"/>
        </w:rPr>
        <w:t>past experience</w:t>
      </w:r>
      <w:proofErr w:type="gramEnd"/>
      <w:r w:rsidRPr="00B875C6">
        <w:rPr>
          <w:lang w:val="en-GB"/>
        </w:rPr>
        <w:t xml:space="preserve"> of legal dispute resolution. </w:t>
      </w:r>
    </w:p>
    <w:p w14:paraId="172491EB" w14:textId="77777777" w:rsidR="00CA27C1" w:rsidRPr="00B875C6" w:rsidRDefault="00CA27C1" w:rsidP="00CA27C1">
      <w:pPr>
        <w:rPr>
          <w:b/>
          <w:lang w:val="en-GB"/>
        </w:rPr>
      </w:pPr>
      <w:r w:rsidRPr="00B875C6">
        <w:rPr>
          <w:i/>
          <w:lang w:val="en-GB"/>
        </w:rPr>
        <w:t>Militarization:</w:t>
      </w:r>
      <w:r w:rsidRPr="00B875C6">
        <w:rPr>
          <w:b/>
          <w:lang w:val="en-GB"/>
        </w:rPr>
        <w:t xml:space="preserve"> </w:t>
      </w:r>
      <w:r w:rsidRPr="00B875C6">
        <w:rPr>
          <w:lang w:val="en-GB"/>
        </w:rPr>
        <w:t xml:space="preserve">Highest level of militarization of the dispute. Classification based on </w:t>
      </w:r>
      <w:proofErr w:type="spellStart"/>
      <w:r w:rsidRPr="00B875C6">
        <w:rPr>
          <w:lang w:val="en-GB"/>
        </w:rPr>
        <w:t>ICOWprov</w:t>
      </w:r>
      <w:proofErr w:type="spellEnd"/>
      <w:r w:rsidRPr="00B875C6">
        <w:rPr>
          <w:lang w:val="en-GB"/>
        </w:rPr>
        <w:t xml:space="preserve"> 1.01 dataset (Frederick, Hensel, and Macaulay 2017), </w:t>
      </w:r>
      <w:r>
        <w:rPr>
          <w:lang w:val="en-GB"/>
        </w:rPr>
        <w:t>‘</w:t>
      </w:r>
      <w:proofErr w:type="spellStart"/>
      <w:r w:rsidRPr="00B875C6">
        <w:rPr>
          <w:lang w:val="en-GB"/>
        </w:rPr>
        <w:t>midsiss</w:t>
      </w:r>
      <w:proofErr w:type="spellEnd"/>
      <w:r>
        <w:rPr>
          <w:lang w:val="en-GB"/>
        </w:rPr>
        <w:t>’</w:t>
      </w:r>
      <w:r w:rsidRPr="00B875C6">
        <w:rPr>
          <w:lang w:val="en-GB"/>
        </w:rPr>
        <w:t xml:space="preserve"> (total number of militarized interstate disputes (MIDs) over the issue) and </w:t>
      </w:r>
      <w:r>
        <w:rPr>
          <w:lang w:val="en-GB"/>
        </w:rPr>
        <w:t>‘</w:t>
      </w:r>
      <w:proofErr w:type="spellStart"/>
      <w:r w:rsidRPr="00B875C6">
        <w:rPr>
          <w:lang w:val="en-GB"/>
        </w:rPr>
        <w:t>warsiss</w:t>
      </w:r>
      <w:proofErr w:type="spellEnd"/>
      <w:r>
        <w:rPr>
          <w:lang w:val="en-GB"/>
        </w:rPr>
        <w:t>’</w:t>
      </w:r>
      <w:r w:rsidRPr="00B875C6">
        <w:rPr>
          <w:lang w:val="en-GB"/>
        </w:rPr>
        <w:t xml:space="preserve"> (total number of full-scale COW interstate wars over the issue) variables. </w:t>
      </w:r>
      <w:proofErr w:type="spellStart"/>
      <w:r w:rsidRPr="00B875C6">
        <w:rPr>
          <w:lang w:val="en-GB"/>
        </w:rPr>
        <w:t>Warsiss</w:t>
      </w:r>
      <w:proofErr w:type="spellEnd"/>
      <w:r w:rsidRPr="00B875C6">
        <w:rPr>
          <w:lang w:val="en-GB"/>
        </w:rPr>
        <w:t xml:space="preserve"> ≥ 1 = War, </w:t>
      </w:r>
      <w:proofErr w:type="spellStart"/>
      <w:r w:rsidRPr="00B875C6">
        <w:rPr>
          <w:lang w:val="en-GB"/>
        </w:rPr>
        <w:t>warsiss</w:t>
      </w:r>
      <w:proofErr w:type="spellEnd"/>
      <w:r w:rsidRPr="00B875C6">
        <w:rPr>
          <w:lang w:val="en-GB"/>
        </w:rPr>
        <w:t xml:space="preserve"> = 0 AND </w:t>
      </w:r>
      <w:proofErr w:type="spellStart"/>
      <w:r w:rsidRPr="00B875C6">
        <w:rPr>
          <w:lang w:val="en-GB"/>
        </w:rPr>
        <w:t>midsiss</w:t>
      </w:r>
      <w:proofErr w:type="spellEnd"/>
      <w:r w:rsidRPr="00B875C6">
        <w:rPr>
          <w:lang w:val="en-GB"/>
        </w:rPr>
        <w:t xml:space="preserve"> ≥ 1 = Militarized, all others = None. Taba dispute scores 0 on both, Libya scores 1 on </w:t>
      </w:r>
      <w:proofErr w:type="spellStart"/>
      <w:r w:rsidRPr="00B875C6">
        <w:rPr>
          <w:lang w:val="en-GB"/>
        </w:rPr>
        <w:t>Warsiss</w:t>
      </w:r>
      <w:proofErr w:type="spellEnd"/>
      <w:r w:rsidRPr="00B875C6">
        <w:rPr>
          <w:lang w:val="en-GB"/>
        </w:rPr>
        <w:t xml:space="preserve">. </w:t>
      </w:r>
    </w:p>
    <w:p w14:paraId="70FE91B3" w14:textId="77777777" w:rsidR="00CA27C1" w:rsidRPr="00B875C6" w:rsidRDefault="00CA27C1" w:rsidP="00CA27C1">
      <w:pPr>
        <w:rPr>
          <w:b/>
          <w:lang w:val="en-GB"/>
        </w:rPr>
      </w:pPr>
      <w:r w:rsidRPr="00B875C6">
        <w:rPr>
          <w:i/>
          <w:lang w:val="en-GB"/>
        </w:rPr>
        <w:t>Institutional constraints:</w:t>
      </w:r>
      <w:r w:rsidRPr="00B875C6">
        <w:rPr>
          <w:b/>
          <w:lang w:val="en-GB"/>
        </w:rPr>
        <w:t xml:space="preserve"> </w:t>
      </w:r>
      <w:r w:rsidRPr="00B875C6">
        <w:rPr>
          <w:lang w:val="en-GB"/>
        </w:rPr>
        <w:t xml:space="preserve">Level of institutional constraints on decision </w:t>
      </w:r>
      <w:proofErr w:type="gramStart"/>
      <w:r w:rsidRPr="00B875C6">
        <w:rPr>
          <w:lang w:val="en-GB"/>
        </w:rPr>
        <w:t>making-power</w:t>
      </w:r>
      <w:proofErr w:type="gramEnd"/>
      <w:r w:rsidRPr="00B875C6">
        <w:rPr>
          <w:lang w:val="en-GB"/>
        </w:rPr>
        <w:t xml:space="preserve"> of the executive in the disputant, at the time of acceptance of legal dispute resolution. Based on Polity 4 (v2018) dataset (Marshall, Gurr, and Jaggers 2019), </w:t>
      </w:r>
      <w:r>
        <w:rPr>
          <w:lang w:val="en-GB"/>
        </w:rPr>
        <w:t>‘</w:t>
      </w:r>
      <w:proofErr w:type="spellStart"/>
      <w:r w:rsidRPr="00B875C6">
        <w:rPr>
          <w:lang w:val="en-GB"/>
        </w:rPr>
        <w:t>exconst</w:t>
      </w:r>
      <w:proofErr w:type="spellEnd"/>
      <w:r>
        <w:rPr>
          <w:lang w:val="en-GB"/>
        </w:rPr>
        <w:t>’</w:t>
      </w:r>
      <w:r w:rsidRPr="00B875C6">
        <w:rPr>
          <w:lang w:val="en-GB"/>
        </w:rPr>
        <w:t xml:space="preserve"> (executive constraints </w:t>
      </w:r>
      <w:r w:rsidRPr="00B875C6">
        <w:rPr>
          <w:lang w:val="en-GB"/>
        </w:rPr>
        <w:lastRenderedPageBreak/>
        <w:t xml:space="preserve">concepts) variable. Concept captures presence and level of </w:t>
      </w:r>
      <w:r>
        <w:rPr>
          <w:lang w:val="en-GB"/>
        </w:rPr>
        <w:t>‘</w:t>
      </w:r>
      <w:r w:rsidRPr="00B875C6">
        <w:rPr>
          <w:lang w:val="en-GB"/>
        </w:rPr>
        <w:t>horizontal accountability</w:t>
      </w:r>
      <w:r>
        <w:rPr>
          <w:lang w:val="en-GB"/>
        </w:rPr>
        <w:t>’</w:t>
      </w:r>
      <w:r w:rsidRPr="00B875C6">
        <w:rPr>
          <w:lang w:val="en-GB"/>
        </w:rPr>
        <w:t xml:space="preserve"> or </w:t>
      </w:r>
      <w:r>
        <w:rPr>
          <w:lang w:val="en-GB"/>
        </w:rPr>
        <w:t>‘</w:t>
      </w:r>
      <w:r w:rsidRPr="00B875C6">
        <w:rPr>
          <w:lang w:val="en-GB"/>
        </w:rPr>
        <w:t>accountability groups</w:t>
      </w:r>
      <w:r>
        <w:rPr>
          <w:lang w:val="en-GB"/>
        </w:rPr>
        <w:t>’</w:t>
      </w:r>
      <w:r w:rsidRPr="00B875C6">
        <w:rPr>
          <w:lang w:val="en-GB"/>
        </w:rPr>
        <w:t xml:space="preserve"> across regimes. Concept originally measured on 7-point ordinal scale ranging from </w:t>
      </w:r>
      <w:r>
        <w:rPr>
          <w:lang w:val="en-GB"/>
        </w:rPr>
        <w:t>‘</w:t>
      </w:r>
      <w:r w:rsidRPr="00B875C6">
        <w:rPr>
          <w:lang w:val="en-GB"/>
        </w:rPr>
        <w:t>unlimited executive authority</w:t>
      </w:r>
      <w:r>
        <w:rPr>
          <w:lang w:val="en-GB"/>
        </w:rPr>
        <w:t>’</w:t>
      </w:r>
      <w:r w:rsidRPr="00B875C6">
        <w:rPr>
          <w:lang w:val="en-GB"/>
        </w:rPr>
        <w:t xml:space="preserve"> (1) to </w:t>
      </w:r>
      <w:r>
        <w:rPr>
          <w:lang w:val="en-GB"/>
        </w:rPr>
        <w:t>‘</w:t>
      </w:r>
      <w:r w:rsidRPr="00B875C6">
        <w:rPr>
          <w:lang w:val="en-GB"/>
        </w:rPr>
        <w:t>executive parity or subordination</w:t>
      </w:r>
      <w:r>
        <w:rPr>
          <w:lang w:val="en-GB"/>
        </w:rPr>
        <w:t>’</w:t>
      </w:r>
      <w:r w:rsidRPr="00B875C6">
        <w:rPr>
          <w:lang w:val="en-GB"/>
        </w:rPr>
        <w:t xml:space="preserve"> (7). 1-2 = Low, 3-5 = Moderate, 6-7 = High. Israel scores 7, Libya scores 1. </w:t>
      </w:r>
    </w:p>
    <w:p w14:paraId="71287C1B" w14:textId="77777777" w:rsidR="00CA27C1" w:rsidRPr="00B875C6" w:rsidRDefault="00CA27C1" w:rsidP="00CA27C1">
      <w:pPr>
        <w:rPr>
          <w:b/>
          <w:lang w:val="en-GB"/>
        </w:rPr>
      </w:pPr>
      <w:r w:rsidRPr="00B875C6">
        <w:rPr>
          <w:i/>
          <w:lang w:val="en-GB"/>
        </w:rPr>
        <w:t>Relative power, CINC:</w:t>
      </w:r>
      <w:r w:rsidRPr="00B875C6">
        <w:rPr>
          <w:b/>
          <w:lang w:val="en-GB"/>
        </w:rPr>
        <w:t xml:space="preserve"> </w:t>
      </w:r>
      <w:r w:rsidRPr="00B875C6">
        <w:rPr>
          <w:lang w:val="en-GB"/>
        </w:rPr>
        <w:t xml:space="preserve">Coded based on the </w:t>
      </w:r>
      <w:proofErr w:type="gramStart"/>
      <w:r w:rsidRPr="00B875C6">
        <w:rPr>
          <w:lang w:val="en-GB"/>
        </w:rPr>
        <w:t>disputants</w:t>
      </w:r>
      <w:proofErr w:type="gramEnd"/>
      <w:r w:rsidRPr="00B875C6">
        <w:rPr>
          <w:lang w:val="en-GB"/>
        </w:rPr>
        <w:t xml:space="preserve"> relative share of the aggregate Combined Index of National Capabilities (CINC scores) of the dyad, for the year of acceptance. Data from the National Material Capabilities (NMC) dataset of the Correlates of War project (Greig and Enterline 2017). Weak ≤ 0,</w:t>
      </w:r>
      <w:proofErr w:type="gramStart"/>
      <w:r w:rsidRPr="00B875C6">
        <w:rPr>
          <w:lang w:val="en-GB"/>
        </w:rPr>
        <w:t>33,  0</w:t>
      </w:r>
      <w:proofErr w:type="gramEnd"/>
      <w:r w:rsidRPr="00B875C6">
        <w:rPr>
          <w:lang w:val="en-GB"/>
        </w:rPr>
        <w:t xml:space="preserve">,33 &lt; relative parity &gt; 0,66, strong ≥ 0,66. Israel scores 0,26 (in the dyad with Egypt), Libya scores 0,76 (in the dyad with Chad). </w:t>
      </w:r>
    </w:p>
    <w:p w14:paraId="392E1038" w14:textId="77777777" w:rsidR="00CA27C1" w:rsidRPr="00B875C6" w:rsidRDefault="00CA27C1" w:rsidP="00CA27C1">
      <w:pPr>
        <w:rPr>
          <w:b/>
          <w:lang w:val="en-GB"/>
        </w:rPr>
      </w:pPr>
      <w:r w:rsidRPr="00B875C6">
        <w:rPr>
          <w:i/>
          <w:lang w:val="en-GB"/>
        </w:rPr>
        <w:t>Relative power, outcome of last conflict:</w:t>
      </w:r>
      <w:r w:rsidRPr="00B875C6">
        <w:rPr>
          <w:b/>
          <w:lang w:val="en-GB"/>
        </w:rPr>
        <w:t xml:space="preserve"> </w:t>
      </w:r>
      <w:r w:rsidRPr="00B875C6">
        <w:rPr>
          <w:lang w:val="en-GB"/>
        </w:rPr>
        <w:t xml:space="preserve">Qualitative assessment of the outcome of the last major military conflict, at the time of acceptance of legal management. Outcome of the 1973 October war is considered a draw by conservative estimates, based on how the Israeli eventual success was countered by an increased perception of strategic vulnerability (Kliot 1995: 11). Outcome of the 1987 Toyota War is considered a Chadian victory, based on the extensive Libyan losses (Wrigth 1989, 133; Arnold 1996, 77; Simons 2003, 58; </w:t>
      </w:r>
      <w:proofErr w:type="spellStart"/>
      <w:r w:rsidRPr="00B875C6">
        <w:rPr>
          <w:lang w:val="en-GB"/>
        </w:rPr>
        <w:t>Pargater</w:t>
      </w:r>
      <w:proofErr w:type="spellEnd"/>
      <w:r w:rsidRPr="00B875C6">
        <w:rPr>
          <w:lang w:val="en-GB"/>
        </w:rPr>
        <w:t xml:space="preserve"> 2012, 133). </w:t>
      </w:r>
    </w:p>
    <w:p w14:paraId="37310A4A" w14:textId="77777777" w:rsidR="00CA27C1" w:rsidRPr="00B875C6" w:rsidRDefault="00CA27C1" w:rsidP="00CA27C1">
      <w:pPr>
        <w:rPr>
          <w:b/>
          <w:lang w:val="en-GB"/>
        </w:rPr>
      </w:pPr>
      <w:r w:rsidRPr="00B875C6">
        <w:rPr>
          <w:i/>
          <w:lang w:val="en-GB"/>
        </w:rPr>
        <w:t>Length of dispute:</w:t>
      </w:r>
      <w:r w:rsidRPr="00B875C6">
        <w:rPr>
          <w:b/>
          <w:lang w:val="en-GB"/>
        </w:rPr>
        <w:t xml:space="preserve"> </w:t>
      </w:r>
      <w:r w:rsidRPr="00B875C6">
        <w:rPr>
          <w:lang w:val="en-GB"/>
        </w:rPr>
        <w:t>Count of years between the initiation of the dispute and the acceptance of legal dispute resolution.</w:t>
      </w:r>
      <w:r w:rsidRPr="00B875C6">
        <w:rPr>
          <w:b/>
          <w:lang w:val="en-GB"/>
        </w:rPr>
        <w:t xml:space="preserve">  </w:t>
      </w:r>
    </w:p>
    <w:p w14:paraId="6F647978" w14:textId="77777777" w:rsidR="00CA27C1" w:rsidRPr="00B875C6" w:rsidRDefault="00CA27C1" w:rsidP="00CA27C1">
      <w:pPr>
        <w:pStyle w:val="Heading1"/>
      </w:pPr>
      <w:r w:rsidRPr="00B875C6">
        <w:t>Population of relevant cases</w:t>
      </w:r>
    </w:p>
    <w:p w14:paraId="7C94E075" w14:textId="77777777" w:rsidR="00CA27C1" w:rsidRPr="00B875C6" w:rsidRDefault="00CA27C1" w:rsidP="00CA27C1">
      <w:pPr>
        <w:rPr>
          <w:lang w:val="en-GB"/>
        </w:rPr>
      </w:pPr>
      <w:r w:rsidRPr="00B875C6">
        <w:rPr>
          <w:lang w:val="en-GB"/>
        </w:rPr>
        <w:t>Based on the datasets provided by Allee and Huth (2006) and by Frederick, Hensel, and Macaulay (2017), I have identified 22 territorial disputes that were subject to legal dispute resolution 1945-2000. Using available data on the relative strength of legal claims (Huth et al. 2011), and two separate assessments of disputant reluctance for legal management (</w:t>
      </w:r>
      <w:proofErr w:type="spellStart"/>
      <w:r w:rsidRPr="00B875C6">
        <w:rPr>
          <w:lang w:val="en-GB"/>
        </w:rPr>
        <w:t>Brilmayer</w:t>
      </w:r>
      <w:proofErr w:type="spellEnd"/>
      <w:r w:rsidRPr="00B875C6">
        <w:rPr>
          <w:lang w:val="en-GB"/>
        </w:rPr>
        <w:t xml:space="preserve"> and Faure 2014; Wiegand et al. 2021), I compiled Table A.1 below with relevant information </w:t>
      </w:r>
      <w:r w:rsidRPr="00B875C6">
        <w:rPr>
          <w:lang w:val="en-GB"/>
        </w:rPr>
        <w:lastRenderedPageBreak/>
        <w:t xml:space="preserve">for 21 of the identified cases. The table provides an overview of the prevalence of reluctant acceptance of legal management. </w:t>
      </w:r>
    </w:p>
    <w:p w14:paraId="7673F00C" w14:textId="77777777" w:rsidR="00CA27C1" w:rsidRPr="00A852DA" w:rsidRDefault="00CA27C1" w:rsidP="00CA27C1">
      <w:pPr>
        <w:spacing w:line="259" w:lineRule="auto"/>
        <w:jc w:val="left"/>
        <w:rPr>
          <w:b/>
          <w:sz w:val="20"/>
          <w:szCs w:val="20"/>
          <w:lang w:val="en-GB"/>
        </w:rPr>
      </w:pPr>
      <w:r w:rsidRPr="00B875C6">
        <w:rPr>
          <w:b/>
          <w:sz w:val="20"/>
          <w:szCs w:val="20"/>
          <w:lang w:val="en-GB"/>
        </w:rPr>
        <w:t>Table A.1</w:t>
      </w:r>
      <w:r w:rsidRPr="00B875C6">
        <w:rPr>
          <w:sz w:val="20"/>
          <w:szCs w:val="20"/>
          <w:lang w:val="en-GB"/>
        </w:rPr>
        <w:t xml:space="preserve"> </w:t>
      </w:r>
      <w:r w:rsidRPr="00B875C6">
        <w:rPr>
          <w:i/>
          <w:sz w:val="20"/>
          <w:szCs w:val="20"/>
          <w:lang w:val="en-GB"/>
        </w:rPr>
        <w:t>Interstate Territorial Disputes Submitted to Legal Dispute Resolution, 1945–2000</w:t>
      </w:r>
    </w:p>
    <w:tbl>
      <w:tblPr>
        <w:tblStyle w:val="ListTable1Light"/>
        <w:tblW w:w="5000" w:type="pct"/>
        <w:tblLayout w:type="fixed"/>
        <w:tblLook w:val="04A0" w:firstRow="1" w:lastRow="0" w:firstColumn="1" w:lastColumn="0" w:noHBand="0" w:noVBand="1"/>
      </w:tblPr>
      <w:tblGrid>
        <w:gridCol w:w="1419"/>
        <w:gridCol w:w="1134"/>
        <w:gridCol w:w="1417"/>
        <w:gridCol w:w="1134"/>
        <w:gridCol w:w="1134"/>
        <w:gridCol w:w="994"/>
        <w:gridCol w:w="1134"/>
        <w:gridCol w:w="706"/>
      </w:tblGrid>
      <w:tr w:rsidR="00CA27C1" w:rsidRPr="00B875C6" w14:paraId="48FA465E" w14:textId="77777777" w:rsidTr="003401A4">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2" w:type="pct"/>
            <w:tcBorders>
              <w:top w:val="single" w:sz="4" w:space="0" w:color="auto"/>
            </w:tcBorders>
            <w:noWrap/>
            <w:hideMark/>
          </w:tcPr>
          <w:p w14:paraId="58CCECD3" w14:textId="77777777" w:rsidR="00CA27C1" w:rsidRPr="00B875C6" w:rsidRDefault="00CA27C1" w:rsidP="003401A4">
            <w:pPr>
              <w:spacing w:line="240" w:lineRule="auto"/>
              <w:rPr>
                <w:b w:val="0"/>
                <w:color w:val="000000"/>
                <w:sz w:val="18"/>
                <w:szCs w:val="18"/>
                <w:lang w:val="en-GB"/>
              </w:rPr>
            </w:pPr>
            <w:bookmarkStart w:id="1" w:name="RANGE!A1:E38"/>
            <w:r w:rsidRPr="00B875C6">
              <w:rPr>
                <w:b w:val="0"/>
                <w:color w:val="000000"/>
                <w:sz w:val="18"/>
                <w:szCs w:val="18"/>
                <w:lang w:val="en-GB"/>
              </w:rPr>
              <w:t>Disputed territory</w:t>
            </w:r>
            <w:bookmarkEnd w:id="1"/>
          </w:p>
        </w:tc>
        <w:tc>
          <w:tcPr>
            <w:tcW w:w="625" w:type="pct"/>
            <w:tcBorders>
              <w:top w:val="single" w:sz="4" w:space="0" w:color="auto"/>
            </w:tcBorders>
          </w:tcPr>
          <w:p w14:paraId="48A64D38" w14:textId="77777777" w:rsidR="00CA27C1" w:rsidRPr="00B875C6" w:rsidRDefault="00CA27C1" w:rsidP="003401A4">
            <w:pPr>
              <w:spacing w:line="240" w:lineRule="auto"/>
              <w:cnfStyle w:val="100000000000" w:firstRow="1" w:lastRow="0" w:firstColumn="0" w:lastColumn="0" w:oddVBand="0" w:evenVBand="0" w:oddHBand="0" w:evenHBand="0" w:firstRowFirstColumn="0" w:firstRowLastColumn="0" w:lastRowFirstColumn="0" w:lastRowLastColumn="0"/>
              <w:rPr>
                <w:b w:val="0"/>
                <w:color w:val="000000"/>
                <w:sz w:val="18"/>
                <w:szCs w:val="18"/>
                <w:lang w:val="en-GB"/>
              </w:rPr>
            </w:pPr>
            <w:r w:rsidRPr="00B875C6">
              <w:rPr>
                <w:b w:val="0"/>
                <w:color w:val="000000"/>
                <w:sz w:val="18"/>
                <w:szCs w:val="18"/>
                <w:lang w:val="en-GB"/>
              </w:rPr>
              <w:t>Time frame of territorial dispute</w:t>
            </w:r>
          </w:p>
        </w:tc>
        <w:tc>
          <w:tcPr>
            <w:tcW w:w="781" w:type="pct"/>
            <w:tcBorders>
              <w:top w:val="single" w:sz="4" w:space="0" w:color="auto"/>
            </w:tcBorders>
            <w:noWrap/>
            <w:hideMark/>
          </w:tcPr>
          <w:p w14:paraId="2EED2CC5" w14:textId="77777777" w:rsidR="00CA27C1" w:rsidRPr="00B875C6" w:rsidRDefault="00CA27C1" w:rsidP="003401A4">
            <w:pPr>
              <w:spacing w:line="240" w:lineRule="auto"/>
              <w:cnfStyle w:val="100000000000" w:firstRow="1" w:lastRow="0" w:firstColumn="0" w:lastColumn="0" w:oddVBand="0" w:evenVBand="0" w:oddHBand="0" w:evenHBand="0" w:firstRowFirstColumn="0" w:firstRowLastColumn="0" w:lastRowFirstColumn="0" w:lastRowLastColumn="0"/>
              <w:rPr>
                <w:b w:val="0"/>
                <w:color w:val="000000"/>
                <w:sz w:val="18"/>
                <w:szCs w:val="18"/>
                <w:lang w:val="en-GB"/>
              </w:rPr>
            </w:pPr>
            <w:r w:rsidRPr="00B875C6">
              <w:rPr>
                <w:b w:val="0"/>
                <w:color w:val="000000"/>
                <w:sz w:val="18"/>
                <w:szCs w:val="18"/>
                <w:lang w:val="en-GB"/>
              </w:rPr>
              <w:t>Disputing states (Legal loser(s) underscored)</w:t>
            </w:r>
          </w:p>
        </w:tc>
        <w:tc>
          <w:tcPr>
            <w:tcW w:w="625" w:type="pct"/>
            <w:tcBorders>
              <w:top w:val="single" w:sz="4" w:space="0" w:color="auto"/>
            </w:tcBorders>
          </w:tcPr>
          <w:p w14:paraId="5BDB49B9" w14:textId="77777777" w:rsidR="00CA27C1" w:rsidRPr="00B875C6" w:rsidRDefault="00CA27C1" w:rsidP="003401A4">
            <w:pPr>
              <w:spacing w:line="240" w:lineRule="auto"/>
              <w:cnfStyle w:val="100000000000" w:firstRow="1" w:lastRow="0" w:firstColumn="0" w:lastColumn="0" w:oddVBand="0" w:evenVBand="0" w:oddHBand="0" w:evenHBand="0" w:firstRowFirstColumn="0" w:firstRowLastColumn="0" w:lastRowFirstColumn="0" w:lastRowLastColumn="0"/>
              <w:rPr>
                <w:b w:val="0"/>
                <w:color w:val="000000"/>
                <w:sz w:val="18"/>
                <w:szCs w:val="18"/>
                <w:lang w:val="en-GB"/>
              </w:rPr>
            </w:pPr>
            <w:r w:rsidRPr="00B875C6">
              <w:rPr>
                <w:b w:val="0"/>
                <w:color w:val="000000"/>
                <w:sz w:val="18"/>
                <w:szCs w:val="18"/>
                <w:lang w:val="en-GB"/>
              </w:rPr>
              <w:t xml:space="preserve">Inferior legal claim </w:t>
            </w:r>
          </w:p>
        </w:tc>
        <w:tc>
          <w:tcPr>
            <w:tcW w:w="625" w:type="pct"/>
            <w:tcBorders>
              <w:top w:val="single" w:sz="4" w:space="0" w:color="auto"/>
            </w:tcBorders>
          </w:tcPr>
          <w:p w14:paraId="06A814FA" w14:textId="77777777" w:rsidR="00CA27C1" w:rsidRPr="00B875C6" w:rsidRDefault="00CA27C1" w:rsidP="003401A4">
            <w:pPr>
              <w:spacing w:line="240" w:lineRule="auto"/>
              <w:cnfStyle w:val="100000000000" w:firstRow="1" w:lastRow="0" w:firstColumn="0" w:lastColumn="0" w:oddVBand="0" w:evenVBand="0" w:oddHBand="0" w:evenHBand="0" w:firstRowFirstColumn="0" w:firstRowLastColumn="0" w:lastRowFirstColumn="0" w:lastRowLastColumn="0"/>
              <w:rPr>
                <w:b w:val="0"/>
                <w:color w:val="000000"/>
                <w:sz w:val="18"/>
                <w:szCs w:val="18"/>
                <w:lang w:val="en-GB"/>
              </w:rPr>
            </w:pPr>
            <w:r w:rsidRPr="00B875C6">
              <w:rPr>
                <w:b w:val="0"/>
                <w:color w:val="000000"/>
                <w:sz w:val="18"/>
                <w:szCs w:val="18"/>
                <w:lang w:val="en-GB"/>
              </w:rPr>
              <w:t xml:space="preserve">Resistant disputant(s) </w:t>
            </w:r>
          </w:p>
        </w:tc>
        <w:tc>
          <w:tcPr>
            <w:tcW w:w="548" w:type="pct"/>
            <w:tcBorders>
              <w:top w:val="single" w:sz="4" w:space="0" w:color="auto"/>
            </w:tcBorders>
          </w:tcPr>
          <w:p w14:paraId="79397B55" w14:textId="77777777" w:rsidR="00CA27C1" w:rsidRPr="00B875C6" w:rsidRDefault="00CA27C1" w:rsidP="003401A4">
            <w:pPr>
              <w:spacing w:line="240" w:lineRule="auto"/>
              <w:cnfStyle w:val="100000000000" w:firstRow="1" w:lastRow="0" w:firstColumn="0" w:lastColumn="0" w:oddVBand="0" w:evenVBand="0" w:oddHBand="0" w:evenHBand="0" w:firstRowFirstColumn="0" w:firstRowLastColumn="0" w:lastRowFirstColumn="0" w:lastRowLastColumn="0"/>
              <w:rPr>
                <w:b w:val="0"/>
                <w:color w:val="000000"/>
                <w:sz w:val="18"/>
                <w:szCs w:val="18"/>
                <w:lang w:val="en-GB"/>
              </w:rPr>
            </w:pPr>
            <w:r w:rsidRPr="00B875C6">
              <w:rPr>
                <w:b w:val="0"/>
                <w:color w:val="000000"/>
                <w:sz w:val="18"/>
                <w:szCs w:val="18"/>
                <w:lang w:val="en-GB"/>
              </w:rPr>
              <w:t xml:space="preserve">Reluctant participant </w:t>
            </w:r>
          </w:p>
        </w:tc>
        <w:tc>
          <w:tcPr>
            <w:tcW w:w="625" w:type="pct"/>
            <w:tcBorders>
              <w:top w:val="single" w:sz="4" w:space="0" w:color="auto"/>
            </w:tcBorders>
            <w:noWrap/>
            <w:hideMark/>
          </w:tcPr>
          <w:p w14:paraId="2D3D54C8" w14:textId="77777777" w:rsidR="00CA27C1" w:rsidRPr="00B875C6" w:rsidRDefault="00CA27C1" w:rsidP="003401A4">
            <w:pPr>
              <w:spacing w:line="240" w:lineRule="auto"/>
              <w:cnfStyle w:val="100000000000" w:firstRow="1" w:lastRow="0" w:firstColumn="0" w:lastColumn="0" w:oddVBand="0" w:evenVBand="0" w:oddHBand="0" w:evenHBand="0" w:firstRowFirstColumn="0" w:firstRowLastColumn="0" w:lastRowFirstColumn="0" w:lastRowLastColumn="0"/>
              <w:rPr>
                <w:b w:val="0"/>
                <w:color w:val="000000"/>
                <w:sz w:val="18"/>
                <w:szCs w:val="18"/>
                <w:lang w:val="en-GB"/>
              </w:rPr>
            </w:pPr>
            <w:r w:rsidRPr="00B875C6">
              <w:rPr>
                <w:b w:val="0"/>
                <w:color w:val="000000"/>
                <w:sz w:val="18"/>
                <w:szCs w:val="18"/>
                <w:lang w:val="en-GB"/>
              </w:rPr>
              <w:t xml:space="preserve">Time frame of legal process </w:t>
            </w:r>
          </w:p>
        </w:tc>
        <w:tc>
          <w:tcPr>
            <w:tcW w:w="389" w:type="pct"/>
            <w:tcBorders>
              <w:top w:val="single" w:sz="4" w:space="0" w:color="auto"/>
            </w:tcBorders>
            <w:noWrap/>
            <w:hideMark/>
          </w:tcPr>
          <w:p w14:paraId="24EA3B86" w14:textId="77777777" w:rsidR="00CA27C1" w:rsidRPr="00B875C6" w:rsidRDefault="00CA27C1" w:rsidP="003401A4">
            <w:pPr>
              <w:spacing w:line="240" w:lineRule="auto"/>
              <w:cnfStyle w:val="100000000000" w:firstRow="1" w:lastRow="0" w:firstColumn="0" w:lastColumn="0" w:oddVBand="0" w:evenVBand="0" w:oddHBand="0" w:evenHBand="0" w:firstRowFirstColumn="0" w:firstRowLastColumn="0" w:lastRowFirstColumn="0" w:lastRowLastColumn="0"/>
              <w:rPr>
                <w:b w:val="0"/>
                <w:color w:val="000000"/>
                <w:sz w:val="18"/>
                <w:szCs w:val="18"/>
                <w:lang w:val="en-GB"/>
              </w:rPr>
            </w:pPr>
            <w:r w:rsidRPr="00B875C6">
              <w:rPr>
                <w:b w:val="0"/>
                <w:color w:val="000000"/>
                <w:sz w:val="18"/>
                <w:szCs w:val="18"/>
                <w:lang w:val="en-GB"/>
              </w:rPr>
              <w:t>Legal body</w:t>
            </w:r>
          </w:p>
        </w:tc>
      </w:tr>
      <w:tr w:rsidR="00CA27C1" w:rsidRPr="00B875C6" w14:paraId="3B16767D" w14:textId="77777777" w:rsidTr="003401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2" w:type="pct"/>
            <w:noWrap/>
            <w:hideMark/>
          </w:tcPr>
          <w:p w14:paraId="446A50F3" w14:textId="77777777" w:rsidR="00CA27C1" w:rsidRPr="00B875C6" w:rsidRDefault="00CA27C1" w:rsidP="003401A4">
            <w:pPr>
              <w:spacing w:line="240" w:lineRule="auto"/>
              <w:rPr>
                <w:b w:val="0"/>
                <w:color w:val="000000"/>
                <w:sz w:val="18"/>
                <w:szCs w:val="18"/>
                <w:lang w:val="en-GB"/>
              </w:rPr>
            </w:pPr>
            <w:proofErr w:type="spellStart"/>
            <w:r w:rsidRPr="00B875C6">
              <w:rPr>
                <w:b w:val="0"/>
                <w:color w:val="000000"/>
                <w:sz w:val="18"/>
                <w:szCs w:val="18"/>
                <w:lang w:val="en-GB"/>
              </w:rPr>
              <w:t>Ecrehos</w:t>
            </w:r>
            <w:proofErr w:type="spellEnd"/>
            <w:r w:rsidRPr="00B875C6">
              <w:rPr>
                <w:b w:val="0"/>
                <w:color w:val="000000"/>
                <w:sz w:val="18"/>
                <w:szCs w:val="18"/>
                <w:lang w:val="en-GB"/>
              </w:rPr>
              <w:t xml:space="preserve"> and </w:t>
            </w:r>
          </w:p>
          <w:p w14:paraId="3DB05B16" w14:textId="77777777" w:rsidR="00CA27C1" w:rsidRPr="00B875C6" w:rsidRDefault="00CA27C1" w:rsidP="003401A4">
            <w:pPr>
              <w:spacing w:line="240" w:lineRule="auto"/>
              <w:rPr>
                <w:b w:val="0"/>
                <w:color w:val="000000"/>
                <w:sz w:val="18"/>
                <w:szCs w:val="18"/>
                <w:lang w:val="en-GB"/>
              </w:rPr>
            </w:pPr>
            <w:proofErr w:type="spellStart"/>
            <w:r w:rsidRPr="00B875C6">
              <w:rPr>
                <w:b w:val="0"/>
                <w:color w:val="000000"/>
                <w:sz w:val="18"/>
                <w:szCs w:val="18"/>
                <w:lang w:val="en-GB"/>
              </w:rPr>
              <w:t>Minquiers</w:t>
            </w:r>
            <w:proofErr w:type="spellEnd"/>
          </w:p>
        </w:tc>
        <w:tc>
          <w:tcPr>
            <w:tcW w:w="625" w:type="pct"/>
          </w:tcPr>
          <w:p w14:paraId="31A3288B"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1886</w:t>
            </w:r>
            <w:r w:rsidRPr="00B875C6">
              <w:rPr>
                <w:color w:val="000000"/>
                <w:sz w:val="18"/>
                <w:szCs w:val="18"/>
                <w:lang w:val="en-GB"/>
              </w:rPr>
              <w:softHyphen/>
            </w:r>
            <w:r w:rsidRPr="00B875C6">
              <w:rPr>
                <w:sz w:val="18"/>
                <w:szCs w:val="18"/>
                <w:lang w:val="en-GB"/>
              </w:rPr>
              <w:t>–</w:t>
            </w:r>
            <w:r w:rsidRPr="00B875C6">
              <w:rPr>
                <w:color w:val="000000"/>
                <w:sz w:val="18"/>
                <w:szCs w:val="18"/>
                <w:lang w:val="en-GB"/>
              </w:rPr>
              <w:t>1953</w:t>
            </w:r>
          </w:p>
        </w:tc>
        <w:tc>
          <w:tcPr>
            <w:tcW w:w="781" w:type="pct"/>
            <w:noWrap/>
            <w:hideMark/>
          </w:tcPr>
          <w:p w14:paraId="5B573642"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bCs/>
                <w:color w:val="000000"/>
                <w:sz w:val="18"/>
                <w:szCs w:val="18"/>
                <w:u w:val="single"/>
                <w:lang w:val="en-GB"/>
              </w:rPr>
              <w:t>France</w:t>
            </w:r>
            <w:r w:rsidRPr="00B875C6">
              <w:rPr>
                <w:color w:val="000000"/>
                <w:sz w:val="18"/>
                <w:szCs w:val="18"/>
                <w:lang w:val="en-GB"/>
              </w:rPr>
              <w:softHyphen/>
            </w:r>
            <w:r w:rsidRPr="00B875C6">
              <w:rPr>
                <w:sz w:val="18"/>
                <w:szCs w:val="18"/>
                <w:lang w:val="en-GB"/>
              </w:rPr>
              <w:t>–</w:t>
            </w:r>
            <w:r w:rsidRPr="00B875C6">
              <w:rPr>
                <w:color w:val="000000"/>
                <w:sz w:val="18"/>
                <w:szCs w:val="18"/>
                <w:lang w:val="en-GB"/>
              </w:rPr>
              <w:t>UK</w:t>
            </w:r>
          </w:p>
        </w:tc>
        <w:tc>
          <w:tcPr>
            <w:tcW w:w="625" w:type="pct"/>
          </w:tcPr>
          <w:p w14:paraId="3BC9730B"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France</w:t>
            </w:r>
          </w:p>
        </w:tc>
        <w:tc>
          <w:tcPr>
            <w:tcW w:w="625" w:type="pct"/>
          </w:tcPr>
          <w:p w14:paraId="3A4F4A82"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548" w:type="pct"/>
          </w:tcPr>
          <w:p w14:paraId="0EEA2B15"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France</w:t>
            </w:r>
          </w:p>
        </w:tc>
        <w:tc>
          <w:tcPr>
            <w:tcW w:w="625" w:type="pct"/>
            <w:noWrap/>
            <w:hideMark/>
          </w:tcPr>
          <w:p w14:paraId="48836D8A"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1953</w:t>
            </w:r>
            <w:r w:rsidRPr="00B875C6">
              <w:rPr>
                <w:sz w:val="18"/>
                <w:szCs w:val="18"/>
                <w:lang w:val="en-GB"/>
              </w:rPr>
              <w:t>–</w:t>
            </w:r>
            <w:r w:rsidRPr="00B875C6">
              <w:rPr>
                <w:color w:val="000000"/>
                <w:sz w:val="18"/>
                <w:szCs w:val="18"/>
                <w:lang w:val="en-GB"/>
              </w:rPr>
              <w:t>1953</w:t>
            </w:r>
          </w:p>
        </w:tc>
        <w:tc>
          <w:tcPr>
            <w:tcW w:w="389" w:type="pct"/>
            <w:noWrap/>
            <w:hideMark/>
          </w:tcPr>
          <w:p w14:paraId="750E27B6"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ICJ</w:t>
            </w:r>
          </w:p>
        </w:tc>
      </w:tr>
      <w:tr w:rsidR="00CA27C1" w:rsidRPr="00B875C6" w14:paraId="23A07685" w14:textId="77777777" w:rsidTr="003401A4">
        <w:trPr>
          <w:trHeight w:val="300"/>
        </w:trPr>
        <w:tc>
          <w:tcPr>
            <w:cnfStyle w:val="001000000000" w:firstRow="0" w:lastRow="0" w:firstColumn="1" w:lastColumn="0" w:oddVBand="0" w:evenVBand="0" w:oddHBand="0" w:evenHBand="0" w:firstRowFirstColumn="0" w:firstRowLastColumn="0" w:lastRowFirstColumn="0" w:lastRowLastColumn="0"/>
            <w:tcW w:w="782" w:type="pct"/>
            <w:noWrap/>
            <w:hideMark/>
          </w:tcPr>
          <w:p w14:paraId="67CC7F89" w14:textId="77777777" w:rsidR="00CA27C1" w:rsidRPr="00B875C6" w:rsidRDefault="00CA27C1" w:rsidP="003401A4">
            <w:pPr>
              <w:spacing w:line="240" w:lineRule="auto"/>
              <w:rPr>
                <w:b w:val="0"/>
                <w:color w:val="000000"/>
                <w:sz w:val="18"/>
                <w:szCs w:val="18"/>
                <w:lang w:val="en-GB"/>
              </w:rPr>
            </w:pPr>
            <w:r w:rsidRPr="00B875C6">
              <w:rPr>
                <w:b w:val="0"/>
                <w:color w:val="000000"/>
                <w:sz w:val="18"/>
                <w:szCs w:val="18"/>
                <w:lang w:val="en-GB"/>
              </w:rPr>
              <w:t>Baarle Enclaves</w:t>
            </w:r>
          </w:p>
        </w:tc>
        <w:tc>
          <w:tcPr>
            <w:tcW w:w="625" w:type="pct"/>
          </w:tcPr>
          <w:p w14:paraId="2B459AB7"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1945</w:t>
            </w:r>
            <w:r w:rsidRPr="00B875C6">
              <w:rPr>
                <w:sz w:val="18"/>
                <w:szCs w:val="18"/>
                <w:lang w:val="en-GB"/>
              </w:rPr>
              <w:t>–</w:t>
            </w:r>
            <w:r w:rsidRPr="00B875C6">
              <w:rPr>
                <w:color w:val="000000"/>
                <w:sz w:val="18"/>
                <w:szCs w:val="18"/>
                <w:lang w:val="en-GB"/>
              </w:rPr>
              <w:t>1959</w:t>
            </w:r>
          </w:p>
        </w:tc>
        <w:tc>
          <w:tcPr>
            <w:tcW w:w="781" w:type="pct"/>
            <w:noWrap/>
            <w:hideMark/>
          </w:tcPr>
          <w:p w14:paraId="284D2032"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Belgium</w:t>
            </w:r>
            <w:r w:rsidRPr="00B875C6">
              <w:rPr>
                <w:sz w:val="18"/>
                <w:szCs w:val="18"/>
                <w:lang w:val="en-GB"/>
              </w:rPr>
              <w:t>–</w:t>
            </w:r>
            <w:r w:rsidRPr="00B875C6">
              <w:rPr>
                <w:bCs/>
                <w:color w:val="000000"/>
                <w:sz w:val="18"/>
                <w:szCs w:val="18"/>
                <w:u w:val="single"/>
                <w:lang w:val="en-GB"/>
              </w:rPr>
              <w:t>Netherlands</w:t>
            </w:r>
          </w:p>
        </w:tc>
        <w:tc>
          <w:tcPr>
            <w:tcW w:w="625" w:type="pct"/>
          </w:tcPr>
          <w:p w14:paraId="31D8DD1B"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Netherlands</w:t>
            </w:r>
          </w:p>
        </w:tc>
        <w:tc>
          <w:tcPr>
            <w:tcW w:w="625" w:type="pct"/>
          </w:tcPr>
          <w:p w14:paraId="67A71E76"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548" w:type="pct"/>
          </w:tcPr>
          <w:p w14:paraId="114883EA"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noWrap/>
            <w:hideMark/>
          </w:tcPr>
          <w:p w14:paraId="25F962D4"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1959</w:t>
            </w:r>
            <w:r w:rsidRPr="00B875C6">
              <w:rPr>
                <w:sz w:val="18"/>
                <w:szCs w:val="18"/>
                <w:lang w:val="en-GB"/>
              </w:rPr>
              <w:t>–</w:t>
            </w:r>
            <w:r w:rsidRPr="00B875C6">
              <w:rPr>
                <w:color w:val="000000"/>
                <w:sz w:val="18"/>
                <w:szCs w:val="18"/>
                <w:lang w:val="en-GB"/>
              </w:rPr>
              <w:t>1959</w:t>
            </w:r>
          </w:p>
        </w:tc>
        <w:tc>
          <w:tcPr>
            <w:tcW w:w="389" w:type="pct"/>
            <w:noWrap/>
            <w:hideMark/>
          </w:tcPr>
          <w:p w14:paraId="6B51290B"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ICJ</w:t>
            </w:r>
          </w:p>
        </w:tc>
      </w:tr>
      <w:tr w:rsidR="00CA27C1" w:rsidRPr="00B875C6" w14:paraId="154A575E" w14:textId="77777777" w:rsidTr="003401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2" w:type="pct"/>
            <w:noWrap/>
            <w:hideMark/>
          </w:tcPr>
          <w:p w14:paraId="5DEF98F7" w14:textId="77777777" w:rsidR="00CA27C1" w:rsidRPr="00B875C6" w:rsidRDefault="00CA27C1" w:rsidP="003401A4">
            <w:pPr>
              <w:spacing w:line="240" w:lineRule="auto"/>
              <w:rPr>
                <w:b w:val="0"/>
                <w:color w:val="000000"/>
                <w:sz w:val="18"/>
                <w:szCs w:val="18"/>
                <w:lang w:val="en-GB"/>
              </w:rPr>
            </w:pPr>
            <w:proofErr w:type="spellStart"/>
            <w:r w:rsidRPr="00B875C6">
              <w:rPr>
                <w:b w:val="0"/>
                <w:color w:val="000000"/>
                <w:sz w:val="18"/>
                <w:szCs w:val="18"/>
                <w:lang w:val="en-GB"/>
              </w:rPr>
              <w:t>Teotecacinte</w:t>
            </w:r>
            <w:proofErr w:type="spellEnd"/>
          </w:p>
        </w:tc>
        <w:tc>
          <w:tcPr>
            <w:tcW w:w="625" w:type="pct"/>
          </w:tcPr>
          <w:p w14:paraId="4BCC34F7"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1912</w:t>
            </w:r>
            <w:r w:rsidRPr="00B875C6">
              <w:rPr>
                <w:color w:val="000000"/>
                <w:sz w:val="18"/>
                <w:szCs w:val="18"/>
                <w:lang w:val="en-GB"/>
              </w:rPr>
              <w:softHyphen/>
            </w:r>
            <w:r w:rsidRPr="00B875C6">
              <w:rPr>
                <w:sz w:val="18"/>
                <w:szCs w:val="18"/>
                <w:lang w:val="en-GB"/>
              </w:rPr>
              <w:t>–</w:t>
            </w:r>
            <w:r w:rsidRPr="00B875C6">
              <w:rPr>
                <w:color w:val="000000"/>
                <w:sz w:val="18"/>
                <w:szCs w:val="18"/>
                <w:lang w:val="en-GB"/>
              </w:rPr>
              <w:t>1961</w:t>
            </w:r>
          </w:p>
        </w:tc>
        <w:tc>
          <w:tcPr>
            <w:tcW w:w="781" w:type="pct"/>
            <w:noWrap/>
            <w:hideMark/>
          </w:tcPr>
          <w:p w14:paraId="7418BD85"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Honduras</w:t>
            </w:r>
            <w:r w:rsidRPr="00B875C6">
              <w:rPr>
                <w:sz w:val="18"/>
                <w:szCs w:val="18"/>
                <w:lang w:val="en-GB"/>
              </w:rPr>
              <w:t>–</w:t>
            </w:r>
            <w:r w:rsidRPr="00B875C6">
              <w:rPr>
                <w:color w:val="000000"/>
                <w:sz w:val="18"/>
                <w:szCs w:val="18"/>
                <w:lang w:val="en-GB"/>
              </w:rPr>
              <w:softHyphen/>
            </w:r>
            <w:r w:rsidRPr="00B875C6">
              <w:rPr>
                <w:bCs/>
                <w:color w:val="000000"/>
                <w:sz w:val="18"/>
                <w:szCs w:val="18"/>
                <w:u w:val="single"/>
                <w:lang w:val="en-GB"/>
              </w:rPr>
              <w:t>Nicaragua</w:t>
            </w:r>
          </w:p>
        </w:tc>
        <w:tc>
          <w:tcPr>
            <w:tcW w:w="625" w:type="pct"/>
          </w:tcPr>
          <w:p w14:paraId="742B96B1"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Nicaragua</w:t>
            </w:r>
          </w:p>
        </w:tc>
        <w:tc>
          <w:tcPr>
            <w:tcW w:w="625" w:type="pct"/>
          </w:tcPr>
          <w:p w14:paraId="4740FC69"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548" w:type="pct"/>
          </w:tcPr>
          <w:p w14:paraId="23202894"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Nicaragua</w:t>
            </w:r>
          </w:p>
        </w:tc>
        <w:tc>
          <w:tcPr>
            <w:tcW w:w="625" w:type="pct"/>
            <w:noWrap/>
            <w:hideMark/>
          </w:tcPr>
          <w:p w14:paraId="23C186D7"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1958</w:t>
            </w:r>
            <w:r w:rsidRPr="00B875C6">
              <w:rPr>
                <w:sz w:val="18"/>
                <w:szCs w:val="18"/>
                <w:lang w:val="en-GB"/>
              </w:rPr>
              <w:t>–</w:t>
            </w:r>
            <w:r w:rsidRPr="00B875C6">
              <w:rPr>
                <w:color w:val="000000"/>
                <w:sz w:val="18"/>
                <w:szCs w:val="18"/>
                <w:lang w:val="en-GB"/>
              </w:rPr>
              <w:t>1960</w:t>
            </w:r>
          </w:p>
        </w:tc>
        <w:tc>
          <w:tcPr>
            <w:tcW w:w="389" w:type="pct"/>
            <w:noWrap/>
            <w:hideMark/>
          </w:tcPr>
          <w:p w14:paraId="525EAE1C"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ICJ</w:t>
            </w:r>
          </w:p>
        </w:tc>
      </w:tr>
      <w:tr w:rsidR="00CA27C1" w:rsidRPr="00B875C6" w14:paraId="68AD15E9" w14:textId="77777777" w:rsidTr="003401A4">
        <w:trPr>
          <w:trHeight w:val="300"/>
        </w:trPr>
        <w:tc>
          <w:tcPr>
            <w:cnfStyle w:val="001000000000" w:firstRow="0" w:lastRow="0" w:firstColumn="1" w:lastColumn="0" w:oddVBand="0" w:evenVBand="0" w:oddHBand="0" w:evenHBand="0" w:firstRowFirstColumn="0" w:firstRowLastColumn="0" w:lastRowFirstColumn="0" w:lastRowLastColumn="0"/>
            <w:tcW w:w="782" w:type="pct"/>
            <w:noWrap/>
            <w:hideMark/>
          </w:tcPr>
          <w:p w14:paraId="600679E7" w14:textId="77777777" w:rsidR="00CA27C1" w:rsidRPr="00B875C6" w:rsidRDefault="00CA27C1" w:rsidP="003401A4">
            <w:pPr>
              <w:spacing w:line="240" w:lineRule="auto"/>
              <w:rPr>
                <w:b w:val="0"/>
                <w:color w:val="000000"/>
                <w:sz w:val="18"/>
                <w:szCs w:val="18"/>
                <w:lang w:val="en-GB"/>
              </w:rPr>
            </w:pPr>
            <w:r w:rsidRPr="00B875C6">
              <w:rPr>
                <w:b w:val="0"/>
                <w:color w:val="000000"/>
                <w:sz w:val="18"/>
                <w:szCs w:val="18"/>
                <w:lang w:val="en-GB"/>
              </w:rPr>
              <w:t>Preah Vihear</w:t>
            </w:r>
          </w:p>
        </w:tc>
        <w:tc>
          <w:tcPr>
            <w:tcW w:w="625" w:type="pct"/>
          </w:tcPr>
          <w:p w14:paraId="737F7B11"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1953</w:t>
            </w:r>
            <w:r w:rsidRPr="00B875C6">
              <w:rPr>
                <w:sz w:val="18"/>
                <w:szCs w:val="18"/>
                <w:lang w:val="en-GB"/>
              </w:rPr>
              <w:t>–</w:t>
            </w:r>
            <w:r w:rsidRPr="00B875C6">
              <w:rPr>
                <w:color w:val="000000"/>
                <w:sz w:val="18"/>
                <w:szCs w:val="18"/>
                <w:lang w:val="en-GB"/>
              </w:rPr>
              <w:t>1962</w:t>
            </w:r>
          </w:p>
        </w:tc>
        <w:tc>
          <w:tcPr>
            <w:tcW w:w="781" w:type="pct"/>
            <w:noWrap/>
            <w:hideMark/>
          </w:tcPr>
          <w:p w14:paraId="7CA12772"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 xml:space="preserve">Cambodia vs </w:t>
            </w:r>
            <w:r w:rsidRPr="00B875C6">
              <w:rPr>
                <w:bCs/>
                <w:color w:val="000000"/>
                <w:sz w:val="18"/>
                <w:szCs w:val="18"/>
                <w:u w:val="single"/>
                <w:lang w:val="en-GB"/>
              </w:rPr>
              <w:t>Thailand</w:t>
            </w:r>
          </w:p>
        </w:tc>
        <w:tc>
          <w:tcPr>
            <w:tcW w:w="625" w:type="pct"/>
          </w:tcPr>
          <w:p w14:paraId="4D732C63"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tcPr>
          <w:p w14:paraId="567AA210"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 xml:space="preserve">Thailand </w:t>
            </w:r>
          </w:p>
        </w:tc>
        <w:tc>
          <w:tcPr>
            <w:tcW w:w="548" w:type="pct"/>
          </w:tcPr>
          <w:p w14:paraId="39A82052"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Thailand</w:t>
            </w:r>
          </w:p>
        </w:tc>
        <w:tc>
          <w:tcPr>
            <w:tcW w:w="625" w:type="pct"/>
            <w:noWrap/>
            <w:hideMark/>
          </w:tcPr>
          <w:p w14:paraId="01ECC1D5"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1959</w:t>
            </w:r>
            <w:r w:rsidRPr="00B875C6">
              <w:rPr>
                <w:sz w:val="18"/>
                <w:szCs w:val="18"/>
                <w:lang w:val="en-GB"/>
              </w:rPr>
              <w:t>–</w:t>
            </w:r>
            <w:r w:rsidRPr="00B875C6">
              <w:rPr>
                <w:color w:val="000000"/>
                <w:sz w:val="18"/>
                <w:szCs w:val="18"/>
                <w:lang w:val="en-GB"/>
              </w:rPr>
              <w:t>1962</w:t>
            </w:r>
          </w:p>
        </w:tc>
        <w:tc>
          <w:tcPr>
            <w:tcW w:w="389" w:type="pct"/>
            <w:noWrap/>
            <w:hideMark/>
          </w:tcPr>
          <w:p w14:paraId="72D4CC43"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ICJ</w:t>
            </w:r>
          </w:p>
        </w:tc>
      </w:tr>
      <w:tr w:rsidR="00CA27C1" w:rsidRPr="00B875C6" w14:paraId="571B7B53" w14:textId="77777777" w:rsidTr="003401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2" w:type="pct"/>
            <w:noWrap/>
            <w:hideMark/>
          </w:tcPr>
          <w:p w14:paraId="532E67E1" w14:textId="77777777" w:rsidR="00CA27C1" w:rsidRPr="00B875C6" w:rsidRDefault="00CA27C1" w:rsidP="003401A4">
            <w:pPr>
              <w:spacing w:line="240" w:lineRule="auto"/>
              <w:rPr>
                <w:b w:val="0"/>
                <w:color w:val="000000"/>
                <w:sz w:val="18"/>
                <w:szCs w:val="18"/>
                <w:lang w:val="en-GB"/>
              </w:rPr>
            </w:pPr>
            <w:proofErr w:type="spellStart"/>
            <w:r w:rsidRPr="00B875C6">
              <w:rPr>
                <w:b w:val="0"/>
                <w:color w:val="000000"/>
                <w:sz w:val="18"/>
                <w:szCs w:val="18"/>
                <w:lang w:val="en-GB"/>
              </w:rPr>
              <w:t>Palena</w:t>
            </w:r>
            <w:proofErr w:type="spellEnd"/>
            <w:r w:rsidRPr="00B875C6">
              <w:rPr>
                <w:b w:val="0"/>
                <w:color w:val="000000"/>
                <w:sz w:val="18"/>
                <w:szCs w:val="18"/>
                <w:lang w:val="en-GB"/>
              </w:rPr>
              <w:t>/</w:t>
            </w:r>
          </w:p>
          <w:p w14:paraId="36541395" w14:textId="77777777" w:rsidR="00CA27C1" w:rsidRPr="00B875C6" w:rsidRDefault="00CA27C1" w:rsidP="003401A4">
            <w:pPr>
              <w:spacing w:line="240" w:lineRule="auto"/>
              <w:rPr>
                <w:b w:val="0"/>
                <w:color w:val="000000"/>
                <w:sz w:val="18"/>
                <w:szCs w:val="18"/>
                <w:lang w:val="en-GB"/>
              </w:rPr>
            </w:pPr>
            <w:r w:rsidRPr="00B875C6">
              <w:rPr>
                <w:b w:val="0"/>
                <w:color w:val="000000"/>
                <w:sz w:val="18"/>
                <w:szCs w:val="18"/>
                <w:lang w:val="en-GB"/>
              </w:rPr>
              <w:t>Continental Glaciers</w:t>
            </w:r>
          </w:p>
        </w:tc>
        <w:tc>
          <w:tcPr>
            <w:tcW w:w="625" w:type="pct"/>
          </w:tcPr>
          <w:p w14:paraId="528003BC"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1903</w:t>
            </w:r>
            <w:r w:rsidRPr="00B875C6">
              <w:rPr>
                <w:color w:val="000000"/>
                <w:sz w:val="18"/>
                <w:szCs w:val="18"/>
                <w:lang w:val="en-GB"/>
              </w:rPr>
              <w:softHyphen/>
            </w:r>
            <w:r w:rsidRPr="00B875C6">
              <w:rPr>
                <w:sz w:val="18"/>
                <w:szCs w:val="18"/>
                <w:lang w:val="en-GB"/>
              </w:rPr>
              <w:t>–</w:t>
            </w:r>
            <w:r w:rsidRPr="00B875C6">
              <w:rPr>
                <w:color w:val="000000"/>
                <w:sz w:val="18"/>
                <w:szCs w:val="18"/>
                <w:lang w:val="en-GB"/>
              </w:rPr>
              <w:t>1998</w:t>
            </w:r>
          </w:p>
        </w:tc>
        <w:tc>
          <w:tcPr>
            <w:tcW w:w="781" w:type="pct"/>
            <w:noWrap/>
            <w:hideMark/>
          </w:tcPr>
          <w:p w14:paraId="141C1D83"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bCs/>
                <w:color w:val="000000"/>
                <w:sz w:val="18"/>
                <w:szCs w:val="18"/>
                <w:u w:val="single"/>
                <w:lang w:val="en-GB"/>
              </w:rPr>
              <w:t>Argentina</w:t>
            </w:r>
            <w:r w:rsidRPr="00B875C6">
              <w:rPr>
                <w:color w:val="000000"/>
                <w:sz w:val="18"/>
                <w:szCs w:val="18"/>
                <w:lang w:val="en-GB"/>
              </w:rPr>
              <w:softHyphen/>
            </w:r>
            <w:r w:rsidRPr="00B875C6">
              <w:rPr>
                <w:sz w:val="18"/>
                <w:szCs w:val="18"/>
                <w:lang w:val="en-GB"/>
              </w:rPr>
              <w:t>–</w:t>
            </w:r>
            <w:r w:rsidRPr="00B875C6">
              <w:rPr>
                <w:color w:val="000000"/>
                <w:sz w:val="18"/>
                <w:szCs w:val="18"/>
                <w:lang w:val="en-GB"/>
              </w:rPr>
              <w:t>Chile</w:t>
            </w:r>
          </w:p>
        </w:tc>
        <w:tc>
          <w:tcPr>
            <w:tcW w:w="625" w:type="pct"/>
          </w:tcPr>
          <w:p w14:paraId="15A4F8BE"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tcPr>
          <w:p w14:paraId="74E755CE"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548" w:type="pct"/>
          </w:tcPr>
          <w:p w14:paraId="69D3B64C"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noWrap/>
            <w:hideMark/>
          </w:tcPr>
          <w:p w14:paraId="7A056230"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1966</w:t>
            </w:r>
            <w:r w:rsidRPr="00B875C6">
              <w:rPr>
                <w:sz w:val="18"/>
                <w:szCs w:val="18"/>
                <w:lang w:val="en-GB"/>
              </w:rPr>
              <w:t>–</w:t>
            </w:r>
            <w:r w:rsidRPr="00B875C6">
              <w:rPr>
                <w:color w:val="000000"/>
                <w:sz w:val="18"/>
                <w:szCs w:val="18"/>
                <w:lang w:val="en-GB"/>
              </w:rPr>
              <w:t>1966</w:t>
            </w:r>
          </w:p>
        </w:tc>
        <w:tc>
          <w:tcPr>
            <w:tcW w:w="389" w:type="pct"/>
            <w:noWrap/>
            <w:hideMark/>
          </w:tcPr>
          <w:p w14:paraId="3B94D0CF"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Arb.</w:t>
            </w:r>
          </w:p>
        </w:tc>
      </w:tr>
      <w:tr w:rsidR="00CA27C1" w:rsidRPr="00B875C6" w14:paraId="402E7A87" w14:textId="77777777" w:rsidTr="003401A4">
        <w:trPr>
          <w:trHeight w:val="300"/>
        </w:trPr>
        <w:tc>
          <w:tcPr>
            <w:cnfStyle w:val="001000000000" w:firstRow="0" w:lastRow="0" w:firstColumn="1" w:lastColumn="0" w:oddVBand="0" w:evenVBand="0" w:oddHBand="0" w:evenHBand="0" w:firstRowFirstColumn="0" w:firstRowLastColumn="0" w:lastRowFirstColumn="0" w:lastRowLastColumn="0"/>
            <w:tcW w:w="782" w:type="pct"/>
            <w:noWrap/>
            <w:hideMark/>
          </w:tcPr>
          <w:p w14:paraId="54570F18" w14:textId="77777777" w:rsidR="00CA27C1" w:rsidRPr="00B875C6" w:rsidRDefault="00CA27C1" w:rsidP="003401A4">
            <w:pPr>
              <w:spacing w:line="240" w:lineRule="auto"/>
              <w:rPr>
                <w:b w:val="0"/>
                <w:color w:val="000000"/>
                <w:sz w:val="18"/>
                <w:szCs w:val="18"/>
                <w:lang w:val="en-GB"/>
              </w:rPr>
            </w:pPr>
            <w:r w:rsidRPr="00B875C6">
              <w:rPr>
                <w:b w:val="0"/>
                <w:color w:val="000000"/>
                <w:sz w:val="18"/>
                <w:szCs w:val="18"/>
                <w:lang w:val="en-GB"/>
              </w:rPr>
              <w:t>Rann of Kutch</w:t>
            </w:r>
          </w:p>
        </w:tc>
        <w:tc>
          <w:tcPr>
            <w:tcW w:w="625" w:type="pct"/>
          </w:tcPr>
          <w:p w14:paraId="2AEAF3CC"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1948</w:t>
            </w:r>
            <w:r w:rsidRPr="00B875C6">
              <w:rPr>
                <w:color w:val="000000"/>
                <w:sz w:val="18"/>
                <w:szCs w:val="18"/>
                <w:lang w:val="en-GB"/>
              </w:rPr>
              <w:softHyphen/>
            </w:r>
            <w:r w:rsidRPr="00B875C6">
              <w:rPr>
                <w:sz w:val="18"/>
                <w:szCs w:val="18"/>
                <w:lang w:val="en-GB"/>
              </w:rPr>
              <w:t>–</w:t>
            </w:r>
            <w:r w:rsidRPr="00B875C6">
              <w:rPr>
                <w:color w:val="000000"/>
                <w:sz w:val="18"/>
                <w:szCs w:val="18"/>
                <w:lang w:val="en-GB"/>
              </w:rPr>
              <w:t>1968</w:t>
            </w:r>
          </w:p>
        </w:tc>
        <w:tc>
          <w:tcPr>
            <w:tcW w:w="781" w:type="pct"/>
            <w:noWrap/>
            <w:hideMark/>
          </w:tcPr>
          <w:p w14:paraId="1297980D"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u w:val="single"/>
                <w:lang w:val="en-GB"/>
              </w:rPr>
            </w:pPr>
            <w:r w:rsidRPr="00B875C6">
              <w:rPr>
                <w:color w:val="000000"/>
                <w:sz w:val="18"/>
                <w:szCs w:val="18"/>
                <w:u w:val="single"/>
                <w:lang w:val="en-GB"/>
              </w:rPr>
              <w:t>India</w:t>
            </w:r>
            <w:r w:rsidRPr="00B875C6">
              <w:rPr>
                <w:sz w:val="18"/>
                <w:szCs w:val="18"/>
                <w:u w:val="single"/>
                <w:lang w:val="en-GB"/>
              </w:rPr>
              <w:t>–</w:t>
            </w:r>
            <w:r w:rsidRPr="00B875C6">
              <w:rPr>
                <w:color w:val="000000"/>
                <w:sz w:val="18"/>
                <w:szCs w:val="18"/>
                <w:u w:val="single"/>
                <w:lang w:val="en-GB"/>
              </w:rPr>
              <w:softHyphen/>
              <w:t>Pakistan</w:t>
            </w:r>
          </w:p>
        </w:tc>
        <w:tc>
          <w:tcPr>
            <w:tcW w:w="625" w:type="pct"/>
          </w:tcPr>
          <w:p w14:paraId="5CB0F460"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tcPr>
          <w:p w14:paraId="0B9BF5EC"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548" w:type="pct"/>
          </w:tcPr>
          <w:p w14:paraId="7936198D"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noWrap/>
            <w:hideMark/>
          </w:tcPr>
          <w:p w14:paraId="2B7F269E"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1965</w:t>
            </w:r>
            <w:r w:rsidRPr="00B875C6">
              <w:rPr>
                <w:sz w:val="18"/>
                <w:szCs w:val="18"/>
                <w:lang w:val="en-GB"/>
              </w:rPr>
              <w:t>–</w:t>
            </w:r>
            <w:r w:rsidRPr="00B875C6">
              <w:rPr>
                <w:color w:val="000000"/>
                <w:sz w:val="18"/>
                <w:szCs w:val="18"/>
                <w:lang w:val="en-GB"/>
              </w:rPr>
              <w:t>1968</w:t>
            </w:r>
          </w:p>
        </w:tc>
        <w:tc>
          <w:tcPr>
            <w:tcW w:w="389" w:type="pct"/>
            <w:noWrap/>
            <w:hideMark/>
          </w:tcPr>
          <w:p w14:paraId="47F9408F"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Arb.</w:t>
            </w:r>
          </w:p>
        </w:tc>
      </w:tr>
      <w:tr w:rsidR="00CA27C1" w:rsidRPr="00B875C6" w14:paraId="733EEC40" w14:textId="77777777" w:rsidTr="003401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2" w:type="pct"/>
            <w:noWrap/>
            <w:hideMark/>
          </w:tcPr>
          <w:p w14:paraId="521F58F2" w14:textId="77777777" w:rsidR="00CA27C1" w:rsidRPr="00B875C6" w:rsidRDefault="00CA27C1" w:rsidP="003401A4">
            <w:pPr>
              <w:spacing w:line="240" w:lineRule="auto"/>
              <w:rPr>
                <w:b w:val="0"/>
                <w:color w:val="000000"/>
                <w:sz w:val="18"/>
                <w:szCs w:val="18"/>
                <w:lang w:val="en-GB"/>
              </w:rPr>
            </w:pPr>
            <w:r w:rsidRPr="00B875C6">
              <w:rPr>
                <w:b w:val="0"/>
                <w:color w:val="000000"/>
                <w:sz w:val="18"/>
                <w:szCs w:val="18"/>
                <w:lang w:val="en-GB"/>
              </w:rPr>
              <w:t>Beagle Channel</w:t>
            </w:r>
          </w:p>
        </w:tc>
        <w:tc>
          <w:tcPr>
            <w:tcW w:w="625" w:type="pct"/>
          </w:tcPr>
          <w:p w14:paraId="17A415D5"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1904</w:t>
            </w:r>
            <w:r w:rsidRPr="00B875C6">
              <w:rPr>
                <w:color w:val="000000"/>
                <w:sz w:val="18"/>
                <w:szCs w:val="18"/>
                <w:lang w:val="en-GB"/>
              </w:rPr>
              <w:softHyphen/>
            </w:r>
            <w:r w:rsidRPr="00B875C6">
              <w:rPr>
                <w:sz w:val="18"/>
                <w:szCs w:val="18"/>
                <w:lang w:val="en-GB"/>
              </w:rPr>
              <w:t>–</w:t>
            </w:r>
            <w:r w:rsidRPr="00B875C6">
              <w:rPr>
                <w:color w:val="000000"/>
                <w:sz w:val="18"/>
                <w:szCs w:val="18"/>
                <w:lang w:val="en-GB"/>
              </w:rPr>
              <w:t>1985</w:t>
            </w:r>
          </w:p>
        </w:tc>
        <w:tc>
          <w:tcPr>
            <w:tcW w:w="781" w:type="pct"/>
            <w:noWrap/>
            <w:hideMark/>
          </w:tcPr>
          <w:p w14:paraId="0CE63EA9"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bCs/>
                <w:color w:val="000000"/>
                <w:sz w:val="18"/>
                <w:szCs w:val="18"/>
                <w:u w:val="single"/>
                <w:lang w:val="en-GB"/>
              </w:rPr>
              <w:t>Argentina</w:t>
            </w:r>
            <w:r w:rsidRPr="00B875C6">
              <w:rPr>
                <w:sz w:val="18"/>
                <w:szCs w:val="18"/>
                <w:lang w:val="en-GB"/>
              </w:rPr>
              <w:t>–</w:t>
            </w:r>
            <w:r w:rsidRPr="00B875C6">
              <w:rPr>
                <w:color w:val="000000"/>
                <w:sz w:val="18"/>
                <w:szCs w:val="18"/>
                <w:lang w:val="en-GB"/>
              </w:rPr>
              <w:softHyphen/>
              <w:t>Chile</w:t>
            </w:r>
          </w:p>
        </w:tc>
        <w:tc>
          <w:tcPr>
            <w:tcW w:w="625" w:type="pct"/>
          </w:tcPr>
          <w:p w14:paraId="77FE884C"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tcPr>
          <w:p w14:paraId="7ABFC092"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Chile, Argentina</w:t>
            </w:r>
          </w:p>
        </w:tc>
        <w:tc>
          <w:tcPr>
            <w:tcW w:w="548" w:type="pct"/>
          </w:tcPr>
          <w:p w14:paraId="294B8FB6"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noWrap/>
            <w:hideMark/>
          </w:tcPr>
          <w:p w14:paraId="52D4F788"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1976</w:t>
            </w:r>
            <w:r w:rsidRPr="00B875C6">
              <w:rPr>
                <w:sz w:val="18"/>
                <w:szCs w:val="18"/>
                <w:lang w:val="en-GB"/>
              </w:rPr>
              <w:t>–</w:t>
            </w:r>
            <w:r w:rsidRPr="00B875C6">
              <w:rPr>
                <w:color w:val="000000"/>
                <w:sz w:val="18"/>
                <w:szCs w:val="18"/>
                <w:lang w:val="en-GB"/>
              </w:rPr>
              <w:t>1977</w:t>
            </w:r>
          </w:p>
        </w:tc>
        <w:tc>
          <w:tcPr>
            <w:tcW w:w="389" w:type="pct"/>
            <w:noWrap/>
            <w:hideMark/>
          </w:tcPr>
          <w:p w14:paraId="4F290202"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Arb.</w:t>
            </w:r>
          </w:p>
        </w:tc>
      </w:tr>
      <w:tr w:rsidR="00CA27C1" w:rsidRPr="00B875C6" w14:paraId="1533077D" w14:textId="77777777" w:rsidTr="003401A4">
        <w:trPr>
          <w:trHeight w:val="300"/>
        </w:trPr>
        <w:tc>
          <w:tcPr>
            <w:cnfStyle w:val="001000000000" w:firstRow="0" w:lastRow="0" w:firstColumn="1" w:lastColumn="0" w:oddVBand="0" w:evenVBand="0" w:oddHBand="0" w:evenHBand="0" w:firstRowFirstColumn="0" w:firstRowLastColumn="0" w:lastRowFirstColumn="0" w:lastRowLastColumn="0"/>
            <w:tcW w:w="782" w:type="pct"/>
            <w:noWrap/>
            <w:hideMark/>
          </w:tcPr>
          <w:p w14:paraId="4FFA582C" w14:textId="77777777" w:rsidR="00CA27C1" w:rsidRPr="00B875C6" w:rsidRDefault="00CA27C1" w:rsidP="003401A4">
            <w:pPr>
              <w:spacing w:line="240" w:lineRule="auto"/>
              <w:rPr>
                <w:b w:val="0"/>
                <w:color w:val="000000"/>
                <w:sz w:val="18"/>
                <w:szCs w:val="18"/>
                <w:lang w:val="en-GB"/>
              </w:rPr>
            </w:pPr>
            <w:proofErr w:type="spellStart"/>
            <w:r w:rsidRPr="00B875C6">
              <w:rPr>
                <w:b w:val="0"/>
                <w:color w:val="000000"/>
                <w:sz w:val="18"/>
                <w:szCs w:val="18"/>
                <w:lang w:val="en-GB"/>
              </w:rPr>
              <w:t>Agacher</w:t>
            </w:r>
            <w:proofErr w:type="spellEnd"/>
            <w:r w:rsidRPr="00B875C6">
              <w:rPr>
                <w:b w:val="0"/>
                <w:color w:val="000000"/>
                <w:sz w:val="18"/>
                <w:szCs w:val="18"/>
                <w:lang w:val="en-GB"/>
              </w:rPr>
              <w:t xml:space="preserve"> Strip</w:t>
            </w:r>
          </w:p>
        </w:tc>
        <w:tc>
          <w:tcPr>
            <w:tcW w:w="625" w:type="pct"/>
          </w:tcPr>
          <w:p w14:paraId="521572D0"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1960</w:t>
            </w:r>
            <w:r w:rsidRPr="00B875C6">
              <w:rPr>
                <w:color w:val="000000"/>
                <w:sz w:val="18"/>
                <w:szCs w:val="18"/>
                <w:lang w:val="en-GB"/>
              </w:rPr>
              <w:softHyphen/>
            </w:r>
            <w:r w:rsidRPr="00B875C6">
              <w:rPr>
                <w:sz w:val="18"/>
                <w:szCs w:val="18"/>
                <w:lang w:val="en-GB"/>
              </w:rPr>
              <w:t>–</w:t>
            </w:r>
            <w:r w:rsidRPr="00B875C6">
              <w:rPr>
                <w:color w:val="000000"/>
                <w:sz w:val="18"/>
                <w:szCs w:val="18"/>
                <w:lang w:val="en-GB"/>
              </w:rPr>
              <w:t>1986</w:t>
            </w:r>
          </w:p>
        </w:tc>
        <w:tc>
          <w:tcPr>
            <w:tcW w:w="781" w:type="pct"/>
            <w:noWrap/>
            <w:hideMark/>
          </w:tcPr>
          <w:p w14:paraId="1BE285CF"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bCs/>
                <w:color w:val="000000"/>
                <w:sz w:val="18"/>
                <w:szCs w:val="18"/>
                <w:u w:val="single"/>
                <w:lang w:val="en-GB"/>
              </w:rPr>
            </w:pPr>
            <w:r w:rsidRPr="00B875C6">
              <w:rPr>
                <w:bCs/>
                <w:color w:val="000000"/>
                <w:sz w:val="18"/>
                <w:szCs w:val="18"/>
                <w:u w:val="single"/>
                <w:lang w:val="en-GB"/>
              </w:rPr>
              <w:t>Mali</w:t>
            </w:r>
            <w:r w:rsidRPr="00B875C6">
              <w:rPr>
                <w:sz w:val="18"/>
                <w:szCs w:val="18"/>
                <w:u w:val="single"/>
                <w:lang w:val="en-GB"/>
              </w:rPr>
              <w:t>–</w:t>
            </w:r>
            <w:r w:rsidRPr="00B875C6">
              <w:rPr>
                <w:bCs/>
                <w:color w:val="000000"/>
                <w:sz w:val="18"/>
                <w:szCs w:val="18"/>
                <w:u w:val="single"/>
                <w:lang w:val="en-GB"/>
              </w:rPr>
              <w:softHyphen/>
              <w:t>Burkina Faso</w:t>
            </w:r>
          </w:p>
        </w:tc>
        <w:tc>
          <w:tcPr>
            <w:tcW w:w="625" w:type="pct"/>
          </w:tcPr>
          <w:p w14:paraId="5C340D6C"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tcPr>
          <w:p w14:paraId="53F3BD0D"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548" w:type="pct"/>
          </w:tcPr>
          <w:p w14:paraId="48A88D3D"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noWrap/>
            <w:hideMark/>
          </w:tcPr>
          <w:p w14:paraId="053F3E1F"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1983</w:t>
            </w:r>
            <w:r w:rsidRPr="00B875C6">
              <w:rPr>
                <w:sz w:val="18"/>
                <w:szCs w:val="18"/>
                <w:lang w:val="en-GB"/>
              </w:rPr>
              <w:t>–</w:t>
            </w:r>
            <w:r w:rsidRPr="00B875C6">
              <w:rPr>
                <w:color w:val="000000"/>
                <w:sz w:val="18"/>
                <w:szCs w:val="18"/>
                <w:lang w:val="en-GB"/>
              </w:rPr>
              <w:t>1986</w:t>
            </w:r>
          </w:p>
        </w:tc>
        <w:tc>
          <w:tcPr>
            <w:tcW w:w="389" w:type="pct"/>
            <w:noWrap/>
            <w:hideMark/>
          </w:tcPr>
          <w:p w14:paraId="663EE062"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ICJ</w:t>
            </w:r>
          </w:p>
        </w:tc>
      </w:tr>
      <w:tr w:rsidR="00CA27C1" w:rsidRPr="00B875C6" w14:paraId="337BB37E" w14:textId="77777777" w:rsidTr="003401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2" w:type="pct"/>
            <w:noWrap/>
            <w:hideMark/>
          </w:tcPr>
          <w:p w14:paraId="61B311DC" w14:textId="77777777" w:rsidR="00CA27C1" w:rsidRPr="00B875C6" w:rsidRDefault="00CA27C1" w:rsidP="003401A4">
            <w:pPr>
              <w:spacing w:line="240" w:lineRule="auto"/>
              <w:rPr>
                <w:b w:val="0"/>
                <w:color w:val="000000"/>
                <w:sz w:val="18"/>
                <w:szCs w:val="18"/>
                <w:lang w:val="en-GB"/>
              </w:rPr>
            </w:pPr>
            <w:r w:rsidRPr="00B875C6">
              <w:rPr>
                <w:b w:val="0"/>
                <w:color w:val="000000"/>
                <w:sz w:val="18"/>
                <w:szCs w:val="18"/>
                <w:lang w:val="en-GB"/>
              </w:rPr>
              <w:t>Taba</w:t>
            </w:r>
          </w:p>
        </w:tc>
        <w:tc>
          <w:tcPr>
            <w:tcW w:w="625" w:type="pct"/>
          </w:tcPr>
          <w:p w14:paraId="2DC121C1"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1979</w:t>
            </w:r>
            <w:r w:rsidRPr="00B875C6">
              <w:rPr>
                <w:color w:val="000000"/>
                <w:sz w:val="18"/>
                <w:szCs w:val="18"/>
                <w:lang w:val="en-GB"/>
              </w:rPr>
              <w:softHyphen/>
            </w:r>
            <w:r w:rsidRPr="00B875C6">
              <w:rPr>
                <w:sz w:val="18"/>
                <w:szCs w:val="18"/>
                <w:lang w:val="en-GB"/>
              </w:rPr>
              <w:t>–</w:t>
            </w:r>
            <w:r w:rsidRPr="00B875C6">
              <w:rPr>
                <w:color w:val="000000"/>
                <w:sz w:val="18"/>
                <w:szCs w:val="18"/>
                <w:lang w:val="en-GB"/>
              </w:rPr>
              <w:t>1988</w:t>
            </w:r>
          </w:p>
        </w:tc>
        <w:tc>
          <w:tcPr>
            <w:tcW w:w="781" w:type="pct"/>
            <w:noWrap/>
            <w:hideMark/>
          </w:tcPr>
          <w:p w14:paraId="6538B41D"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Egypt</w:t>
            </w:r>
            <w:r w:rsidRPr="00B875C6">
              <w:rPr>
                <w:sz w:val="18"/>
                <w:szCs w:val="18"/>
                <w:lang w:val="en-GB"/>
              </w:rPr>
              <w:t>–</w:t>
            </w:r>
            <w:r w:rsidRPr="00B875C6">
              <w:rPr>
                <w:color w:val="000000"/>
                <w:sz w:val="18"/>
                <w:szCs w:val="18"/>
                <w:lang w:val="en-GB"/>
              </w:rPr>
              <w:softHyphen/>
            </w:r>
            <w:r w:rsidRPr="00B875C6">
              <w:rPr>
                <w:bCs/>
                <w:color w:val="000000"/>
                <w:sz w:val="18"/>
                <w:szCs w:val="18"/>
                <w:u w:val="single"/>
                <w:lang w:val="en-GB"/>
              </w:rPr>
              <w:t>Israel</w:t>
            </w:r>
          </w:p>
        </w:tc>
        <w:tc>
          <w:tcPr>
            <w:tcW w:w="625" w:type="pct"/>
          </w:tcPr>
          <w:p w14:paraId="4B62B5EB"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Israel</w:t>
            </w:r>
          </w:p>
        </w:tc>
        <w:tc>
          <w:tcPr>
            <w:tcW w:w="625" w:type="pct"/>
          </w:tcPr>
          <w:p w14:paraId="24E9DC1A"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548" w:type="pct"/>
          </w:tcPr>
          <w:p w14:paraId="3AADA238"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noWrap/>
            <w:hideMark/>
          </w:tcPr>
          <w:p w14:paraId="323510D7"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1986</w:t>
            </w:r>
            <w:r w:rsidRPr="00B875C6">
              <w:rPr>
                <w:sz w:val="18"/>
                <w:szCs w:val="18"/>
                <w:lang w:val="en-GB"/>
              </w:rPr>
              <w:t>–</w:t>
            </w:r>
            <w:r w:rsidRPr="00B875C6">
              <w:rPr>
                <w:color w:val="000000"/>
                <w:sz w:val="18"/>
                <w:szCs w:val="18"/>
                <w:lang w:val="en-GB"/>
              </w:rPr>
              <w:t>1988</w:t>
            </w:r>
          </w:p>
        </w:tc>
        <w:tc>
          <w:tcPr>
            <w:tcW w:w="389" w:type="pct"/>
            <w:noWrap/>
            <w:hideMark/>
          </w:tcPr>
          <w:p w14:paraId="38D3E16C"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Arb.</w:t>
            </w:r>
          </w:p>
        </w:tc>
      </w:tr>
      <w:tr w:rsidR="00CA27C1" w:rsidRPr="00B875C6" w14:paraId="64ED156B" w14:textId="77777777" w:rsidTr="003401A4">
        <w:trPr>
          <w:trHeight w:val="300"/>
        </w:trPr>
        <w:tc>
          <w:tcPr>
            <w:cnfStyle w:val="001000000000" w:firstRow="0" w:lastRow="0" w:firstColumn="1" w:lastColumn="0" w:oddVBand="0" w:evenVBand="0" w:oddHBand="0" w:evenHBand="0" w:firstRowFirstColumn="0" w:firstRowLastColumn="0" w:lastRowFirstColumn="0" w:lastRowLastColumn="0"/>
            <w:tcW w:w="782" w:type="pct"/>
            <w:noWrap/>
            <w:hideMark/>
          </w:tcPr>
          <w:p w14:paraId="2BA1B8A6" w14:textId="77777777" w:rsidR="00CA27C1" w:rsidRPr="00B875C6" w:rsidRDefault="00CA27C1" w:rsidP="003401A4">
            <w:pPr>
              <w:spacing w:line="240" w:lineRule="auto"/>
              <w:rPr>
                <w:b w:val="0"/>
                <w:color w:val="000000"/>
                <w:sz w:val="18"/>
                <w:szCs w:val="18"/>
                <w:lang w:val="en-GB"/>
              </w:rPr>
            </w:pPr>
            <w:proofErr w:type="spellStart"/>
            <w:r w:rsidRPr="00B875C6">
              <w:rPr>
                <w:b w:val="0"/>
                <w:color w:val="000000"/>
                <w:sz w:val="18"/>
                <w:szCs w:val="18"/>
                <w:lang w:val="en-GB"/>
              </w:rPr>
              <w:t>Bolsones</w:t>
            </w:r>
            <w:proofErr w:type="spellEnd"/>
          </w:p>
        </w:tc>
        <w:tc>
          <w:tcPr>
            <w:tcW w:w="625" w:type="pct"/>
          </w:tcPr>
          <w:p w14:paraId="763583E8"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1899</w:t>
            </w:r>
            <w:r w:rsidRPr="00B875C6">
              <w:rPr>
                <w:color w:val="000000"/>
                <w:sz w:val="18"/>
                <w:szCs w:val="18"/>
                <w:lang w:val="en-GB"/>
              </w:rPr>
              <w:softHyphen/>
            </w:r>
            <w:r w:rsidRPr="00B875C6">
              <w:rPr>
                <w:sz w:val="18"/>
                <w:szCs w:val="18"/>
                <w:lang w:val="en-GB"/>
              </w:rPr>
              <w:t>–</w:t>
            </w:r>
            <w:r w:rsidRPr="00B875C6">
              <w:rPr>
                <w:color w:val="000000"/>
                <w:sz w:val="18"/>
                <w:szCs w:val="18"/>
                <w:lang w:val="en-GB"/>
              </w:rPr>
              <w:t>1992</w:t>
            </w:r>
          </w:p>
        </w:tc>
        <w:tc>
          <w:tcPr>
            <w:tcW w:w="781" w:type="pct"/>
            <w:noWrap/>
            <w:hideMark/>
          </w:tcPr>
          <w:p w14:paraId="7E123FAF"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El Salvador</w:t>
            </w:r>
            <w:r w:rsidRPr="00B875C6">
              <w:rPr>
                <w:sz w:val="18"/>
                <w:szCs w:val="18"/>
                <w:lang w:val="en-GB"/>
              </w:rPr>
              <w:t>–</w:t>
            </w:r>
            <w:r w:rsidRPr="00B875C6">
              <w:rPr>
                <w:bCs/>
                <w:color w:val="000000"/>
                <w:sz w:val="18"/>
                <w:szCs w:val="18"/>
                <w:u w:val="single"/>
                <w:lang w:val="en-GB"/>
              </w:rPr>
              <w:t>Honduras</w:t>
            </w:r>
          </w:p>
        </w:tc>
        <w:tc>
          <w:tcPr>
            <w:tcW w:w="625" w:type="pct"/>
          </w:tcPr>
          <w:p w14:paraId="1D2205B3"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tcPr>
          <w:p w14:paraId="3D4177DF"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548" w:type="pct"/>
          </w:tcPr>
          <w:p w14:paraId="13A089AB"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noWrap/>
            <w:hideMark/>
          </w:tcPr>
          <w:p w14:paraId="10CE2EEE"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1986</w:t>
            </w:r>
            <w:r w:rsidRPr="00B875C6">
              <w:rPr>
                <w:sz w:val="18"/>
                <w:szCs w:val="18"/>
                <w:lang w:val="en-GB"/>
              </w:rPr>
              <w:t>–</w:t>
            </w:r>
            <w:r w:rsidRPr="00B875C6">
              <w:rPr>
                <w:color w:val="000000"/>
                <w:sz w:val="18"/>
                <w:szCs w:val="18"/>
                <w:lang w:val="en-GB"/>
              </w:rPr>
              <w:t>1992</w:t>
            </w:r>
          </w:p>
        </w:tc>
        <w:tc>
          <w:tcPr>
            <w:tcW w:w="389" w:type="pct"/>
            <w:noWrap/>
            <w:hideMark/>
          </w:tcPr>
          <w:p w14:paraId="50EB10B7"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ICJ</w:t>
            </w:r>
          </w:p>
        </w:tc>
      </w:tr>
      <w:tr w:rsidR="00CA27C1" w:rsidRPr="00B875C6" w14:paraId="280169BA" w14:textId="77777777" w:rsidTr="003401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2" w:type="pct"/>
            <w:noWrap/>
            <w:hideMark/>
          </w:tcPr>
          <w:p w14:paraId="765B9B03" w14:textId="77777777" w:rsidR="00CA27C1" w:rsidRPr="00B875C6" w:rsidRDefault="00CA27C1" w:rsidP="003401A4">
            <w:pPr>
              <w:spacing w:line="240" w:lineRule="auto"/>
              <w:rPr>
                <w:b w:val="0"/>
                <w:color w:val="000000"/>
                <w:sz w:val="18"/>
                <w:szCs w:val="18"/>
                <w:lang w:val="en-GB"/>
              </w:rPr>
            </w:pPr>
            <w:r w:rsidRPr="00B875C6">
              <w:rPr>
                <w:b w:val="0"/>
                <w:color w:val="000000"/>
                <w:sz w:val="18"/>
                <w:szCs w:val="18"/>
                <w:lang w:val="en-GB"/>
              </w:rPr>
              <w:t xml:space="preserve">Gulf of Fonseca </w:t>
            </w:r>
          </w:p>
          <w:p w14:paraId="3356A692" w14:textId="77777777" w:rsidR="00CA27C1" w:rsidRPr="00B875C6" w:rsidRDefault="00CA27C1" w:rsidP="003401A4">
            <w:pPr>
              <w:spacing w:line="240" w:lineRule="auto"/>
              <w:rPr>
                <w:b w:val="0"/>
                <w:color w:val="000000"/>
                <w:sz w:val="18"/>
                <w:szCs w:val="18"/>
                <w:lang w:val="en-GB"/>
              </w:rPr>
            </w:pPr>
            <w:r w:rsidRPr="00B875C6">
              <w:rPr>
                <w:b w:val="0"/>
                <w:color w:val="000000"/>
                <w:sz w:val="18"/>
                <w:szCs w:val="18"/>
                <w:lang w:val="en-GB"/>
              </w:rPr>
              <w:t>Islands</w:t>
            </w:r>
          </w:p>
        </w:tc>
        <w:tc>
          <w:tcPr>
            <w:tcW w:w="625" w:type="pct"/>
          </w:tcPr>
          <w:p w14:paraId="1E40F8D9"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1899</w:t>
            </w:r>
            <w:r w:rsidRPr="00B875C6">
              <w:rPr>
                <w:sz w:val="18"/>
                <w:szCs w:val="18"/>
                <w:lang w:val="en-GB"/>
              </w:rPr>
              <w:t>–</w:t>
            </w:r>
            <w:r w:rsidRPr="00B875C6">
              <w:rPr>
                <w:color w:val="000000"/>
                <w:sz w:val="18"/>
                <w:szCs w:val="18"/>
                <w:lang w:val="en-GB"/>
              </w:rPr>
              <w:t>1992</w:t>
            </w:r>
          </w:p>
        </w:tc>
        <w:tc>
          <w:tcPr>
            <w:tcW w:w="781" w:type="pct"/>
            <w:noWrap/>
            <w:hideMark/>
          </w:tcPr>
          <w:p w14:paraId="3D974D16"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bCs/>
                <w:color w:val="000000"/>
                <w:sz w:val="18"/>
                <w:szCs w:val="18"/>
                <w:u w:val="single"/>
                <w:lang w:val="en-GB"/>
              </w:rPr>
              <w:t>El Salvador</w:t>
            </w:r>
            <w:r w:rsidRPr="00B875C6">
              <w:rPr>
                <w:color w:val="000000"/>
                <w:sz w:val="18"/>
                <w:szCs w:val="18"/>
                <w:lang w:val="en-GB"/>
              </w:rPr>
              <w:softHyphen/>
            </w:r>
            <w:r w:rsidRPr="00B875C6">
              <w:rPr>
                <w:sz w:val="18"/>
                <w:szCs w:val="18"/>
                <w:lang w:val="en-GB"/>
              </w:rPr>
              <w:t>–</w:t>
            </w:r>
            <w:r w:rsidRPr="00B875C6">
              <w:rPr>
                <w:color w:val="000000"/>
                <w:sz w:val="18"/>
                <w:szCs w:val="18"/>
                <w:lang w:val="en-GB"/>
              </w:rPr>
              <w:t>Honduras</w:t>
            </w:r>
          </w:p>
        </w:tc>
        <w:tc>
          <w:tcPr>
            <w:tcW w:w="625" w:type="pct"/>
          </w:tcPr>
          <w:p w14:paraId="70751DEE"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tcPr>
          <w:p w14:paraId="580A249A"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548" w:type="pct"/>
          </w:tcPr>
          <w:p w14:paraId="182B0C94"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noWrap/>
            <w:hideMark/>
          </w:tcPr>
          <w:p w14:paraId="468E3B12"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1986</w:t>
            </w:r>
            <w:r w:rsidRPr="00B875C6">
              <w:rPr>
                <w:sz w:val="18"/>
                <w:szCs w:val="18"/>
                <w:lang w:val="en-GB"/>
              </w:rPr>
              <w:t>–</w:t>
            </w:r>
            <w:r w:rsidRPr="00B875C6">
              <w:rPr>
                <w:color w:val="000000"/>
                <w:sz w:val="18"/>
                <w:szCs w:val="18"/>
                <w:lang w:val="en-GB"/>
              </w:rPr>
              <w:t>1992</w:t>
            </w:r>
          </w:p>
        </w:tc>
        <w:tc>
          <w:tcPr>
            <w:tcW w:w="389" w:type="pct"/>
            <w:noWrap/>
            <w:hideMark/>
          </w:tcPr>
          <w:p w14:paraId="597CE8F2"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ICJ</w:t>
            </w:r>
          </w:p>
        </w:tc>
      </w:tr>
      <w:tr w:rsidR="00CA27C1" w:rsidRPr="00B875C6" w14:paraId="20C3F11D" w14:textId="77777777" w:rsidTr="003401A4">
        <w:trPr>
          <w:trHeight w:val="300"/>
        </w:trPr>
        <w:tc>
          <w:tcPr>
            <w:cnfStyle w:val="001000000000" w:firstRow="0" w:lastRow="0" w:firstColumn="1" w:lastColumn="0" w:oddVBand="0" w:evenVBand="0" w:oddHBand="0" w:evenHBand="0" w:firstRowFirstColumn="0" w:firstRowLastColumn="0" w:lastRowFirstColumn="0" w:lastRowLastColumn="0"/>
            <w:tcW w:w="782" w:type="pct"/>
            <w:noWrap/>
            <w:hideMark/>
          </w:tcPr>
          <w:p w14:paraId="5941C7EE" w14:textId="77777777" w:rsidR="00CA27C1" w:rsidRPr="00B875C6" w:rsidRDefault="00CA27C1" w:rsidP="003401A4">
            <w:pPr>
              <w:spacing w:line="240" w:lineRule="auto"/>
              <w:rPr>
                <w:b w:val="0"/>
                <w:color w:val="000000"/>
                <w:sz w:val="18"/>
                <w:szCs w:val="18"/>
                <w:lang w:val="en-GB"/>
              </w:rPr>
            </w:pPr>
            <w:proofErr w:type="spellStart"/>
            <w:r w:rsidRPr="00B875C6">
              <w:rPr>
                <w:b w:val="0"/>
                <w:color w:val="000000"/>
                <w:sz w:val="18"/>
                <w:szCs w:val="18"/>
                <w:lang w:val="en-GB"/>
              </w:rPr>
              <w:t>Aozou</w:t>
            </w:r>
            <w:proofErr w:type="spellEnd"/>
            <w:r w:rsidRPr="00B875C6">
              <w:rPr>
                <w:b w:val="0"/>
                <w:color w:val="000000"/>
                <w:sz w:val="18"/>
                <w:szCs w:val="18"/>
                <w:lang w:val="en-GB"/>
              </w:rPr>
              <w:t xml:space="preserve"> Strip</w:t>
            </w:r>
          </w:p>
        </w:tc>
        <w:tc>
          <w:tcPr>
            <w:tcW w:w="625" w:type="pct"/>
          </w:tcPr>
          <w:p w14:paraId="4B9FDA9D"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1972</w:t>
            </w:r>
            <w:r w:rsidRPr="00B875C6">
              <w:rPr>
                <w:color w:val="000000"/>
                <w:sz w:val="18"/>
                <w:szCs w:val="18"/>
                <w:lang w:val="en-GB"/>
              </w:rPr>
              <w:softHyphen/>
            </w:r>
            <w:r w:rsidRPr="00B875C6">
              <w:rPr>
                <w:sz w:val="18"/>
                <w:szCs w:val="18"/>
                <w:lang w:val="en-GB"/>
              </w:rPr>
              <w:t>–</w:t>
            </w:r>
            <w:r w:rsidRPr="00B875C6">
              <w:rPr>
                <w:color w:val="000000"/>
                <w:sz w:val="18"/>
                <w:szCs w:val="18"/>
                <w:lang w:val="en-GB"/>
              </w:rPr>
              <w:t>1994</w:t>
            </w:r>
          </w:p>
        </w:tc>
        <w:tc>
          <w:tcPr>
            <w:tcW w:w="781" w:type="pct"/>
            <w:noWrap/>
            <w:hideMark/>
          </w:tcPr>
          <w:p w14:paraId="4E929B1E"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Chad</w:t>
            </w:r>
            <w:r w:rsidRPr="00B875C6">
              <w:rPr>
                <w:sz w:val="18"/>
                <w:szCs w:val="18"/>
                <w:lang w:val="en-GB"/>
              </w:rPr>
              <w:t>–</w:t>
            </w:r>
            <w:r w:rsidRPr="00B875C6">
              <w:rPr>
                <w:color w:val="000000"/>
                <w:sz w:val="18"/>
                <w:szCs w:val="18"/>
                <w:lang w:val="en-GB"/>
              </w:rPr>
              <w:softHyphen/>
            </w:r>
            <w:r w:rsidRPr="00B875C6">
              <w:rPr>
                <w:bCs/>
                <w:color w:val="000000"/>
                <w:sz w:val="18"/>
                <w:szCs w:val="18"/>
                <w:u w:val="single"/>
                <w:lang w:val="en-GB"/>
              </w:rPr>
              <w:t>Libya</w:t>
            </w:r>
          </w:p>
        </w:tc>
        <w:tc>
          <w:tcPr>
            <w:tcW w:w="625" w:type="pct"/>
          </w:tcPr>
          <w:p w14:paraId="69559ED2"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Libya</w:t>
            </w:r>
          </w:p>
        </w:tc>
        <w:tc>
          <w:tcPr>
            <w:tcW w:w="625" w:type="pct"/>
          </w:tcPr>
          <w:p w14:paraId="14BABEBA"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548" w:type="pct"/>
          </w:tcPr>
          <w:p w14:paraId="5B339047"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Libya</w:t>
            </w:r>
          </w:p>
        </w:tc>
        <w:tc>
          <w:tcPr>
            <w:tcW w:w="625" w:type="pct"/>
            <w:noWrap/>
            <w:hideMark/>
          </w:tcPr>
          <w:p w14:paraId="6432E229"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1990</w:t>
            </w:r>
            <w:r w:rsidRPr="00B875C6">
              <w:rPr>
                <w:sz w:val="18"/>
                <w:szCs w:val="18"/>
                <w:lang w:val="en-GB"/>
              </w:rPr>
              <w:t>–</w:t>
            </w:r>
            <w:r w:rsidRPr="00B875C6">
              <w:rPr>
                <w:color w:val="000000"/>
                <w:sz w:val="18"/>
                <w:szCs w:val="18"/>
                <w:lang w:val="en-GB"/>
              </w:rPr>
              <w:t>1994</w:t>
            </w:r>
          </w:p>
        </w:tc>
        <w:tc>
          <w:tcPr>
            <w:tcW w:w="389" w:type="pct"/>
            <w:noWrap/>
            <w:hideMark/>
          </w:tcPr>
          <w:p w14:paraId="0F1B2E17"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ICJ</w:t>
            </w:r>
          </w:p>
        </w:tc>
      </w:tr>
      <w:tr w:rsidR="00CA27C1" w:rsidRPr="00B875C6" w14:paraId="7D1261F1" w14:textId="77777777" w:rsidTr="003401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2" w:type="pct"/>
            <w:noWrap/>
            <w:hideMark/>
          </w:tcPr>
          <w:p w14:paraId="1805A753" w14:textId="77777777" w:rsidR="00CA27C1" w:rsidRPr="00B875C6" w:rsidRDefault="00CA27C1" w:rsidP="003401A4">
            <w:pPr>
              <w:spacing w:line="240" w:lineRule="auto"/>
              <w:rPr>
                <w:b w:val="0"/>
                <w:color w:val="000000"/>
                <w:sz w:val="18"/>
                <w:szCs w:val="18"/>
                <w:lang w:val="en-GB"/>
              </w:rPr>
            </w:pPr>
            <w:proofErr w:type="spellStart"/>
            <w:r w:rsidRPr="00B875C6">
              <w:rPr>
                <w:b w:val="0"/>
                <w:color w:val="000000"/>
                <w:sz w:val="18"/>
                <w:szCs w:val="18"/>
                <w:lang w:val="en-GB"/>
              </w:rPr>
              <w:t>Palena</w:t>
            </w:r>
            <w:proofErr w:type="spellEnd"/>
            <w:r w:rsidRPr="00B875C6">
              <w:rPr>
                <w:b w:val="0"/>
                <w:color w:val="000000"/>
                <w:sz w:val="18"/>
                <w:szCs w:val="18"/>
                <w:lang w:val="en-GB"/>
              </w:rPr>
              <w:t>/</w:t>
            </w:r>
          </w:p>
          <w:p w14:paraId="2BF0E110" w14:textId="77777777" w:rsidR="00CA27C1" w:rsidRPr="00B875C6" w:rsidRDefault="00CA27C1" w:rsidP="003401A4">
            <w:pPr>
              <w:spacing w:line="240" w:lineRule="auto"/>
              <w:rPr>
                <w:b w:val="0"/>
                <w:color w:val="000000"/>
                <w:sz w:val="18"/>
                <w:szCs w:val="18"/>
                <w:lang w:val="en-GB"/>
              </w:rPr>
            </w:pPr>
            <w:r w:rsidRPr="00B875C6">
              <w:rPr>
                <w:b w:val="0"/>
                <w:color w:val="000000"/>
                <w:sz w:val="18"/>
                <w:szCs w:val="18"/>
                <w:lang w:val="en-GB"/>
              </w:rPr>
              <w:t>Continental Glaciers</w:t>
            </w:r>
          </w:p>
        </w:tc>
        <w:tc>
          <w:tcPr>
            <w:tcW w:w="625" w:type="pct"/>
          </w:tcPr>
          <w:p w14:paraId="52F6E858"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1903</w:t>
            </w:r>
            <w:r w:rsidRPr="00B875C6">
              <w:rPr>
                <w:sz w:val="18"/>
                <w:szCs w:val="18"/>
                <w:lang w:val="en-GB"/>
              </w:rPr>
              <w:t>–</w:t>
            </w:r>
            <w:r w:rsidRPr="00B875C6">
              <w:rPr>
                <w:color w:val="000000"/>
                <w:sz w:val="18"/>
                <w:szCs w:val="18"/>
                <w:lang w:val="en-GB"/>
              </w:rPr>
              <w:t>1998</w:t>
            </w:r>
          </w:p>
        </w:tc>
        <w:tc>
          <w:tcPr>
            <w:tcW w:w="781" w:type="pct"/>
            <w:noWrap/>
            <w:hideMark/>
          </w:tcPr>
          <w:p w14:paraId="653C6763"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bCs/>
                <w:color w:val="000000"/>
                <w:sz w:val="18"/>
                <w:szCs w:val="18"/>
                <w:u w:val="single"/>
                <w:lang w:val="en-GB"/>
              </w:rPr>
            </w:pPr>
            <w:r w:rsidRPr="00B875C6">
              <w:rPr>
                <w:bCs/>
                <w:color w:val="000000"/>
                <w:sz w:val="18"/>
                <w:szCs w:val="18"/>
                <w:u w:val="single"/>
                <w:lang w:val="en-GB"/>
              </w:rPr>
              <w:t>Argentina</w:t>
            </w:r>
            <w:r w:rsidRPr="00B875C6">
              <w:rPr>
                <w:sz w:val="18"/>
                <w:szCs w:val="18"/>
                <w:u w:val="single"/>
                <w:lang w:val="en-GB"/>
              </w:rPr>
              <w:t>–</w:t>
            </w:r>
            <w:r w:rsidRPr="00B875C6">
              <w:rPr>
                <w:bCs/>
                <w:color w:val="000000"/>
                <w:sz w:val="18"/>
                <w:szCs w:val="18"/>
                <w:u w:val="single"/>
                <w:lang w:val="en-GB"/>
              </w:rPr>
              <w:softHyphen/>
              <w:t>Chile</w:t>
            </w:r>
          </w:p>
        </w:tc>
        <w:tc>
          <w:tcPr>
            <w:tcW w:w="625" w:type="pct"/>
          </w:tcPr>
          <w:p w14:paraId="59571EA0"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tcPr>
          <w:p w14:paraId="7E3EBBE9"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548" w:type="pct"/>
          </w:tcPr>
          <w:p w14:paraId="47BBC70A"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noWrap/>
            <w:hideMark/>
          </w:tcPr>
          <w:p w14:paraId="09CFABF8"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1997</w:t>
            </w:r>
            <w:r w:rsidRPr="00B875C6">
              <w:rPr>
                <w:sz w:val="18"/>
                <w:szCs w:val="18"/>
                <w:lang w:val="en-GB"/>
              </w:rPr>
              <w:t>–</w:t>
            </w:r>
            <w:r w:rsidRPr="00B875C6">
              <w:rPr>
                <w:color w:val="000000"/>
                <w:sz w:val="18"/>
                <w:szCs w:val="18"/>
                <w:lang w:val="en-GB"/>
              </w:rPr>
              <w:t>1998</w:t>
            </w:r>
          </w:p>
        </w:tc>
        <w:tc>
          <w:tcPr>
            <w:tcW w:w="389" w:type="pct"/>
            <w:noWrap/>
            <w:hideMark/>
          </w:tcPr>
          <w:p w14:paraId="7F04FAB1"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Arb.</w:t>
            </w:r>
          </w:p>
        </w:tc>
      </w:tr>
      <w:tr w:rsidR="00CA27C1" w:rsidRPr="00B875C6" w14:paraId="5E428BCB" w14:textId="77777777" w:rsidTr="003401A4">
        <w:trPr>
          <w:trHeight w:val="300"/>
        </w:trPr>
        <w:tc>
          <w:tcPr>
            <w:cnfStyle w:val="001000000000" w:firstRow="0" w:lastRow="0" w:firstColumn="1" w:lastColumn="0" w:oddVBand="0" w:evenVBand="0" w:oddHBand="0" w:evenHBand="0" w:firstRowFirstColumn="0" w:firstRowLastColumn="0" w:lastRowFirstColumn="0" w:lastRowLastColumn="0"/>
            <w:tcW w:w="782" w:type="pct"/>
            <w:noWrap/>
            <w:hideMark/>
          </w:tcPr>
          <w:p w14:paraId="45444E51" w14:textId="77777777" w:rsidR="00CA27C1" w:rsidRPr="00B875C6" w:rsidRDefault="00CA27C1" w:rsidP="003401A4">
            <w:pPr>
              <w:spacing w:line="240" w:lineRule="auto"/>
              <w:rPr>
                <w:b w:val="0"/>
                <w:color w:val="000000"/>
                <w:sz w:val="18"/>
                <w:szCs w:val="18"/>
                <w:lang w:val="en-GB"/>
              </w:rPr>
            </w:pPr>
            <w:r w:rsidRPr="00B875C6">
              <w:rPr>
                <w:b w:val="0"/>
                <w:color w:val="000000"/>
                <w:sz w:val="18"/>
                <w:szCs w:val="18"/>
                <w:lang w:val="en-GB"/>
              </w:rPr>
              <w:t xml:space="preserve">Cordillera del </w:t>
            </w:r>
          </w:p>
          <w:p w14:paraId="687D4553" w14:textId="77777777" w:rsidR="00CA27C1" w:rsidRPr="00B875C6" w:rsidRDefault="00CA27C1" w:rsidP="003401A4">
            <w:pPr>
              <w:spacing w:line="240" w:lineRule="auto"/>
              <w:rPr>
                <w:b w:val="0"/>
                <w:color w:val="000000"/>
                <w:sz w:val="18"/>
                <w:szCs w:val="18"/>
                <w:lang w:val="en-GB"/>
              </w:rPr>
            </w:pPr>
            <w:r w:rsidRPr="00B875C6">
              <w:rPr>
                <w:b w:val="0"/>
                <w:color w:val="000000"/>
                <w:sz w:val="18"/>
                <w:szCs w:val="18"/>
                <w:lang w:val="en-GB"/>
              </w:rPr>
              <w:t>Condor</w:t>
            </w:r>
          </w:p>
        </w:tc>
        <w:tc>
          <w:tcPr>
            <w:tcW w:w="625" w:type="pct"/>
          </w:tcPr>
          <w:p w14:paraId="28D9816E"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1947</w:t>
            </w:r>
            <w:r w:rsidRPr="00B875C6">
              <w:rPr>
                <w:color w:val="000000"/>
                <w:sz w:val="18"/>
                <w:szCs w:val="18"/>
                <w:lang w:val="en-GB"/>
              </w:rPr>
              <w:softHyphen/>
            </w:r>
            <w:r w:rsidRPr="00B875C6">
              <w:rPr>
                <w:sz w:val="18"/>
                <w:szCs w:val="18"/>
                <w:lang w:val="en-GB"/>
              </w:rPr>
              <w:t>–</w:t>
            </w:r>
            <w:r w:rsidRPr="00B875C6">
              <w:rPr>
                <w:color w:val="000000"/>
                <w:sz w:val="18"/>
                <w:szCs w:val="18"/>
                <w:lang w:val="en-GB"/>
              </w:rPr>
              <w:t>1998</w:t>
            </w:r>
          </w:p>
        </w:tc>
        <w:tc>
          <w:tcPr>
            <w:tcW w:w="781" w:type="pct"/>
            <w:noWrap/>
            <w:hideMark/>
          </w:tcPr>
          <w:p w14:paraId="3B47319A"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bCs/>
                <w:color w:val="000000"/>
                <w:sz w:val="18"/>
                <w:szCs w:val="18"/>
                <w:u w:val="single"/>
                <w:lang w:val="en-GB"/>
              </w:rPr>
              <w:t>Ecuador</w:t>
            </w:r>
            <w:r w:rsidRPr="00B875C6">
              <w:rPr>
                <w:color w:val="000000"/>
                <w:sz w:val="18"/>
                <w:szCs w:val="18"/>
                <w:lang w:val="en-GB"/>
              </w:rPr>
              <w:softHyphen/>
            </w:r>
            <w:r w:rsidRPr="00B875C6">
              <w:rPr>
                <w:sz w:val="18"/>
                <w:szCs w:val="18"/>
                <w:lang w:val="en-GB"/>
              </w:rPr>
              <w:t>–</w:t>
            </w:r>
            <w:r w:rsidRPr="00B875C6">
              <w:rPr>
                <w:color w:val="000000"/>
                <w:sz w:val="18"/>
                <w:szCs w:val="18"/>
                <w:lang w:val="en-GB"/>
              </w:rPr>
              <w:t>Peru</w:t>
            </w:r>
          </w:p>
        </w:tc>
        <w:tc>
          <w:tcPr>
            <w:tcW w:w="625" w:type="pct"/>
          </w:tcPr>
          <w:p w14:paraId="3546B637"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Ecuador</w:t>
            </w:r>
          </w:p>
        </w:tc>
        <w:tc>
          <w:tcPr>
            <w:tcW w:w="625" w:type="pct"/>
          </w:tcPr>
          <w:p w14:paraId="74C92A94"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Peru</w:t>
            </w:r>
          </w:p>
        </w:tc>
        <w:tc>
          <w:tcPr>
            <w:tcW w:w="548" w:type="pct"/>
          </w:tcPr>
          <w:p w14:paraId="64735E5C"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noWrap/>
            <w:hideMark/>
          </w:tcPr>
          <w:p w14:paraId="38F7CD28"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1997</w:t>
            </w:r>
            <w:r w:rsidRPr="00B875C6">
              <w:rPr>
                <w:sz w:val="18"/>
                <w:szCs w:val="18"/>
                <w:lang w:val="en-GB"/>
              </w:rPr>
              <w:t>–</w:t>
            </w:r>
            <w:r w:rsidRPr="00B875C6">
              <w:rPr>
                <w:color w:val="000000"/>
                <w:sz w:val="18"/>
                <w:szCs w:val="18"/>
                <w:lang w:val="en-GB"/>
              </w:rPr>
              <w:t>1998</w:t>
            </w:r>
          </w:p>
        </w:tc>
        <w:tc>
          <w:tcPr>
            <w:tcW w:w="389" w:type="pct"/>
            <w:noWrap/>
            <w:hideMark/>
          </w:tcPr>
          <w:p w14:paraId="15865A4A"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Arb.</w:t>
            </w:r>
          </w:p>
        </w:tc>
      </w:tr>
      <w:tr w:rsidR="00CA27C1" w:rsidRPr="00B875C6" w14:paraId="223E3789" w14:textId="77777777" w:rsidTr="003401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2" w:type="pct"/>
            <w:noWrap/>
            <w:hideMark/>
          </w:tcPr>
          <w:p w14:paraId="39F9CC74" w14:textId="77777777" w:rsidR="00CA27C1" w:rsidRPr="00B875C6" w:rsidRDefault="00CA27C1" w:rsidP="003401A4">
            <w:pPr>
              <w:spacing w:line="240" w:lineRule="auto"/>
              <w:rPr>
                <w:b w:val="0"/>
                <w:color w:val="000000"/>
                <w:sz w:val="18"/>
                <w:szCs w:val="18"/>
                <w:lang w:val="en-GB"/>
              </w:rPr>
            </w:pPr>
            <w:r w:rsidRPr="00B875C6">
              <w:rPr>
                <w:b w:val="0"/>
                <w:color w:val="000000"/>
                <w:sz w:val="18"/>
                <w:szCs w:val="18"/>
                <w:lang w:val="en-GB"/>
              </w:rPr>
              <w:t>Hanish Islands</w:t>
            </w:r>
          </w:p>
        </w:tc>
        <w:tc>
          <w:tcPr>
            <w:tcW w:w="625" w:type="pct"/>
          </w:tcPr>
          <w:p w14:paraId="3F255296"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1993</w:t>
            </w:r>
            <w:r w:rsidRPr="00B875C6">
              <w:rPr>
                <w:color w:val="000000"/>
                <w:sz w:val="18"/>
                <w:szCs w:val="18"/>
                <w:lang w:val="en-GB"/>
              </w:rPr>
              <w:softHyphen/>
            </w:r>
            <w:r w:rsidRPr="00B875C6">
              <w:rPr>
                <w:sz w:val="18"/>
                <w:szCs w:val="18"/>
                <w:lang w:val="en-GB"/>
              </w:rPr>
              <w:t>–</w:t>
            </w:r>
            <w:r w:rsidRPr="00B875C6">
              <w:rPr>
                <w:color w:val="000000"/>
                <w:sz w:val="18"/>
                <w:szCs w:val="18"/>
                <w:lang w:val="en-GB"/>
              </w:rPr>
              <w:t>1998</w:t>
            </w:r>
          </w:p>
        </w:tc>
        <w:tc>
          <w:tcPr>
            <w:tcW w:w="781" w:type="pct"/>
            <w:noWrap/>
            <w:hideMark/>
          </w:tcPr>
          <w:p w14:paraId="15DE132B"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bCs/>
                <w:color w:val="000000"/>
                <w:sz w:val="18"/>
                <w:szCs w:val="18"/>
                <w:u w:val="single"/>
                <w:lang w:val="en-GB"/>
              </w:rPr>
              <w:t>Eritrea</w:t>
            </w:r>
            <w:r w:rsidRPr="00B875C6">
              <w:rPr>
                <w:color w:val="000000"/>
                <w:sz w:val="18"/>
                <w:szCs w:val="18"/>
                <w:lang w:val="en-GB"/>
              </w:rPr>
              <w:softHyphen/>
            </w:r>
            <w:r w:rsidRPr="00B875C6">
              <w:rPr>
                <w:sz w:val="18"/>
                <w:szCs w:val="18"/>
                <w:lang w:val="en-GB"/>
              </w:rPr>
              <w:t>–</w:t>
            </w:r>
            <w:r w:rsidRPr="00B875C6">
              <w:rPr>
                <w:color w:val="000000"/>
                <w:sz w:val="18"/>
                <w:szCs w:val="18"/>
                <w:lang w:val="en-GB"/>
              </w:rPr>
              <w:t>Yemen</w:t>
            </w:r>
          </w:p>
        </w:tc>
        <w:tc>
          <w:tcPr>
            <w:tcW w:w="625" w:type="pct"/>
          </w:tcPr>
          <w:p w14:paraId="039227D3"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tcPr>
          <w:p w14:paraId="190E7CE8"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548" w:type="pct"/>
          </w:tcPr>
          <w:p w14:paraId="5BDA8D0C"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noWrap/>
            <w:hideMark/>
          </w:tcPr>
          <w:p w14:paraId="6A61EB1C"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1996</w:t>
            </w:r>
            <w:r w:rsidRPr="00B875C6">
              <w:rPr>
                <w:sz w:val="18"/>
                <w:szCs w:val="18"/>
                <w:lang w:val="en-GB"/>
              </w:rPr>
              <w:t>–</w:t>
            </w:r>
            <w:r w:rsidRPr="00B875C6">
              <w:rPr>
                <w:color w:val="000000"/>
                <w:sz w:val="18"/>
                <w:szCs w:val="18"/>
                <w:lang w:val="en-GB"/>
              </w:rPr>
              <w:t>1998</w:t>
            </w:r>
          </w:p>
        </w:tc>
        <w:tc>
          <w:tcPr>
            <w:tcW w:w="389" w:type="pct"/>
            <w:noWrap/>
            <w:hideMark/>
          </w:tcPr>
          <w:p w14:paraId="498584A3"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Arb.</w:t>
            </w:r>
          </w:p>
        </w:tc>
      </w:tr>
      <w:tr w:rsidR="00CA27C1" w:rsidRPr="00B875C6" w14:paraId="3650F02B" w14:textId="77777777" w:rsidTr="003401A4">
        <w:trPr>
          <w:trHeight w:val="300"/>
        </w:trPr>
        <w:tc>
          <w:tcPr>
            <w:cnfStyle w:val="001000000000" w:firstRow="0" w:lastRow="0" w:firstColumn="1" w:lastColumn="0" w:oddVBand="0" w:evenVBand="0" w:oddHBand="0" w:evenHBand="0" w:firstRowFirstColumn="0" w:firstRowLastColumn="0" w:lastRowFirstColumn="0" w:lastRowLastColumn="0"/>
            <w:tcW w:w="782" w:type="pct"/>
            <w:noWrap/>
            <w:hideMark/>
          </w:tcPr>
          <w:p w14:paraId="47E53FD6" w14:textId="77777777" w:rsidR="00CA27C1" w:rsidRPr="00B875C6" w:rsidRDefault="00CA27C1" w:rsidP="003401A4">
            <w:pPr>
              <w:spacing w:line="240" w:lineRule="auto"/>
              <w:rPr>
                <w:b w:val="0"/>
                <w:color w:val="000000"/>
                <w:sz w:val="18"/>
                <w:szCs w:val="18"/>
                <w:lang w:val="en-GB"/>
              </w:rPr>
            </w:pPr>
            <w:proofErr w:type="spellStart"/>
            <w:r w:rsidRPr="00B875C6">
              <w:rPr>
                <w:b w:val="0"/>
                <w:color w:val="000000"/>
                <w:sz w:val="18"/>
                <w:szCs w:val="18"/>
                <w:lang w:val="en-GB"/>
              </w:rPr>
              <w:t>Kasikili</w:t>
            </w:r>
            <w:proofErr w:type="spellEnd"/>
            <w:r w:rsidRPr="00B875C6">
              <w:rPr>
                <w:b w:val="0"/>
                <w:color w:val="000000"/>
                <w:sz w:val="18"/>
                <w:szCs w:val="18"/>
                <w:lang w:val="en-GB"/>
              </w:rPr>
              <w:t xml:space="preserve"> Island</w:t>
            </w:r>
          </w:p>
        </w:tc>
        <w:tc>
          <w:tcPr>
            <w:tcW w:w="625" w:type="pct"/>
          </w:tcPr>
          <w:p w14:paraId="40CED001"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1990</w:t>
            </w:r>
            <w:r w:rsidRPr="00B875C6">
              <w:rPr>
                <w:sz w:val="18"/>
                <w:szCs w:val="18"/>
                <w:lang w:val="en-GB"/>
              </w:rPr>
              <w:t>–</w:t>
            </w:r>
            <w:r w:rsidRPr="00B875C6">
              <w:rPr>
                <w:color w:val="000000"/>
                <w:sz w:val="18"/>
                <w:szCs w:val="18"/>
                <w:lang w:val="en-GB"/>
              </w:rPr>
              <w:t>1999</w:t>
            </w:r>
          </w:p>
        </w:tc>
        <w:tc>
          <w:tcPr>
            <w:tcW w:w="781" w:type="pct"/>
            <w:noWrap/>
            <w:hideMark/>
          </w:tcPr>
          <w:p w14:paraId="590E9958"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Botswana</w:t>
            </w:r>
            <w:r w:rsidRPr="00B875C6">
              <w:rPr>
                <w:color w:val="000000"/>
                <w:sz w:val="18"/>
                <w:szCs w:val="18"/>
                <w:lang w:val="en-GB"/>
              </w:rPr>
              <w:softHyphen/>
            </w:r>
            <w:r w:rsidRPr="00B875C6">
              <w:rPr>
                <w:sz w:val="18"/>
                <w:szCs w:val="18"/>
                <w:lang w:val="en-GB"/>
              </w:rPr>
              <w:t>–</w:t>
            </w:r>
            <w:r w:rsidRPr="00B875C6">
              <w:rPr>
                <w:bCs/>
                <w:color w:val="000000"/>
                <w:sz w:val="18"/>
                <w:szCs w:val="18"/>
                <w:u w:val="single"/>
                <w:lang w:val="en-GB"/>
              </w:rPr>
              <w:t>Namibia</w:t>
            </w:r>
          </w:p>
        </w:tc>
        <w:tc>
          <w:tcPr>
            <w:tcW w:w="625" w:type="pct"/>
          </w:tcPr>
          <w:p w14:paraId="201D9CC9"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Namibia</w:t>
            </w:r>
          </w:p>
        </w:tc>
        <w:tc>
          <w:tcPr>
            <w:tcW w:w="625" w:type="pct"/>
          </w:tcPr>
          <w:p w14:paraId="2B14A05D"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548" w:type="pct"/>
          </w:tcPr>
          <w:p w14:paraId="5158E55A"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noWrap/>
            <w:hideMark/>
          </w:tcPr>
          <w:p w14:paraId="5A63982B"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1996</w:t>
            </w:r>
            <w:r w:rsidRPr="00B875C6">
              <w:rPr>
                <w:sz w:val="18"/>
                <w:szCs w:val="18"/>
                <w:lang w:val="en-GB"/>
              </w:rPr>
              <w:t>–</w:t>
            </w:r>
            <w:r w:rsidRPr="00B875C6">
              <w:rPr>
                <w:color w:val="000000"/>
                <w:sz w:val="18"/>
                <w:szCs w:val="18"/>
                <w:lang w:val="en-GB"/>
              </w:rPr>
              <w:t>1999</w:t>
            </w:r>
          </w:p>
        </w:tc>
        <w:tc>
          <w:tcPr>
            <w:tcW w:w="389" w:type="pct"/>
            <w:noWrap/>
            <w:hideMark/>
          </w:tcPr>
          <w:p w14:paraId="39D187BB"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ICJ</w:t>
            </w:r>
          </w:p>
        </w:tc>
      </w:tr>
      <w:tr w:rsidR="00CA27C1" w:rsidRPr="00B875C6" w14:paraId="15DA09AA" w14:textId="77777777" w:rsidTr="003401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2" w:type="pct"/>
            <w:noWrap/>
            <w:hideMark/>
          </w:tcPr>
          <w:p w14:paraId="5A1A764A" w14:textId="77777777" w:rsidR="00CA27C1" w:rsidRPr="00B875C6" w:rsidRDefault="00CA27C1" w:rsidP="003401A4">
            <w:pPr>
              <w:spacing w:line="240" w:lineRule="auto"/>
              <w:rPr>
                <w:b w:val="0"/>
                <w:color w:val="000000"/>
                <w:sz w:val="18"/>
                <w:szCs w:val="18"/>
                <w:lang w:val="en-GB"/>
              </w:rPr>
            </w:pPr>
            <w:r w:rsidRPr="00B875C6">
              <w:rPr>
                <w:b w:val="0"/>
                <w:color w:val="000000"/>
                <w:sz w:val="18"/>
                <w:szCs w:val="18"/>
                <w:lang w:val="en-GB"/>
              </w:rPr>
              <w:t xml:space="preserve">Hawar Islands and </w:t>
            </w:r>
            <w:proofErr w:type="spellStart"/>
            <w:r w:rsidRPr="00B875C6">
              <w:rPr>
                <w:b w:val="0"/>
                <w:color w:val="000000"/>
                <w:sz w:val="18"/>
                <w:szCs w:val="18"/>
                <w:lang w:val="en-GB"/>
              </w:rPr>
              <w:t>Zubarah</w:t>
            </w:r>
            <w:proofErr w:type="spellEnd"/>
          </w:p>
        </w:tc>
        <w:tc>
          <w:tcPr>
            <w:tcW w:w="625" w:type="pct"/>
          </w:tcPr>
          <w:p w14:paraId="4438D876"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1971</w:t>
            </w:r>
            <w:r w:rsidRPr="00B875C6">
              <w:rPr>
                <w:sz w:val="18"/>
                <w:szCs w:val="18"/>
                <w:lang w:val="en-GB"/>
              </w:rPr>
              <w:t>–</w:t>
            </w:r>
            <w:r w:rsidRPr="00B875C6">
              <w:rPr>
                <w:color w:val="000000"/>
                <w:sz w:val="18"/>
                <w:szCs w:val="18"/>
                <w:lang w:val="en-GB"/>
              </w:rPr>
              <w:t>2001</w:t>
            </w:r>
          </w:p>
        </w:tc>
        <w:tc>
          <w:tcPr>
            <w:tcW w:w="781" w:type="pct"/>
            <w:noWrap/>
            <w:hideMark/>
          </w:tcPr>
          <w:p w14:paraId="53D51011"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bCs/>
                <w:color w:val="000000"/>
                <w:sz w:val="18"/>
                <w:szCs w:val="18"/>
                <w:u w:val="single"/>
                <w:lang w:val="en-GB"/>
              </w:rPr>
            </w:pPr>
            <w:r w:rsidRPr="00B875C6">
              <w:rPr>
                <w:bCs/>
                <w:color w:val="000000"/>
                <w:sz w:val="18"/>
                <w:szCs w:val="18"/>
                <w:u w:val="single"/>
                <w:lang w:val="en-GB"/>
              </w:rPr>
              <w:t>Qatar vs Bahrain</w:t>
            </w:r>
          </w:p>
        </w:tc>
        <w:tc>
          <w:tcPr>
            <w:tcW w:w="625" w:type="pct"/>
          </w:tcPr>
          <w:p w14:paraId="2FD636EA"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tcPr>
          <w:p w14:paraId="48058793"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Bahrain, Qatar</w:t>
            </w:r>
          </w:p>
        </w:tc>
        <w:tc>
          <w:tcPr>
            <w:tcW w:w="548" w:type="pct"/>
          </w:tcPr>
          <w:p w14:paraId="172EE0B5"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Bahrain</w:t>
            </w:r>
          </w:p>
        </w:tc>
        <w:tc>
          <w:tcPr>
            <w:tcW w:w="625" w:type="pct"/>
            <w:noWrap/>
            <w:hideMark/>
          </w:tcPr>
          <w:p w14:paraId="7C6F2C1C"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1991</w:t>
            </w:r>
            <w:r w:rsidRPr="00B875C6">
              <w:rPr>
                <w:sz w:val="18"/>
                <w:szCs w:val="18"/>
                <w:lang w:val="en-GB"/>
              </w:rPr>
              <w:t>–</w:t>
            </w:r>
            <w:r w:rsidRPr="00B875C6">
              <w:rPr>
                <w:color w:val="000000"/>
                <w:sz w:val="18"/>
                <w:szCs w:val="18"/>
                <w:lang w:val="en-GB"/>
              </w:rPr>
              <w:t>2001</w:t>
            </w:r>
          </w:p>
        </w:tc>
        <w:tc>
          <w:tcPr>
            <w:tcW w:w="389" w:type="pct"/>
            <w:noWrap/>
            <w:hideMark/>
          </w:tcPr>
          <w:p w14:paraId="4FFC1C64"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ICJ</w:t>
            </w:r>
          </w:p>
        </w:tc>
      </w:tr>
      <w:tr w:rsidR="00CA27C1" w:rsidRPr="00B875C6" w14:paraId="17CFCB37" w14:textId="77777777" w:rsidTr="003401A4">
        <w:trPr>
          <w:trHeight w:val="300"/>
        </w:trPr>
        <w:tc>
          <w:tcPr>
            <w:cnfStyle w:val="001000000000" w:firstRow="0" w:lastRow="0" w:firstColumn="1" w:lastColumn="0" w:oddVBand="0" w:evenVBand="0" w:oddHBand="0" w:evenHBand="0" w:firstRowFirstColumn="0" w:firstRowLastColumn="0" w:lastRowFirstColumn="0" w:lastRowLastColumn="0"/>
            <w:tcW w:w="782" w:type="pct"/>
            <w:noWrap/>
            <w:hideMark/>
          </w:tcPr>
          <w:p w14:paraId="68B1705C" w14:textId="77777777" w:rsidR="00CA27C1" w:rsidRPr="00B875C6" w:rsidRDefault="00CA27C1" w:rsidP="003401A4">
            <w:pPr>
              <w:spacing w:line="240" w:lineRule="auto"/>
              <w:rPr>
                <w:b w:val="0"/>
                <w:color w:val="000000"/>
                <w:sz w:val="18"/>
                <w:szCs w:val="18"/>
                <w:lang w:val="en-GB"/>
              </w:rPr>
            </w:pPr>
            <w:r w:rsidRPr="00B875C6">
              <w:rPr>
                <w:b w:val="0"/>
                <w:color w:val="000000"/>
                <w:sz w:val="18"/>
                <w:szCs w:val="18"/>
                <w:lang w:val="en-GB"/>
              </w:rPr>
              <w:t>Bakassi Peninsula, Darak and Lake Chad Islands</w:t>
            </w:r>
          </w:p>
        </w:tc>
        <w:tc>
          <w:tcPr>
            <w:tcW w:w="625" w:type="pct"/>
          </w:tcPr>
          <w:p w14:paraId="7A305CB3"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1977</w:t>
            </w:r>
            <w:r w:rsidRPr="00B875C6">
              <w:rPr>
                <w:color w:val="000000"/>
                <w:sz w:val="18"/>
                <w:szCs w:val="18"/>
                <w:lang w:val="en-GB"/>
              </w:rPr>
              <w:softHyphen/>
            </w:r>
            <w:r w:rsidRPr="00B875C6">
              <w:rPr>
                <w:sz w:val="18"/>
                <w:szCs w:val="18"/>
                <w:lang w:val="en-GB"/>
              </w:rPr>
              <w:t>–</w:t>
            </w:r>
            <w:r w:rsidRPr="00B875C6">
              <w:rPr>
                <w:color w:val="000000"/>
                <w:sz w:val="18"/>
                <w:szCs w:val="18"/>
                <w:lang w:val="en-GB"/>
              </w:rPr>
              <w:t>2006</w:t>
            </w:r>
          </w:p>
        </w:tc>
        <w:tc>
          <w:tcPr>
            <w:tcW w:w="781" w:type="pct"/>
            <w:noWrap/>
            <w:hideMark/>
          </w:tcPr>
          <w:p w14:paraId="2C6132B8"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u w:val="single"/>
                <w:lang w:val="en-GB"/>
              </w:rPr>
              <w:t>Cameroon vs</w:t>
            </w:r>
            <w:r w:rsidRPr="00B875C6">
              <w:rPr>
                <w:color w:val="000000"/>
                <w:sz w:val="18"/>
                <w:szCs w:val="18"/>
                <w:lang w:val="en-GB"/>
              </w:rPr>
              <w:t xml:space="preserve"> </w:t>
            </w:r>
            <w:r w:rsidRPr="00B875C6">
              <w:rPr>
                <w:bCs/>
                <w:color w:val="000000"/>
                <w:sz w:val="18"/>
                <w:szCs w:val="18"/>
                <w:u w:val="single"/>
                <w:lang w:val="en-GB"/>
              </w:rPr>
              <w:t>Nigeria</w:t>
            </w:r>
          </w:p>
        </w:tc>
        <w:tc>
          <w:tcPr>
            <w:tcW w:w="625" w:type="pct"/>
          </w:tcPr>
          <w:p w14:paraId="27E381B4"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tcPr>
          <w:p w14:paraId="5DF3AD75"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Nigeria</w:t>
            </w:r>
          </w:p>
        </w:tc>
        <w:tc>
          <w:tcPr>
            <w:tcW w:w="548" w:type="pct"/>
          </w:tcPr>
          <w:p w14:paraId="68523DE3"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Nigeria</w:t>
            </w:r>
          </w:p>
        </w:tc>
        <w:tc>
          <w:tcPr>
            <w:tcW w:w="625" w:type="pct"/>
            <w:noWrap/>
            <w:hideMark/>
          </w:tcPr>
          <w:p w14:paraId="361D2C3F"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1994</w:t>
            </w:r>
            <w:r w:rsidRPr="00B875C6">
              <w:rPr>
                <w:sz w:val="18"/>
                <w:szCs w:val="18"/>
                <w:lang w:val="en-GB"/>
              </w:rPr>
              <w:t>–</w:t>
            </w:r>
            <w:r w:rsidRPr="00B875C6">
              <w:rPr>
                <w:color w:val="000000"/>
                <w:sz w:val="18"/>
                <w:szCs w:val="18"/>
                <w:lang w:val="en-GB"/>
              </w:rPr>
              <w:t>2002</w:t>
            </w:r>
          </w:p>
        </w:tc>
        <w:tc>
          <w:tcPr>
            <w:tcW w:w="389" w:type="pct"/>
            <w:noWrap/>
            <w:hideMark/>
          </w:tcPr>
          <w:p w14:paraId="18372D41"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ICJ</w:t>
            </w:r>
          </w:p>
        </w:tc>
      </w:tr>
      <w:tr w:rsidR="00CA27C1" w:rsidRPr="00B875C6" w14:paraId="117E278F" w14:textId="77777777" w:rsidTr="003401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2" w:type="pct"/>
            <w:noWrap/>
          </w:tcPr>
          <w:p w14:paraId="19B3C417" w14:textId="77777777" w:rsidR="00CA27C1" w:rsidRPr="00B875C6" w:rsidRDefault="00CA27C1" w:rsidP="003401A4">
            <w:pPr>
              <w:spacing w:line="240" w:lineRule="auto"/>
              <w:rPr>
                <w:b w:val="0"/>
                <w:color w:val="000000"/>
                <w:sz w:val="18"/>
                <w:szCs w:val="18"/>
                <w:lang w:val="en-GB"/>
              </w:rPr>
            </w:pPr>
            <w:r w:rsidRPr="00B875C6">
              <w:rPr>
                <w:b w:val="0"/>
                <w:color w:val="000000"/>
                <w:sz w:val="18"/>
                <w:szCs w:val="18"/>
                <w:lang w:val="en-GB"/>
              </w:rPr>
              <w:t>Pedra Branca</w:t>
            </w:r>
          </w:p>
        </w:tc>
        <w:tc>
          <w:tcPr>
            <w:tcW w:w="625" w:type="pct"/>
          </w:tcPr>
          <w:p w14:paraId="2076684B"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1978-2008</w:t>
            </w:r>
          </w:p>
        </w:tc>
        <w:tc>
          <w:tcPr>
            <w:tcW w:w="781" w:type="pct"/>
            <w:noWrap/>
          </w:tcPr>
          <w:p w14:paraId="798BD916"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bCs/>
                <w:color w:val="000000"/>
                <w:sz w:val="18"/>
                <w:szCs w:val="18"/>
                <w:u w:val="single"/>
                <w:lang w:val="en-GB"/>
              </w:rPr>
            </w:pPr>
            <w:r w:rsidRPr="00B875C6">
              <w:rPr>
                <w:bCs/>
                <w:color w:val="000000"/>
                <w:sz w:val="18"/>
                <w:szCs w:val="18"/>
                <w:u w:val="single"/>
                <w:lang w:val="en-GB"/>
              </w:rPr>
              <w:t>Malaysia</w:t>
            </w:r>
            <w:r w:rsidRPr="00B875C6">
              <w:rPr>
                <w:sz w:val="18"/>
                <w:szCs w:val="18"/>
                <w:u w:val="single"/>
                <w:lang w:val="en-GB"/>
              </w:rPr>
              <w:t>–Singapore</w:t>
            </w:r>
            <w:r w:rsidRPr="00B875C6">
              <w:rPr>
                <w:sz w:val="18"/>
                <w:szCs w:val="18"/>
                <w:lang w:val="en-GB"/>
              </w:rPr>
              <w:t xml:space="preserve"> </w:t>
            </w:r>
          </w:p>
        </w:tc>
        <w:tc>
          <w:tcPr>
            <w:tcW w:w="625" w:type="pct"/>
          </w:tcPr>
          <w:p w14:paraId="05142B04"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Malaysia</w:t>
            </w:r>
          </w:p>
        </w:tc>
        <w:tc>
          <w:tcPr>
            <w:tcW w:w="625" w:type="pct"/>
          </w:tcPr>
          <w:p w14:paraId="71C2DC0B"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Malaysia</w:t>
            </w:r>
          </w:p>
        </w:tc>
        <w:tc>
          <w:tcPr>
            <w:tcW w:w="548" w:type="pct"/>
          </w:tcPr>
          <w:p w14:paraId="5B80768C"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noWrap/>
          </w:tcPr>
          <w:p w14:paraId="6A50D011"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2003-2008</w:t>
            </w:r>
          </w:p>
        </w:tc>
        <w:tc>
          <w:tcPr>
            <w:tcW w:w="389" w:type="pct"/>
            <w:noWrap/>
          </w:tcPr>
          <w:p w14:paraId="394B1C01"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ICJ</w:t>
            </w:r>
          </w:p>
        </w:tc>
      </w:tr>
      <w:tr w:rsidR="00CA27C1" w:rsidRPr="00B875C6" w14:paraId="64686A1E" w14:textId="77777777" w:rsidTr="003401A4">
        <w:trPr>
          <w:trHeight w:val="300"/>
        </w:trPr>
        <w:tc>
          <w:tcPr>
            <w:cnfStyle w:val="001000000000" w:firstRow="0" w:lastRow="0" w:firstColumn="1" w:lastColumn="0" w:oddVBand="0" w:evenVBand="0" w:oddHBand="0" w:evenHBand="0" w:firstRowFirstColumn="0" w:firstRowLastColumn="0" w:lastRowFirstColumn="0" w:lastRowLastColumn="0"/>
            <w:tcW w:w="782" w:type="pct"/>
            <w:noWrap/>
            <w:hideMark/>
          </w:tcPr>
          <w:p w14:paraId="2FC06095" w14:textId="77777777" w:rsidR="00CA27C1" w:rsidRPr="00B875C6" w:rsidRDefault="00CA27C1" w:rsidP="003401A4">
            <w:pPr>
              <w:spacing w:line="240" w:lineRule="auto"/>
              <w:rPr>
                <w:b w:val="0"/>
                <w:color w:val="000000"/>
                <w:sz w:val="18"/>
                <w:szCs w:val="18"/>
                <w:lang w:val="en-GB"/>
              </w:rPr>
            </w:pPr>
            <w:proofErr w:type="spellStart"/>
            <w:r w:rsidRPr="00B875C6">
              <w:rPr>
                <w:b w:val="0"/>
                <w:color w:val="000000"/>
                <w:sz w:val="18"/>
                <w:szCs w:val="18"/>
                <w:lang w:val="en-GB"/>
              </w:rPr>
              <w:t>Sipadan</w:t>
            </w:r>
            <w:proofErr w:type="spellEnd"/>
            <w:r w:rsidRPr="00B875C6">
              <w:rPr>
                <w:b w:val="0"/>
                <w:color w:val="000000"/>
                <w:sz w:val="18"/>
                <w:szCs w:val="18"/>
                <w:lang w:val="en-GB"/>
              </w:rPr>
              <w:t xml:space="preserve"> and </w:t>
            </w:r>
            <w:proofErr w:type="spellStart"/>
            <w:r w:rsidRPr="00B875C6">
              <w:rPr>
                <w:b w:val="0"/>
                <w:color w:val="000000"/>
                <w:sz w:val="18"/>
                <w:szCs w:val="18"/>
                <w:lang w:val="en-GB"/>
              </w:rPr>
              <w:t>Ligitan</w:t>
            </w:r>
            <w:proofErr w:type="spellEnd"/>
          </w:p>
        </w:tc>
        <w:tc>
          <w:tcPr>
            <w:tcW w:w="625" w:type="pct"/>
          </w:tcPr>
          <w:p w14:paraId="0246007C"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1991</w:t>
            </w:r>
            <w:r w:rsidRPr="00B875C6">
              <w:rPr>
                <w:sz w:val="18"/>
                <w:szCs w:val="18"/>
                <w:lang w:val="en-GB"/>
              </w:rPr>
              <w:t>–</w:t>
            </w:r>
            <w:r w:rsidRPr="00B875C6">
              <w:rPr>
                <w:color w:val="000000"/>
                <w:sz w:val="18"/>
                <w:szCs w:val="18"/>
                <w:lang w:val="en-GB"/>
              </w:rPr>
              <w:t>2002</w:t>
            </w:r>
          </w:p>
        </w:tc>
        <w:tc>
          <w:tcPr>
            <w:tcW w:w="781" w:type="pct"/>
            <w:noWrap/>
            <w:hideMark/>
          </w:tcPr>
          <w:p w14:paraId="528D4C0B"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bCs/>
                <w:color w:val="000000"/>
                <w:sz w:val="18"/>
                <w:szCs w:val="18"/>
                <w:u w:val="single"/>
                <w:lang w:val="en-GB"/>
              </w:rPr>
              <w:t>Indonesia</w:t>
            </w:r>
            <w:r w:rsidRPr="00B875C6">
              <w:rPr>
                <w:color w:val="000000"/>
                <w:sz w:val="18"/>
                <w:szCs w:val="18"/>
                <w:lang w:val="en-GB"/>
              </w:rPr>
              <w:softHyphen/>
            </w:r>
            <w:r w:rsidRPr="00B875C6">
              <w:rPr>
                <w:sz w:val="18"/>
                <w:szCs w:val="18"/>
                <w:lang w:val="en-GB"/>
              </w:rPr>
              <w:t>–</w:t>
            </w:r>
            <w:r w:rsidRPr="00B875C6">
              <w:rPr>
                <w:color w:val="000000"/>
                <w:sz w:val="18"/>
                <w:szCs w:val="18"/>
                <w:lang w:val="en-GB"/>
              </w:rPr>
              <w:t>Malaysia</w:t>
            </w:r>
          </w:p>
        </w:tc>
        <w:tc>
          <w:tcPr>
            <w:tcW w:w="625" w:type="pct"/>
          </w:tcPr>
          <w:p w14:paraId="11AB2847"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Indonesia</w:t>
            </w:r>
          </w:p>
        </w:tc>
        <w:tc>
          <w:tcPr>
            <w:tcW w:w="625" w:type="pct"/>
          </w:tcPr>
          <w:p w14:paraId="6E34F3F2"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Indonesia</w:t>
            </w:r>
          </w:p>
        </w:tc>
        <w:tc>
          <w:tcPr>
            <w:tcW w:w="548" w:type="pct"/>
          </w:tcPr>
          <w:p w14:paraId="007F880C"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Indonesia</w:t>
            </w:r>
          </w:p>
        </w:tc>
        <w:tc>
          <w:tcPr>
            <w:tcW w:w="625" w:type="pct"/>
            <w:noWrap/>
            <w:hideMark/>
          </w:tcPr>
          <w:p w14:paraId="3792F506"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1998</w:t>
            </w:r>
            <w:r w:rsidRPr="00B875C6">
              <w:rPr>
                <w:sz w:val="18"/>
                <w:szCs w:val="18"/>
                <w:lang w:val="en-GB"/>
              </w:rPr>
              <w:t>–</w:t>
            </w:r>
            <w:r w:rsidRPr="00B875C6">
              <w:rPr>
                <w:color w:val="000000"/>
                <w:sz w:val="18"/>
                <w:szCs w:val="18"/>
                <w:lang w:val="en-GB"/>
              </w:rPr>
              <w:t>2002</w:t>
            </w:r>
          </w:p>
        </w:tc>
        <w:tc>
          <w:tcPr>
            <w:tcW w:w="389" w:type="pct"/>
            <w:noWrap/>
            <w:hideMark/>
          </w:tcPr>
          <w:p w14:paraId="1BCEB7A8" w14:textId="77777777" w:rsidR="00CA27C1" w:rsidRPr="00B875C6" w:rsidRDefault="00CA27C1" w:rsidP="003401A4">
            <w:pPr>
              <w:spacing w:line="240" w:lineRule="auto"/>
              <w:cnfStyle w:val="000000000000" w:firstRow="0" w:lastRow="0" w:firstColumn="0" w:lastColumn="0" w:oddVBand="0" w:evenVBand="0" w:oddHBand="0" w:evenHBand="0" w:firstRowFirstColumn="0" w:firstRowLastColumn="0" w:lastRowFirstColumn="0" w:lastRowLastColumn="0"/>
              <w:rPr>
                <w:color w:val="000000"/>
                <w:sz w:val="18"/>
                <w:szCs w:val="18"/>
                <w:lang w:val="en-GB"/>
              </w:rPr>
            </w:pPr>
            <w:r w:rsidRPr="00B875C6">
              <w:rPr>
                <w:color w:val="000000"/>
                <w:sz w:val="18"/>
                <w:szCs w:val="18"/>
                <w:lang w:val="en-GB"/>
              </w:rPr>
              <w:t>ICJ</w:t>
            </w:r>
          </w:p>
        </w:tc>
      </w:tr>
      <w:tr w:rsidR="00CA27C1" w:rsidRPr="00B875C6" w14:paraId="399A055B" w14:textId="77777777" w:rsidTr="003401A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2" w:type="pct"/>
            <w:noWrap/>
            <w:hideMark/>
          </w:tcPr>
          <w:p w14:paraId="14BBE2AF" w14:textId="77777777" w:rsidR="00CA27C1" w:rsidRPr="00B875C6" w:rsidRDefault="00CA27C1" w:rsidP="003401A4">
            <w:pPr>
              <w:spacing w:line="240" w:lineRule="auto"/>
              <w:rPr>
                <w:b w:val="0"/>
                <w:color w:val="000000"/>
                <w:sz w:val="18"/>
                <w:szCs w:val="18"/>
                <w:lang w:val="en-GB"/>
              </w:rPr>
            </w:pPr>
            <w:r w:rsidRPr="00B875C6">
              <w:rPr>
                <w:b w:val="0"/>
                <w:color w:val="000000"/>
                <w:sz w:val="18"/>
                <w:szCs w:val="18"/>
                <w:lang w:val="en-GB"/>
              </w:rPr>
              <w:t>Altena</w:t>
            </w:r>
            <w:r w:rsidRPr="00B875C6">
              <w:rPr>
                <w:b w:val="0"/>
                <w:sz w:val="18"/>
                <w:szCs w:val="18"/>
                <w:lang w:val="en-GB"/>
              </w:rPr>
              <w:t>–</w:t>
            </w:r>
            <w:r w:rsidRPr="00B875C6">
              <w:rPr>
                <w:b w:val="0"/>
                <w:color w:val="000000"/>
                <w:sz w:val="18"/>
                <w:szCs w:val="18"/>
                <w:lang w:val="en-GB"/>
              </w:rPr>
              <w:t>Badme</w:t>
            </w:r>
            <w:r w:rsidRPr="00B875C6">
              <w:rPr>
                <w:b w:val="0"/>
                <w:sz w:val="18"/>
                <w:szCs w:val="18"/>
                <w:lang w:val="en-GB"/>
              </w:rPr>
              <w:t>–</w:t>
            </w:r>
            <w:r w:rsidRPr="00B875C6">
              <w:rPr>
                <w:b w:val="0"/>
                <w:color w:val="000000"/>
                <w:sz w:val="18"/>
                <w:szCs w:val="18"/>
                <w:lang w:val="en-GB"/>
              </w:rPr>
              <w:t xml:space="preserve"> Bure</w:t>
            </w:r>
            <w:r w:rsidRPr="00B875C6">
              <w:rPr>
                <w:b w:val="0"/>
                <w:sz w:val="18"/>
                <w:szCs w:val="18"/>
                <w:lang w:val="en-GB"/>
              </w:rPr>
              <w:t>–</w:t>
            </w:r>
            <w:r w:rsidRPr="00B875C6">
              <w:rPr>
                <w:b w:val="0"/>
                <w:color w:val="000000"/>
                <w:sz w:val="18"/>
                <w:szCs w:val="18"/>
                <w:lang w:val="en-GB"/>
              </w:rPr>
              <w:t>Zalambessa</w:t>
            </w:r>
          </w:p>
        </w:tc>
        <w:tc>
          <w:tcPr>
            <w:tcW w:w="625" w:type="pct"/>
          </w:tcPr>
          <w:p w14:paraId="06F408A1"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1993</w:t>
            </w:r>
            <w:r w:rsidRPr="00B875C6">
              <w:rPr>
                <w:sz w:val="18"/>
                <w:szCs w:val="18"/>
                <w:lang w:val="en-GB"/>
              </w:rPr>
              <w:t>–</w:t>
            </w:r>
          </w:p>
          <w:p w14:paraId="5AFBACAD"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2018</w:t>
            </w:r>
          </w:p>
        </w:tc>
        <w:tc>
          <w:tcPr>
            <w:tcW w:w="781" w:type="pct"/>
            <w:noWrap/>
            <w:hideMark/>
          </w:tcPr>
          <w:p w14:paraId="041C5ECA"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bCs/>
                <w:color w:val="000000"/>
                <w:sz w:val="18"/>
                <w:szCs w:val="18"/>
                <w:u w:val="single"/>
                <w:lang w:val="en-GB"/>
              </w:rPr>
            </w:pPr>
            <w:r w:rsidRPr="00B875C6">
              <w:rPr>
                <w:bCs/>
                <w:color w:val="000000"/>
                <w:sz w:val="18"/>
                <w:szCs w:val="18"/>
                <w:u w:val="single"/>
                <w:lang w:val="en-GB"/>
              </w:rPr>
              <w:t>Eritrea</w:t>
            </w:r>
            <w:r w:rsidRPr="00B875C6">
              <w:rPr>
                <w:sz w:val="18"/>
                <w:szCs w:val="18"/>
                <w:u w:val="single"/>
                <w:lang w:val="en-GB"/>
              </w:rPr>
              <w:t>–</w:t>
            </w:r>
            <w:r w:rsidRPr="00B875C6">
              <w:rPr>
                <w:bCs/>
                <w:color w:val="000000"/>
                <w:sz w:val="18"/>
                <w:szCs w:val="18"/>
                <w:u w:val="single"/>
                <w:lang w:val="en-GB"/>
              </w:rPr>
              <w:softHyphen/>
              <w:t>Ethiopia</w:t>
            </w:r>
          </w:p>
        </w:tc>
        <w:tc>
          <w:tcPr>
            <w:tcW w:w="625" w:type="pct"/>
          </w:tcPr>
          <w:p w14:paraId="4F6D1B1D"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tcPr>
          <w:p w14:paraId="27B5F610"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548" w:type="pct"/>
          </w:tcPr>
          <w:p w14:paraId="0AAD8514"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w:t>
            </w:r>
          </w:p>
        </w:tc>
        <w:tc>
          <w:tcPr>
            <w:tcW w:w="625" w:type="pct"/>
            <w:noWrap/>
            <w:hideMark/>
          </w:tcPr>
          <w:p w14:paraId="3DD70BC2"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2000</w:t>
            </w:r>
            <w:r w:rsidRPr="00B875C6">
              <w:rPr>
                <w:sz w:val="18"/>
                <w:szCs w:val="18"/>
                <w:lang w:val="en-GB"/>
              </w:rPr>
              <w:t>–</w:t>
            </w:r>
            <w:r w:rsidRPr="00B875C6">
              <w:rPr>
                <w:color w:val="000000"/>
                <w:sz w:val="18"/>
                <w:szCs w:val="18"/>
                <w:lang w:val="en-GB"/>
              </w:rPr>
              <w:t>2002</w:t>
            </w:r>
          </w:p>
        </w:tc>
        <w:tc>
          <w:tcPr>
            <w:tcW w:w="389" w:type="pct"/>
            <w:noWrap/>
            <w:hideMark/>
          </w:tcPr>
          <w:p w14:paraId="7DEAF3DB" w14:textId="77777777" w:rsidR="00CA27C1" w:rsidRPr="00B875C6" w:rsidRDefault="00CA27C1" w:rsidP="003401A4">
            <w:pPr>
              <w:spacing w:line="240" w:lineRule="auto"/>
              <w:cnfStyle w:val="000000100000" w:firstRow="0" w:lastRow="0" w:firstColumn="0" w:lastColumn="0" w:oddVBand="0" w:evenVBand="0" w:oddHBand="1" w:evenHBand="0" w:firstRowFirstColumn="0" w:firstRowLastColumn="0" w:lastRowFirstColumn="0" w:lastRowLastColumn="0"/>
              <w:rPr>
                <w:color w:val="000000"/>
                <w:sz w:val="18"/>
                <w:szCs w:val="18"/>
                <w:lang w:val="en-GB"/>
              </w:rPr>
            </w:pPr>
            <w:r w:rsidRPr="00B875C6">
              <w:rPr>
                <w:color w:val="000000"/>
                <w:sz w:val="18"/>
                <w:szCs w:val="18"/>
                <w:lang w:val="en-GB"/>
              </w:rPr>
              <w:t>Arb.</w:t>
            </w:r>
          </w:p>
        </w:tc>
      </w:tr>
    </w:tbl>
    <w:p w14:paraId="64CC4401" w14:textId="77777777" w:rsidR="00CA27C1" w:rsidRPr="00B875C6" w:rsidRDefault="00CA27C1" w:rsidP="00CA27C1">
      <w:pPr>
        <w:spacing w:before="240" w:line="240" w:lineRule="auto"/>
        <w:rPr>
          <w:b/>
          <w:sz w:val="20"/>
          <w:szCs w:val="20"/>
          <w:lang w:val="en-GB"/>
        </w:rPr>
      </w:pPr>
      <w:r w:rsidRPr="00B875C6">
        <w:rPr>
          <w:b/>
          <w:sz w:val="20"/>
          <w:szCs w:val="20"/>
          <w:lang w:val="en-GB"/>
        </w:rPr>
        <w:t>Legend:</w:t>
      </w:r>
    </w:p>
    <w:p w14:paraId="0B59D34D" w14:textId="77777777" w:rsidR="00CA27C1" w:rsidRPr="00B875C6" w:rsidRDefault="00CA27C1" w:rsidP="00CA27C1">
      <w:pPr>
        <w:spacing w:line="240" w:lineRule="auto"/>
        <w:rPr>
          <w:bCs/>
          <w:color w:val="000000"/>
          <w:sz w:val="20"/>
          <w:szCs w:val="20"/>
          <w:lang w:val="en-GB"/>
        </w:rPr>
      </w:pPr>
      <w:r w:rsidRPr="00B875C6">
        <w:rPr>
          <w:bCs/>
          <w:i/>
          <w:color w:val="000000"/>
          <w:sz w:val="20"/>
          <w:szCs w:val="20"/>
          <w:lang w:val="en-GB"/>
        </w:rPr>
        <w:t>Disputing states (Legal loser(s) underscored):</w:t>
      </w:r>
      <w:r w:rsidRPr="00B875C6">
        <w:rPr>
          <w:bCs/>
          <w:color w:val="000000"/>
          <w:sz w:val="20"/>
          <w:szCs w:val="20"/>
          <w:lang w:val="en-GB"/>
        </w:rPr>
        <w:t xml:space="preserve"> States involved in the territorial dispute. En dash (</w:t>
      </w:r>
      <w:r w:rsidRPr="00B875C6">
        <w:rPr>
          <w:sz w:val="20"/>
          <w:szCs w:val="20"/>
          <w:lang w:val="en-GB"/>
        </w:rPr>
        <w:t>–</w:t>
      </w:r>
      <w:r w:rsidRPr="00B875C6">
        <w:rPr>
          <w:bCs/>
          <w:color w:val="000000"/>
          <w:sz w:val="20"/>
          <w:szCs w:val="20"/>
          <w:lang w:val="en-GB"/>
        </w:rPr>
        <w:t xml:space="preserve">) used as separator for states that jointly file for legal dispute resolution; versus (vs.) used for states when the case was brought unilaterally to legal dispute resolution. States listed in alphabetical order for joint application and listed with initiator for unilateral application. Classification of legal losers based on </w:t>
      </w:r>
      <w:proofErr w:type="spellStart"/>
      <w:r w:rsidRPr="00B875C6">
        <w:rPr>
          <w:bCs/>
          <w:color w:val="000000"/>
          <w:sz w:val="20"/>
          <w:szCs w:val="20"/>
          <w:lang w:val="en-GB"/>
        </w:rPr>
        <w:t>ICOWsettle</w:t>
      </w:r>
      <w:proofErr w:type="spellEnd"/>
      <w:r w:rsidRPr="00B875C6">
        <w:rPr>
          <w:bCs/>
          <w:color w:val="000000"/>
          <w:sz w:val="20"/>
          <w:szCs w:val="20"/>
          <w:lang w:val="en-GB"/>
        </w:rPr>
        <w:t xml:space="preserve"> 1.1 dataset </w:t>
      </w:r>
      <w:r w:rsidRPr="00B875C6">
        <w:rPr>
          <w:bCs/>
          <w:color w:val="000000"/>
          <w:sz w:val="20"/>
          <w:szCs w:val="20"/>
          <w:lang w:val="en-GB"/>
        </w:rPr>
        <w:fldChar w:fldCharType="begin">
          <w:fldData xml:space="preserve">PEVuZE5vdGU+PENpdGU+PEF1dGhvcj5IZW5zZWw8L0F1dGhvcj48WWVhcj4yMDAxPC9ZZWFyPjxS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</w:fldData>
        </w:fldChar>
      </w:r>
      <w:r w:rsidRPr="00B875C6">
        <w:rPr>
          <w:bCs/>
          <w:color w:val="000000"/>
          <w:sz w:val="20"/>
          <w:szCs w:val="20"/>
          <w:lang w:val="en-GB"/>
        </w:rPr>
        <w:instrText xml:space="preserve"> ADDIN EN.CITE </w:instrText>
      </w:r>
      <w:r w:rsidRPr="00B875C6">
        <w:rPr>
          <w:bCs/>
          <w:color w:val="000000"/>
          <w:sz w:val="20"/>
          <w:szCs w:val="20"/>
          <w:lang w:val="en-GB"/>
        </w:rPr>
        <w:fldChar w:fldCharType="begin">
          <w:fldData xml:space="preserve">PEVuZE5vdGU+PENpdGU+PEF1dGhvcj5IZW5zZWw8L0F1dGhvcj48WWVhcj4yMDAxPC9ZZWFyPjxS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</w:fldData>
        </w:fldChar>
      </w:r>
      <w:r w:rsidRPr="00B875C6">
        <w:rPr>
          <w:bCs/>
          <w:color w:val="000000"/>
          <w:sz w:val="20"/>
          <w:szCs w:val="20"/>
          <w:lang w:val="en-GB"/>
        </w:rPr>
        <w:instrText xml:space="preserve"> ADDIN EN.CITE.DATA </w:instrText>
      </w:r>
      <w:r w:rsidRPr="00B875C6">
        <w:rPr>
          <w:bCs/>
          <w:color w:val="000000"/>
          <w:sz w:val="20"/>
          <w:szCs w:val="20"/>
          <w:lang w:val="en-GB"/>
        </w:rPr>
      </w:r>
      <w:r w:rsidRPr="00B875C6">
        <w:rPr>
          <w:bCs/>
          <w:color w:val="000000"/>
          <w:sz w:val="20"/>
          <w:szCs w:val="20"/>
          <w:lang w:val="en-GB"/>
        </w:rPr>
        <w:fldChar w:fldCharType="end"/>
      </w:r>
      <w:r w:rsidRPr="00B875C6">
        <w:rPr>
          <w:bCs/>
          <w:color w:val="000000"/>
          <w:sz w:val="20"/>
          <w:szCs w:val="20"/>
          <w:lang w:val="en-GB"/>
        </w:rPr>
      </w:r>
      <w:r w:rsidRPr="00B875C6">
        <w:rPr>
          <w:bCs/>
          <w:color w:val="000000"/>
          <w:sz w:val="20"/>
          <w:szCs w:val="20"/>
          <w:lang w:val="en-GB"/>
        </w:rPr>
        <w:fldChar w:fldCharType="separate"/>
      </w:r>
      <w:r w:rsidRPr="00B875C6">
        <w:rPr>
          <w:bCs/>
          <w:noProof/>
          <w:color w:val="000000"/>
          <w:sz w:val="20"/>
          <w:szCs w:val="20"/>
          <w:lang w:val="en-GB"/>
        </w:rPr>
        <w:t>(Hensel 2001)</w:t>
      </w:r>
      <w:r w:rsidRPr="00B875C6">
        <w:rPr>
          <w:bCs/>
          <w:color w:val="000000"/>
          <w:sz w:val="20"/>
          <w:szCs w:val="20"/>
          <w:lang w:val="en-GB"/>
        </w:rPr>
        <w:fldChar w:fldCharType="end"/>
      </w:r>
      <w:r w:rsidRPr="00B875C6">
        <w:rPr>
          <w:bCs/>
          <w:color w:val="000000"/>
          <w:sz w:val="20"/>
          <w:szCs w:val="20"/>
          <w:lang w:val="en-GB"/>
        </w:rPr>
        <w:t xml:space="preserve">, </w:t>
      </w:r>
      <w:r>
        <w:rPr>
          <w:bCs/>
          <w:color w:val="000000"/>
          <w:sz w:val="20"/>
          <w:szCs w:val="20"/>
          <w:lang w:val="en-GB"/>
        </w:rPr>
        <w:t>‘</w:t>
      </w:r>
      <w:proofErr w:type="spellStart"/>
      <w:r w:rsidRPr="00B875C6">
        <w:rPr>
          <w:bCs/>
          <w:color w:val="000000"/>
          <w:sz w:val="20"/>
          <w:szCs w:val="20"/>
          <w:lang w:val="en-GB"/>
        </w:rPr>
        <w:t>concesag</w:t>
      </w:r>
      <w:proofErr w:type="spellEnd"/>
      <w:r>
        <w:rPr>
          <w:bCs/>
          <w:color w:val="000000"/>
          <w:sz w:val="20"/>
          <w:szCs w:val="20"/>
          <w:lang w:val="en-GB"/>
        </w:rPr>
        <w:t>’</w:t>
      </w:r>
      <w:r w:rsidRPr="00B875C6">
        <w:rPr>
          <w:bCs/>
          <w:color w:val="000000"/>
          <w:sz w:val="20"/>
          <w:szCs w:val="20"/>
          <w:lang w:val="en-GB"/>
        </w:rPr>
        <w:t xml:space="preserve"> variable (concessions in agreement), and coded for all cases not included in the original dataset. Legal loser assigned to the state ruled to make more substantial concessions. Both states coded as legal losers in situations of even concessions. </w:t>
      </w:r>
    </w:p>
    <w:p w14:paraId="100BEAE5" w14:textId="77777777" w:rsidR="00CA27C1" w:rsidRPr="00B875C6" w:rsidRDefault="00CA27C1" w:rsidP="00CA27C1">
      <w:pPr>
        <w:spacing w:line="240" w:lineRule="auto"/>
        <w:rPr>
          <w:color w:val="000000"/>
          <w:sz w:val="20"/>
          <w:szCs w:val="20"/>
          <w:lang w:val="en-GB"/>
        </w:rPr>
      </w:pPr>
      <w:r w:rsidRPr="00B875C6">
        <w:rPr>
          <w:bCs/>
          <w:i/>
          <w:color w:val="000000"/>
          <w:sz w:val="20"/>
          <w:szCs w:val="20"/>
          <w:lang w:val="en-GB"/>
        </w:rPr>
        <w:lastRenderedPageBreak/>
        <w:t>Inferior legal claim:</w:t>
      </w:r>
      <w:r w:rsidRPr="00B875C6">
        <w:rPr>
          <w:b/>
          <w:bCs/>
          <w:color w:val="000000"/>
          <w:sz w:val="20"/>
          <w:szCs w:val="20"/>
          <w:lang w:val="en-GB"/>
        </w:rPr>
        <w:t xml:space="preserve"> </w:t>
      </w:r>
      <w:r w:rsidRPr="00B875C6">
        <w:rPr>
          <w:bCs/>
          <w:color w:val="000000"/>
          <w:sz w:val="20"/>
          <w:szCs w:val="20"/>
          <w:lang w:val="en-GB"/>
        </w:rPr>
        <w:t>State coded as suffering from a significantly weaker legal claim to the disputed territory.</w:t>
      </w:r>
      <w:r w:rsidRPr="00B875C6">
        <w:rPr>
          <w:b/>
          <w:bCs/>
          <w:color w:val="000000"/>
          <w:sz w:val="20"/>
          <w:szCs w:val="20"/>
          <w:lang w:val="en-GB"/>
        </w:rPr>
        <w:t xml:space="preserve"> </w:t>
      </w:r>
      <w:r w:rsidRPr="00B875C6">
        <w:rPr>
          <w:color w:val="000000"/>
          <w:sz w:val="20"/>
          <w:szCs w:val="20"/>
          <w:lang w:val="en-GB"/>
        </w:rPr>
        <w:t xml:space="preserve">Classification based on replication data for challenges to status quo, Huth, Croco, and Appel </w:t>
      </w:r>
      <w:r w:rsidRPr="00B875C6">
        <w:rPr>
          <w:color w:val="000000"/>
          <w:sz w:val="20"/>
          <w:szCs w:val="20"/>
          <w:lang w:val="en-GB"/>
        </w:rPr>
        <w:fldChar w:fldCharType="begin"/>
      </w:r>
      <w:r w:rsidRPr="00B875C6">
        <w:rPr>
          <w:color w:val="000000"/>
          <w:sz w:val="20"/>
          <w:szCs w:val="20"/>
          <w:lang w:val="en-GB"/>
        </w:rPr>
        <w:instrText xml:space="preserve"> ADDIN ZOTERO_ITEM CSL_CITATION {"citationID":"8h2QwJsW","properties":{"formattedCitation":"(2011)","plainCitation":"(2011)","noteIndex":0},"citationItems":[{"id":"5GWV5bFf/raBc8iIN","uris":["http://zotero.org/users/7965108/items/X8Y855K9"],"itemData":{"id":35,"type":"article-journal","abstract":"In this article, we explain the role of international law in the resolution of territorial disputes from 1945 to 2000. In doing so, we focus on three outcomes of interest. First, when do states choose to revise the territorial status quo through negotiations instead of force? Second, when are states able to reach a final settlement? Third, when do states prefer a process of legal dispute resolution (i.e., adjudication or arbitration) to bilateral negotiations? To answer these questions, we argue that when the legal principles relevant to the dispute are unambiguous and clearly favor one side, a law-based focal point will emerge. This focal point, in turn, facilitates the settlement process by helping leaders overcome distribution problems, a central obstacle in reaching a final agreement. We find strong and consistent empirical support for our hypotheses regarding international law and peaceful dispute resolution.;In this article, we explain the role of international law in the resolution of territorial disputes from 1945 to 2000. In doing so, we focus on three outcomes of interest. First, when do states choose to revise the territorial status quo through negotiations instead of force? Second, when are states able to reach a final settlement? Third, when do states prefer a process of legal dispute resolution (i.e., adjudication or arbitration) to bilateral negotiations? To answer these questions, we argue that when the legal principles relevant to the dispute are unambiguous and clearly favor one side, a law-based focal point will emerge. This focal point, in turn, facilitates the settlement process by helping leaders overcome distribution problems, a central obstacle in reaching a final agreement. We find strong and consistent empirical support for our hypotheses regarding international law and peaceful dispute resolution. [PUBLICATION ABSTRACT];","container-title":"The American political science review","DOI":"10.1017/S0003055411000062","ISSN":"0003-0554","issue":"2","note":"publisher-place: New York, USA\npublisher: Cambridge University Press","page":"415-436","title":"Does International Law Promote the Peaceful Settlement of International Disputes? Evidence from the Study of Territorial Conflicts since 1945","volume":"105","author":[{"family":"Huth","given":"Paul K."},{"family":"Croco","given":"Sarah E."},{"family":"Appel","given":"Benjamin J."}],"issued":{"date-parts":[["2011"]]}},"label":"page","suppress-author":true}],"schema":"https://github.com/citation-style-language/schema/raw/master/csl-citation.json"} </w:instrText>
      </w:r>
      <w:r w:rsidRPr="00B875C6">
        <w:rPr>
          <w:color w:val="000000"/>
          <w:sz w:val="20"/>
          <w:szCs w:val="20"/>
          <w:lang w:val="en-GB"/>
        </w:rPr>
        <w:fldChar w:fldCharType="separate"/>
      </w:r>
      <w:r w:rsidRPr="00B875C6">
        <w:rPr>
          <w:sz w:val="20"/>
          <w:lang w:val="en-GB"/>
        </w:rPr>
        <w:t>(2011)</w:t>
      </w:r>
      <w:r w:rsidRPr="00B875C6">
        <w:rPr>
          <w:color w:val="000000"/>
          <w:sz w:val="20"/>
          <w:szCs w:val="20"/>
          <w:lang w:val="en-GB"/>
        </w:rPr>
        <w:fldChar w:fldCharType="end"/>
      </w:r>
      <w:r w:rsidRPr="00B875C6">
        <w:rPr>
          <w:color w:val="000000"/>
          <w:sz w:val="20"/>
          <w:szCs w:val="20"/>
          <w:lang w:val="en-GB"/>
        </w:rPr>
        <w:t xml:space="preserve">, </w:t>
      </w:r>
      <w:r>
        <w:rPr>
          <w:color w:val="000000"/>
          <w:sz w:val="20"/>
          <w:szCs w:val="20"/>
          <w:lang w:val="en-GB"/>
        </w:rPr>
        <w:t>‘</w:t>
      </w:r>
      <w:r w:rsidRPr="00B875C6">
        <w:rPr>
          <w:color w:val="000000"/>
          <w:sz w:val="20"/>
          <w:szCs w:val="20"/>
          <w:lang w:val="en-GB"/>
        </w:rPr>
        <w:t>slc3b</w:t>
      </w:r>
      <w:r>
        <w:rPr>
          <w:color w:val="000000"/>
          <w:sz w:val="20"/>
          <w:szCs w:val="20"/>
          <w:lang w:val="en-GB"/>
        </w:rPr>
        <w:t>’</w:t>
      </w:r>
      <w:r w:rsidRPr="00B875C6">
        <w:rPr>
          <w:color w:val="000000"/>
          <w:sz w:val="20"/>
          <w:szCs w:val="20"/>
          <w:lang w:val="en-GB"/>
        </w:rPr>
        <w:t xml:space="preserve"> (challenger strong legal claim) and </w:t>
      </w:r>
      <w:r>
        <w:rPr>
          <w:color w:val="000000"/>
          <w:sz w:val="20"/>
          <w:szCs w:val="20"/>
          <w:lang w:val="en-GB"/>
        </w:rPr>
        <w:t>‘</w:t>
      </w:r>
      <w:r w:rsidRPr="00B875C6">
        <w:rPr>
          <w:color w:val="000000"/>
          <w:sz w:val="20"/>
          <w:szCs w:val="20"/>
          <w:lang w:val="en-GB"/>
        </w:rPr>
        <w:t>slt3b</w:t>
      </w:r>
      <w:r>
        <w:rPr>
          <w:color w:val="000000"/>
          <w:sz w:val="20"/>
          <w:szCs w:val="20"/>
          <w:lang w:val="en-GB"/>
        </w:rPr>
        <w:t>’</w:t>
      </w:r>
      <w:r w:rsidRPr="00B875C6">
        <w:rPr>
          <w:color w:val="000000"/>
          <w:sz w:val="20"/>
          <w:szCs w:val="20"/>
          <w:lang w:val="en-GB"/>
        </w:rPr>
        <w:t xml:space="preserve"> (target strong legal claim). Inferior legal claim assigned to the state that does not have a strong claim, in dyads where </w:t>
      </w:r>
      <w:r>
        <w:rPr>
          <w:color w:val="000000"/>
          <w:sz w:val="20"/>
          <w:szCs w:val="20"/>
          <w:lang w:val="en-GB"/>
        </w:rPr>
        <w:t>‘</w:t>
      </w:r>
      <w:r w:rsidRPr="00B875C6">
        <w:rPr>
          <w:color w:val="000000"/>
          <w:sz w:val="20"/>
          <w:szCs w:val="20"/>
          <w:lang w:val="en-GB"/>
        </w:rPr>
        <w:t>slc3b</w:t>
      </w:r>
      <w:r>
        <w:rPr>
          <w:color w:val="000000"/>
          <w:sz w:val="20"/>
          <w:szCs w:val="20"/>
          <w:lang w:val="en-GB"/>
        </w:rPr>
        <w:t>’</w:t>
      </w:r>
      <w:r w:rsidRPr="00B875C6">
        <w:rPr>
          <w:color w:val="000000"/>
          <w:sz w:val="20"/>
          <w:szCs w:val="20"/>
          <w:lang w:val="en-GB"/>
        </w:rPr>
        <w:t xml:space="preserve"> or </w:t>
      </w:r>
      <w:r>
        <w:rPr>
          <w:color w:val="000000"/>
          <w:sz w:val="20"/>
          <w:szCs w:val="20"/>
          <w:lang w:val="en-GB"/>
        </w:rPr>
        <w:t>‘</w:t>
      </w:r>
      <w:r w:rsidRPr="00B875C6">
        <w:rPr>
          <w:color w:val="000000"/>
          <w:sz w:val="20"/>
          <w:szCs w:val="20"/>
          <w:lang w:val="en-GB"/>
        </w:rPr>
        <w:t>slt3b</w:t>
      </w:r>
      <w:r>
        <w:rPr>
          <w:color w:val="000000"/>
          <w:sz w:val="20"/>
          <w:szCs w:val="20"/>
          <w:lang w:val="en-GB"/>
        </w:rPr>
        <w:t>’</w:t>
      </w:r>
      <w:r w:rsidRPr="00B875C6">
        <w:rPr>
          <w:color w:val="000000"/>
          <w:sz w:val="20"/>
          <w:szCs w:val="20"/>
          <w:lang w:val="en-GB"/>
        </w:rPr>
        <w:t xml:space="preserve"> have a value of 1. </w:t>
      </w:r>
    </w:p>
    <w:p w14:paraId="343F1654" w14:textId="77777777" w:rsidR="00CA27C1" w:rsidRPr="00B875C6" w:rsidRDefault="00CA27C1" w:rsidP="00CA27C1">
      <w:pPr>
        <w:spacing w:line="240" w:lineRule="auto"/>
        <w:rPr>
          <w:color w:val="000000"/>
          <w:sz w:val="20"/>
          <w:szCs w:val="20"/>
          <w:lang w:val="en-GB"/>
        </w:rPr>
      </w:pPr>
      <w:r w:rsidRPr="00B875C6">
        <w:rPr>
          <w:bCs/>
          <w:i/>
          <w:color w:val="000000"/>
          <w:sz w:val="20"/>
          <w:szCs w:val="20"/>
          <w:lang w:val="en-GB"/>
        </w:rPr>
        <w:t>Resistant disputant(s):</w:t>
      </w:r>
      <w:r w:rsidRPr="00B875C6">
        <w:rPr>
          <w:b/>
          <w:bCs/>
          <w:color w:val="000000"/>
          <w:sz w:val="20"/>
          <w:szCs w:val="20"/>
          <w:lang w:val="en-GB"/>
        </w:rPr>
        <w:t xml:space="preserve"> </w:t>
      </w:r>
      <w:r w:rsidRPr="00B875C6">
        <w:rPr>
          <w:bCs/>
          <w:color w:val="000000"/>
          <w:sz w:val="20"/>
          <w:szCs w:val="20"/>
          <w:lang w:val="en-GB"/>
        </w:rPr>
        <w:t xml:space="preserve">States that, for any year of the dispute, did not reciprocate the other disputant’s preference for a legal dispute resolution (arbitration or adjudication). </w:t>
      </w:r>
      <w:r w:rsidRPr="00B875C6">
        <w:rPr>
          <w:color w:val="000000"/>
          <w:sz w:val="20"/>
          <w:szCs w:val="20"/>
          <w:lang w:val="en-GB"/>
        </w:rPr>
        <w:t xml:space="preserve">Classification based on the Peaceful Resolution of Territorial Disputes (PRTD) dataset, variable </w:t>
      </w:r>
      <w:r>
        <w:rPr>
          <w:color w:val="000000"/>
          <w:sz w:val="20"/>
          <w:szCs w:val="20"/>
          <w:lang w:val="en-GB"/>
        </w:rPr>
        <w:t>‘</w:t>
      </w:r>
      <w:r w:rsidRPr="00B875C6">
        <w:rPr>
          <w:color w:val="000000"/>
          <w:sz w:val="20"/>
          <w:szCs w:val="20"/>
          <w:lang w:val="en-GB"/>
        </w:rPr>
        <w:t>binding</w:t>
      </w:r>
      <w:r>
        <w:rPr>
          <w:color w:val="000000"/>
          <w:sz w:val="20"/>
          <w:szCs w:val="20"/>
          <w:lang w:val="en-GB"/>
        </w:rPr>
        <w:t>’</w:t>
      </w:r>
      <w:r w:rsidRPr="00B875C6">
        <w:rPr>
          <w:color w:val="000000"/>
          <w:sz w:val="20"/>
          <w:szCs w:val="20"/>
          <w:lang w:val="en-GB"/>
        </w:rPr>
        <w:t xml:space="preserve"> </w:t>
      </w:r>
      <w:r w:rsidRPr="00B875C6">
        <w:rPr>
          <w:color w:val="000000"/>
          <w:sz w:val="20"/>
          <w:szCs w:val="20"/>
          <w:lang w:val="en-GB"/>
        </w:rPr>
        <w:fldChar w:fldCharType="begin"/>
      </w:r>
      <w:r>
        <w:rPr>
          <w:color w:val="000000"/>
          <w:sz w:val="20"/>
          <w:szCs w:val="20"/>
          <w:lang w:val="en-GB"/>
        </w:rPr>
        <w:instrText xml:space="preserve"> ADDIN ZOTERO_ITEM CSL_CITATION {"citationID":"mGSj9E0b","properties":{"formattedCitation":"(Wiegand {\\i{}et al.} 2021)","plainCitation":"(Wiegand et al. 2021)","noteIndex":0},"citationItems":[{"id":"5GWV5bFf/7utnnMxX","uris":["http://zotero.org/users/7965108/items/DPD6DK92"],"itemData":{"id":13,"type":"article-journal","abstract":"This article introduces the Peaceful Resolution of Territorial Disputes (PRTD) dataset, covering all interstate territorial disputes (1945–2015). Our dataset captures proposals for the peaceful resolution of territorial disputes made by states involved in territorial claims at the disputant-year level. These proposals provide a concrete measure of changing state preferences toward negotiations, non-binding, and binding third-party dispute resolution methods over time. In contrast to existing attempt-level data, the monadic panel design of the dataset captures not only actual attempts at peaceful resolution – the result of an agreement between disputants – but also proposals for methods that did not occur but were preferred at a particular time point. Our dataset allows for robust and generalizable quantitative analyses of the peaceful resolution of territorial disputes that are sensitive to temporal, regional, claim-based, and state-level trends. To demonstrate the utility of our dataset, we use hybrid logistic regression to examine the determinants of binding PRTD proposals. Over-time changes in characteristics such as regime type and treaty commitments influence attitudes toward binding settlement methods differently than disputant-level measurements. We also show that time has a distinctively non-linear effect.","container-title":"Journal of peace research","DOI":"10.1177/0022343319895560","ISSN":"0022-3433","issue":"2","note":"publisher-place: London, England\npublisher: SAGE Publications","page":"304-314","title":"The Peaceful Resolution of Territorial Disputes dataset, 1945–2015","volume":"58","author":[{"family":"Wiegand","given":"Krista E."},{"family":"Powell","given":"Emilia Justyna"},{"family":"McDowell","given":"Steven"}],"issued":{"date-parts":[["2021"]]}}}],"schema":"https://github.com/citation-style-language/schema/raw/master/csl-citation.json"} </w:instrText>
      </w:r>
      <w:r w:rsidRPr="00B875C6">
        <w:rPr>
          <w:color w:val="000000"/>
          <w:sz w:val="20"/>
          <w:szCs w:val="20"/>
          <w:lang w:val="en-GB"/>
        </w:rPr>
        <w:fldChar w:fldCharType="separate"/>
      </w:r>
      <w:r w:rsidRPr="00B875C6">
        <w:rPr>
          <w:sz w:val="20"/>
        </w:rPr>
        <w:t xml:space="preserve">(Wiegand </w:t>
      </w:r>
      <w:r w:rsidRPr="00B875C6">
        <w:rPr>
          <w:i/>
          <w:iCs/>
          <w:sz w:val="20"/>
        </w:rPr>
        <w:t>et al.</w:t>
      </w:r>
      <w:r w:rsidRPr="00B875C6">
        <w:rPr>
          <w:sz w:val="20"/>
        </w:rPr>
        <w:t xml:space="preserve"> 2021)</w:t>
      </w:r>
      <w:r w:rsidRPr="00B875C6">
        <w:rPr>
          <w:color w:val="000000"/>
          <w:sz w:val="20"/>
          <w:szCs w:val="20"/>
          <w:lang w:val="en-GB"/>
        </w:rPr>
        <w:fldChar w:fldCharType="end"/>
      </w:r>
      <w:r w:rsidRPr="00B875C6">
        <w:rPr>
          <w:color w:val="000000"/>
          <w:sz w:val="20"/>
          <w:szCs w:val="20"/>
          <w:lang w:val="en-GB"/>
        </w:rPr>
        <w:t xml:space="preserve">. States that obtain a score of 0, when the other state scores 1 on </w:t>
      </w:r>
      <w:r>
        <w:rPr>
          <w:color w:val="000000"/>
          <w:sz w:val="20"/>
          <w:szCs w:val="20"/>
          <w:lang w:val="en-GB"/>
        </w:rPr>
        <w:t>‘</w:t>
      </w:r>
      <w:r w:rsidRPr="00B875C6">
        <w:rPr>
          <w:color w:val="000000"/>
          <w:sz w:val="20"/>
          <w:szCs w:val="20"/>
          <w:lang w:val="en-GB"/>
        </w:rPr>
        <w:t>binding</w:t>
      </w:r>
      <w:r>
        <w:rPr>
          <w:color w:val="000000"/>
          <w:sz w:val="20"/>
          <w:szCs w:val="20"/>
          <w:lang w:val="en-GB"/>
        </w:rPr>
        <w:t>’</w:t>
      </w:r>
      <w:r w:rsidRPr="00B875C6">
        <w:rPr>
          <w:color w:val="000000"/>
          <w:sz w:val="20"/>
          <w:szCs w:val="20"/>
          <w:lang w:val="en-GB"/>
        </w:rPr>
        <w:t xml:space="preserve"> are listed.</w:t>
      </w:r>
    </w:p>
    <w:p w14:paraId="734864C3" w14:textId="77777777" w:rsidR="00CA27C1" w:rsidRPr="00B875C6" w:rsidRDefault="00CA27C1" w:rsidP="00CA27C1">
      <w:pPr>
        <w:spacing w:line="240" w:lineRule="auto"/>
        <w:rPr>
          <w:b/>
          <w:bCs/>
          <w:color w:val="000000"/>
          <w:sz w:val="20"/>
          <w:szCs w:val="20"/>
          <w:lang w:val="en-GB"/>
        </w:rPr>
      </w:pPr>
      <w:r w:rsidRPr="00B875C6">
        <w:rPr>
          <w:i/>
          <w:color w:val="000000"/>
          <w:sz w:val="20"/>
          <w:szCs w:val="20"/>
          <w:lang w:val="en-GB"/>
        </w:rPr>
        <w:t>Reluctant participant:</w:t>
      </w:r>
      <w:r w:rsidRPr="00B875C6">
        <w:rPr>
          <w:b/>
          <w:color w:val="000000"/>
          <w:sz w:val="20"/>
          <w:szCs w:val="20"/>
          <w:lang w:val="en-GB"/>
        </w:rPr>
        <w:t xml:space="preserve"> </w:t>
      </w:r>
      <w:r w:rsidRPr="00B875C6">
        <w:rPr>
          <w:color w:val="000000"/>
          <w:sz w:val="20"/>
          <w:szCs w:val="20"/>
          <w:lang w:val="en-GB"/>
        </w:rPr>
        <w:t xml:space="preserve">States that </w:t>
      </w:r>
      <w:proofErr w:type="spellStart"/>
      <w:r w:rsidRPr="00B875C6">
        <w:rPr>
          <w:color w:val="000000"/>
          <w:sz w:val="20"/>
          <w:szCs w:val="20"/>
          <w:lang w:val="en-GB"/>
        </w:rPr>
        <w:t>Brilmayer</w:t>
      </w:r>
      <w:proofErr w:type="spellEnd"/>
      <w:r w:rsidRPr="00B875C6">
        <w:rPr>
          <w:color w:val="000000"/>
          <w:sz w:val="20"/>
          <w:szCs w:val="20"/>
          <w:lang w:val="en-GB"/>
        </w:rPr>
        <w:t xml:space="preserve"> and Faure </w:t>
      </w:r>
      <w:r w:rsidRPr="00B875C6">
        <w:rPr>
          <w:color w:val="000000"/>
          <w:sz w:val="20"/>
          <w:szCs w:val="20"/>
          <w:lang w:val="en-GB"/>
        </w:rPr>
        <w:fldChar w:fldCharType="begin"/>
      </w:r>
      <w:r w:rsidRPr="00B875C6">
        <w:rPr>
          <w:color w:val="000000"/>
          <w:sz w:val="20"/>
          <w:szCs w:val="20"/>
          <w:lang w:val="en-GB"/>
        </w:rPr>
        <w:instrText xml:space="preserve"> ADDIN ZOTERO_ITEM CSL_CITATION {"citationID":"5rD2yASz","properties":{"formattedCitation":"(2014)","plainCitation":"(2014)","noteIndex":0},"citationItems":[{"id":"5GWV5bFf/eDumQfee","uris":["http://zotero.org/users/7965108/items/WTTBKJJY"],"itemData":{"id":195,"type":"chapter","container-title":"Litigating International Law Disputes","ISBN":"1107017068","language":"English","note":"DOI: 10.1017/CBO9781139062008.014","page":"193-229","publisher":"Cambridge University Press","title":"Initiating territorial adjudication: the who, how, when, and why of litigating contested sovereignty","URL":"https://go.exlibris.link/rj3YJL5f","author":[{"family":"Brilmayer","given":"Lea"},{"family":"Faure","given":"Adele"}],"issued":{"date-parts":[["2014"]]}},"label":"page","suppress-author":true}],"schema":"https://github.com/citation-style-language/schema/raw/master/csl-citation.json"} </w:instrText>
      </w:r>
      <w:r w:rsidRPr="00B875C6">
        <w:rPr>
          <w:color w:val="000000"/>
          <w:sz w:val="20"/>
          <w:szCs w:val="20"/>
          <w:lang w:val="en-GB"/>
        </w:rPr>
        <w:fldChar w:fldCharType="separate"/>
      </w:r>
      <w:r w:rsidRPr="00B875C6">
        <w:rPr>
          <w:sz w:val="20"/>
          <w:lang w:val="en-GB"/>
        </w:rPr>
        <w:t>(2014)</w:t>
      </w:r>
      <w:r w:rsidRPr="00B875C6">
        <w:rPr>
          <w:color w:val="000000"/>
          <w:sz w:val="20"/>
          <w:szCs w:val="20"/>
          <w:lang w:val="en-GB"/>
        </w:rPr>
        <w:fldChar w:fldCharType="end"/>
      </w:r>
      <w:r w:rsidRPr="00B875C6">
        <w:rPr>
          <w:color w:val="000000"/>
          <w:sz w:val="20"/>
          <w:szCs w:val="20"/>
          <w:lang w:val="en-GB"/>
        </w:rPr>
        <w:t xml:space="preserve"> identify as part of legal processes in which they were </w:t>
      </w:r>
      <w:r w:rsidRPr="00B875C6">
        <w:rPr>
          <w:i/>
          <w:color w:val="000000"/>
          <w:sz w:val="20"/>
          <w:szCs w:val="20"/>
          <w:lang w:val="en-GB"/>
        </w:rPr>
        <w:t xml:space="preserve">not </w:t>
      </w:r>
      <w:r w:rsidRPr="00B875C6">
        <w:rPr>
          <w:color w:val="000000"/>
          <w:sz w:val="20"/>
          <w:szCs w:val="20"/>
          <w:lang w:val="en-GB"/>
        </w:rPr>
        <w:t xml:space="preserve">the initiator (or the disputant that was clearly pushing for litigation). Based on Table 10.3 </w:t>
      </w:r>
      <w:r w:rsidRPr="00B875C6">
        <w:rPr>
          <w:color w:val="000000"/>
          <w:sz w:val="20"/>
          <w:szCs w:val="20"/>
          <w:lang w:val="en-GB"/>
        </w:rPr>
        <w:fldChar w:fldCharType="begin"/>
      </w:r>
      <w:r>
        <w:rPr>
          <w:color w:val="000000"/>
          <w:sz w:val="20"/>
          <w:szCs w:val="20"/>
          <w:lang w:val="en-GB"/>
        </w:rPr>
        <w:instrText xml:space="preserve"> ADDIN ZOTERO_ITEM CSL_CITATION {"citationID":"P9KQTug1","properties":{"formattedCitation":"(Brilmayer and Faure 2014: 209)","plainCitation":"(Brilmayer and Faure 2014: 209)","noteIndex":0},"citationItems":[{"id":"5GWV5bFf/eDumQfee","uris":["http://zotero.org/users/7965108/items/WTTBKJJY"],"itemData":{"id":195,"type":"chapter","container-title":"Litigating International Law Disputes","ISBN":"1107017068","language":"English","note":"DOI: 10.1017/CBO9781139062008.014","page":"193-229","publisher":"Cambridge University Press","title":"Initiating territorial adjudication: the who, how, when, and why of litigating contested sovereignty","URL":"https://go.exlibris.link/rj3YJL5f","author":[{"family":"Brilmayer","given":"Lea"},{"family":"Faure","given":"Adele"}],"issued":{"date-parts":[["2014"]]}},"locator":"209","label":"page"}],"schema":"https://github.com/citation-style-language/schema/raw/master/csl-citation.json"} </w:instrText>
      </w:r>
      <w:r w:rsidRPr="00B875C6">
        <w:rPr>
          <w:color w:val="000000"/>
          <w:sz w:val="20"/>
          <w:szCs w:val="20"/>
          <w:lang w:val="en-GB"/>
        </w:rPr>
        <w:fldChar w:fldCharType="separate"/>
      </w:r>
      <w:r w:rsidRPr="00B875C6">
        <w:rPr>
          <w:sz w:val="20"/>
          <w:lang w:val="en-GB"/>
        </w:rPr>
        <w:t>(Brilmayer and Faure 2014: 209)</w:t>
      </w:r>
      <w:r w:rsidRPr="00B875C6">
        <w:rPr>
          <w:color w:val="000000"/>
          <w:sz w:val="20"/>
          <w:szCs w:val="20"/>
          <w:lang w:val="en-GB"/>
        </w:rPr>
        <w:fldChar w:fldCharType="end"/>
      </w:r>
      <w:r w:rsidRPr="00B875C6">
        <w:rPr>
          <w:color w:val="000000"/>
          <w:sz w:val="20"/>
          <w:szCs w:val="20"/>
          <w:lang w:val="en-GB"/>
        </w:rPr>
        <w:t>.</w:t>
      </w:r>
    </w:p>
    <w:p w14:paraId="3B4E7B49" w14:textId="77777777" w:rsidR="00CA27C1" w:rsidRPr="00B875C6" w:rsidRDefault="00CA27C1" w:rsidP="00CA27C1">
      <w:pPr>
        <w:keepNext/>
        <w:spacing w:line="240" w:lineRule="auto"/>
        <w:rPr>
          <w:color w:val="000000"/>
          <w:sz w:val="20"/>
          <w:szCs w:val="20"/>
          <w:lang w:val="en-GB"/>
        </w:rPr>
      </w:pPr>
      <w:r w:rsidRPr="00B875C6">
        <w:rPr>
          <w:i/>
          <w:color w:val="000000"/>
          <w:sz w:val="20"/>
          <w:szCs w:val="20"/>
          <w:lang w:val="en-GB"/>
        </w:rPr>
        <w:t>Legal body:</w:t>
      </w:r>
      <w:r w:rsidRPr="00B875C6">
        <w:rPr>
          <w:b/>
          <w:color w:val="000000"/>
          <w:sz w:val="20"/>
          <w:szCs w:val="20"/>
          <w:lang w:val="en-GB"/>
        </w:rPr>
        <w:t xml:space="preserve"> </w:t>
      </w:r>
      <w:r w:rsidRPr="00B875C6">
        <w:rPr>
          <w:color w:val="000000"/>
          <w:sz w:val="20"/>
          <w:szCs w:val="20"/>
          <w:lang w:val="en-GB"/>
        </w:rPr>
        <w:t xml:space="preserve">Identity of legal court or tribunal. </w:t>
      </w:r>
      <w:proofErr w:type="gramStart"/>
      <w:r w:rsidRPr="00B875C6">
        <w:rPr>
          <w:color w:val="000000"/>
          <w:sz w:val="20"/>
          <w:szCs w:val="20"/>
          <w:lang w:val="en-GB"/>
        </w:rPr>
        <w:t>Arb.=</w:t>
      </w:r>
      <w:proofErr w:type="gramEnd"/>
      <w:r w:rsidRPr="00B875C6">
        <w:rPr>
          <w:color w:val="000000"/>
          <w:sz w:val="20"/>
          <w:szCs w:val="20"/>
          <w:lang w:val="en-GB"/>
        </w:rPr>
        <w:t xml:space="preserve"> </w:t>
      </w:r>
      <w:r w:rsidRPr="00B875C6">
        <w:rPr>
          <w:i/>
          <w:color w:val="000000"/>
          <w:sz w:val="20"/>
          <w:szCs w:val="20"/>
          <w:lang w:val="en-GB"/>
        </w:rPr>
        <w:t>Ad-hoc</w:t>
      </w:r>
      <w:r w:rsidRPr="00B875C6">
        <w:rPr>
          <w:color w:val="000000"/>
          <w:sz w:val="20"/>
          <w:szCs w:val="20"/>
          <w:lang w:val="en-GB"/>
        </w:rPr>
        <w:t xml:space="preserve"> arbitration panel, ICJ = International Court of Justice.</w:t>
      </w:r>
    </w:p>
    <w:p w14:paraId="4CDC6F78" w14:textId="77777777" w:rsidR="00CA27C1" w:rsidRPr="00B875C6" w:rsidRDefault="00CA27C1" w:rsidP="00CA27C1">
      <w:pPr>
        <w:spacing w:line="240" w:lineRule="auto"/>
        <w:rPr>
          <w:color w:val="000000"/>
          <w:sz w:val="20"/>
          <w:szCs w:val="20"/>
          <w:lang w:val="en-GB"/>
        </w:rPr>
      </w:pPr>
      <w:r w:rsidRPr="00B875C6">
        <w:rPr>
          <w:bCs/>
          <w:i/>
          <w:color w:val="000000"/>
          <w:sz w:val="20"/>
          <w:szCs w:val="20"/>
          <w:lang w:val="en-GB"/>
        </w:rPr>
        <w:t>Note:</w:t>
      </w:r>
      <w:r w:rsidRPr="00B875C6">
        <w:rPr>
          <w:b/>
          <w:bCs/>
          <w:color w:val="000000"/>
          <w:sz w:val="20"/>
          <w:szCs w:val="20"/>
          <w:lang w:val="en-GB"/>
        </w:rPr>
        <w:t xml:space="preserve"> </w:t>
      </w:r>
      <w:r w:rsidRPr="00B875C6">
        <w:rPr>
          <w:color w:val="000000"/>
          <w:sz w:val="20"/>
          <w:szCs w:val="20"/>
          <w:lang w:val="en-GB"/>
        </w:rPr>
        <w:t xml:space="preserve">One legal dispute resolution listed by </w:t>
      </w:r>
      <w:r w:rsidRPr="00B875C6">
        <w:rPr>
          <w:color w:val="000000"/>
          <w:sz w:val="20"/>
          <w:szCs w:val="20"/>
          <w:lang w:val="en-GB"/>
        </w:rPr>
        <w:fldChar w:fldCharType="begin">
          <w:fldData xml:space="preserve">PEVuZE5vdGU+PENpdGUgQXV0aG9yWWVhcj0iMSI+PEF1dGhvcj5BbGxlZTwvQXV0aG9yPjxZZWFy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</w:fldData>
        </w:fldChar>
      </w:r>
      <w:r w:rsidRPr="00B875C6">
        <w:rPr>
          <w:color w:val="000000"/>
          <w:sz w:val="20"/>
          <w:szCs w:val="20"/>
          <w:lang w:val="en-GB"/>
        </w:rPr>
        <w:instrText xml:space="preserve"> ADDIN EN.CITE </w:instrText>
      </w:r>
      <w:r w:rsidRPr="00B875C6">
        <w:rPr>
          <w:color w:val="000000"/>
          <w:sz w:val="20"/>
          <w:szCs w:val="20"/>
          <w:lang w:val="en-GB"/>
        </w:rPr>
        <w:fldChar w:fldCharType="begin">
          <w:fldData xml:space="preserve">PEVuZE5vdGU+PENpdGUgQXV0aG9yWWVhcj0iMSI+PEF1dGhvcj5BbGxlZTwvQXV0aG9yPjxZZWFy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</w:fldData>
        </w:fldChar>
      </w:r>
      <w:r w:rsidRPr="00B875C6">
        <w:rPr>
          <w:color w:val="000000"/>
          <w:sz w:val="20"/>
          <w:szCs w:val="20"/>
          <w:lang w:val="en-GB"/>
        </w:rPr>
        <w:instrText xml:space="preserve"> ADDIN EN.CITE.DATA </w:instrText>
      </w:r>
      <w:r w:rsidRPr="00B875C6">
        <w:rPr>
          <w:color w:val="000000"/>
          <w:sz w:val="20"/>
          <w:szCs w:val="20"/>
          <w:lang w:val="en-GB"/>
        </w:rPr>
      </w:r>
      <w:r w:rsidRPr="00B875C6">
        <w:rPr>
          <w:color w:val="000000"/>
          <w:sz w:val="20"/>
          <w:szCs w:val="20"/>
          <w:lang w:val="en-GB"/>
        </w:rPr>
        <w:fldChar w:fldCharType="end"/>
      </w:r>
      <w:r w:rsidRPr="00B875C6">
        <w:rPr>
          <w:color w:val="000000"/>
          <w:sz w:val="20"/>
          <w:szCs w:val="20"/>
          <w:lang w:val="en-GB"/>
        </w:rPr>
      </w:r>
      <w:r w:rsidRPr="00B875C6">
        <w:rPr>
          <w:color w:val="000000"/>
          <w:sz w:val="20"/>
          <w:szCs w:val="20"/>
          <w:lang w:val="en-GB"/>
        </w:rPr>
        <w:fldChar w:fldCharType="separate"/>
      </w:r>
      <w:r w:rsidRPr="00B875C6">
        <w:rPr>
          <w:noProof/>
          <w:color w:val="000000"/>
          <w:sz w:val="20"/>
          <w:szCs w:val="20"/>
          <w:lang w:val="en-GB"/>
        </w:rPr>
        <w:t>Allee and Huth (2006a)</w:t>
      </w:r>
      <w:r w:rsidRPr="00B875C6">
        <w:rPr>
          <w:color w:val="000000"/>
          <w:sz w:val="20"/>
          <w:szCs w:val="20"/>
          <w:lang w:val="en-GB"/>
        </w:rPr>
        <w:fldChar w:fldCharType="end"/>
      </w:r>
      <w:r w:rsidRPr="00B875C6">
        <w:rPr>
          <w:color w:val="000000"/>
          <w:sz w:val="20"/>
          <w:szCs w:val="20"/>
          <w:lang w:val="en-GB"/>
        </w:rPr>
        <w:t xml:space="preserve"> is not included in this list due to lack of information concerning the legal processes. This is the arbitration of the 1948-1971 dispute regarding Cooch Behar &amp; Bengali Enclaves between East Pakistan and India. </w:t>
      </w:r>
    </w:p>
    <w:p w14:paraId="3FAD212A" w14:textId="77777777" w:rsidR="00CA27C1" w:rsidRPr="00B875C6" w:rsidRDefault="00CA27C1" w:rsidP="00CA27C1">
      <w:pPr>
        <w:spacing w:line="259" w:lineRule="auto"/>
        <w:jc w:val="left"/>
        <w:rPr>
          <w:lang w:val="en-GB"/>
        </w:rPr>
      </w:pPr>
    </w:p>
    <w:p w14:paraId="6FDE288A" w14:textId="77777777" w:rsidR="00CA27C1" w:rsidRPr="00CA27C1" w:rsidRDefault="00CA27C1" w:rsidP="00CA27C1">
      <w:pPr>
        <w:pStyle w:val="Heading1"/>
      </w:pPr>
      <w:r w:rsidRPr="00CA27C1">
        <w:t>Bibliography</w:t>
      </w:r>
    </w:p>
    <w:p w14:paraId="38C61FA2" w14:textId="77777777" w:rsidR="00CA27C1" w:rsidRPr="0073252A" w:rsidRDefault="00CA27C1" w:rsidP="00CA27C1">
      <w:pPr>
        <w:spacing w:line="278" w:lineRule="auto"/>
        <w:ind w:left="709" w:hanging="709"/>
      </w:pPr>
      <w:r w:rsidRPr="0073252A">
        <w:t xml:space="preserve">Allee, Todd L. and Paul K. Huth (2006) ‘Legitimizing Dispute Settlement: International Legal Rulings as Domestic Political Cover’, </w:t>
      </w:r>
      <w:r w:rsidRPr="0073252A">
        <w:rPr>
          <w:i/>
          <w:iCs/>
        </w:rPr>
        <w:t>The American Political Science Review</w:t>
      </w:r>
      <w:r w:rsidRPr="0073252A">
        <w:t xml:space="preserve"> 100(2): 219–234.</w:t>
      </w:r>
    </w:p>
    <w:p w14:paraId="23B85A1A" w14:textId="77777777" w:rsidR="00CA27C1" w:rsidRPr="0073252A" w:rsidRDefault="00CA27C1" w:rsidP="00CA27C1">
      <w:pPr>
        <w:spacing w:line="278" w:lineRule="auto"/>
        <w:ind w:left="709" w:hanging="709"/>
      </w:pPr>
      <w:r w:rsidRPr="0073252A">
        <w:t xml:space="preserve">Arnold, Guy (1996) </w:t>
      </w:r>
      <w:r w:rsidRPr="0073252A">
        <w:rPr>
          <w:i/>
          <w:iCs/>
        </w:rPr>
        <w:t xml:space="preserve">The maverick </w:t>
      </w:r>
      <w:proofErr w:type="gramStart"/>
      <w:r w:rsidRPr="0073252A">
        <w:rPr>
          <w:i/>
          <w:iCs/>
        </w:rPr>
        <w:t>state :</w:t>
      </w:r>
      <w:proofErr w:type="gramEnd"/>
      <w:r w:rsidRPr="0073252A">
        <w:rPr>
          <w:i/>
          <w:iCs/>
        </w:rPr>
        <w:t xml:space="preserve"> Gaddafi and the new world order</w:t>
      </w:r>
      <w:r w:rsidRPr="0073252A">
        <w:t>, London: Cassell.</w:t>
      </w:r>
    </w:p>
    <w:p w14:paraId="72655F86" w14:textId="77777777" w:rsidR="00CA27C1" w:rsidRPr="0073252A" w:rsidRDefault="00CA27C1" w:rsidP="00CA27C1">
      <w:pPr>
        <w:spacing w:line="278" w:lineRule="auto"/>
        <w:ind w:left="709" w:hanging="709"/>
      </w:pPr>
      <w:proofErr w:type="spellStart"/>
      <w:r w:rsidRPr="0073252A">
        <w:t>Brilmayer</w:t>
      </w:r>
      <w:proofErr w:type="spellEnd"/>
      <w:r w:rsidRPr="0073252A">
        <w:t xml:space="preserve">, Lea and Adele Faure (2014) ‘Initiating territorial adjudication: the who, how, when, and why of litigating contested sovereignty’, in </w:t>
      </w:r>
      <w:r w:rsidRPr="0073252A">
        <w:rPr>
          <w:i/>
          <w:iCs/>
        </w:rPr>
        <w:t>Litigating International Law Disputes</w:t>
      </w:r>
      <w:r w:rsidRPr="0073252A">
        <w:t>, 193–229, Cambridge University Press.</w:t>
      </w:r>
    </w:p>
    <w:p w14:paraId="360E8DD8" w14:textId="77777777" w:rsidR="00CA27C1" w:rsidRPr="0073252A" w:rsidRDefault="00CA27C1" w:rsidP="00CA27C1">
      <w:pPr>
        <w:spacing w:line="278" w:lineRule="auto"/>
        <w:ind w:left="709" w:hanging="709"/>
      </w:pPr>
      <w:proofErr w:type="spellStart"/>
      <w:r w:rsidRPr="0073252A">
        <w:t>Brounéus</w:t>
      </w:r>
      <w:proofErr w:type="spellEnd"/>
      <w:r w:rsidRPr="0073252A">
        <w:t xml:space="preserve">, Karen (2011) ‘In-depth Interviewing, </w:t>
      </w:r>
      <w:proofErr w:type="gramStart"/>
      <w:r w:rsidRPr="0073252A">
        <w:t>The</w:t>
      </w:r>
      <w:proofErr w:type="gramEnd"/>
      <w:r w:rsidRPr="0073252A">
        <w:t xml:space="preserve"> process, skill and ethics of interviews in peace research’, in Kristine Höglund and Magnus Öberg, eds., </w:t>
      </w:r>
      <w:r w:rsidRPr="0073252A">
        <w:rPr>
          <w:i/>
          <w:iCs/>
        </w:rPr>
        <w:t>Understanding peace research: methods and challenges</w:t>
      </w:r>
      <w:r w:rsidRPr="0073252A">
        <w:t>, 130–145, London: Routledge.</w:t>
      </w:r>
    </w:p>
    <w:p w14:paraId="67645C2D" w14:textId="77777777" w:rsidR="00CA27C1" w:rsidRPr="0073252A" w:rsidRDefault="00CA27C1" w:rsidP="00CA27C1">
      <w:pPr>
        <w:spacing w:line="278" w:lineRule="auto"/>
        <w:ind w:left="709" w:hanging="709"/>
      </w:pPr>
      <w:r w:rsidRPr="0073252A">
        <w:t xml:space="preserve">Frederick, Bryan A., Paul R. Hensel, and Christopher Macaulay (2017) ‘The Issue Correlates of War Territorial Claims Data, 1816–2001’, </w:t>
      </w:r>
      <w:r w:rsidRPr="0073252A">
        <w:rPr>
          <w:i/>
          <w:iCs/>
        </w:rPr>
        <w:t>Journal of peace research</w:t>
      </w:r>
      <w:r w:rsidRPr="0073252A">
        <w:t xml:space="preserve"> 54(1): 99–108.</w:t>
      </w:r>
    </w:p>
    <w:p w14:paraId="103119D8" w14:textId="77777777" w:rsidR="00CA27C1" w:rsidRPr="0073252A" w:rsidRDefault="00CA27C1" w:rsidP="00CA27C1">
      <w:pPr>
        <w:spacing w:line="278" w:lineRule="auto"/>
        <w:ind w:left="709" w:hanging="709"/>
      </w:pPr>
      <w:r w:rsidRPr="0073252A">
        <w:t xml:space="preserve">Goldstein, Kenneth (2002) ‘Getting in the Door: Sampling and Completing Elite Interviews’, </w:t>
      </w:r>
      <w:r w:rsidRPr="0073252A">
        <w:rPr>
          <w:i/>
          <w:iCs/>
        </w:rPr>
        <w:t>PS, political science &amp; politics</w:t>
      </w:r>
      <w:r w:rsidRPr="0073252A">
        <w:t xml:space="preserve"> 35(4): 669–672.</w:t>
      </w:r>
    </w:p>
    <w:p w14:paraId="46B931BC" w14:textId="77777777" w:rsidR="00CA27C1" w:rsidRPr="0073252A" w:rsidRDefault="00CA27C1" w:rsidP="00CA27C1">
      <w:pPr>
        <w:spacing w:line="278" w:lineRule="auto"/>
        <w:ind w:left="709" w:hanging="709"/>
      </w:pPr>
      <w:r w:rsidRPr="0073252A">
        <w:t xml:space="preserve">Greig, J. Michael and Andrew J. Enterline (2017) ‘National Material Capabilities (NMC) Data </w:t>
      </w:r>
      <w:proofErr w:type="spellStart"/>
      <w:r w:rsidRPr="0073252A">
        <w:t>Doccumentation</w:t>
      </w:r>
      <w:proofErr w:type="spellEnd"/>
      <w:r w:rsidRPr="0073252A">
        <w:t>, Version 5.0’.</w:t>
      </w:r>
    </w:p>
    <w:p w14:paraId="49B5D0F6" w14:textId="77777777" w:rsidR="00CA27C1" w:rsidRPr="0073252A" w:rsidRDefault="00CA27C1" w:rsidP="00CA27C1">
      <w:pPr>
        <w:spacing w:line="278" w:lineRule="auto"/>
        <w:ind w:left="709" w:hanging="709"/>
      </w:pPr>
      <w:r w:rsidRPr="0073252A">
        <w:t xml:space="preserve">Hensel, Paul R. (2001) ‘Contentious Issues and World Politics: The Management of Territorial Claims in the Americas, 1816-1992’, </w:t>
      </w:r>
      <w:r w:rsidRPr="0073252A">
        <w:rPr>
          <w:i/>
          <w:iCs/>
        </w:rPr>
        <w:t>International Studies Quarterly</w:t>
      </w:r>
      <w:r w:rsidRPr="0073252A">
        <w:t xml:space="preserve"> 45(1): 81–109.</w:t>
      </w:r>
    </w:p>
    <w:p w14:paraId="5F1E5B23" w14:textId="77777777" w:rsidR="00CA27C1" w:rsidRPr="0073252A" w:rsidRDefault="00CA27C1" w:rsidP="00CA27C1">
      <w:pPr>
        <w:spacing w:line="278" w:lineRule="auto"/>
        <w:ind w:left="709" w:hanging="709"/>
      </w:pPr>
      <w:r w:rsidRPr="0073252A">
        <w:t>Huth, Paul K., Sarah E. Croco, and Benjamin J. Appel (</w:t>
      </w:r>
      <w:proofErr w:type="gramStart"/>
      <w:r w:rsidRPr="0073252A">
        <w:t>2011) ‘</w:t>
      </w:r>
      <w:proofErr w:type="gramEnd"/>
      <w:r w:rsidRPr="0073252A">
        <w:t xml:space="preserve">Does International Law Promote the Peaceful Settlement of International Disputes? Evidence from the Study of Territorial Conflicts since 1945’, </w:t>
      </w:r>
      <w:r w:rsidRPr="0073252A">
        <w:rPr>
          <w:i/>
          <w:iCs/>
        </w:rPr>
        <w:t>The American Political Science Review</w:t>
      </w:r>
      <w:r w:rsidRPr="0073252A">
        <w:t xml:space="preserve"> 105(2): 415–436.</w:t>
      </w:r>
    </w:p>
    <w:p w14:paraId="2A9B2B87" w14:textId="77777777" w:rsidR="00CA27C1" w:rsidRPr="0073252A" w:rsidRDefault="00CA27C1" w:rsidP="00CA27C1">
      <w:pPr>
        <w:spacing w:line="278" w:lineRule="auto"/>
        <w:ind w:left="709" w:hanging="709"/>
      </w:pPr>
      <w:r w:rsidRPr="0073252A">
        <w:lastRenderedPageBreak/>
        <w:t xml:space="preserve">Kliot, Nurit (1995) ‘The Evolution of the Egypt-Israel Boundary: From Colonial Foundations to Peaceful Borders’, </w:t>
      </w:r>
      <w:r w:rsidRPr="0073252A">
        <w:rPr>
          <w:i/>
          <w:iCs/>
        </w:rPr>
        <w:t>IBRU Boundary and Territory Briefing</w:t>
      </w:r>
      <w:r w:rsidRPr="0073252A">
        <w:t xml:space="preserve"> 1(8): 1–21.</w:t>
      </w:r>
    </w:p>
    <w:p w14:paraId="1DE19D68" w14:textId="77777777" w:rsidR="00CA27C1" w:rsidRPr="0073252A" w:rsidRDefault="00CA27C1" w:rsidP="00CA27C1">
      <w:pPr>
        <w:spacing w:line="278" w:lineRule="auto"/>
        <w:ind w:left="709" w:hanging="709"/>
      </w:pPr>
      <w:r w:rsidRPr="0073252A">
        <w:t xml:space="preserve">Kvale, Steinar (2007) </w:t>
      </w:r>
      <w:r w:rsidRPr="0073252A">
        <w:rPr>
          <w:i/>
          <w:iCs/>
        </w:rPr>
        <w:t>Doing interviews</w:t>
      </w:r>
      <w:r w:rsidRPr="0073252A">
        <w:t>, 1. ed. Thousand Oaks, Calif: Sage Publications.</w:t>
      </w:r>
    </w:p>
    <w:p w14:paraId="73605D91" w14:textId="77777777" w:rsidR="00CA27C1" w:rsidRPr="0073252A" w:rsidRDefault="00CA27C1" w:rsidP="00CA27C1">
      <w:pPr>
        <w:spacing w:line="278" w:lineRule="auto"/>
        <w:ind w:left="709" w:hanging="709"/>
      </w:pPr>
      <w:r w:rsidRPr="0073252A">
        <w:t xml:space="preserve">Lapidoth, Ruth (1992) ‘Some Reflections on the Taba Award’, </w:t>
      </w:r>
      <w:r w:rsidRPr="0073252A">
        <w:rPr>
          <w:i/>
          <w:iCs/>
        </w:rPr>
        <w:t>German yearbook of international law</w:t>
      </w:r>
      <w:r w:rsidRPr="0073252A">
        <w:t xml:space="preserve"> 35(Journal Article): 224.</w:t>
      </w:r>
    </w:p>
    <w:p w14:paraId="52F28C1F" w14:textId="77777777" w:rsidR="00CA27C1" w:rsidRPr="0073252A" w:rsidRDefault="00CA27C1" w:rsidP="00CA27C1">
      <w:pPr>
        <w:spacing w:line="278" w:lineRule="auto"/>
        <w:ind w:left="709" w:hanging="709"/>
      </w:pPr>
      <w:proofErr w:type="spellStart"/>
      <w:r w:rsidRPr="0073252A">
        <w:t>Leetaru</w:t>
      </w:r>
      <w:proofErr w:type="spellEnd"/>
      <w:r w:rsidRPr="0073252A">
        <w:t xml:space="preserve">, Kalev (2010) ‘The Scope of FBIS and BBC </w:t>
      </w:r>
      <w:proofErr w:type="gramStart"/>
      <w:r w:rsidRPr="0073252A">
        <w:t>Open Source</w:t>
      </w:r>
      <w:proofErr w:type="gramEnd"/>
      <w:r w:rsidRPr="0073252A">
        <w:t xml:space="preserve"> Media Coverage, 1979–2008’, </w:t>
      </w:r>
      <w:r w:rsidRPr="0073252A">
        <w:rPr>
          <w:i/>
          <w:iCs/>
        </w:rPr>
        <w:t>Studies in Intelligence</w:t>
      </w:r>
      <w:r w:rsidRPr="0073252A">
        <w:t xml:space="preserve"> 54(1): 17–37.</w:t>
      </w:r>
    </w:p>
    <w:p w14:paraId="3DF65242" w14:textId="77777777" w:rsidR="00CA27C1" w:rsidRPr="0073252A" w:rsidRDefault="00CA27C1" w:rsidP="00CA27C1">
      <w:pPr>
        <w:spacing w:line="278" w:lineRule="auto"/>
        <w:ind w:left="709" w:hanging="709"/>
      </w:pPr>
      <w:r w:rsidRPr="0073252A">
        <w:t>Marshall, Monty, Ted Robert Gurr, and Keith Jaggers (2019) ‘Polity IV Project: Dataset User’s Manual’.</w:t>
      </w:r>
    </w:p>
    <w:p w14:paraId="2DBE9561" w14:textId="77777777" w:rsidR="00CA27C1" w:rsidRPr="0073252A" w:rsidRDefault="00CA27C1" w:rsidP="00CA27C1">
      <w:pPr>
        <w:spacing w:line="278" w:lineRule="auto"/>
        <w:ind w:left="709" w:hanging="709"/>
      </w:pPr>
      <w:r w:rsidRPr="0073252A">
        <w:t xml:space="preserve">Metz, Helen Chapin, ed. (1990) </w:t>
      </w:r>
      <w:r w:rsidRPr="0073252A">
        <w:rPr>
          <w:i/>
          <w:iCs/>
        </w:rPr>
        <w:t>Israel: A Country Study</w:t>
      </w:r>
      <w:r w:rsidRPr="0073252A">
        <w:t>, Washington DC: Federal Research Division, Library of Congress.</w:t>
      </w:r>
    </w:p>
    <w:p w14:paraId="03757732" w14:textId="77777777" w:rsidR="00CA27C1" w:rsidRPr="0073252A" w:rsidRDefault="00CA27C1" w:rsidP="00CA27C1">
      <w:pPr>
        <w:spacing w:line="278" w:lineRule="auto"/>
        <w:ind w:left="709" w:hanging="709"/>
      </w:pPr>
      <w:r w:rsidRPr="0073252A">
        <w:t xml:space="preserve">Pargeter, Alison. (2012) </w:t>
      </w:r>
      <w:r w:rsidRPr="0073252A">
        <w:rPr>
          <w:i/>
          <w:iCs/>
        </w:rPr>
        <w:t>Libya the rise and fall of Qaddafi</w:t>
      </w:r>
      <w:r w:rsidRPr="0073252A">
        <w:t>, New Haven: Yale University Press.</w:t>
      </w:r>
    </w:p>
    <w:p w14:paraId="4C6A5B2E" w14:textId="77777777" w:rsidR="00CA27C1" w:rsidRPr="0073252A" w:rsidRDefault="00CA27C1" w:rsidP="00CA27C1">
      <w:pPr>
        <w:spacing w:line="278" w:lineRule="auto"/>
        <w:ind w:left="709" w:hanging="709"/>
      </w:pPr>
      <w:r w:rsidRPr="0073252A">
        <w:t xml:space="preserve">Paulson, Colter (2004) ‘Compliance with Final Judgments of the International Court of Justice Since 1987’, </w:t>
      </w:r>
      <w:r w:rsidRPr="0073252A">
        <w:rPr>
          <w:i/>
          <w:iCs/>
        </w:rPr>
        <w:t>The American Journal of International Law</w:t>
      </w:r>
      <w:r w:rsidRPr="0073252A">
        <w:t xml:space="preserve"> 98(3): 434–461.</w:t>
      </w:r>
    </w:p>
    <w:p w14:paraId="2738DF62" w14:textId="77777777" w:rsidR="00CA27C1" w:rsidRPr="0073252A" w:rsidRDefault="00CA27C1" w:rsidP="00CA27C1">
      <w:pPr>
        <w:spacing w:line="278" w:lineRule="auto"/>
        <w:ind w:left="709" w:hanging="709"/>
      </w:pPr>
      <w:r w:rsidRPr="0073252A">
        <w:t xml:space="preserve">Powell, Emilia Justyna (2015) ‘Islamic Law States and Peaceful Resolution of Territorial Disputes’, </w:t>
      </w:r>
      <w:r w:rsidRPr="0073252A">
        <w:rPr>
          <w:i/>
          <w:iCs/>
        </w:rPr>
        <w:t>International organization</w:t>
      </w:r>
      <w:r w:rsidRPr="0073252A">
        <w:t xml:space="preserve"> 69(4): 777–807.</w:t>
      </w:r>
    </w:p>
    <w:p w14:paraId="4BDE8D1D" w14:textId="77777777" w:rsidR="00CA27C1" w:rsidRPr="0073252A" w:rsidRDefault="00CA27C1" w:rsidP="00CA27C1">
      <w:pPr>
        <w:spacing w:line="278" w:lineRule="auto"/>
        <w:ind w:left="709" w:hanging="709"/>
      </w:pPr>
      <w:r w:rsidRPr="0073252A">
        <w:t xml:space="preserve">Simons, Geoffrey Leslie (2003) </w:t>
      </w:r>
      <w:r w:rsidRPr="0073252A">
        <w:rPr>
          <w:i/>
          <w:iCs/>
        </w:rPr>
        <w:t>Libya and the West: from independence to Lockerbie</w:t>
      </w:r>
      <w:r w:rsidRPr="0073252A">
        <w:t>, Oxford: Centre for Libyan Studies.</w:t>
      </w:r>
    </w:p>
    <w:p w14:paraId="33D87B8F" w14:textId="77777777" w:rsidR="00CA27C1" w:rsidRPr="0073252A" w:rsidRDefault="00CA27C1" w:rsidP="00CA27C1">
      <w:pPr>
        <w:spacing w:line="278" w:lineRule="auto"/>
        <w:ind w:left="709" w:hanging="709"/>
      </w:pPr>
      <w:r w:rsidRPr="0073252A">
        <w:t xml:space="preserve">Tansey, Oisín (2007) ‘Process Tracing and Elite Interviewing: A Case for Non-probability Sampling’, </w:t>
      </w:r>
      <w:r w:rsidRPr="0073252A">
        <w:rPr>
          <w:i/>
          <w:iCs/>
        </w:rPr>
        <w:t>PS, political science &amp; politics</w:t>
      </w:r>
      <w:r w:rsidRPr="0073252A">
        <w:t xml:space="preserve"> 40(4): 765–772.</w:t>
      </w:r>
    </w:p>
    <w:p w14:paraId="1308F79E" w14:textId="77777777" w:rsidR="00CA27C1" w:rsidRPr="0073252A" w:rsidRDefault="00CA27C1" w:rsidP="00CA27C1">
      <w:pPr>
        <w:spacing w:line="278" w:lineRule="auto"/>
        <w:ind w:left="709" w:hanging="709"/>
      </w:pPr>
      <w:r w:rsidRPr="0073252A">
        <w:t xml:space="preserve">Wiegand, Krista E., Emilia Justyna Powell, and Steven McDowell (2021) ‘The Peaceful Resolution of Territorial Disputes dataset, 1945–2015’, </w:t>
      </w:r>
      <w:r w:rsidRPr="0073252A">
        <w:rPr>
          <w:i/>
          <w:iCs/>
        </w:rPr>
        <w:t>Journal of peace research</w:t>
      </w:r>
      <w:r w:rsidRPr="0073252A">
        <w:t xml:space="preserve"> 58(2): 304–314.</w:t>
      </w:r>
    </w:p>
    <w:p w14:paraId="5A1013A1" w14:textId="77777777" w:rsidR="00CA27C1" w:rsidRPr="0073252A" w:rsidRDefault="00CA27C1" w:rsidP="00CA27C1">
      <w:pPr>
        <w:spacing w:line="278" w:lineRule="auto"/>
        <w:ind w:left="709" w:hanging="709"/>
      </w:pPr>
      <w:r w:rsidRPr="0073252A">
        <w:t xml:space="preserve">Wright, John L. (1989) </w:t>
      </w:r>
      <w:r w:rsidRPr="0073252A">
        <w:rPr>
          <w:i/>
          <w:iCs/>
        </w:rPr>
        <w:t>Libya, Chad and the central Sahara</w:t>
      </w:r>
      <w:r w:rsidRPr="0073252A">
        <w:t>, London: Hurst.</w:t>
      </w:r>
    </w:p>
    <w:p w14:paraId="35CE0046" w14:textId="77777777" w:rsidR="00CA27C1" w:rsidRPr="009F56BB" w:rsidRDefault="00CA27C1" w:rsidP="00CA27C1"/>
    <w:p w14:paraId="3AED4FC7" w14:textId="77777777" w:rsidR="00CA27C1" w:rsidRPr="00B875C6" w:rsidRDefault="00CA27C1" w:rsidP="00CA27C1">
      <w:pPr>
        <w:rPr>
          <w:lang w:val="en-GB"/>
        </w:rPr>
      </w:pPr>
    </w:p>
    <w:p w14:paraId="246E6EDF" w14:textId="77777777" w:rsidR="00CA27C1" w:rsidRPr="00CA27C1" w:rsidRDefault="00CA27C1">
      <w:pPr>
        <w:rPr>
          <w:lang w:val="en-GB"/>
        </w:rPr>
      </w:pPr>
    </w:p>
    <w:sectPr w:rsidR="00CA27C1" w:rsidRPr="00CA27C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61DF4" w14:textId="77777777" w:rsidR="00CA27C1" w:rsidRDefault="00CA27C1" w:rsidP="00CA27C1">
      <w:pPr>
        <w:spacing w:after="0" w:line="240" w:lineRule="auto"/>
      </w:pPr>
      <w:r>
        <w:separator/>
      </w:r>
    </w:p>
  </w:endnote>
  <w:endnote w:type="continuationSeparator" w:id="0">
    <w:p w14:paraId="6D07C24F" w14:textId="77777777" w:rsidR="00CA27C1" w:rsidRDefault="00CA27C1" w:rsidP="00CA2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2E8F9" w14:textId="77777777" w:rsidR="00CA27C1" w:rsidRDefault="00CA27C1" w:rsidP="00CA27C1">
      <w:pPr>
        <w:spacing w:after="0" w:line="240" w:lineRule="auto"/>
      </w:pPr>
      <w:r>
        <w:separator/>
      </w:r>
    </w:p>
  </w:footnote>
  <w:footnote w:type="continuationSeparator" w:id="0">
    <w:p w14:paraId="21EE50A3" w14:textId="77777777" w:rsidR="00CA27C1" w:rsidRDefault="00CA27C1" w:rsidP="00CA27C1">
      <w:pPr>
        <w:spacing w:after="0" w:line="240" w:lineRule="auto"/>
      </w:pPr>
      <w:r>
        <w:continuationSeparator/>
      </w:r>
    </w:p>
  </w:footnote>
  <w:footnote w:id="1">
    <w:p w14:paraId="3D1A50AC" w14:textId="77777777" w:rsidR="00CA27C1" w:rsidRPr="00B875C6" w:rsidRDefault="00CA27C1" w:rsidP="00CA27C1">
      <w:pPr>
        <w:pStyle w:val="FootnoteText"/>
        <w:spacing w:line="480" w:lineRule="auto"/>
        <w:rPr>
          <w:sz w:val="24"/>
          <w:szCs w:val="24"/>
          <w:lang w:val="sv-SE"/>
        </w:rPr>
      </w:pPr>
      <w:r w:rsidRPr="00DE3A74">
        <w:rPr>
          <w:rStyle w:val="FootnoteReference"/>
        </w:rPr>
        <w:footnoteRef/>
      </w:r>
      <w:r w:rsidRPr="00B875C6">
        <w:rPr>
          <w:sz w:val="24"/>
          <w:szCs w:val="24"/>
        </w:rPr>
        <w:t xml:space="preserve"> </w:t>
      </w:r>
      <w:r w:rsidRPr="00B875C6">
        <w:rPr>
          <w:sz w:val="24"/>
          <w:szCs w:val="24"/>
          <w:lang w:val="sv-SE"/>
        </w:rPr>
        <w:t>Reference number 2018/106.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72E1C"/>
    <w:multiLevelType w:val="hybridMultilevel"/>
    <w:tmpl w:val="3F88942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494033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7C1"/>
    <w:rsid w:val="0005067F"/>
    <w:rsid w:val="000F18EA"/>
    <w:rsid w:val="00420261"/>
    <w:rsid w:val="00936B6D"/>
    <w:rsid w:val="00CA27C1"/>
    <w:rsid w:val="00DE3A7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180DA"/>
  <w15:chartTrackingRefBased/>
  <w15:docId w15:val="{10C85EF0-AEA3-4FAD-9A34-6AC5AF05C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7C1"/>
    <w:pPr>
      <w:spacing w:line="480" w:lineRule="auto"/>
      <w:jc w:val="both"/>
    </w:pPr>
    <w:rPr>
      <w:rFonts w:ascii="Times New Roman" w:hAnsi="Times New Roman" w:cs="Times New Roman"/>
      <w:kern w:val="0"/>
      <w:lang w:val="en-US"/>
      <w14:ligatures w14:val="none"/>
    </w:rPr>
  </w:style>
  <w:style w:type="paragraph" w:styleId="Heading1">
    <w:name w:val="heading 1"/>
    <w:basedOn w:val="Normal"/>
    <w:next w:val="Normal"/>
    <w:link w:val="Heading1Char"/>
    <w:uiPriority w:val="9"/>
    <w:qFormat/>
    <w:rsid w:val="00CA27C1"/>
    <w:pPr>
      <w:outlineLvl w:val="0"/>
    </w:pPr>
    <w:rPr>
      <w:b/>
      <w:bCs/>
      <w:lang w:val="en-GB"/>
    </w:rPr>
  </w:style>
  <w:style w:type="paragraph" w:styleId="Heading2">
    <w:name w:val="heading 2"/>
    <w:basedOn w:val="Normal"/>
    <w:next w:val="Normal"/>
    <w:link w:val="Heading2Char"/>
    <w:uiPriority w:val="9"/>
    <w:semiHidden/>
    <w:unhideWhenUsed/>
    <w:qFormat/>
    <w:rsid w:val="00CA27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27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27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27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27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27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27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27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7C1"/>
    <w:rPr>
      <w:rFonts w:ascii="Times New Roman" w:hAnsi="Times New Roman" w:cs="Times New Roman"/>
      <w:b/>
      <w:bCs/>
      <w:kern w:val="0"/>
      <w:lang w:val="en-GB"/>
      <w14:ligatures w14:val="none"/>
    </w:rPr>
  </w:style>
  <w:style w:type="character" w:customStyle="1" w:styleId="Heading2Char">
    <w:name w:val="Heading 2 Char"/>
    <w:basedOn w:val="DefaultParagraphFont"/>
    <w:link w:val="Heading2"/>
    <w:uiPriority w:val="9"/>
    <w:semiHidden/>
    <w:rsid w:val="00CA27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27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27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27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27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27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27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27C1"/>
    <w:rPr>
      <w:rFonts w:eastAsiaTheme="majorEastAsia" w:cstheme="majorBidi"/>
      <w:color w:val="272727" w:themeColor="text1" w:themeTint="D8"/>
    </w:rPr>
  </w:style>
  <w:style w:type="paragraph" w:styleId="Title">
    <w:name w:val="Title"/>
    <w:basedOn w:val="Normal"/>
    <w:next w:val="Normal"/>
    <w:link w:val="TitleChar"/>
    <w:uiPriority w:val="10"/>
    <w:qFormat/>
    <w:rsid w:val="00CA27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27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27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27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27C1"/>
    <w:pPr>
      <w:spacing w:before="160"/>
      <w:jc w:val="center"/>
    </w:pPr>
    <w:rPr>
      <w:i/>
      <w:iCs/>
      <w:color w:val="404040" w:themeColor="text1" w:themeTint="BF"/>
    </w:rPr>
  </w:style>
  <w:style w:type="character" w:customStyle="1" w:styleId="QuoteChar">
    <w:name w:val="Quote Char"/>
    <w:basedOn w:val="DefaultParagraphFont"/>
    <w:link w:val="Quote"/>
    <w:uiPriority w:val="29"/>
    <w:rsid w:val="00CA27C1"/>
    <w:rPr>
      <w:i/>
      <w:iCs/>
      <w:color w:val="404040" w:themeColor="text1" w:themeTint="BF"/>
    </w:rPr>
  </w:style>
  <w:style w:type="paragraph" w:styleId="ListParagraph">
    <w:name w:val="List Paragraph"/>
    <w:basedOn w:val="Normal"/>
    <w:uiPriority w:val="34"/>
    <w:qFormat/>
    <w:rsid w:val="00CA27C1"/>
    <w:pPr>
      <w:ind w:left="720"/>
      <w:contextualSpacing/>
    </w:pPr>
  </w:style>
  <w:style w:type="character" w:styleId="IntenseEmphasis">
    <w:name w:val="Intense Emphasis"/>
    <w:basedOn w:val="DefaultParagraphFont"/>
    <w:uiPriority w:val="21"/>
    <w:qFormat/>
    <w:rsid w:val="00CA27C1"/>
    <w:rPr>
      <w:i/>
      <w:iCs/>
      <w:color w:val="0F4761" w:themeColor="accent1" w:themeShade="BF"/>
    </w:rPr>
  </w:style>
  <w:style w:type="paragraph" w:styleId="IntenseQuote">
    <w:name w:val="Intense Quote"/>
    <w:basedOn w:val="Normal"/>
    <w:next w:val="Normal"/>
    <w:link w:val="IntenseQuoteChar"/>
    <w:uiPriority w:val="30"/>
    <w:qFormat/>
    <w:rsid w:val="00CA27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27C1"/>
    <w:rPr>
      <w:i/>
      <w:iCs/>
      <w:color w:val="0F4761" w:themeColor="accent1" w:themeShade="BF"/>
    </w:rPr>
  </w:style>
  <w:style w:type="character" w:styleId="IntenseReference">
    <w:name w:val="Intense Reference"/>
    <w:basedOn w:val="DefaultParagraphFont"/>
    <w:uiPriority w:val="32"/>
    <w:qFormat/>
    <w:rsid w:val="00CA27C1"/>
    <w:rPr>
      <w:b/>
      <w:bCs/>
      <w:smallCaps/>
      <w:color w:val="0F4761" w:themeColor="accent1" w:themeShade="BF"/>
      <w:spacing w:val="5"/>
    </w:rPr>
  </w:style>
  <w:style w:type="paragraph" w:styleId="FootnoteText">
    <w:name w:val="footnote text"/>
    <w:basedOn w:val="Normal"/>
    <w:link w:val="FootnoteTextChar"/>
    <w:unhideWhenUsed/>
    <w:rsid w:val="00CA27C1"/>
    <w:pPr>
      <w:spacing w:after="0" w:line="240" w:lineRule="auto"/>
    </w:pPr>
    <w:rPr>
      <w:sz w:val="20"/>
      <w:szCs w:val="20"/>
    </w:rPr>
  </w:style>
  <w:style w:type="character" w:customStyle="1" w:styleId="FootnoteTextChar">
    <w:name w:val="Footnote Text Char"/>
    <w:basedOn w:val="DefaultParagraphFont"/>
    <w:link w:val="FootnoteText"/>
    <w:rsid w:val="00CA27C1"/>
    <w:rPr>
      <w:rFonts w:ascii="Times New Roman" w:hAnsi="Times New Roman" w:cs="Times New Roman"/>
      <w:kern w:val="0"/>
      <w:sz w:val="20"/>
      <w:szCs w:val="20"/>
      <w:lang w:val="en-US"/>
      <w14:ligatures w14:val="none"/>
    </w:rPr>
  </w:style>
  <w:style w:type="character" w:styleId="FootnoteReference">
    <w:name w:val="footnote reference"/>
    <w:basedOn w:val="DefaultParagraphFont"/>
    <w:unhideWhenUsed/>
    <w:rsid w:val="00CA27C1"/>
    <w:rPr>
      <w:vertAlign w:val="superscript"/>
    </w:rPr>
  </w:style>
  <w:style w:type="table" w:styleId="ListTable1Light">
    <w:name w:val="List Table 1 Light"/>
    <w:basedOn w:val="TableNormal"/>
    <w:uiPriority w:val="46"/>
    <w:rsid w:val="00CA27C1"/>
    <w:pPr>
      <w:spacing w:after="0" w:line="240" w:lineRule="auto"/>
    </w:pPr>
    <w:rPr>
      <w:kern w:val="0"/>
      <w:sz w:val="22"/>
      <w:szCs w:val="22"/>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ndnoteReference">
    <w:name w:val="endnote reference"/>
    <w:basedOn w:val="DefaultParagraphFont"/>
    <w:uiPriority w:val="99"/>
    <w:semiHidden/>
    <w:unhideWhenUsed/>
    <w:rsid w:val="00DE3A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64183">
      <w:bodyDiv w:val="1"/>
      <w:marLeft w:val="0"/>
      <w:marRight w:val="0"/>
      <w:marTop w:val="0"/>
      <w:marBottom w:val="0"/>
      <w:divBdr>
        <w:top w:val="none" w:sz="0" w:space="0" w:color="auto"/>
        <w:left w:val="none" w:sz="0" w:space="0" w:color="auto"/>
        <w:bottom w:val="none" w:sz="0" w:space="0" w:color="auto"/>
        <w:right w:val="none" w:sz="0" w:space="0" w:color="auto"/>
      </w:divBdr>
      <w:divsChild>
        <w:div w:id="366834710">
          <w:marLeft w:val="480"/>
          <w:marRight w:val="0"/>
          <w:marTop w:val="0"/>
          <w:marBottom w:val="0"/>
          <w:divBdr>
            <w:top w:val="none" w:sz="0" w:space="0" w:color="auto"/>
            <w:left w:val="none" w:sz="0" w:space="0" w:color="auto"/>
            <w:bottom w:val="none" w:sz="0" w:space="0" w:color="auto"/>
            <w:right w:val="none" w:sz="0" w:space="0" w:color="auto"/>
          </w:divBdr>
          <w:divsChild>
            <w:div w:id="99025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141777">
      <w:bodyDiv w:val="1"/>
      <w:marLeft w:val="0"/>
      <w:marRight w:val="0"/>
      <w:marTop w:val="0"/>
      <w:marBottom w:val="0"/>
      <w:divBdr>
        <w:top w:val="none" w:sz="0" w:space="0" w:color="auto"/>
        <w:left w:val="none" w:sz="0" w:space="0" w:color="auto"/>
        <w:bottom w:val="none" w:sz="0" w:space="0" w:color="auto"/>
        <w:right w:val="none" w:sz="0" w:space="0" w:color="auto"/>
      </w:divBdr>
      <w:divsChild>
        <w:div w:id="987168804">
          <w:marLeft w:val="480"/>
          <w:marRight w:val="0"/>
          <w:marTop w:val="0"/>
          <w:marBottom w:val="0"/>
          <w:divBdr>
            <w:top w:val="none" w:sz="0" w:space="0" w:color="auto"/>
            <w:left w:val="none" w:sz="0" w:space="0" w:color="auto"/>
            <w:bottom w:val="none" w:sz="0" w:space="0" w:color="auto"/>
            <w:right w:val="none" w:sz="0" w:space="0" w:color="auto"/>
          </w:divBdr>
          <w:divsChild>
            <w:div w:id="119218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ec6d502-3fa5-48b7-84da-dc5b378a28f1}" enabled="1" method="Standard" siteId="{bb218a9a-130d-42b3-8ea2-07fcd372a069}"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14</Pages>
  <Words>5738</Words>
  <Characters>30414</Characters>
  <Application>Microsoft Office Word</Application>
  <DocSecurity>0</DocSecurity>
  <Lines>253</Lines>
  <Paragraphs>72</Paragraphs>
  <ScaleCrop>false</ScaleCrop>
  <HeadingPairs>
    <vt:vector size="2" baseType="variant">
      <vt:variant>
        <vt:lpstr>Title</vt:lpstr>
      </vt:variant>
      <vt:variant>
        <vt:i4>1</vt:i4>
      </vt:variant>
    </vt:vector>
  </HeadingPairs>
  <TitlesOfParts>
    <vt:vector size="1" baseType="lpstr">
      <vt:lpstr/>
    </vt:vector>
  </TitlesOfParts>
  <Company>FHS</Company>
  <LinksUpToDate>false</LinksUpToDate>
  <CharactersWithSpaces>36080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Gebre-Medhin David</dc:creator>
  <cp:keywords/>
  <dc:description/>
  <cp:lastModifiedBy>Gebre-Medhin David</cp:lastModifiedBy>
  <cp:revision>3</cp:revision>
  <dcterms:created xsi:type="dcterms:W3CDTF">2025-06-24T10:57:00Z</dcterms:created>
  <dcterms:modified xsi:type="dcterms:W3CDTF">2025-06-26T10:50:00Z</dcterms:modified>
</cp:coreProperties>
</file>