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262" w:rsidRPr="00A94AA7" w:rsidRDefault="00BF3262" w:rsidP="00BF3262">
      <w:pPr>
        <w:jc w:val="both"/>
        <w:rPr>
          <w:rFonts w:ascii="Times New Roman" w:hAnsi="Times New Roman" w:cs="Times New Roman"/>
          <w:b/>
        </w:rPr>
      </w:pPr>
      <w:r>
        <w:rPr>
          <w:rFonts w:ascii="Times New Roman" w:hAnsi="Times New Roman" w:cs="Times New Roman"/>
          <w:b/>
        </w:rPr>
        <w:t xml:space="preserve">Supplementary Material A: </w:t>
      </w:r>
      <w:proofErr w:type="spellStart"/>
      <w:r w:rsidRPr="00A94AA7">
        <w:rPr>
          <w:rFonts w:ascii="Times New Roman" w:hAnsi="Times New Roman" w:cs="Times New Roman"/>
          <w:b/>
        </w:rPr>
        <w:t>fsQCA</w:t>
      </w:r>
      <w:proofErr w:type="spellEnd"/>
      <w:r w:rsidRPr="00A94AA7">
        <w:rPr>
          <w:rFonts w:ascii="Times New Roman" w:hAnsi="Times New Roman" w:cs="Times New Roman"/>
          <w:b/>
        </w:rPr>
        <w:t xml:space="preserve"> ‘Robustness’ Checks</w:t>
      </w:r>
    </w:p>
    <w:p w:rsidR="00BF3262" w:rsidRPr="009C60C7" w:rsidRDefault="00BF3262" w:rsidP="00BF3262">
      <w:pPr>
        <w:jc w:val="both"/>
        <w:rPr>
          <w:rFonts w:ascii="Times New Roman" w:hAnsi="Times New Roman" w:cs="Times New Roman"/>
        </w:rPr>
      </w:pPr>
      <w:r>
        <w:rPr>
          <w:rFonts w:ascii="Times New Roman" w:hAnsi="Times New Roman" w:cs="Times New Roman"/>
        </w:rPr>
        <w:t>W</w:t>
      </w:r>
      <w:r w:rsidRPr="009C60C7">
        <w:rPr>
          <w:rFonts w:ascii="Times New Roman" w:hAnsi="Times New Roman" w:cs="Times New Roman"/>
        </w:rPr>
        <w:t xml:space="preserve">e start with the analysis of necessary conditions, following the standards of good practice brought forward by Schneider and </w:t>
      </w:r>
      <w:proofErr w:type="spellStart"/>
      <w:r w:rsidRPr="009C60C7">
        <w:rPr>
          <w:rFonts w:ascii="Times New Roman" w:hAnsi="Times New Roman" w:cs="Times New Roman"/>
        </w:rPr>
        <w:t>Wagemann</w:t>
      </w:r>
      <w:proofErr w:type="spellEnd"/>
      <w:r w:rsidRPr="009C60C7">
        <w:rPr>
          <w:rFonts w:ascii="Times New Roman" w:hAnsi="Times New Roman" w:cs="Times New Roman"/>
        </w:rPr>
        <w:t xml:space="preserve"> (2012). We first look at the consistency score telling us how well and consistently a configuration is supported by empirical evidence. Necessary conditions</w:t>
      </w:r>
      <w:r>
        <w:rPr>
          <w:rFonts w:ascii="Times New Roman" w:hAnsi="Times New Roman" w:cs="Times New Roman"/>
        </w:rPr>
        <w:t xml:space="preserve"> should always be present with a positive outcome and</w:t>
      </w:r>
      <w:r w:rsidRPr="009C60C7">
        <w:rPr>
          <w:rFonts w:ascii="Times New Roman" w:hAnsi="Times New Roman" w:cs="Times New Roman"/>
        </w:rPr>
        <w:t xml:space="preserve"> </w:t>
      </w:r>
      <w:r>
        <w:rPr>
          <w:rFonts w:ascii="Times New Roman" w:hAnsi="Times New Roman" w:cs="Times New Roman"/>
        </w:rPr>
        <w:t xml:space="preserve">therefore </w:t>
      </w:r>
      <w:r w:rsidRPr="009C60C7">
        <w:rPr>
          <w:rFonts w:ascii="Times New Roman" w:hAnsi="Times New Roman" w:cs="Times New Roman"/>
        </w:rPr>
        <w:t xml:space="preserve">have a </w:t>
      </w:r>
      <w:r>
        <w:rPr>
          <w:rFonts w:ascii="Times New Roman" w:hAnsi="Times New Roman" w:cs="Times New Roman"/>
        </w:rPr>
        <w:t xml:space="preserve">very high </w:t>
      </w:r>
      <w:r w:rsidRPr="009C60C7">
        <w:rPr>
          <w:rFonts w:ascii="Times New Roman" w:hAnsi="Times New Roman" w:cs="Times New Roman"/>
        </w:rPr>
        <w:t>consistency score of above 0.9 (Sc</w:t>
      </w:r>
      <w:r>
        <w:rPr>
          <w:rFonts w:ascii="Times New Roman" w:hAnsi="Times New Roman" w:cs="Times New Roman"/>
        </w:rPr>
        <w:t xml:space="preserve">hneider and </w:t>
      </w:r>
      <w:proofErr w:type="spellStart"/>
      <w:r>
        <w:rPr>
          <w:rFonts w:ascii="Times New Roman" w:hAnsi="Times New Roman" w:cs="Times New Roman"/>
        </w:rPr>
        <w:t>Wagemann</w:t>
      </w:r>
      <w:proofErr w:type="spellEnd"/>
      <w:r>
        <w:rPr>
          <w:rFonts w:ascii="Times New Roman" w:hAnsi="Times New Roman" w:cs="Times New Roman"/>
        </w:rPr>
        <w:t xml:space="preserve"> 2012: 278).</w:t>
      </w:r>
      <w:r w:rsidRPr="009C60C7">
        <w:rPr>
          <w:rFonts w:ascii="Times New Roman" w:hAnsi="Times New Roman" w:cs="Times New Roman"/>
        </w:rPr>
        <w:t xml:space="preserve"> We checked the necessity consistency for the presence (&gt; 0.5) and absence (&lt; 0.5) of all conditions included (outcome &gt; 0.5). Given that there is no condition with a consistency score of above 0.9 (see Table </w:t>
      </w:r>
      <w:r>
        <w:rPr>
          <w:rFonts w:ascii="Times New Roman" w:hAnsi="Times New Roman" w:cs="Times New Roman"/>
        </w:rPr>
        <w:t>A1</w:t>
      </w:r>
      <w:r w:rsidRPr="009C60C7">
        <w:rPr>
          <w:rFonts w:ascii="Times New Roman" w:hAnsi="Times New Roman" w:cs="Times New Roman"/>
        </w:rPr>
        <w:t xml:space="preserve">), we conclude that there is no condition that is </w:t>
      </w:r>
      <w:r w:rsidRPr="009C60C7">
        <w:rPr>
          <w:rFonts w:ascii="Times New Roman" w:hAnsi="Times New Roman" w:cs="Times New Roman"/>
          <w:szCs w:val="24"/>
        </w:rPr>
        <w:t>necessary for the outcome to occur across countries. Still, a higher budget seems to be very close given the consistency score of 0.</w:t>
      </w:r>
      <w:r w:rsidRPr="009C60C7">
        <w:rPr>
          <w:rFonts w:ascii="Times New Roman" w:eastAsia="Times New Roman" w:hAnsi="Times New Roman" w:cs="Times New Roman"/>
          <w:szCs w:val="24"/>
          <w:lang w:eastAsia="de-DE"/>
        </w:rPr>
        <w:t xml:space="preserve">87 </w:t>
      </w:r>
      <w:r w:rsidRPr="009C60C7">
        <w:rPr>
          <w:rFonts w:ascii="Times New Roman" w:hAnsi="Times New Roman" w:cs="Times New Roman"/>
        </w:rPr>
        <w:t xml:space="preserve">(Schneider and </w:t>
      </w:r>
      <w:proofErr w:type="spellStart"/>
      <w:r w:rsidRPr="009C60C7">
        <w:rPr>
          <w:rFonts w:ascii="Times New Roman" w:hAnsi="Times New Roman" w:cs="Times New Roman"/>
        </w:rPr>
        <w:t>Wagemann</w:t>
      </w:r>
      <w:proofErr w:type="spellEnd"/>
      <w:r w:rsidRPr="009C60C7">
        <w:rPr>
          <w:rFonts w:ascii="Times New Roman" w:hAnsi="Times New Roman" w:cs="Times New Roman"/>
        </w:rPr>
        <w:t xml:space="preserve"> 2012). </w:t>
      </w:r>
    </w:p>
    <w:p w:rsidR="00BF3262" w:rsidRPr="009C60C7" w:rsidRDefault="00BF3262" w:rsidP="00BF3262">
      <w:pPr>
        <w:pStyle w:val="Beschriftung"/>
        <w:keepNext/>
        <w:rPr>
          <w:rFonts w:ascii="Times New Roman" w:hAnsi="Times New Roman" w:cs="Times New Roman"/>
          <w:color w:val="auto"/>
        </w:rPr>
      </w:pPr>
      <w:bookmarkStart w:id="0" w:name="_Ref498007635"/>
      <w:r w:rsidRPr="009C60C7">
        <w:rPr>
          <w:rFonts w:ascii="Times New Roman" w:hAnsi="Times New Roman" w:cs="Times New Roman"/>
          <w:color w:val="auto"/>
        </w:rPr>
        <w:t xml:space="preserve">Table </w:t>
      </w:r>
      <w:r>
        <w:rPr>
          <w:rFonts w:ascii="Times New Roman" w:hAnsi="Times New Roman" w:cs="Times New Roman"/>
          <w:color w:val="auto"/>
        </w:rPr>
        <w:t>A</w:t>
      </w:r>
      <w:bookmarkEnd w:id="0"/>
      <w:r>
        <w:rPr>
          <w:rFonts w:ascii="Times New Roman" w:hAnsi="Times New Roman" w:cs="Times New Roman"/>
          <w:color w:val="auto"/>
        </w:rPr>
        <w:t>1</w:t>
      </w:r>
      <w:r w:rsidRPr="009C60C7">
        <w:rPr>
          <w:rFonts w:ascii="Times New Roman" w:hAnsi="Times New Roman" w:cs="Times New Roman"/>
          <w:color w:val="auto"/>
        </w:rPr>
        <w:t>: Analysis of Necessity Consistency</w:t>
      </w:r>
      <w:r>
        <w:rPr>
          <w:rFonts w:ascii="Times New Roman" w:hAnsi="Times New Roman" w:cs="Times New Roman"/>
          <w:color w:val="auto"/>
        </w:rPr>
        <w:t xml:space="preserve"> for Presence of the Outcome</w:t>
      </w:r>
    </w:p>
    <w:tbl>
      <w:tblPr>
        <w:tblW w:w="4951" w:type="dxa"/>
        <w:tblInd w:w="100" w:type="dxa"/>
        <w:tblLook w:val="04A0" w:firstRow="1" w:lastRow="0" w:firstColumn="1" w:lastColumn="0" w:noHBand="0" w:noVBand="1"/>
      </w:tblPr>
      <w:tblGrid>
        <w:gridCol w:w="2563"/>
        <w:gridCol w:w="1194"/>
        <w:gridCol w:w="1194"/>
      </w:tblGrid>
      <w:tr w:rsidR="00BF3262" w:rsidRPr="009C60C7" w:rsidTr="008E0C1F">
        <w:trPr>
          <w:trHeight w:val="257"/>
        </w:trPr>
        <w:tc>
          <w:tcPr>
            <w:tcW w:w="2563" w:type="dxa"/>
            <w:tcBorders>
              <w:top w:val="single" w:sz="4" w:space="0" w:color="auto"/>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p>
        </w:tc>
        <w:tc>
          <w:tcPr>
            <w:tcW w:w="1194" w:type="dxa"/>
            <w:tcBorders>
              <w:top w:val="single" w:sz="4" w:space="0" w:color="auto"/>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Consistency</w:t>
            </w:r>
          </w:p>
        </w:tc>
        <w:tc>
          <w:tcPr>
            <w:tcW w:w="1194" w:type="dxa"/>
            <w:tcBorders>
              <w:top w:val="single" w:sz="4" w:space="0" w:color="auto"/>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Coverage</w:t>
            </w:r>
          </w:p>
        </w:tc>
      </w:tr>
      <w:tr w:rsidR="00BF3262" w:rsidRPr="009C60C7" w:rsidTr="008E0C1F">
        <w:trPr>
          <w:trHeight w:val="257"/>
        </w:trPr>
        <w:tc>
          <w:tcPr>
            <w:tcW w:w="2563" w:type="dxa"/>
            <w:tcBorders>
              <w:top w:val="single" w:sz="4" w:space="0" w:color="auto"/>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BUDGET</w:t>
            </w:r>
          </w:p>
        </w:tc>
        <w:tc>
          <w:tcPr>
            <w:tcW w:w="1194" w:type="dxa"/>
            <w:tcBorders>
              <w:top w:val="single" w:sz="4" w:space="0" w:color="auto"/>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0,8687</w:t>
            </w:r>
          </w:p>
        </w:tc>
        <w:tc>
          <w:tcPr>
            <w:tcW w:w="1194" w:type="dxa"/>
            <w:tcBorders>
              <w:top w:val="single" w:sz="4" w:space="0" w:color="auto"/>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0.641239</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Budget</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0,3666</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0.588359</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VOLUNTEER</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0,552</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0.575974</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Volunteer</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0,6806</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0.667603</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STATUS</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0,8016</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0.595917</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Status</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0,3774</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0.596444</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SCOPE</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0,6766</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0.676092</w:t>
            </w:r>
          </w:p>
        </w:tc>
      </w:tr>
      <w:tr w:rsidR="00BF3262" w:rsidRPr="009C60C7" w:rsidTr="008E0C1F">
        <w:trPr>
          <w:trHeight w:val="257"/>
        </w:trPr>
        <w:tc>
          <w:tcPr>
            <w:tcW w:w="2563"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Scope</w:t>
            </w:r>
          </w:p>
        </w:tc>
        <w:tc>
          <w:tcPr>
            <w:tcW w:w="1194" w:type="dxa"/>
            <w:tcBorders>
              <w:top w:val="nil"/>
              <w:left w:val="nil"/>
              <w:bottom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0,6906</w:t>
            </w:r>
          </w:p>
        </w:tc>
        <w:tc>
          <w:tcPr>
            <w:tcW w:w="1194" w:type="dxa"/>
            <w:tcBorders>
              <w:top w:val="nil"/>
              <w:left w:val="nil"/>
              <w:bottom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0.706832</w:t>
            </w:r>
          </w:p>
        </w:tc>
      </w:tr>
      <w:tr w:rsidR="00BF3262" w:rsidRPr="009C60C7" w:rsidTr="008E0C1F">
        <w:trPr>
          <w:trHeight w:val="257"/>
        </w:trPr>
        <w:tc>
          <w:tcPr>
            <w:tcW w:w="2563" w:type="dxa"/>
            <w:tcBorders>
              <w:top w:val="nil"/>
              <w:left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COUNTRY</w:t>
            </w:r>
          </w:p>
        </w:tc>
        <w:tc>
          <w:tcPr>
            <w:tcW w:w="1194" w:type="dxa"/>
            <w:tcBorders>
              <w:top w:val="nil"/>
              <w:left w:val="nil"/>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0,3838</w:t>
            </w:r>
          </w:p>
        </w:tc>
        <w:tc>
          <w:tcPr>
            <w:tcW w:w="1194" w:type="dxa"/>
            <w:tcBorders>
              <w:top w:val="nil"/>
              <w:left w:val="nil"/>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0.421854</w:t>
            </w:r>
          </w:p>
        </w:tc>
      </w:tr>
      <w:tr w:rsidR="00BF3262" w:rsidRPr="009C60C7" w:rsidTr="008E0C1F">
        <w:trPr>
          <w:trHeight w:val="257"/>
        </w:trPr>
        <w:tc>
          <w:tcPr>
            <w:tcW w:w="2563" w:type="dxa"/>
            <w:tcBorders>
              <w:top w:val="nil"/>
              <w:left w:val="nil"/>
              <w:bottom w:val="single" w:sz="4" w:space="0" w:color="auto"/>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Country</w:t>
            </w:r>
          </w:p>
        </w:tc>
        <w:tc>
          <w:tcPr>
            <w:tcW w:w="1194" w:type="dxa"/>
            <w:tcBorders>
              <w:top w:val="nil"/>
              <w:left w:val="nil"/>
              <w:bottom w:val="single" w:sz="4" w:space="0" w:color="auto"/>
              <w:right w:val="nil"/>
            </w:tcBorders>
            <w:shd w:val="clear" w:color="auto" w:fill="auto"/>
            <w:hideMark/>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eastAsia="Times New Roman" w:hAnsi="Times New Roman" w:cs="Times New Roman"/>
                <w:color w:val="000000"/>
                <w:sz w:val="20"/>
                <w:szCs w:val="20"/>
              </w:rPr>
              <w:t>0,6162</w:t>
            </w:r>
          </w:p>
        </w:tc>
        <w:tc>
          <w:tcPr>
            <w:tcW w:w="1194" w:type="dxa"/>
            <w:tcBorders>
              <w:top w:val="nil"/>
              <w:left w:val="nil"/>
              <w:bottom w:val="single" w:sz="4" w:space="0" w:color="auto"/>
              <w:right w:val="nil"/>
            </w:tcBorders>
          </w:tcPr>
          <w:p w:rsidR="00BF3262" w:rsidRPr="009C60C7" w:rsidRDefault="00BF3262" w:rsidP="008E0C1F">
            <w:pPr>
              <w:spacing w:after="0" w:line="240" w:lineRule="auto"/>
              <w:rPr>
                <w:rFonts w:ascii="Times New Roman" w:eastAsia="Times New Roman" w:hAnsi="Times New Roman" w:cs="Times New Roman"/>
                <w:color w:val="000000"/>
                <w:sz w:val="20"/>
                <w:szCs w:val="20"/>
              </w:rPr>
            </w:pPr>
            <w:r w:rsidRPr="009C60C7">
              <w:rPr>
                <w:rFonts w:ascii="Times New Roman" w:hAnsi="Times New Roman" w:cs="Times New Roman"/>
                <w:sz w:val="20"/>
                <w:szCs w:val="20"/>
              </w:rPr>
              <w:t>0.576948</w:t>
            </w:r>
          </w:p>
        </w:tc>
      </w:tr>
    </w:tbl>
    <w:p w:rsidR="00BF3262" w:rsidRPr="009C60C7" w:rsidRDefault="00BF3262" w:rsidP="00BF3262">
      <w:pPr>
        <w:rPr>
          <w:rFonts w:ascii="Times New Roman" w:hAnsi="Times New Roman" w:cs="Times New Roman"/>
          <w:sz w:val="18"/>
        </w:rPr>
      </w:pPr>
      <w:r w:rsidRPr="009C60C7">
        <w:rPr>
          <w:rFonts w:ascii="Times New Roman" w:hAnsi="Times New Roman" w:cs="Times New Roman"/>
          <w:sz w:val="18"/>
        </w:rPr>
        <w:t>Note: UPPERCASE= Presence; lowercase = absence of condition; scores calculated only for presence of the outcome.</w:t>
      </w:r>
    </w:p>
    <w:p w:rsidR="00BF3262" w:rsidRPr="009C60C7" w:rsidRDefault="00BF3262" w:rsidP="00BF3262">
      <w:pPr>
        <w:jc w:val="both"/>
        <w:rPr>
          <w:rFonts w:ascii="Times New Roman" w:hAnsi="Times New Roman" w:cs="Times New Roman"/>
        </w:rPr>
      </w:pPr>
      <w:r w:rsidRPr="009C60C7">
        <w:rPr>
          <w:rFonts w:ascii="Times New Roman" w:hAnsi="Times New Roman" w:cs="Times New Roman"/>
        </w:rPr>
        <w:t xml:space="preserve">For the analysis of sufficiency, we look at the truth table in which all possible configurations are reported; empirically observed configurations are reported along with the consistency score of the configuration (outcome consistency, see Table </w:t>
      </w:r>
      <w:r>
        <w:rPr>
          <w:rFonts w:ascii="Times New Roman" w:hAnsi="Times New Roman" w:cs="Times New Roman"/>
        </w:rPr>
        <w:t>A2</w:t>
      </w:r>
      <w:r w:rsidRPr="009C60C7">
        <w:rPr>
          <w:rFonts w:ascii="Times New Roman" w:hAnsi="Times New Roman" w:cs="Times New Roman"/>
        </w:rPr>
        <w:t xml:space="preserve">). To calculate a final solution term, then, requires us to set a consistency threshold below which cases are excluded from the calculation. An </w:t>
      </w:r>
      <w:proofErr w:type="gramStart"/>
      <w:r w:rsidRPr="009C60C7">
        <w:rPr>
          <w:rFonts w:ascii="Times New Roman" w:hAnsi="Times New Roman" w:cs="Times New Roman"/>
        </w:rPr>
        <w:t>often used</w:t>
      </w:r>
      <w:proofErr w:type="gramEnd"/>
      <w:r w:rsidRPr="009C60C7">
        <w:rPr>
          <w:rFonts w:ascii="Times New Roman" w:hAnsi="Times New Roman" w:cs="Times New Roman"/>
        </w:rPr>
        <w:t xml:space="preserve"> threshold in QCA analyses is 0.7. However, a threshold should always be defined in relation to the qualities of the sample and the research interests (Schneider and </w:t>
      </w:r>
      <w:proofErr w:type="spellStart"/>
      <w:r w:rsidRPr="009C60C7">
        <w:rPr>
          <w:rFonts w:ascii="Times New Roman" w:hAnsi="Times New Roman" w:cs="Times New Roman"/>
        </w:rPr>
        <w:t>Wagemann</w:t>
      </w:r>
      <w:proofErr w:type="spellEnd"/>
      <w:r w:rsidRPr="009C60C7">
        <w:rPr>
          <w:rFonts w:ascii="Times New Roman" w:hAnsi="Times New Roman" w:cs="Times New Roman"/>
        </w:rPr>
        <w:t xml:space="preserve"> 2009, 2012). In our dataset, we can identify an empirical threshold since the data shows consistency scores of above 0.8 for all positive outcomes; we therefore opted for a higher consistency threshold of 0.8. Given the focus of this analysis on the presence of the outcome, i.e. more activities reported by CSOs, we also separate our </w:t>
      </w:r>
      <w:proofErr w:type="spellStart"/>
      <w:r w:rsidRPr="009C60C7">
        <w:rPr>
          <w:rFonts w:ascii="Times New Roman" w:hAnsi="Times New Roman" w:cs="Times New Roman"/>
        </w:rPr>
        <w:t>truthtable</w:t>
      </w:r>
      <w:proofErr w:type="spellEnd"/>
      <w:r w:rsidRPr="009C60C7">
        <w:rPr>
          <w:rFonts w:ascii="Times New Roman" w:hAnsi="Times New Roman" w:cs="Times New Roman"/>
        </w:rPr>
        <w:t xml:space="preserve"> rows b</w:t>
      </w:r>
      <w:r>
        <w:rPr>
          <w:rFonts w:ascii="Times New Roman" w:hAnsi="Times New Roman" w:cs="Times New Roman"/>
        </w:rPr>
        <w:t>y if case</w:t>
      </w:r>
      <w:r w:rsidRPr="009C60C7">
        <w:rPr>
          <w:rFonts w:ascii="Times New Roman" w:hAnsi="Times New Roman" w:cs="Times New Roman"/>
        </w:rPr>
        <w:t xml:space="preserve">s included in </w:t>
      </w:r>
      <w:proofErr w:type="gramStart"/>
      <w:r w:rsidRPr="009C60C7">
        <w:rPr>
          <w:rFonts w:ascii="Times New Roman" w:hAnsi="Times New Roman" w:cs="Times New Roman"/>
        </w:rPr>
        <w:t>this configurations</w:t>
      </w:r>
      <w:proofErr w:type="gramEnd"/>
      <w:r w:rsidRPr="009C60C7">
        <w:rPr>
          <w:rFonts w:ascii="Times New Roman" w:hAnsi="Times New Roman" w:cs="Times New Roman"/>
        </w:rPr>
        <w:t xml:space="preserve"> show a positive or negative outcome (outcome &gt;0.5). </w:t>
      </w:r>
    </w:p>
    <w:p w:rsidR="00BF3262" w:rsidRPr="009C60C7" w:rsidRDefault="00BF3262" w:rsidP="00BF3262">
      <w:pPr>
        <w:pStyle w:val="Beschriftung"/>
        <w:keepNext/>
        <w:rPr>
          <w:rFonts w:ascii="Times New Roman" w:hAnsi="Times New Roman" w:cs="Times New Roman"/>
          <w:color w:val="auto"/>
        </w:rPr>
      </w:pPr>
      <w:r w:rsidRPr="009C60C7">
        <w:rPr>
          <w:rFonts w:ascii="Times New Roman" w:hAnsi="Times New Roman" w:cs="Times New Roman"/>
          <w:color w:val="auto"/>
        </w:rPr>
        <w:t xml:space="preserve">Table </w:t>
      </w:r>
      <w:r>
        <w:rPr>
          <w:rFonts w:ascii="Times New Roman" w:hAnsi="Times New Roman" w:cs="Times New Roman"/>
          <w:color w:val="auto"/>
        </w:rPr>
        <w:t>A2</w:t>
      </w:r>
      <w:r w:rsidRPr="009C60C7">
        <w:rPr>
          <w:rFonts w:ascii="Times New Roman" w:hAnsi="Times New Roman" w:cs="Times New Roman"/>
          <w:color w:val="auto"/>
        </w:rPr>
        <w:t>: Truth Table</w:t>
      </w:r>
    </w:p>
    <w:tbl>
      <w:tblPr>
        <w:tblStyle w:val="MittlereListe21"/>
        <w:tblW w:w="9500" w:type="dxa"/>
        <w:tblLook w:val="0420" w:firstRow="1" w:lastRow="0" w:firstColumn="0" w:lastColumn="0" w:noHBand="0" w:noVBand="1"/>
      </w:tblPr>
      <w:tblGrid>
        <w:gridCol w:w="828"/>
        <w:gridCol w:w="1027"/>
        <w:gridCol w:w="750"/>
        <w:gridCol w:w="683"/>
        <w:gridCol w:w="883"/>
        <w:gridCol w:w="938"/>
        <w:gridCol w:w="994"/>
        <w:gridCol w:w="622"/>
        <w:gridCol w:w="2775"/>
      </w:tblGrid>
      <w:tr w:rsidR="00BF3262" w:rsidRPr="009C60C7" w:rsidTr="008E0C1F">
        <w:trPr>
          <w:cnfStyle w:val="100000000000" w:firstRow="1" w:lastRow="0" w:firstColumn="0" w:lastColumn="0" w:oddVBand="0" w:evenVBand="0" w:oddHBand="0" w:evenHBand="0" w:firstRowFirstColumn="0" w:firstRowLastColumn="0" w:lastRowFirstColumn="0" w:lastRowLastColumn="0"/>
          <w:trHeight w:val="254"/>
        </w:trPr>
        <w:tc>
          <w:tcPr>
            <w:tcW w:w="806" w:type="dxa"/>
            <w:noWrap/>
            <w:hideMark/>
          </w:tcPr>
          <w:p w:rsidR="00BF3262" w:rsidRPr="009C60C7" w:rsidRDefault="00BF3262" w:rsidP="008E0C1F">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w:t>
            </w:r>
            <w:r w:rsidRPr="009C60C7">
              <w:rPr>
                <w:rFonts w:ascii="Times New Roman" w:eastAsia="Times New Roman" w:hAnsi="Times New Roman" w:cs="Times New Roman"/>
                <w:b/>
                <w:bCs/>
                <w:color w:val="000000"/>
                <w:sz w:val="20"/>
                <w:szCs w:val="20"/>
              </w:rPr>
              <w:t>udget</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volunteer</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Status</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scope</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country</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 xml:space="preserve">outcome </w:t>
            </w:r>
          </w:p>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consist.</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Outcome</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freq.</w:t>
            </w:r>
          </w:p>
        </w:tc>
        <w:tc>
          <w:tcPr>
            <w:tcW w:w="0" w:type="auto"/>
            <w:noWrap/>
            <w:hideMark/>
          </w:tcPr>
          <w:p w:rsidR="00BF3262" w:rsidRPr="009C60C7" w:rsidRDefault="00BF3262" w:rsidP="008E0C1F">
            <w:pPr>
              <w:rPr>
                <w:rFonts w:ascii="Times New Roman" w:eastAsia="Times New Roman" w:hAnsi="Times New Roman" w:cs="Times New Roman"/>
                <w:b/>
                <w:bCs/>
                <w:color w:val="000000"/>
                <w:sz w:val="20"/>
                <w:szCs w:val="20"/>
              </w:rPr>
            </w:pPr>
            <w:r w:rsidRPr="009C60C7">
              <w:rPr>
                <w:rFonts w:ascii="Times New Roman" w:eastAsia="Times New Roman" w:hAnsi="Times New Roman" w:cs="Times New Roman"/>
                <w:b/>
                <w:bCs/>
                <w:color w:val="000000"/>
                <w:sz w:val="20"/>
                <w:szCs w:val="20"/>
              </w:rPr>
              <w:t>Case ID</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0,9927</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3</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GR24, GR25, GR26</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0,99</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GR27</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0,9718</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GR1</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0,9619</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4</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lang w:val="de-AT"/>
              </w:rPr>
              <w:t>GR6, GR7, GR8, GR9</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0,9603</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DE1, DE2</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0,9386</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3</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GR3, GR4, GR5</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0,9356</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3</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DE3, DE4, DE5</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0,9331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4</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GR10, GR11, GR12, GR13</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lastRenderedPageBreak/>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0,9195</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GR16, GR17</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0,8868</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DE6</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0,8404</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tcBorders>
              <w:bottom w:val="single" w:sz="4" w:space="0" w:color="auto"/>
            </w:tcBorders>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DE15, DE16</w:t>
            </w:r>
          </w:p>
        </w:tc>
      </w:tr>
      <w:tr w:rsidR="00BF3262" w:rsidRPr="009C60C7" w:rsidTr="008E0C1F">
        <w:trPr>
          <w:trHeight w:val="254"/>
        </w:trPr>
        <w:tc>
          <w:tcPr>
            <w:tcW w:w="806" w:type="dxa"/>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0,6935</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tcBorders>
              <w:top w:val="single" w:sz="4" w:space="0" w:color="auto"/>
              <w:bottom w:val="nil"/>
            </w:tcBorders>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DE7, DE8</w:t>
            </w:r>
          </w:p>
        </w:tc>
      </w:tr>
      <w:tr w:rsidR="00BF3262" w:rsidRPr="009C732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0,5349</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6</w:t>
            </w:r>
          </w:p>
        </w:tc>
        <w:tc>
          <w:tcPr>
            <w:tcW w:w="0" w:type="auto"/>
            <w:hideMark/>
          </w:tcPr>
          <w:p w:rsidR="00BF3262" w:rsidRPr="009C60C7" w:rsidRDefault="00BF3262" w:rsidP="008E0C1F">
            <w:pPr>
              <w:rPr>
                <w:rFonts w:ascii="Times New Roman" w:hAnsi="Times New Roman" w:cs="Times New Roman"/>
                <w:color w:val="000000"/>
                <w:sz w:val="20"/>
                <w:szCs w:val="20"/>
                <w:lang w:val="es-CO"/>
              </w:rPr>
            </w:pPr>
            <w:r w:rsidRPr="009C60C7">
              <w:rPr>
                <w:rFonts w:ascii="Times New Roman" w:hAnsi="Times New Roman" w:cs="Times New Roman"/>
                <w:color w:val="000000"/>
                <w:sz w:val="20"/>
                <w:szCs w:val="20"/>
                <w:lang w:val="es-CO"/>
              </w:rPr>
              <w:t>DE9, DE10, DE11, DE12, DE13, DE14</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0,856</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GR2</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0,8441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GR20</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0,7843</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GR18, GR19</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0,7692</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DE23</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0,7287</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GR14, GR15</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0,6233</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4</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DE17, DE18, DE19, DE20</w:t>
            </w:r>
          </w:p>
        </w:tc>
      </w:tr>
      <w:tr w:rsidR="00BF3262" w:rsidRPr="009C60C7" w:rsidTr="008E0C1F">
        <w:trPr>
          <w:trHeight w:val="254"/>
        </w:trPr>
        <w:tc>
          <w:tcPr>
            <w:tcW w:w="806" w:type="dxa"/>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0,6092</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2</w:t>
            </w:r>
          </w:p>
        </w:tc>
        <w:tc>
          <w:tcPr>
            <w:tcW w:w="0" w:type="auto"/>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DE21, DE22</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1</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0,5924</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0</w:t>
            </w:r>
          </w:p>
        </w:tc>
        <w:tc>
          <w:tcPr>
            <w:tcW w:w="0" w:type="auto"/>
            <w:tcBorders>
              <w:bottom w:val="single" w:sz="4" w:space="0" w:color="auto"/>
            </w:tcBorders>
            <w:hideMark/>
          </w:tcPr>
          <w:p w:rsidR="00BF3262" w:rsidRPr="009C60C7" w:rsidRDefault="00BF3262" w:rsidP="008E0C1F">
            <w:pPr>
              <w:jc w:val="right"/>
              <w:rPr>
                <w:rFonts w:ascii="Times New Roman" w:hAnsi="Times New Roman" w:cs="Times New Roman"/>
                <w:color w:val="000000"/>
                <w:sz w:val="20"/>
                <w:szCs w:val="20"/>
              </w:rPr>
            </w:pPr>
            <w:r w:rsidRPr="009C60C7">
              <w:rPr>
                <w:rFonts w:ascii="Times New Roman" w:hAnsi="Times New Roman" w:cs="Times New Roman"/>
                <w:color w:val="000000"/>
                <w:sz w:val="20"/>
                <w:szCs w:val="20"/>
              </w:rPr>
              <w:t>3</w:t>
            </w:r>
          </w:p>
        </w:tc>
        <w:tc>
          <w:tcPr>
            <w:tcW w:w="0" w:type="auto"/>
            <w:tcBorders>
              <w:bottom w:val="single" w:sz="4" w:space="0" w:color="auto"/>
            </w:tcBorders>
            <w:hideMark/>
          </w:tcPr>
          <w:p w:rsidR="00BF3262" w:rsidRPr="009C60C7" w:rsidRDefault="00BF3262" w:rsidP="008E0C1F">
            <w:pPr>
              <w:rPr>
                <w:rFonts w:ascii="Times New Roman" w:hAnsi="Times New Roman" w:cs="Times New Roman"/>
                <w:color w:val="000000"/>
                <w:sz w:val="20"/>
                <w:szCs w:val="20"/>
              </w:rPr>
            </w:pPr>
            <w:r w:rsidRPr="009C60C7">
              <w:rPr>
                <w:rFonts w:ascii="Times New Roman" w:hAnsi="Times New Roman" w:cs="Times New Roman"/>
                <w:color w:val="000000"/>
                <w:sz w:val="20"/>
                <w:szCs w:val="20"/>
              </w:rPr>
              <w:t>GR21, GR22, GR23</w:t>
            </w:r>
          </w:p>
        </w:tc>
      </w:tr>
      <w:tr w:rsidR="00BF3262" w:rsidRPr="009C60C7" w:rsidTr="008E0C1F">
        <w:trPr>
          <w:trHeight w:val="254"/>
        </w:trPr>
        <w:tc>
          <w:tcPr>
            <w:tcW w:w="806" w:type="dxa"/>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tcBorders>
              <w:top w:val="single" w:sz="4" w:space="0" w:color="auto"/>
              <w:bottom w:val="nil"/>
            </w:tcBorders>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 </w:t>
            </w:r>
          </w:p>
        </w:tc>
        <w:tc>
          <w:tcPr>
            <w:tcW w:w="0" w:type="auto"/>
            <w:tcBorders>
              <w:top w:val="single" w:sz="4" w:space="0" w:color="auto"/>
              <w:bottom w:val="nil"/>
            </w:tcBorders>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tcBorders>
              <w:top w:val="single" w:sz="4" w:space="0" w:color="auto"/>
              <w:bottom w:val="nil"/>
            </w:tcBorders>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 </w:t>
            </w: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r w:rsidR="00BF3262" w:rsidRPr="009C60C7" w:rsidTr="008E0C1F">
        <w:trPr>
          <w:cnfStyle w:val="000000100000" w:firstRow="0" w:lastRow="0" w:firstColumn="0" w:lastColumn="0" w:oddVBand="0" w:evenVBand="0" w:oddHBand="1" w:evenHBand="0" w:firstRowFirstColumn="0" w:firstRowLastColumn="0" w:lastRowFirstColumn="0" w:lastRowLastColumn="0"/>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 </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 </w:t>
            </w:r>
          </w:p>
        </w:tc>
      </w:tr>
      <w:tr w:rsidR="00BF3262" w:rsidRPr="009C60C7" w:rsidTr="008E0C1F">
        <w:trPr>
          <w:trHeight w:val="254"/>
        </w:trPr>
        <w:tc>
          <w:tcPr>
            <w:tcW w:w="806" w:type="dxa"/>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1</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c>
          <w:tcPr>
            <w:tcW w:w="0" w:type="auto"/>
            <w:noWrap/>
            <w:hideMark/>
          </w:tcPr>
          <w:p w:rsidR="00BF3262" w:rsidRPr="009C60C7" w:rsidRDefault="00BF3262" w:rsidP="008E0C1F">
            <w:pPr>
              <w:jc w:val="right"/>
              <w:rPr>
                <w:rFonts w:ascii="Times New Roman" w:eastAsia="Times New Roman" w:hAnsi="Times New Roman" w:cs="Times New Roman"/>
                <w:i/>
                <w:color w:val="000000"/>
                <w:sz w:val="20"/>
                <w:szCs w:val="20"/>
              </w:rPr>
            </w:pPr>
            <w:r w:rsidRPr="009C60C7">
              <w:rPr>
                <w:rFonts w:ascii="Times New Roman" w:eastAsia="Times New Roman" w:hAnsi="Times New Roman" w:cs="Times New Roman"/>
                <w:i/>
                <w:color w:val="000000"/>
                <w:sz w:val="20"/>
                <w:szCs w:val="20"/>
              </w:rPr>
              <w:t>0</w:t>
            </w:r>
          </w:p>
        </w:tc>
        <w:tc>
          <w:tcPr>
            <w:tcW w:w="0" w:type="auto"/>
            <w:noWrap/>
            <w:hideMark/>
          </w:tcPr>
          <w:p w:rsidR="00BF3262" w:rsidRPr="009C60C7" w:rsidRDefault="00BF3262" w:rsidP="008E0C1F">
            <w:pPr>
              <w:rPr>
                <w:rFonts w:ascii="Times New Roman" w:eastAsia="Times New Roman" w:hAnsi="Times New Roman" w:cs="Times New Roman"/>
                <w:i/>
                <w:color w:val="000000"/>
                <w:sz w:val="20"/>
                <w:szCs w:val="20"/>
              </w:rPr>
            </w:pPr>
          </w:p>
        </w:tc>
      </w:tr>
    </w:tbl>
    <w:p w:rsidR="00BF3262" w:rsidRPr="009C60C7" w:rsidRDefault="00BF3262" w:rsidP="00BF3262">
      <w:pPr>
        <w:jc w:val="both"/>
        <w:rPr>
          <w:rFonts w:ascii="Times New Roman" w:hAnsi="Times New Roman" w:cs="Times New Roman"/>
          <w:sz w:val="18"/>
        </w:rPr>
      </w:pPr>
      <w:r w:rsidRPr="009C60C7">
        <w:rPr>
          <w:rFonts w:ascii="Times New Roman" w:hAnsi="Times New Roman" w:cs="Times New Roman"/>
          <w:sz w:val="18"/>
        </w:rPr>
        <w:t>Note: lower rows in italics = logical remainders (non-observed configurations); in country condition: 0=Greece, 1=Germany.</w:t>
      </w:r>
    </w:p>
    <w:p w:rsidR="00BF3262" w:rsidRPr="009C60C7" w:rsidRDefault="00BF3262" w:rsidP="00BF3262">
      <w:pPr>
        <w:jc w:val="both"/>
        <w:rPr>
          <w:rFonts w:ascii="Times New Roman" w:hAnsi="Times New Roman" w:cs="Times New Roman"/>
        </w:rPr>
      </w:pPr>
      <w:r w:rsidRPr="009C60C7">
        <w:rPr>
          <w:rFonts w:ascii="Times New Roman" w:hAnsi="Times New Roman" w:cs="Times New Roman"/>
        </w:rPr>
        <w:t>An often-occurring problem with QCA is the phenomenon of so-called logical remainders: Configurations of conditions that are logically possible but not observed in the dataset. In our case, possible configurations are 32, but only 21 are observed in our sample. The preferred way of dealing with such remainders is to include those that can be predicted based on counterfactual analysis, thus ‘</w:t>
      </w:r>
      <w:r w:rsidRPr="009C60C7">
        <w:rPr>
          <w:rFonts w:ascii="Times New Roman" w:hAnsi="Times New Roman" w:cs="Times New Roman"/>
          <w:i/>
          <w:iCs/>
        </w:rPr>
        <w:t>[a]</w:t>
      </w:r>
      <w:proofErr w:type="spellStart"/>
      <w:r w:rsidRPr="009C60C7">
        <w:rPr>
          <w:rFonts w:ascii="Times New Roman" w:hAnsi="Times New Roman" w:cs="Times New Roman"/>
          <w:i/>
          <w:iCs/>
        </w:rPr>
        <w:t>ssumptions</w:t>
      </w:r>
      <w:proofErr w:type="spellEnd"/>
      <w:r w:rsidRPr="009C60C7">
        <w:rPr>
          <w:rFonts w:ascii="Times New Roman" w:hAnsi="Times New Roman" w:cs="Times New Roman"/>
          <w:i/>
          <w:iCs/>
        </w:rPr>
        <w:t xml:space="preserve"> </w:t>
      </w:r>
      <w:r w:rsidRPr="009C60C7">
        <w:rPr>
          <w:rFonts w:ascii="Times New Roman" w:hAnsi="Times New Roman" w:cs="Times New Roman"/>
        </w:rPr>
        <w:t>…</w:t>
      </w:r>
      <w:r w:rsidRPr="009C60C7">
        <w:rPr>
          <w:rFonts w:ascii="Times New Roman" w:hAnsi="Times New Roman" w:cs="Times New Roman"/>
          <w:i/>
          <w:iCs/>
        </w:rPr>
        <w:t xml:space="preserve"> </w:t>
      </w:r>
      <w:r w:rsidRPr="009C60C7">
        <w:rPr>
          <w:rFonts w:ascii="Times New Roman" w:hAnsi="Times New Roman" w:cs="Times New Roman"/>
        </w:rPr>
        <w:t xml:space="preserve">that are in line with </w:t>
      </w:r>
      <w:r w:rsidRPr="009C60C7">
        <w:rPr>
          <w:rFonts w:ascii="Times New Roman" w:hAnsi="Times New Roman" w:cs="Times New Roman"/>
          <w:i/>
          <w:iCs/>
        </w:rPr>
        <w:t xml:space="preserve">directional expectations </w:t>
      </w:r>
      <w:r w:rsidRPr="009C60C7">
        <w:rPr>
          <w:rFonts w:ascii="Times New Roman" w:hAnsi="Times New Roman" w:cs="Times New Roman"/>
        </w:rPr>
        <w:t xml:space="preserve">and that contribute to </w:t>
      </w:r>
      <w:r w:rsidRPr="009C60C7">
        <w:rPr>
          <w:rFonts w:ascii="Times New Roman" w:hAnsi="Times New Roman" w:cs="Times New Roman"/>
          <w:i/>
          <w:iCs/>
        </w:rPr>
        <w:t>parsimony</w:t>
      </w:r>
      <w:r w:rsidRPr="009C60C7">
        <w:rPr>
          <w:rFonts w:ascii="Times New Roman" w:hAnsi="Times New Roman" w:cs="Times New Roman"/>
        </w:rPr>
        <w:t xml:space="preserve">’ (Schneider and </w:t>
      </w:r>
      <w:proofErr w:type="spellStart"/>
      <w:r w:rsidRPr="009C60C7">
        <w:rPr>
          <w:rFonts w:ascii="Times New Roman" w:hAnsi="Times New Roman" w:cs="Times New Roman"/>
        </w:rPr>
        <w:t>Wagemann</w:t>
      </w:r>
      <w:proofErr w:type="spellEnd"/>
      <w:r w:rsidRPr="009C60C7">
        <w:rPr>
          <w:rFonts w:ascii="Times New Roman" w:hAnsi="Times New Roman" w:cs="Times New Roman"/>
        </w:rPr>
        <w:t xml:space="preserve"> 2012: 326; emphasis in the original). In the following, thus, we explain the reasons behind including some, but not all of these ‘empty’ cases.</w:t>
      </w:r>
    </w:p>
    <w:p w:rsidR="00BF3262" w:rsidRPr="009C60C7" w:rsidRDefault="00BF3262" w:rsidP="00BF3262">
      <w:pPr>
        <w:jc w:val="both"/>
        <w:rPr>
          <w:rFonts w:ascii="Times New Roman" w:hAnsi="Times New Roman" w:cs="Times New Roman"/>
        </w:rPr>
      </w:pPr>
      <w:r w:rsidRPr="009C60C7">
        <w:rPr>
          <w:rFonts w:ascii="Times New Roman" w:hAnsi="Times New Roman" w:cs="Times New Roman"/>
        </w:rPr>
        <w:t xml:space="preserve">Looking at 11 logical remainders, we have, for example, </w:t>
      </w:r>
      <w:proofErr w:type="spellStart"/>
      <w:r w:rsidRPr="009C60C7">
        <w:rPr>
          <w:rFonts w:ascii="Times New Roman" w:hAnsi="Times New Roman" w:cs="Times New Roman"/>
        </w:rPr>
        <w:t>analysed</w:t>
      </w:r>
      <w:proofErr w:type="spellEnd"/>
      <w:r w:rsidRPr="009C60C7">
        <w:rPr>
          <w:rFonts w:ascii="Times New Roman" w:hAnsi="Times New Roman" w:cs="Times New Roman"/>
        </w:rPr>
        <w:t xml:space="preserve"> necessary conditions before. While the budget condition was close to the threshold but failed the necessity test, we see its presence in all German cases showing a positive outcome, regardless of the configuration’s consistency score. We also see its absence in all observed German cases in which budget is not present. Thus, we may derive from these observations that in the German case, the budget condition is necessary for the outcome to occur.</w:t>
      </w:r>
      <w:r w:rsidRPr="009C60C7">
        <w:rPr>
          <w:rStyle w:val="Funotenzeichen"/>
          <w:rFonts w:ascii="Times New Roman" w:hAnsi="Times New Roman" w:cs="Times New Roman"/>
        </w:rPr>
        <w:footnoteReference w:id="1"/>
      </w:r>
      <w:r w:rsidRPr="009C60C7">
        <w:rPr>
          <w:rFonts w:ascii="Times New Roman" w:hAnsi="Times New Roman" w:cs="Times New Roman"/>
        </w:rPr>
        <w:t xml:space="preserve">  To increase parsimony of the solution term, thus, we add logical remainders for the German case and assign them a negative outcome when budget is not present.</w:t>
      </w:r>
    </w:p>
    <w:p w:rsidR="00BF3262" w:rsidRPr="009C60C7" w:rsidRDefault="00BF3262" w:rsidP="00BF3262">
      <w:pPr>
        <w:jc w:val="both"/>
        <w:rPr>
          <w:rFonts w:ascii="Times New Roman" w:hAnsi="Times New Roman" w:cs="Times New Roman"/>
        </w:rPr>
      </w:pPr>
      <w:r w:rsidRPr="009C60C7">
        <w:rPr>
          <w:rFonts w:ascii="Times New Roman" w:hAnsi="Times New Roman" w:cs="Times New Roman"/>
        </w:rPr>
        <w:t xml:space="preserve">In addition, it is, from a theoretical point of view, unlikely that with none of the included conditions present, CSOs would reach an activity score of above 0.5 (OUTCOME). The respective configurations are therefore included with a negative outcome for both countries. Moreover, from the analysis of necessity as </w:t>
      </w:r>
      <w:r w:rsidRPr="009C60C7">
        <w:rPr>
          <w:rFonts w:ascii="Times New Roman" w:hAnsi="Times New Roman" w:cs="Times New Roman"/>
        </w:rPr>
        <w:lastRenderedPageBreak/>
        <w:t xml:space="preserve">well as the </w:t>
      </w:r>
      <w:proofErr w:type="spellStart"/>
      <w:r w:rsidRPr="009C60C7">
        <w:rPr>
          <w:rFonts w:ascii="Times New Roman" w:hAnsi="Times New Roman" w:cs="Times New Roman"/>
        </w:rPr>
        <w:t>truthtable</w:t>
      </w:r>
      <w:proofErr w:type="spellEnd"/>
      <w:r w:rsidRPr="009C60C7">
        <w:rPr>
          <w:rFonts w:ascii="Times New Roman" w:hAnsi="Times New Roman" w:cs="Times New Roman"/>
        </w:rPr>
        <w:t xml:space="preserve"> itself is becomes apparent that the budget and the status conditions are the most important for the Greek case since they can either alone or in combination with other conditions lead to the outcome. It seems therefore unlikely that a configuration in which only the volunteer condition or the scope condition would be present would lead to a positive outcome. These configurations are therefore included for the Greek case with a negative outcome.</w:t>
      </w:r>
      <w:r w:rsidRPr="009C60C7">
        <w:rPr>
          <w:rStyle w:val="Funotenzeichen"/>
          <w:rFonts w:ascii="Times New Roman" w:hAnsi="Times New Roman" w:cs="Times New Roman"/>
        </w:rPr>
        <w:footnoteReference w:id="2"/>
      </w:r>
      <w:r w:rsidRPr="009C60C7">
        <w:rPr>
          <w:rFonts w:ascii="Times New Roman" w:hAnsi="Times New Roman" w:cs="Times New Roman"/>
        </w:rPr>
        <w:t xml:space="preserve"> </w:t>
      </w:r>
    </w:p>
    <w:p w:rsidR="00BF3262" w:rsidRDefault="00BF3262">
      <w:pPr>
        <w:rPr>
          <w:rFonts w:ascii="Times New Roman" w:eastAsiaTheme="majorEastAsia" w:hAnsi="Times New Roman" w:cs="Times New Roman"/>
          <w:b/>
          <w:bCs/>
          <w:sz w:val="24"/>
          <w:szCs w:val="28"/>
        </w:rPr>
      </w:pPr>
      <w:r>
        <w:rPr>
          <w:rFonts w:ascii="Times New Roman" w:hAnsi="Times New Roman" w:cs="Times New Roman"/>
          <w:sz w:val="24"/>
        </w:rPr>
        <w:br w:type="page"/>
      </w:r>
    </w:p>
    <w:p w:rsidR="00476765" w:rsidRPr="000C38A4" w:rsidRDefault="00ED46CF" w:rsidP="000C38A4">
      <w:pPr>
        <w:pStyle w:val="berschrift1"/>
        <w:rPr>
          <w:rFonts w:ascii="Times New Roman" w:hAnsi="Times New Roman" w:cs="Times New Roman"/>
          <w:color w:val="auto"/>
          <w:sz w:val="24"/>
        </w:rPr>
      </w:pPr>
      <w:r>
        <w:rPr>
          <w:rFonts w:ascii="Times New Roman" w:hAnsi="Times New Roman" w:cs="Times New Roman"/>
          <w:color w:val="auto"/>
          <w:sz w:val="24"/>
        </w:rPr>
        <w:lastRenderedPageBreak/>
        <w:t xml:space="preserve">Supplementary Material B: </w:t>
      </w:r>
      <w:r w:rsidR="001B729A">
        <w:rPr>
          <w:rFonts w:ascii="Times New Roman" w:hAnsi="Times New Roman" w:cs="Times New Roman"/>
          <w:color w:val="auto"/>
          <w:sz w:val="24"/>
        </w:rPr>
        <w:t>Visualization of all</w:t>
      </w:r>
      <w:r w:rsidR="00476765" w:rsidRPr="000C38A4">
        <w:rPr>
          <w:rFonts w:ascii="Times New Roman" w:hAnsi="Times New Roman" w:cs="Times New Roman"/>
          <w:color w:val="auto"/>
          <w:sz w:val="24"/>
        </w:rPr>
        <w:t xml:space="preserve"> Solution Sets individually</w:t>
      </w:r>
      <w:r w:rsidR="001B729A">
        <w:rPr>
          <w:rFonts w:ascii="Times New Roman" w:hAnsi="Times New Roman" w:cs="Times New Roman"/>
          <w:color w:val="auto"/>
          <w:sz w:val="24"/>
        </w:rPr>
        <w:t>: XY Plots</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07"/>
        <w:gridCol w:w="3207"/>
      </w:tblGrid>
      <w:tr w:rsidR="00394BEA" w:rsidRPr="00C749D3" w:rsidTr="00394BEA">
        <w:trPr>
          <w:trHeight w:val="2598"/>
          <w:jc w:val="center"/>
        </w:trPr>
        <w:tc>
          <w:tcPr>
            <w:tcW w:w="3208"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894577" cy="1620000"/>
                  <wp:effectExtent l="19050" t="0" r="0" b="0"/>
                  <wp:docPr id="28" name="Picture 6" descr="BUDGET STATUS scop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TATUS scope.bmp"/>
                          <pic:cNvPicPr/>
                        </pic:nvPicPr>
                        <pic:blipFill>
                          <a:blip r:embed="rId7" cstate="print"/>
                          <a:stretch>
                            <a:fillRect/>
                          </a:stretch>
                        </pic:blipFill>
                        <pic:spPr>
                          <a:xfrm>
                            <a:off x="0" y="0"/>
                            <a:ext cx="1894577" cy="1620000"/>
                          </a:xfrm>
                          <a:prstGeom prst="rect">
                            <a:avLst/>
                          </a:prstGeom>
                        </pic:spPr>
                      </pic:pic>
                    </a:graphicData>
                  </a:graphic>
                </wp:inline>
              </w:drawing>
            </w:r>
          </w:p>
        </w:tc>
        <w:tc>
          <w:tcPr>
            <w:tcW w:w="3207"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894577" cy="1620000"/>
                  <wp:effectExtent l="19050" t="0" r="0" b="0"/>
                  <wp:docPr id="29" name="Picture 4" descr="BUDGET scope count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cope country.bmp"/>
                          <pic:cNvPicPr/>
                        </pic:nvPicPr>
                        <pic:blipFill>
                          <a:blip r:embed="rId8" cstate="print"/>
                          <a:stretch>
                            <a:fillRect/>
                          </a:stretch>
                        </pic:blipFill>
                        <pic:spPr>
                          <a:xfrm>
                            <a:off x="0" y="0"/>
                            <a:ext cx="1894577" cy="1620000"/>
                          </a:xfrm>
                          <a:prstGeom prst="rect">
                            <a:avLst/>
                          </a:prstGeom>
                        </pic:spPr>
                      </pic:pic>
                    </a:graphicData>
                  </a:graphic>
                </wp:inline>
              </w:drawing>
            </w:r>
          </w:p>
        </w:tc>
        <w:tc>
          <w:tcPr>
            <w:tcW w:w="3207"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903219" cy="1620000"/>
                  <wp:effectExtent l="19050" t="0" r="1781" b="0"/>
                  <wp:docPr id="30" name="Picture 7" descr="STATUS scope count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US scope country.bmp"/>
                          <pic:cNvPicPr/>
                        </pic:nvPicPr>
                        <pic:blipFill>
                          <a:blip r:embed="rId9" cstate="print"/>
                          <a:stretch>
                            <a:fillRect/>
                          </a:stretch>
                        </pic:blipFill>
                        <pic:spPr>
                          <a:xfrm>
                            <a:off x="0" y="0"/>
                            <a:ext cx="1903219" cy="1620000"/>
                          </a:xfrm>
                          <a:prstGeom prst="rect">
                            <a:avLst/>
                          </a:prstGeom>
                        </pic:spPr>
                      </pic:pic>
                    </a:graphicData>
                  </a:graphic>
                </wp:inline>
              </w:drawing>
            </w:r>
          </w:p>
        </w:tc>
      </w:tr>
      <w:tr w:rsidR="00394BEA" w:rsidRPr="00C749D3" w:rsidTr="00394BEA">
        <w:trPr>
          <w:trHeight w:val="2598"/>
          <w:jc w:val="center"/>
        </w:trPr>
        <w:tc>
          <w:tcPr>
            <w:tcW w:w="3208"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912436" cy="1620000"/>
                  <wp:effectExtent l="19050" t="0" r="0" b="0"/>
                  <wp:docPr id="31" name="Picture 8" descr="volunteer STATUS count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nteer STATUS country.bmp"/>
                          <pic:cNvPicPr/>
                        </pic:nvPicPr>
                        <pic:blipFill>
                          <a:blip r:embed="rId10" cstate="print"/>
                          <a:stretch>
                            <a:fillRect/>
                          </a:stretch>
                        </pic:blipFill>
                        <pic:spPr>
                          <a:xfrm>
                            <a:off x="0" y="0"/>
                            <a:ext cx="1912436" cy="1620000"/>
                          </a:xfrm>
                          <a:prstGeom prst="rect">
                            <a:avLst/>
                          </a:prstGeom>
                        </pic:spPr>
                      </pic:pic>
                    </a:graphicData>
                  </a:graphic>
                </wp:inline>
              </w:drawing>
            </w:r>
          </w:p>
        </w:tc>
        <w:tc>
          <w:tcPr>
            <w:tcW w:w="3207"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912435" cy="1620000"/>
                  <wp:effectExtent l="19050" t="0" r="0" b="0"/>
                  <wp:docPr id="32" name="Picture 9" descr="BUDGET VOLUNTEER SCOPE COUNT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VOLUNTEER SCOPE COUNTRY.bmp"/>
                          <pic:cNvPicPr/>
                        </pic:nvPicPr>
                        <pic:blipFill>
                          <a:blip r:embed="rId11" cstate="print"/>
                          <a:stretch>
                            <a:fillRect/>
                          </a:stretch>
                        </pic:blipFill>
                        <pic:spPr>
                          <a:xfrm>
                            <a:off x="0" y="0"/>
                            <a:ext cx="1912435" cy="1620000"/>
                          </a:xfrm>
                          <a:prstGeom prst="rect">
                            <a:avLst/>
                          </a:prstGeom>
                        </pic:spPr>
                      </pic:pic>
                    </a:graphicData>
                  </a:graphic>
                </wp:inline>
              </w:drawing>
            </w:r>
          </w:p>
        </w:tc>
        <w:tc>
          <w:tcPr>
            <w:tcW w:w="3207" w:type="dxa"/>
          </w:tcPr>
          <w:p w:rsidR="00394BEA" w:rsidRPr="00C749D3" w:rsidRDefault="00394BEA" w:rsidP="00057A28">
            <w:pPr>
              <w:jc w:val="both"/>
              <w:rPr>
                <w:rFonts w:ascii="Times New Roman" w:hAnsi="Times New Roman" w:cs="Times New Roman"/>
                <w:highlight w:val="yellow"/>
              </w:rPr>
            </w:pPr>
            <w:r w:rsidRPr="00C749D3">
              <w:rPr>
                <w:rFonts w:ascii="Times New Roman" w:hAnsi="Times New Roman" w:cs="Times New Roman"/>
                <w:noProof/>
              </w:rPr>
              <w:drawing>
                <wp:inline distT="0" distB="0" distL="0" distR="0">
                  <wp:extent cx="1912435" cy="1620000"/>
                  <wp:effectExtent l="19050" t="0" r="0" b="0"/>
                  <wp:docPr id="33" name="Picture 17" descr="BUDGET STATUS count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STATUS country.bmp"/>
                          <pic:cNvPicPr/>
                        </pic:nvPicPr>
                        <pic:blipFill>
                          <a:blip r:embed="rId12" cstate="print"/>
                          <a:stretch>
                            <a:fillRect/>
                          </a:stretch>
                        </pic:blipFill>
                        <pic:spPr>
                          <a:xfrm>
                            <a:off x="0" y="0"/>
                            <a:ext cx="1912435" cy="1620000"/>
                          </a:xfrm>
                          <a:prstGeom prst="rect">
                            <a:avLst/>
                          </a:prstGeom>
                        </pic:spPr>
                      </pic:pic>
                    </a:graphicData>
                  </a:graphic>
                </wp:inline>
              </w:drawing>
            </w:r>
          </w:p>
        </w:tc>
      </w:tr>
      <w:tr w:rsidR="00394BEA" w:rsidRPr="00C749D3" w:rsidTr="00394BEA">
        <w:trPr>
          <w:trHeight w:val="2598"/>
          <w:jc w:val="center"/>
        </w:trPr>
        <w:tc>
          <w:tcPr>
            <w:tcW w:w="3208" w:type="dxa"/>
          </w:tcPr>
          <w:p w:rsidR="00394BEA" w:rsidRPr="00C749D3" w:rsidRDefault="00394BEA" w:rsidP="00057A28">
            <w:pPr>
              <w:jc w:val="both"/>
              <w:rPr>
                <w:rFonts w:ascii="Times New Roman" w:hAnsi="Times New Roman" w:cs="Times New Roman"/>
                <w:noProof/>
              </w:rPr>
            </w:pPr>
            <w:r w:rsidRPr="00C749D3">
              <w:rPr>
                <w:rFonts w:ascii="Times New Roman" w:hAnsi="Times New Roman" w:cs="Times New Roman"/>
                <w:noProof/>
              </w:rPr>
              <w:drawing>
                <wp:inline distT="0" distB="0" distL="0" distR="0">
                  <wp:extent cx="1903217" cy="1620000"/>
                  <wp:effectExtent l="19050" t="0" r="1783" b="0"/>
                  <wp:docPr id="34" name="Picture 19" descr="BUDGET VOLUNTEER STATU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 VOLUNTEER STATUS.bmp"/>
                          <pic:cNvPicPr/>
                        </pic:nvPicPr>
                        <pic:blipFill>
                          <a:blip r:embed="rId13" cstate="print"/>
                          <a:stretch>
                            <a:fillRect/>
                          </a:stretch>
                        </pic:blipFill>
                        <pic:spPr>
                          <a:xfrm>
                            <a:off x="0" y="0"/>
                            <a:ext cx="1903217" cy="1620000"/>
                          </a:xfrm>
                          <a:prstGeom prst="rect">
                            <a:avLst/>
                          </a:prstGeom>
                        </pic:spPr>
                      </pic:pic>
                    </a:graphicData>
                  </a:graphic>
                </wp:inline>
              </w:drawing>
            </w:r>
          </w:p>
        </w:tc>
        <w:tc>
          <w:tcPr>
            <w:tcW w:w="3207" w:type="dxa"/>
          </w:tcPr>
          <w:p w:rsidR="00394BEA" w:rsidRPr="00C749D3" w:rsidRDefault="00394BEA" w:rsidP="00057A28">
            <w:pPr>
              <w:jc w:val="both"/>
              <w:rPr>
                <w:rFonts w:ascii="Times New Roman" w:hAnsi="Times New Roman" w:cs="Times New Roman"/>
                <w:noProof/>
              </w:rPr>
            </w:pPr>
          </w:p>
        </w:tc>
        <w:tc>
          <w:tcPr>
            <w:tcW w:w="3207" w:type="dxa"/>
          </w:tcPr>
          <w:p w:rsidR="00394BEA" w:rsidRPr="00C749D3" w:rsidRDefault="00394BEA" w:rsidP="00057A28">
            <w:pPr>
              <w:keepNext/>
              <w:jc w:val="both"/>
              <w:rPr>
                <w:rFonts w:ascii="Times New Roman" w:hAnsi="Times New Roman" w:cs="Times New Roman"/>
                <w:noProof/>
              </w:rPr>
            </w:pPr>
          </w:p>
        </w:tc>
      </w:tr>
    </w:tbl>
    <w:p w:rsidR="00201B85" w:rsidRPr="00C749D3" w:rsidRDefault="00201B85" w:rsidP="00201B85">
      <w:pPr>
        <w:jc w:val="both"/>
        <w:rPr>
          <w:rFonts w:ascii="Times New Roman" w:hAnsi="Times New Roman" w:cs="Times New Roman"/>
        </w:rPr>
      </w:pPr>
      <w:r w:rsidRPr="00C749D3">
        <w:rPr>
          <w:rFonts w:ascii="Times New Roman" w:hAnsi="Times New Roman" w:cs="Times New Roman"/>
        </w:rPr>
        <w:t>Note: Cases above the diagonal are generally defined as consistent in terms of sufficiency while cases below the diagonal are not. The part of the upper right quadrant (</w:t>
      </w:r>
      <w:proofErr w:type="spellStart"/>
      <w:r w:rsidRPr="00C749D3">
        <w:rPr>
          <w:rFonts w:ascii="Times New Roman" w:hAnsi="Times New Roman" w:cs="Times New Roman"/>
        </w:rPr>
        <w:t>x&amp;y</w:t>
      </w:r>
      <w:proofErr w:type="spellEnd"/>
      <w:r w:rsidRPr="00C749D3">
        <w:rPr>
          <w:rFonts w:ascii="Times New Roman" w:hAnsi="Times New Roman" w:cs="Times New Roman"/>
        </w:rPr>
        <w:t xml:space="preserve"> &gt;0.5) above the diagonal displays the cases well explained by the solution term in question; such cases are called ‘</w:t>
      </w:r>
      <w:proofErr w:type="spellStart"/>
      <w:r w:rsidRPr="00C749D3">
        <w:rPr>
          <w:rFonts w:ascii="Times New Roman" w:hAnsi="Times New Roman" w:cs="Times New Roman"/>
        </w:rPr>
        <w:t>onliers</w:t>
      </w:r>
      <w:proofErr w:type="spellEnd"/>
      <w:r w:rsidRPr="00C749D3">
        <w:rPr>
          <w:rFonts w:ascii="Times New Roman" w:hAnsi="Times New Roman" w:cs="Times New Roman"/>
        </w:rPr>
        <w:t>’ (Schneider and Rohlfing 2013). As we can see, cases in this area are generally quite few which again highlights the heterogeneity of the sample, also expressed in relatively low coverage of each solution set individually.</w:t>
      </w:r>
    </w:p>
    <w:p w:rsidR="00476765" w:rsidRPr="00C749D3" w:rsidRDefault="00476765">
      <w:pPr>
        <w:rPr>
          <w:rFonts w:ascii="Times New Roman" w:hAnsi="Times New Roman" w:cs="Times New Roman"/>
        </w:rPr>
      </w:pPr>
      <w:r w:rsidRPr="00C749D3">
        <w:rPr>
          <w:rFonts w:ascii="Times New Roman" w:hAnsi="Times New Roman" w:cs="Times New Roman"/>
        </w:rPr>
        <w:br w:type="page"/>
      </w:r>
    </w:p>
    <w:p w:rsidR="00201B85" w:rsidRDefault="00ED46CF" w:rsidP="000C38A4">
      <w:pPr>
        <w:pStyle w:val="berschrift1"/>
        <w:rPr>
          <w:rFonts w:ascii="Times New Roman" w:hAnsi="Times New Roman" w:cs="Times New Roman"/>
          <w:color w:val="auto"/>
          <w:sz w:val="24"/>
        </w:rPr>
      </w:pPr>
      <w:r>
        <w:rPr>
          <w:rFonts w:ascii="Times New Roman" w:hAnsi="Times New Roman" w:cs="Times New Roman"/>
          <w:color w:val="auto"/>
          <w:sz w:val="24"/>
        </w:rPr>
        <w:lastRenderedPageBreak/>
        <w:t xml:space="preserve">Supplementary Material C: </w:t>
      </w:r>
      <w:r w:rsidR="007F775E" w:rsidRPr="000C38A4">
        <w:rPr>
          <w:rFonts w:ascii="Times New Roman" w:hAnsi="Times New Roman" w:cs="Times New Roman"/>
          <w:color w:val="auto"/>
          <w:sz w:val="24"/>
        </w:rPr>
        <w:t>Translation of conditions into fuzzy sets</w:t>
      </w:r>
    </w:p>
    <w:p w:rsidR="009A3BB4" w:rsidRPr="00F316BB" w:rsidRDefault="009A3BB4" w:rsidP="009A3BB4">
      <w:pPr>
        <w:jc w:val="both"/>
        <w:rPr>
          <w:rFonts w:ascii="Times New Roman" w:hAnsi="Times New Roman" w:cs="Times New Roman"/>
        </w:rPr>
      </w:pPr>
      <w:bookmarkStart w:id="1" w:name="_GoBack"/>
      <w:bookmarkEnd w:id="1"/>
      <w:r w:rsidRPr="00F316BB">
        <w:rPr>
          <w:rFonts w:ascii="Times New Roman" w:hAnsi="Times New Roman" w:cs="Times New Roman"/>
        </w:rPr>
        <w:t xml:space="preserve">Fuzzy set QCA requires that the conditions included are measured on a scale ranging from 0-1. Therefore, all variables included needed to be rescaled, or ‘fuzzified’, to range from 0-1 to fit the </w:t>
      </w:r>
      <w:proofErr w:type="spellStart"/>
      <w:r w:rsidRPr="00F316BB">
        <w:rPr>
          <w:rFonts w:ascii="Times New Roman" w:hAnsi="Times New Roman" w:cs="Times New Roman"/>
        </w:rPr>
        <w:t>fsQCA</w:t>
      </w:r>
      <w:proofErr w:type="spellEnd"/>
      <w:r w:rsidRPr="00F316BB">
        <w:rPr>
          <w:rFonts w:ascii="Times New Roman" w:hAnsi="Times New Roman" w:cs="Times New Roman"/>
        </w:rPr>
        <w:t xml:space="preserve"> set logic. This was done in Stata, using the direct transformation method brought forward by Ragin (2008; Schneider and </w:t>
      </w:r>
      <w:proofErr w:type="spellStart"/>
      <w:r w:rsidRPr="00F316BB">
        <w:rPr>
          <w:rFonts w:ascii="Times New Roman" w:hAnsi="Times New Roman" w:cs="Times New Roman"/>
        </w:rPr>
        <w:t>Wagemann</w:t>
      </w:r>
      <w:proofErr w:type="spellEnd"/>
      <w:r w:rsidRPr="00F316BB">
        <w:rPr>
          <w:rFonts w:ascii="Times New Roman" w:hAnsi="Times New Roman" w:cs="Times New Roman"/>
        </w:rPr>
        <w:t xml:space="preserve"> 2012). During this transformation of variables, we defined a point of no membership (0), the turnover point (0,5), and the full membership score (1). For defining the turnover point, we assessed cases individually and looked at the distribution of cases, </w:t>
      </w:r>
      <w:proofErr w:type="gramStart"/>
      <w:r w:rsidRPr="00F316BB">
        <w:rPr>
          <w:rFonts w:ascii="Times New Roman" w:hAnsi="Times New Roman" w:cs="Times New Roman"/>
        </w:rPr>
        <w:t>taking into account</w:t>
      </w:r>
      <w:proofErr w:type="gramEnd"/>
      <w:r w:rsidRPr="00F316BB">
        <w:rPr>
          <w:rFonts w:ascii="Times New Roman" w:hAnsi="Times New Roman" w:cs="Times New Roman"/>
        </w:rPr>
        <w:t xml:space="preserve"> that our </w:t>
      </w:r>
      <w:proofErr w:type="spellStart"/>
      <w:r w:rsidRPr="00F316BB">
        <w:rPr>
          <w:rFonts w:ascii="Times New Roman" w:hAnsi="Times New Roman" w:cs="Times New Roman"/>
        </w:rPr>
        <w:t>fsQCA</w:t>
      </w:r>
      <w:proofErr w:type="spellEnd"/>
      <w:r w:rsidRPr="00F316BB">
        <w:rPr>
          <w:rFonts w:ascii="Times New Roman" w:hAnsi="Times New Roman" w:cs="Times New Roman"/>
        </w:rPr>
        <w:t xml:space="preserve"> scores are based on a standardized questionnaire. </w:t>
      </w:r>
    </w:p>
    <w:tbl>
      <w:tblPr>
        <w:tblStyle w:val="MittlereListe2"/>
        <w:tblW w:w="0" w:type="auto"/>
        <w:tblLook w:val="04A0" w:firstRow="1" w:lastRow="0" w:firstColumn="1" w:lastColumn="0" w:noHBand="0" w:noVBand="1"/>
      </w:tblPr>
      <w:tblGrid>
        <w:gridCol w:w="1244"/>
        <w:gridCol w:w="2313"/>
        <w:gridCol w:w="6065"/>
      </w:tblGrid>
      <w:tr w:rsidR="00C749D3" w:rsidRPr="008C6238" w:rsidTr="006644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7F775E" w:rsidRPr="00481095" w:rsidRDefault="007F775E">
            <w:pPr>
              <w:rPr>
                <w:rFonts w:ascii="Times New Roman" w:hAnsi="Times New Roman" w:cs="Times New Roman"/>
                <w:b/>
              </w:rPr>
            </w:pPr>
            <w:r w:rsidRPr="00481095">
              <w:rPr>
                <w:rFonts w:ascii="Times New Roman" w:hAnsi="Times New Roman" w:cs="Times New Roman"/>
                <w:b/>
              </w:rPr>
              <w:t>Condition</w:t>
            </w:r>
          </w:p>
        </w:tc>
        <w:tc>
          <w:tcPr>
            <w:tcW w:w="0" w:type="auto"/>
          </w:tcPr>
          <w:p w:rsidR="007F775E" w:rsidRPr="008C6238" w:rsidRDefault="007F775E" w:rsidP="00F12D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C6238">
              <w:rPr>
                <w:rFonts w:ascii="Times New Roman" w:hAnsi="Times New Roman" w:cs="Times New Roman"/>
                <w:b/>
              </w:rPr>
              <w:t>Turnover point</w:t>
            </w:r>
          </w:p>
        </w:tc>
        <w:tc>
          <w:tcPr>
            <w:tcW w:w="0" w:type="auto"/>
          </w:tcPr>
          <w:p w:rsidR="007F775E" w:rsidRPr="008C6238" w:rsidRDefault="007F77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8C6238">
              <w:rPr>
                <w:rFonts w:ascii="Times New Roman" w:hAnsi="Times New Roman" w:cs="Times New Roman"/>
                <w:b/>
              </w:rPr>
              <w:t>Justification</w:t>
            </w:r>
          </w:p>
        </w:tc>
      </w:tr>
      <w:tr w:rsidR="00C749D3" w:rsidRPr="00C749D3" w:rsidTr="00664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F775E" w:rsidRPr="00481095" w:rsidRDefault="007F775E">
            <w:pPr>
              <w:rPr>
                <w:rFonts w:ascii="Times New Roman" w:hAnsi="Times New Roman" w:cs="Times New Roman"/>
                <w:b/>
              </w:rPr>
            </w:pPr>
            <w:r w:rsidRPr="00481095">
              <w:rPr>
                <w:rFonts w:ascii="Times New Roman" w:hAnsi="Times New Roman" w:cs="Times New Roman"/>
                <w:b/>
              </w:rPr>
              <w:t>Budget</w:t>
            </w:r>
          </w:p>
        </w:tc>
        <w:tc>
          <w:tcPr>
            <w:tcW w:w="0" w:type="auto"/>
          </w:tcPr>
          <w:p w:rsidR="007F775E" w:rsidRPr="00C749D3" w:rsidRDefault="007F77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49D3">
              <w:rPr>
                <w:rFonts w:ascii="Times New Roman" w:hAnsi="Times New Roman" w:cs="Times New Roman"/>
              </w:rPr>
              <w:t>2.5</w:t>
            </w:r>
            <w:r w:rsidR="00664452" w:rsidRPr="00C749D3">
              <w:rPr>
                <w:rFonts w:ascii="Times New Roman" w:hAnsi="Times New Roman" w:cs="Times New Roman"/>
              </w:rPr>
              <w:t xml:space="preserve"> (Having a budget of up to 200,000€ = condition present)</w:t>
            </w:r>
          </w:p>
        </w:tc>
        <w:tc>
          <w:tcPr>
            <w:tcW w:w="0" w:type="auto"/>
          </w:tcPr>
          <w:p w:rsidR="007F775E" w:rsidRPr="00C749D3" w:rsidRDefault="00C749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49D3">
              <w:rPr>
                <w:rFonts w:ascii="Times New Roman" w:hAnsi="Times New Roman" w:cs="Times New Roman"/>
              </w:rPr>
              <w:t>The budget condition turned out to be very dominant, given also a heavy bias in the sample towards CSOs with a budget above 500,000€</w:t>
            </w:r>
            <w:r w:rsidR="00BB6CBB">
              <w:rPr>
                <w:rFonts w:ascii="Times New Roman" w:hAnsi="Times New Roman" w:cs="Times New Roman"/>
              </w:rPr>
              <w:t>,</w:t>
            </w:r>
            <w:r>
              <w:rPr>
                <w:rFonts w:ascii="Times New Roman" w:hAnsi="Times New Roman" w:cs="Times New Roman"/>
              </w:rPr>
              <w:t xml:space="preserve"> especially in the German case</w:t>
            </w:r>
            <w:r w:rsidRPr="00C749D3">
              <w:rPr>
                <w:rFonts w:ascii="Times New Roman" w:hAnsi="Times New Roman" w:cs="Times New Roman"/>
              </w:rPr>
              <w:t xml:space="preserve">. </w:t>
            </w:r>
            <w:r>
              <w:rPr>
                <w:rFonts w:ascii="Times New Roman" w:hAnsi="Times New Roman" w:cs="Times New Roman"/>
              </w:rPr>
              <w:t>Defining a relatively low turnover point therefore helps to accommodate the heterogeneity in the sample, also given the aim to compare two very different countries with very different financial situations when it comes to civil society structures.</w:t>
            </w:r>
            <w:r w:rsidR="005A5D06">
              <w:rPr>
                <w:rFonts w:ascii="Times New Roman" w:hAnsi="Times New Roman" w:cs="Times New Roman"/>
              </w:rPr>
              <w:t xml:space="preserve"> </w:t>
            </w:r>
          </w:p>
        </w:tc>
      </w:tr>
      <w:tr w:rsidR="00C749D3" w:rsidRPr="00C749D3" w:rsidTr="00664452">
        <w:tc>
          <w:tcPr>
            <w:cnfStyle w:val="001000000000" w:firstRow="0" w:lastRow="0" w:firstColumn="1" w:lastColumn="0" w:oddVBand="0" w:evenVBand="0" w:oddHBand="0" w:evenHBand="0" w:firstRowFirstColumn="0" w:firstRowLastColumn="0" w:lastRowFirstColumn="0" w:lastRowLastColumn="0"/>
            <w:tcW w:w="0" w:type="auto"/>
          </w:tcPr>
          <w:p w:rsidR="007F775E" w:rsidRPr="00481095" w:rsidRDefault="007F775E">
            <w:pPr>
              <w:rPr>
                <w:rFonts w:ascii="Times New Roman" w:hAnsi="Times New Roman" w:cs="Times New Roman"/>
                <w:b/>
              </w:rPr>
            </w:pPr>
            <w:r w:rsidRPr="00481095">
              <w:rPr>
                <w:rFonts w:ascii="Times New Roman" w:hAnsi="Times New Roman" w:cs="Times New Roman"/>
                <w:b/>
              </w:rPr>
              <w:t>Volunteer</w:t>
            </w:r>
          </w:p>
        </w:tc>
        <w:tc>
          <w:tcPr>
            <w:tcW w:w="0" w:type="auto"/>
          </w:tcPr>
          <w:p w:rsidR="007F775E" w:rsidRPr="00C749D3" w:rsidRDefault="007F77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49D3">
              <w:rPr>
                <w:rFonts w:ascii="Times New Roman" w:hAnsi="Times New Roman" w:cs="Times New Roman"/>
              </w:rPr>
              <w:t>51</w:t>
            </w:r>
            <w:r w:rsidR="00664452" w:rsidRPr="00C749D3">
              <w:rPr>
                <w:rFonts w:ascii="Times New Roman" w:hAnsi="Times New Roman" w:cs="Times New Roman"/>
              </w:rPr>
              <w:t xml:space="preserve"> (Relying on volunteers from 51% upwards = condition present)</w:t>
            </w:r>
          </w:p>
        </w:tc>
        <w:tc>
          <w:tcPr>
            <w:tcW w:w="0" w:type="auto"/>
          </w:tcPr>
          <w:p w:rsidR="007F775E" w:rsidRPr="00C749D3" w:rsidRDefault="005A5D06" w:rsidP="005A5D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The mean of this condition is at 49.34, indicating that the sample is quite balanced in this respect. Using 51% as a turnover point, then, was necessary since some cases reported a reliance on volunteers of 50%. Such cases would have dropped out of the analysis if 50% had been the turnover point. We therefore decided to go with a slightly higher threshold.</w:t>
            </w:r>
          </w:p>
        </w:tc>
      </w:tr>
      <w:tr w:rsidR="000C38A4" w:rsidRPr="00C749D3" w:rsidTr="00664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F775E" w:rsidRPr="00481095" w:rsidRDefault="007F775E">
            <w:pPr>
              <w:rPr>
                <w:rFonts w:ascii="Times New Roman" w:hAnsi="Times New Roman" w:cs="Times New Roman"/>
                <w:b/>
              </w:rPr>
            </w:pPr>
            <w:r w:rsidRPr="00481095">
              <w:rPr>
                <w:rFonts w:ascii="Times New Roman" w:hAnsi="Times New Roman" w:cs="Times New Roman"/>
                <w:b/>
              </w:rPr>
              <w:t>Status</w:t>
            </w:r>
          </w:p>
        </w:tc>
        <w:tc>
          <w:tcPr>
            <w:tcW w:w="0" w:type="auto"/>
          </w:tcPr>
          <w:p w:rsidR="007F775E" w:rsidRPr="00C749D3" w:rsidRDefault="007F775E" w:rsidP="00C749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49D3">
              <w:rPr>
                <w:rFonts w:ascii="Times New Roman" w:hAnsi="Times New Roman" w:cs="Times New Roman"/>
              </w:rPr>
              <w:t>7.9</w:t>
            </w:r>
            <w:r w:rsidR="00664452" w:rsidRPr="00C749D3">
              <w:rPr>
                <w:rFonts w:ascii="Times New Roman" w:hAnsi="Times New Roman" w:cs="Times New Roman"/>
              </w:rPr>
              <w:t xml:space="preserve"> (Index of ties to other CSOs and pol. institutions more than </w:t>
            </w:r>
            <w:r w:rsidR="00C749D3" w:rsidRPr="00C749D3">
              <w:rPr>
                <w:rFonts w:ascii="Times New Roman" w:hAnsi="Times New Roman" w:cs="Times New Roman"/>
              </w:rPr>
              <w:t>7.9</w:t>
            </w:r>
            <w:r w:rsidR="00664452" w:rsidRPr="00C749D3">
              <w:rPr>
                <w:rFonts w:ascii="Times New Roman" w:hAnsi="Times New Roman" w:cs="Times New Roman"/>
              </w:rPr>
              <w:t xml:space="preserve"> = condition present)</w:t>
            </w:r>
          </w:p>
        </w:tc>
        <w:tc>
          <w:tcPr>
            <w:tcW w:w="0" w:type="auto"/>
          </w:tcPr>
          <w:p w:rsidR="007F775E" w:rsidRPr="00C749D3" w:rsidRDefault="008C6238" w:rsidP="004810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status variable was more difficult to define due to the great variance in the sample. </w:t>
            </w:r>
            <w:r w:rsidR="00D8532F">
              <w:rPr>
                <w:rFonts w:ascii="Times New Roman" w:hAnsi="Times New Roman" w:cs="Times New Roman"/>
              </w:rPr>
              <w:t xml:space="preserve">The mean here was at 19.1, however with a standard deviation of almost 18 indicating vast differences between CSOs. </w:t>
            </w:r>
            <w:r w:rsidR="00481095">
              <w:rPr>
                <w:rFonts w:ascii="Times New Roman" w:hAnsi="Times New Roman" w:cs="Times New Roman"/>
              </w:rPr>
              <w:t>However, 35% of CSOs have a value that is below 8, indicating a strong bias again towards higher values, i.e., more contacts and more involvement in political institutions. We therefore opted for a lower threshold to accommodate the great variance in the sample</w:t>
            </w:r>
            <w:r w:rsidR="00BF3262">
              <w:rPr>
                <w:rFonts w:ascii="Times New Roman" w:hAnsi="Times New Roman" w:cs="Times New Roman"/>
              </w:rPr>
              <w:t>.</w:t>
            </w:r>
          </w:p>
        </w:tc>
      </w:tr>
      <w:tr w:rsidR="000C38A4" w:rsidRPr="00C749D3" w:rsidTr="00664452">
        <w:tc>
          <w:tcPr>
            <w:cnfStyle w:val="001000000000" w:firstRow="0" w:lastRow="0" w:firstColumn="1" w:lastColumn="0" w:oddVBand="0" w:evenVBand="0" w:oddHBand="0" w:evenHBand="0" w:firstRowFirstColumn="0" w:firstRowLastColumn="0" w:lastRowFirstColumn="0" w:lastRowLastColumn="0"/>
            <w:tcW w:w="0" w:type="auto"/>
          </w:tcPr>
          <w:p w:rsidR="007F775E" w:rsidRPr="00481095" w:rsidRDefault="007F775E">
            <w:pPr>
              <w:rPr>
                <w:rFonts w:ascii="Times New Roman" w:hAnsi="Times New Roman" w:cs="Times New Roman"/>
                <w:b/>
              </w:rPr>
            </w:pPr>
            <w:r w:rsidRPr="00481095">
              <w:rPr>
                <w:rFonts w:ascii="Times New Roman" w:hAnsi="Times New Roman" w:cs="Times New Roman"/>
                <w:b/>
              </w:rPr>
              <w:t>Scope</w:t>
            </w:r>
          </w:p>
        </w:tc>
        <w:tc>
          <w:tcPr>
            <w:tcW w:w="0" w:type="auto"/>
          </w:tcPr>
          <w:p w:rsidR="007F775E" w:rsidRPr="00C749D3" w:rsidRDefault="007F775E" w:rsidP="000C38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49D3">
              <w:rPr>
                <w:rFonts w:ascii="Times New Roman" w:hAnsi="Times New Roman" w:cs="Times New Roman"/>
              </w:rPr>
              <w:t>7.</w:t>
            </w:r>
            <w:r w:rsidR="000C38A4">
              <w:rPr>
                <w:rFonts w:ascii="Times New Roman" w:hAnsi="Times New Roman" w:cs="Times New Roman"/>
              </w:rPr>
              <w:t>8</w:t>
            </w:r>
            <w:r w:rsidR="000E66D0" w:rsidRPr="00C749D3">
              <w:rPr>
                <w:rFonts w:ascii="Times New Roman" w:hAnsi="Times New Roman" w:cs="Times New Roman"/>
              </w:rPr>
              <w:t xml:space="preserve"> (</w:t>
            </w:r>
            <w:r w:rsidR="00C749D3" w:rsidRPr="00C749D3">
              <w:rPr>
                <w:rFonts w:ascii="Times New Roman" w:hAnsi="Times New Roman" w:cs="Times New Roman"/>
              </w:rPr>
              <w:t xml:space="preserve">Index of cross-sectional activities and operating level higher than 7.7 = condition present) </w:t>
            </w:r>
          </w:p>
        </w:tc>
        <w:tc>
          <w:tcPr>
            <w:tcW w:w="0" w:type="auto"/>
          </w:tcPr>
          <w:p w:rsidR="007F775E" w:rsidRPr="00C749D3" w:rsidRDefault="000C38A4" w:rsidP="00755D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highest reported number here was 15 with a mean of 7.8. Given that the score is based on a standardized questionnaire, we decided to define the mean as turnover point; no value of the index was at 7.8 which is why we could use this </w:t>
            </w:r>
            <w:r w:rsidR="00755D29">
              <w:rPr>
                <w:rFonts w:ascii="Times New Roman" w:hAnsi="Times New Roman" w:cs="Times New Roman"/>
              </w:rPr>
              <w:t>turnover point</w:t>
            </w:r>
            <w:r>
              <w:rPr>
                <w:rFonts w:ascii="Times New Roman" w:hAnsi="Times New Roman" w:cs="Times New Roman"/>
              </w:rPr>
              <w:t xml:space="preserve"> without risking to decrease our number of cases.</w:t>
            </w:r>
          </w:p>
        </w:tc>
      </w:tr>
    </w:tbl>
    <w:p w:rsidR="007F775E" w:rsidRPr="00C749D3" w:rsidRDefault="007F775E">
      <w:pPr>
        <w:rPr>
          <w:rFonts w:ascii="Times New Roman" w:hAnsi="Times New Roman" w:cs="Times New Roman"/>
        </w:rPr>
      </w:pPr>
    </w:p>
    <w:sectPr w:rsidR="007F775E" w:rsidRPr="00C749D3" w:rsidSect="00EE5BAE">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618" w:rsidRDefault="00913618" w:rsidP="00BF3262">
      <w:pPr>
        <w:spacing w:after="0" w:line="240" w:lineRule="auto"/>
      </w:pPr>
      <w:r>
        <w:separator/>
      </w:r>
    </w:p>
  </w:endnote>
  <w:endnote w:type="continuationSeparator" w:id="0">
    <w:p w:rsidR="00913618" w:rsidRDefault="00913618" w:rsidP="00BF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618" w:rsidRDefault="00913618" w:rsidP="00BF3262">
      <w:pPr>
        <w:spacing w:after="0" w:line="240" w:lineRule="auto"/>
      </w:pPr>
      <w:r>
        <w:separator/>
      </w:r>
    </w:p>
  </w:footnote>
  <w:footnote w:type="continuationSeparator" w:id="0">
    <w:p w:rsidR="00913618" w:rsidRDefault="00913618" w:rsidP="00BF3262">
      <w:pPr>
        <w:spacing w:after="0" w:line="240" w:lineRule="auto"/>
      </w:pPr>
      <w:r>
        <w:continuationSeparator/>
      </w:r>
    </w:p>
  </w:footnote>
  <w:footnote w:id="1">
    <w:p w:rsidR="00BF3262" w:rsidRPr="00BE0556" w:rsidRDefault="00BF3262" w:rsidP="00BF3262">
      <w:pPr>
        <w:pStyle w:val="Funotentext"/>
        <w:rPr>
          <w:lang w:val="en-GB"/>
        </w:rPr>
      </w:pPr>
      <w:r>
        <w:rPr>
          <w:rStyle w:val="Funotenzeichen"/>
        </w:rPr>
        <w:footnoteRef/>
      </w:r>
      <w:r>
        <w:t xml:space="preserve"> </w:t>
      </w:r>
      <w:r w:rsidRPr="007B77ED">
        <w:rPr>
          <w:rFonts w:ascii="Times New Roman" w:hAnsi="Times New Roman" w:cs="Times New Roman"/>
        </w:rPr>
        <w:t>This assumption is underscored by a separate analysis of necessity consistency for the German case in which budget reaches a score of above 0.95 (see appendix for details) and it is also confirmed by the literature we have discussed earlier.</w:t>
      </w:r>
    </w:p>
  </w:footnote>
  <w:footnote w:id="2">
    <w:p w:rsidR="00BF3262" w:rsidRPr="007B77ED" w:rsidRDefault="00BF3262" w:rsidP="00BF3262">
      <w:pPr>
        <w:pStyle w:val="Funotentext"/>
        <w:rPr>
          <w:rFonts w:ascii="Times New Roman" w:hAnsi="Times New Roman" w:cs="Times New Roman"/>
        </w:rPr>
      </w:pPr>
      <w:r w:rsidRPr="007B77ED">
        <w:rPr>
          <w:rStyle w:val="Funotenzeichen"/>
          <w:rFonts w:ascii="Times New Roman" w:hAnsi="Times New Roman" w:cs="Times New Roman"/>
        </w:rPr>
        <w:footnoteRef/>
      </w:r>
      <w:r w:rsidRPr="007B77ED">
        <w:rPr>
          <w:rFonts w:ascii="Times New Roman" w:hAnsi="Times New Roman" w:cs="Times New Roman"/>
        </w:rPr>
        <w:t xml:space="preserve"> All included logical remainders are assigned a negative outcome in Table 5 whereas non-included remainders are left blank in the outcome column.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4BEA"/>
    <w:rsid w:val="000C38A4"/>
    <w:rsid w:val="000E66D0"/>
    <w:rsid w:val="001B729A"/>
    <w:rsid w:val="00201B85"/>
    <w:rsid w:val="00394BEA"/>
    <w:rsid w:val="00476765"/>
    <w:rsid w:val="00481095"/>
    <w:rsid w:val="005A5D06"/>
    <w:rsid w:val="00664452"/>
    <w:rsid w:val="00755D29"/>
    <w:rsid w:val="007F775E"/>
    <w:rsid w:val="008C6238"/>
    <w:rsid w:val="00913618"/>
    <w:rsid w:val="009A3BB4"/>
    <w:rsid w:val="00AD140D"/>
    <w:rsid w:val="00B90B07"/>
    <w:rsid w:val="00BB6CBB"/>
    <w:rsid w:val="00BF3262"/>
    <w:rsid w:val="00C749D3"/>
    <w:rsid w:val="00D8532F"/>
    <w:rsid w:val="00ED46CF"/>
    <w:rsid w:val="00EE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66E5"/>
  <w15:docId w15:val="{3EEFAF36-647F-9A40-9B4D-D1804CE3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94BEA"/>
    <w:rPr>
      <w:rFonts w:eastAsiaTheme="minorEastAsia"/>
    </w:rPr>
  </w:style>
  <w:style w:type="paragraph" w:styleId="berschrift1">
    <w:name w:val="heading 1"/>
    <w:basedOn w:val="Standard"/>
    <w:next w:val="Standard"/>
    <w:link w:val="berschrift1Zchn"/>
    <w:uiPriority w:val="9"/>
    <w:qFormat/>
    <w:rsid w:val="000C38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94BE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4B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BEA"/>
    <w:rPr>
      <w:rFonts w:ascii="Tahoma" w:eastAsiaTheme="minorEastAsia" w:hAnsi="Tahoma" w:cs="Tahoma"/>
      <w:sz w:val="16"/>
      <w:szCs w:val="16"/>
    </w:rPr>
  </w:style>
  <w:style w:type="table" w:styleId="MittlereListe2">
    <w:name w:val="Medium List 2"/>
    <w:basedOn w:val="NormaleTabelle"/>
    <w:uiPriority w:val="66"/>
    <w:rsid w:val="007F77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berschrift1Zchn">
    <w:name w:val="Überschrift 1 Zchn"/>
    <w:basedOn w:val="Absatz-Standardschriftart"/>
    <w:link w:val="berschrift1"/>
    <w:uiPriority w:val="9"/>
    <w:rsid w:val="000C38A4"/>
    <w:rPr>
      <w:rFonts w:asciiTheme="majorHAnsi" w:eastAsiaTheme="majorEastAsia" w:hAnsiTheme="majorHAnsi" w:cstheme="majorBidi"/>
      <w:b/>
      <w:bCs/>
      <w:color w:val="365F91" w:themeColor="accent1" w:themeShade="BF"/>
      <w:sz w:val="28"/>
      <w:szCs w:val="28"/>
    </w:rPr>
  </w:style>
  <w:style w:type="paragraph" w:styleId="Dokumentstruktur">
    <w:name w:val="Document Map"/>
    <w:basedOn w:val="Standard"/>
    <w:link w:val="DokumentstrukturZchn"/>
    <w:uiPriority w:val="99"/>
    <w:semiHidden/>
    <w:unhideWhenUsed/>
    <w:rsid w:val="000C38A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C38A4"/>
    <w:rPr>
      <w:rFonts w:ascii="Tahoma" w:eastAsiaTheme="minorEastAsia" w:hAnsi="Tahoma" w:cs="Tahoma"/>
      <w:sz w:val="16"/>
      <w:szCs w:val="16"/>
    </w:rPr>
  </w:style>
  <w:style w:type="paragraph" w:styleId="Funotentext">
    <w:name w:val="footnote text"/>
    <w:basedOn w:val="Standard"/>
    <w:link w:val="FunotentextZchn"/>
    <w:uiPriority w:val="99"/>
    <w:semiHidden/>
    <w:unhideWhenUsed/>
    <w:rsid w:val="00BF326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F3262"/>
    <w:rPr>
      <w:rFonts w:eastAsiaTheme="minorEastAsia"/>
      <w:sz w:val="20"/>
      <w:szCs w:val="20"/>
    </w:rPr>
  </w:style>
  <w:style w:type="character" w:styleId="Funotenzeichen">
    <w:name w:val="footnote reference"/>
    <w:basedOn w:val="Absatz-Standardschriftart"/>
    <w:uiPriority w:val="99"/>
    <w:semiHidden/>
    <w:unhideWhenUsed/>
    <w:rsid w:val="00BF3262"/>
    <w:rPr>
      <w:vertAlign w:val="superscript"/>
    </w:rPr>
  </w:style>
  <w:style w:type="paragraph" w:styleId="Beschriftung">
    <w:name w:val="caption"/>
    <w:basedOn w:val="Standard"/>
    <w:next w:val="Standard"/>
    <w:uiPriority w:val="35"/>
    <w:unhideWhenUsed/>
    <w:qFormat/>
    <w:rsid w:val="00BF3262"/>
    <w:pPr>
      <w:spacing w:line="240" w:lineRule="auto"/>
    </w:pPr>
    <w:rPr>
      <w:b/>
      <w:bCs/>
      <w:color w:val="4F81BD" w:themeColor="accent1"/>
      <w:sz w:val="18"/>
      <w:szCs w:val="18"/>
    </w:rPr>
  </w:style>
  <w:style w:type="table" w:customStyle="1" w:styleId="MittlereListe21">
    <w:name w:val="Mittlere Liste 21"/>
    <w:basedOn w:val="NormaleTabelle"/>
    <w:uiPriority w:val="66"/>
    <w:rsid w:val="00BF32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C10ED-540C-D246-A1E1-BA743BE52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1325</Words>
  <Characters>7622</Characters>
  <Application>Microsoft Office Word</Application>
  <DocSecurity>0</DocSecurity>
  <Lines>119</Lines>
  <Paragraphs>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Figures 1-7: XY Plots of all Solution Sets individually</vt:lpstr>
      <vt:lpstr>Translation of conditions into fuzzy sets</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Eisele</dc:creator>
  <cp:lastModifiedBy>User</cp:lastModifiedBy>
  <cp:revision>16</cp:revision>
  <dcterms:created xsi:type="dcterms:W3CDTF">2018-10-10T09:20:00Z</dcterms:created>
  <dcterms:modified xsi:type="dcterms:W3CDTF">2019-12-17T10:59:00Z</dcterms:modified>
</cp:coreProperties>
</file>