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09644" w14:textId="31FBCBC7" w:rsidR="00581C63" w:rsidRPr="001A455A" w:rsidRDefault="00581C63" w:rsidP="00723FFA">
      <w:pPr>
        <w:spacing w:after="100" w:afterAutospacing="1" w:line="276" w:lineRule="auto"/>
        <w:rPr>
          <w:rFonts w:asciiTheme="minorHAnsi" w:hAnsiTheme="minorHAnsi" w:cstheme="minorHAnsi"/>
          <w:b/>
          <w:bCs/>
          <w:sz w:val="22"/>
          <w:szCs w:val="22"/>
          <w:u w:val="single"/>
        </w:rPr>
      </w:pPr>
      <w:bookmarkStart w:id="0" w:name="_GoBack"/>
      <w:r w:rsidRPr="001A455A">
        <w:rPr>
          <w:rFonts w:asciiTheme="minorHAnsi" w:hAnsiTheme="minorHAnsi" w:cstheme="minorHAnsi"/>
          <w:b/>
          <w:bCs/>
          <w:sz w:val="22"/>
          <w:szCs w:val="22"/>
          <w:u w:val="single"/>
        </w:rPr>
        <w:t xml:space="preserve">Supplementary Materials </w:t>
      </w:r>
    </w:p>
    <w:p w14:paraId="41DEEB3C" w14:textId="33BF119D" w:rsidR="009213AB" w:rsidRPr="001A455A" w:rsidRDefault="009213AB" w:rsidP="009213AB">
      <w:pPr>
        <w:spacing w:after="100" w:afterAutospacing="1" w:line="276" w:lineRule="auto"/>
        <w:rPr>
          <w:rFonts w:asciiTheme="minorHAnsi" w:hAnsiTheme="minorHAnsi" w:cstheme="minorHAnsi"/>
          <w:sz w:val="22"/>
          <w:szCs w:val="22"/>
        </w:rPr>
      </w:pPr>
      <w:r w:rsidRPr="001A455A">
        <w:rPr>
          <w:rFonts w:asciiTheme="minorHAnsi" w:hAnsiTheme="minorHAnsi" w:cstheme="minorHAnsi"/>
          <w:b/>
          <w:bCs/>
          <w:sz w:val="22"/>
          <w:szCs w:val="22"/>
        </w:rPr>
        <w:t xml:space="preserve">Supplementary Text S1. </w:t>
      </w:r>
      <w:r w:rsidRPr="001A455A">
        <w:rPr>
          <w:rFonts w:asciiTheme="minorHAnsi" w:hAnsiTheme="minorHAnsi" w:cstheme="minorHAnsi"/>
          <w:sz w:val="22"/>
          <w:szCs w:val="22"/>
        </w:rPr>
        <w:t xml:space="preserve">Summary of search strategy </w:t>
      </w:r>
    </w:p>
    <w:p w14:paraId="17FFFCE4" w14:textId="231AA234" w:rsidR="009213AB" w:rsidRPr="001A455A" w:rsidRDefault="009213AB" w:rsidP="009213AB">
      <w:pPr>
        <w:spacing w:after="100" w:afterAutospacing="1" w:line="276" w:lineRule="auto"/>
        <w:rPr>
          <w:rFonts w:asciiTheme="minorHAnsi" w:hAnsiTheme="minorHAnsi" w:cstheme="minorHAnsi"/>
          <w:sz w:val="22"/>
          <w:szCs w:val="22"/>
        </w:rPr>
      </w:pPr>
      <w:r w:rsidRPr="001A455A">
        <w:rPr>
          <w:rFonts w:asciiTheme="minorHAnsi" w:hAnsiTheme="minorHAnsi" w:cstheme="minorHAnsi"/>
          <w:b/>
          <w:bCs/>
          <w:sz w:val="22"/>
          <w:szCs w:val="22"/>
        </w:rPr>
        <w:t xml:space="preserve">Supplementary Table S1. </w:t>
      </w:r>
      <w:r w:rsidRPr="001A455A">
        <w:rPr>
          <w:rFonts w:asciiTheme="minorHAnsi" w:hAnsiTheme="minorHAnsi" w:cstheme="minorHAnsi"/>
          <w:sz w:val="22"/>
          <w:szCs w:val="22"/>
        </w:rPr>
        <w:t>Example of Ovid MEDLINE search</w:t>
      </w:r>
    </w:p>
    <w:p w14:paraId="0E6FBA79" w14:textId="4FCD5F09" w:rsidR="009213AB" w:rsidRPr="001A455A" w:rsidRDefault="009213AB" w:rsidP="009213AB">
      <w:pPr>
        <w:spacing w:after="100" w:afterAutospacing="1" w:line="276" w:lineRule="auto"/>
        <w:ind w:right="54"/>
        <w:jc w:val="both"/>
        <w:rPr>
          <w:rFonts w:asciiTheme="minorHAnsi" w:hAnsiTheme="minorHAnsi" w:cstheme="minorHAnsi"/>
          <w:b/>
          <w:bCs/>
          <w:sz w:val="22"/>
          <w:szCs w:val="22"/>
        </w:rPr>
      </w:pPr>
      <w:r w:rsidRPr="001A455A">
        <w:rPr>
          <w:rFonts w:asciiTheme="minorHAnsi" w:hAnsiTheme="minorHAnsi" w:cstheme="minorHAnsi"/>
          <w:b/>
          <w:bCs/>
          <w:sz w:val="22"/>
          <w:szCs w:val="22"/>
        </w:rPr>
        <w:t xml:space="preserve">Supplementary Table S2. </w:t>
      </w:r>
      <w:r w:rsidRPr="001A455A">
        <w:rPr>
          <w:rFonts w:asciiTheme="minorHAnsi" w:hAnsiTheme="minorHAnsi" w:cstheme="minorHAnsi"/>
          <w:sz w:val="22"/>
          <w:szCs w:val="22"/>
        </w:rPr>
        <w:t>What Works Centre for Wellbeing (WWCW) Quality Checklist: Quantitative evidence of intervention effectiveness (checklist for study critical appraisal)</w:t>
      </w:r>
    </w:p>
    <w:p w14:paraId="32016C17" w14:textId="14C3B450" w:rsidR="009213AB" w:rsidRPr="001A455A" w:rsidRDefault="009213AB" w:rsidP="009213AB">
      <w:pPr>
        <w:spacing w:after="100" w:afterAutospacing="1" w:line="276" w:lineRule="auto"/>
        <w:jc w:val="both"/>
        <w:rPr>
          <w:rFonts w:asciiTheme="minorHAnsi" w:hAnsiTheme="minorHAnsi" w:cstheme="minorHAnsi"/>
          <w:sz w:val="22"/>
          <w:szCs w:val="22"/>
        </w:rPr>
      </w:pPr>
      <w:r w:rsidRPr="001A455A">
        <w:rPr>
          <w:rFonts w:asciiTheme="minorHAnsi" w:hAnsiTheme="minorHAnsi" w:cstheme="minorHAnsi"/>
          <w:b/>
          <w:bCs/>
          <w:sz w:val="22"/>
          <w:szCs w:val="22"/>
        </w:rPr>
        <w:t xml:space="preserve">Supplementary Table S3. </w:t>
      </w:r>
      <w:r w:rsidRPr="001A455A">
        <w:rPr>
          <w:rFonts w:asciiTheme="minorHAnsi" w:hAnsiTheme="minorHAnsi" w:cstheme="minorHAnsi"/>
          <w:sz w:val="22"/>
          <w:szCs w:val="22"/>
        </w:rPr>
        <w:t xml:space="preserve">Breakdown of included studies by critical appraisal score </w:t>
      </w:r>
    </w:p>
    <w:p w14:paraId="3B29F4B7" w14:textId="32E924F3" w:rsidR="009213AB" w:rsidRPr="001A455A" w:rsidRDefault="009213AB" w:rsidP="009213AB">
      <w:pPr>
        <w:spacing w:after="100" w:afterAutospacing="1"/>
        <w:rPr>
          <w:rFonts w:asciiTheme="minorHAnsi" w:hAnsiTheme="minorHAnsi" w:cstheme="minorHAnsi"/>
          <w:b/>
          <w:bCs/>
          <w:sz w:val="22"/>
          <w:szCs w:val="22"/>
        </w:rPr>
      </w:pPr>
      <w:r w:rsidRPr="001A455A">
        <w:rPr>
          <w:rFonts w:asciiTheme="minorHAnsi" w:hAnsiTheme="minorHAnsi" w:cstheme="minorHAnsi"/>
          <w:b/>
          <w:bCs/>
          <w:sz w:val="22"/>
          <w:szCs w:val="22"/>
        </w:rPr>
        <w:t xml:space="preserve">Supplementary Table S4. </w:t>
      </w:r>
      <w:r w:rsidRPr="001A455A">
        <w:rPr>
          <w:rFonts w:asciiTheme="minorHAnsi" w:hAnsiTheme="minorHAnsi" w:cstheme="minorHAnsi"/>
          <w:sz w:val="22"/>
          <w:szCs w:val="22"/>
        </w:rPr>
        <w:t>Characteristics of each intervention in the Psychological interventions theme (n=23)</w:t>
      </w:r>
    </w:p>
    <w:p w14:paraId="7561E62D" w14:textId="353B477C" w:rsidR="009213AB" w:rsidRPr="001A455A" w:rsidRDefault="009213AB" w:rsidP="009213AB">
      <w:pPr>
        <w:spacing w:after="100" w:afterAutospacing="1"/>
        <w:rPr>
          <w:rFonts w:asciiTheme="minorHAnsi" w:hAnsiTheme="minorHAnsi" w:cstheme="minorHAnsi"/>
          <w:sz w:val="22"/>
          <w:szCs w:val="22"/>
        </w:rPr>
      </w:pPr>
      <w:r w:rsidRPr="001A455A">
        <w:rPr>
          <w:rFonts w:asciiTheme="minorHAnsi" w:hAnsiTheme="minorHAnsi" w:cstheme="minorHAnsi"/>
          <w:b/>
          <w:bCs/>
          <w:sz w:val="22"/>
          <w:szCs w:val="22"/>
        </w:rPr>
        <w:t xml:space="preserve">Supplementary Table S5. </w:t>
      </w:r>
      <w:r w:rsidRPr="001A455A">
        <w:rPr>
          <w:rFonts w:asciiTheme="minorHAnsi" w:hAnsiTheme="minorHAnsi" w:cstheme="minorHAnsi"/>
          <w:sz w:val="22"/>
          <w:szCs w:val="22"/>
        </w:rPr>
        <w:t>Characteristics of each intervention in the Social Interaction theme (n=23)</w:t>
      </w:r>
    </w:p>
    <w:p w14:paraId="47C84CA0" w14:textId="3E322548" w:rsidR="009213AB" w:rsidRPr="001A455A" w:rsidRDefault="009213AB" w:rsidP="009213AB">
      <w:pPr>
        <w:spacing w:after="100" w:afterAutospacing="1"/>
        <w:rPr>
          <w:rFonts w:asciiTheme="minorHAnsi" w:hAnsiTheme="minorHAnsi" w:cstheme="minorHAnsi"/>
          <w:sz w:val="22"/>
          <w:szCs w:val="22"/>
        </w:rPr>
      </w:pPr>
      <w:r w:rsidRPr="001A455A">
        <w:rPr>
          <w:rFonts w:asciiTheme="minorHAnsi" w:hAnsiTheme="minorHAnsi" w:cstheme="minorHAnsi"/>
          <w:b/>
          <w:bCs/>
          <w:sz w:val="22"/>
          <w:szCs w:val="22"/>
        </w:rPr>
        <w:t xml:space="preserve">Supplementary Table S6. </w:t>
      </w:r>
      <w:r w:rsidRPr="001A455A">
        <w:rPr>
          <w:rFonts w:asciiTheme="minorHAnsi" w:hAnsiTheme="minorHAnsi" w:cstheme="minorHAnsi"/>
          <w:sz w:val="22"/>
          <w:szCs w:val="22"/>
        </w:rPr>
        <w:t>Characteristics of each intervention in the Social Support theme (n=46)</w:t>
      </w:r>
    </w:p>
    <w:p w14:paraId="6A306EC3" w14:textId="24CD0EB4" w:rsidR="009213AB" w:rsidRPr="001A455A" w:rsidRDefault="009213AB" w:rsidP="009213AB">
      <w:pPr>
        <w:spacing w:after="100" w:afterAutospacing="1"/>
        <w:rPr>
          <w:rFonts w:asciiTheme="minorHAnsi" w:hAnsiTheme="minorHAnsi" w:cstheme="minorHAnsi"/>
          <w:b/>
          <w:bCs/>
          <w:sz w:val="22"/>
          <w:szCs w:val="22"/>
        </w:rPr>
      </w:pPr>
      <w:r w:rsidRPr="001A455A">
        <w:rPr>
          <w:rFonts w:asciiTheme="minorHAnsi" w:hAnsiTheme="minorHAnsi" w:cstheme="minorHAnsi"/>
          <w:b/>
          <w:bCs/>
          <w:sz w:val="22"/>
          <w:szCs w:val="22"/>
        </w:rPr>
        <w:t xml:space="preserve">Supplementary Table S7. </w:t>
      </w:r>
      <w:r w:rsidRPr="001A455A">
        <w:rPr>
          <w:rFonts w:asciiTheme="minorHAnsi" w:hAnsiTheme="minorHAnsi" w:cstheme="minorHAnsi"/>
          <w:sz w:val="22"/>
          <w:szCs w:val="22"/>
        </w:rPr>
        <w:t>Characteristics of each intervention in ‘Multiple themes’ (n=9)</w:t>
      </w:r>
    </w:p>
    <w:p w14:paraId="5F162A78" w14:textId="69B9D72B" w:rsidR="009213AB" w:rsidRPr="001A455A" w:rsidRDefault="009213AB" w:rsidP="009213AB">
      <w:pPr>
        <w:spacing w:after="100" w:afterAutospacing="1" w:line="276" w:lineRule="auto"/>
        <w:jc w:val="both"/>
        <w:rPr>
          <w:rFonts w:asciiTheme="minorHAnsi" w:eastAsia="Arial" w:hAnsiTheme="minorHAnsi" w:cstheme="minorHAnsi"/>
          <w:sz w:val="22"/>
          <w:szCs w:val="22"/>
        </w:rPr>
      </w:pPr>
      <w:r w:rsidRPr="001A455A">
        <w:rPr>
          <w:rFonts w:asciiTheme="minorHAnsi" w:hAnsiTheme="minorHAnsi" w:cstheme="minorHAnsi"/>
          <w:b/>
          <w:bCs/>
          <w:sz w:val="22"/>
          <w:szCs w:val="22"/>
        </w:rPr>
        <w:t xml:space="preserve">Supplementary </w:t>
      </w:r>
      <w:r w:rsidRPr="001A455A">
        <w:rPr>
          <w:rFonts w:asciiTheme="minorHAnsi" w:eastAsia="Arial" w:hAnsiTheme="minorHAnsi" w:cstheme="minorHAnsi"/>
          <w:b/>
          <w:bCs/>
          <w:sz w:val="22"/>
          <w:szCs w:val="22"/>
        </w:rPr>
        <w:t xml:space="preserve">Figure S1. </w:t>
      </w:r>
      <w:r w:rsidRPr="001A455A">
        <w:rPr>
          <w:rFonts w:asciiTheme="minorHAnsi" w:eastAsia="Arial" w:hAnsiTheme="minorHAnsi" w:cstheme="minorHAnsi"/>
          <w:sz w:val="22"/>
          <w:szCs w:val="22"/>
        </w:rPr>
        <w:t>Funnel plot to assess publication bias in included studies from a) pre- and post-intervention changes in intervention group and b) differences in pre- and post-intervention loneliness scores between control and intervention groups.</w:t>
      </w:r>
    </w:p>
    <w:p w14:paraId="6868602E" w14:textId="19808D47" w:rsidR="009213AB" w:rsidRPr="001A455A" w:rsidRDefault="009213AB" w:rsidP="009213AB">
      <w:pPr>
        <w:spacing w:after="100" w:afterAutospacing="1" w:line="276" w:lineRule="auto"/>
        <w:rPr>
          <w:rFonts w:ascii="Aptos" w:eastAsia="Arial" w:hAnsi="Aptos" w:cs="Calibri"/>
          <w:b/>
          <w:bCs/>
          <w:sz w:val="22"/>
          <w:szCs w:val="22"/>
        </w:rPr>
      </w:pPr>
      <w:r w:rsidRPr="001A455A">
        <w:rPr>
          <w:rFonts w:asciiTheme="minorHAnsi" w:hAnsiTheme="minorHAnsi" w:cstheme="minorHAnsi"/>
          <w:b/>
          <w:bCs/>
          <w:sz w:val="22"/>
          <w:szCs w:val="22"/>
        </w:rPr>
        <w:t xml:space="preserve">Supplementary </w:t>
      </w:r>
      <w:r w:rsidRPr="001A455A">
        <w:rPr>
          <w:rFonts w:ascii="Aptos" w:eastAsia="Arial" w:hAnsi="Aptos" w:cs="Calibri"/>
          <w:b/>
          <w:bCs/>
          <w:sz w:val="22"/>
          <w:szCs w:val="22"/>
        </w:rPr>
        <w:t xml:space="preserve">Figure S2. </w:t>
      </w:r>
      <w:r w:rsidRPr="001A455A">
        <w:rPr>
          <w:rFonts w:ascii="Aptos" w:eastAsia="Arial" w:hAnsi="Aptos" w:cs="Calibri"/>
          <w:sz w:val="22"/>
          <w:szCs w:val="22"/>
        </w:rPr>
        <w:t>Subgroup meta-analysis of age differences in social interaction interventions (n=15 studies)</w:t>
      </w:r>
    </w:p>
    <w:p w14:paraId="508BBC54" w14:textId="1E78BD7B" w:rsidR="009213AB" w:rsidRPr="001A455A" w:rsidRDefault="009213AB" w:rsidP="009213AB">
      <w:pPr>
        <w:spacing w:after="100" w:afterAutospacing="1" w:line="276" w:lineRule="auto"/>
        <w:rPr>
          <w:rFonts w:ascii="Calibri" w:hAnsi="Calibri" w:cs="Calibri"/>
          <w:b/>
          <w:bCs/>
          <w:sz w:val="22"/>
          <w:szCs w:val="22"/>
          <w:shd w:val="clear" w:color="auto" w:fill="FFFFFF"/>
        </w:rPr>
      </w:pPr>
      <w:r w:rsidRPr="001A455A">
        <w:rPr>
          <w:rFonts w:ascii="Calibri" w:hAnsi="Calibri" w:cs="Calibri"/>
          <w:b/>
          <w:bCs/>
          <w:sz w:val="22"/>
          <w:szCs w:val="22"/>
          <w:shd w:val="clear" w:color="auto" w:fill="FFFFFF"/>
        </w:rPr>
        <w:t xml:space="preserve">Supplementary Text S2. </w:t>
      </w:r>
      <w:r w:rsidRPr="001A455A">
        <w:rPr>
          <w:rFonts w:ascii="Calibri" w:hAnsi="Calibri" w:cs="Calibri"/>
          <w:sz w:val="22"/>
          <w:szCs w:val="22"/>
          <w:shd w:val="clear" w:color="auto" w:fill="FFFFFF"/>
        </w:rPr>
        <w:t>Reference list of studies included in review</w:t>
      </w:r>
    </w:p>
    <w:p w14:paraId="149FC66B" w14:textId="77777777" w:rsidR="009213AB" w:rsidRPr="001A455A" w:rsidRDefault="009213AB" w:rsidP="009213AB">
      <w:pPr>
        <w:spacing w:after="100" w:afterAutospacing="1" w:line="276" w:lineRule="auto"/>
        <w:rPr>
          <w:rFonts w:ascii="Aptos" w:eastAsia="Arial" w:hAnsi="Aptos" w:cs="Calibri"/>
          <w:b/>
          <w:bCs/>
          <w:sz w:val="22"/>
          <w:szCs w:val="22"/>
        </w:rPr>
      </w:pPr>
    </w:p>
    <w:p w14:paraId="088870F4" w14:textId="77777777" w:rsidR="009213AB" w:rsidRPr="001A455A" w:rsidRDefault="009213AB" w:rsidP="009213AB">
      <w:pPr>
        <w:spacing w:after="100" w:afterAutospacing="1"/>
        <w:rPr>
          <w:rFonts w:asciiTheme="minorHAnsi" w:hAnsiTheme="minorHAnsi" w:cstheme="minorHAnsi"/>
          <w:b/>
          <w:bCs/>
          <w:sz w:val="22"/>
          <w:szCs w:val="22"/>
        </w:rPr>
      </w:pPr>
    </w:p>
    <w:p w14:paraId="0FD00A5B" w14:textId="77777777" w:rsidR="009213AB" w:rsidRPr="001A455A" w:rsidRDefault="009213AB" w:rsidP="009213AB">
      <w:pPr>
        <w:spacing w:after="100" w:afterAutospacing="1" w:line="276" w:lineRule="auto"/>
        <w:jc w:val="both"/>
        <w:rPr>
          <w:rFonts w:ascii="Arial" w:hAnsi="Arial" w:cs="Arial"/>
          <w:b/>
          <w:bCs/>
        </w:rPr>
      </w:pPr>
    </w:p>
    <w:p w14:paraId="7F3BBE53" w14:textId="77777777" w:rsidR="009213AB" w:rsidRPr="001A455A" w:rsidRDefault="009213AB" w:rsidP="009213AB">
      <w:pPr>
        <w:spacing w:after="100" w:afterAutospacing="1" w:line="276" w:lineRule="auto"/>
        <w:ind w:left="-11" w:right="54"/>
        <w:jc w:val="both"/>
        <w:rPr>
          <w:rFonts w:asciiTheme="minorHAnsi" w:hAnsiTheme="minorHAnsi" w:cstheme="minorHAnsi"/>
          <w:b/>
          <w:bCs/>
          <w:sz w:val="22"/>
          <w:szCs w:val="22"/>
        </w:rPr>
      </w:pPr>
    </w:p>
    <w:p w14:paraId="1A67B7B9" w14:textId="77777777" w:rsidR="009213AB" w:rsidRPr="001A455A" w:rsidRDefault="009213AB" w:rsidP="009213AB">
      <w:pPr>
        <w:spacing w:after="100" w:afterAutospacing="1" w:line="276" w:lineRule="auto"/>
        <w:rPr>
          <w:rFonts w:asciiTheme="minorHAnsi" w:hAnsiTheme="minorHAnsi" w:cstheme="minorHAnsi"/>
          <w:sz w:val="22"/>
          <w:szCs w:val="22"/>
        </w:rPr>
      </w:pPr>
    </w:p>
    <w:p w14:paraId="6602AEA5" w14:textId="77777777" w:rsidR="00581C63" w:rsidRPr="001A455A" w:rsidRDefault="00581C63" w:rsidP="00723FFA">
      <w:pPr>
        <w:spacing w:after="100" w:afterAutospacing="1" w:line="276" w:lineRule="auto"/>
        <w:rPr>
          <w:rFonts w:asciiTheme="minorHAnsi" w:hAnsiTheme="minorHAnsi" w:cstheme="minorHAnsi"/>
          <w:b/>
          <w:bCs/>
          <w:sz w:val="22"/>
          <w:szCs w:val="22"/>
        </w:rPr>
      </w:pPr>
    </w:p>
    <w:p w14:paraId="5AABF209" w14:textId="45227D5F" w:rsidR="00B523AF" w:rsidRPr="001A455A" w:rsidRDefault="00581C63" w:rsidP="00723FFA">
      <w:pPr>
        <w:spacing w:after="100" w:afterAutospacing="1" w:line="276" w:lineRule="auto"/>
        <w:rPr>
          <w:rFonts w:asciiTheme="minorHAnsi" w:hAnsiTheme="minorHAnsi" w:cstheme="minorHAnsi"/>
          <w:sz w:val="22"/>
          <w:szCs w:val="22"/>
        </w:rPr>
      </w:pPr>
      <w:r w:rsidRPr="001A455A">
        <w:rPr>
          <w:rFonts w:asciiTheme="minorHAnsi" w:hAnsiTheme="minorHAnsi" w:cstheme="minorHAnsi"/>
          <w:b/>
          <w:bCs/>
          <w:sz w:val="22"/>
          <w:szCs w:val="22"/>
        </w:rPr>
        <w:br w:type="column"/>
      </w:r>
      <w:r w:rsidR="009213AB" w:rsidRPr="001A455A">
        <w:rPr>
          <w:rFonts w:asciiTheme="minorHAnsi" w:hAnsiTheme="minorHAnsi" w:cstheme="minorHAnsi"/>
          <w:b/>
          <w:bCs/>
          <w:sz w:val="22"/>
          <w:szCs w:val="22"/>
        </w:rPr>
        <w:lastRenderedPageBreak/>
        <w:t>Supplementary Text S1</w:t>
      </w:r>
      <w:r w:rsidR="00D51080" w:rsidRPr="001A455A">
        <w:rPr>
          <w:rFonts w:asciiTheme="minorHAnsi" w:hAnsiTheme="minorHAnsi" w:cstheme="minorHAnsi"/>
          <w:b/>
          <w:bCs/>
          <w:sz w:val="22"/>
          <w:szCs w:val="22"/>
        </w:rPr>
        <w:t>.</w:t>
      </w:r>
      <w:r w:rsidR="00B523AF" w:rsidRPr="001A455A">
        <w:rPr>
          <w:rFonts w:asciiTheme="minorHAnsi" w:hAnsiTheme="minorHAnsi" w:cstheme="minorHAnsi"/>
          <w:b/>
          <w:bCs/>
          <w:sz w:val="22"/>
          <w:szCs w:val="22"/>
        </w:rPr>
        <w:t xml:space="preserve"> </w:t>
      </w:r>
      <w:r w:rsidR="00B523AF" w:rsidRPr="001A455A">
        <w:rPr>
          <w:rFonts w:asciiTheme="minorHAnsi" w:hAnsiTheme="minorHAnsi" w:cstheme="minorHAnsi"/>
          <w:sz w:val="22"/>
          <w:szCs w:val="22"/>
        </w:rPr>
        <w:t xml:space="preserve">Summary of </w:t>
      </w:r>
      <w:r w:rsidR="00723FFA" w:rsidRPr="001A455A">
        <w:rPr>
          <w:rFonts w:asciiTheme="minorHAnsi" w:hAnsiTheme="minorHAnsi" w:cstheme="minorHAnsi"/>
          <w:sz w:val="22"/>
          <w:szCs w:val="22"/>
        </w:rPr>
        <w:t>s</w:t>
      </w:r>
      <w:r w:rsidR="00B523AF" w:rsidRPr="001A455A">
        <w:rPr>
          <w:rFonts w:asciiTheme="minorHAnsi" w:hAnsiTheme="minorHAnsi" w:cstheme="minorHAnsi"/>
          <w:sz w:val="22"/>
          <w:szCs w:val="22"/>
        </w:rPr>
        <w:t xml:space="preserve">earch strategy </w:t>
      </w:r>
    </w:p>
    <w:p w14:paraId="3DDDB12B" w14:textId="4B2D6BBA" w:rsidR="00B523AF" w:rsidRPr="001A455A" w:rsidRDefault="00B523AF" w:rsidP="00723FFA">
      <w:pPr>
        <w:spacing w:after="100" w:afterAutospacing="1" w:line="276" w:lineRule="auto"/>
        <w:rPr>
          <w:rFonts w:asciiTheme="minorHAnsi" w:hAnsiTheme="minorHAnsi" w:cstheme="minorHAnsi"/>
          <w:sz w:val="22"/>
          <w:szCs w:val="22"/>
          <w:u w:val="single"/>
        </w:rPr>
      </w:pPr>
      <w:r w:rsidRPr="001A455A">
        <w:rPr>
          <w:rFonts w:asciiTheme="minorHAnsi" w:hAnsiTheme="minorHAnsi" w:cstheme="minorHAnsi"/>
          <w:sz w:val="22"/>
          <w:szCs w:val="22"/>
          <w:u w:val="single"/>
        </w:rPr>
        <w:t xml:space="preserve">Study </w:t>
      </w:r>
      <w:r w:rsidR="00CC60B8" w:rsidRPr="001A455A">
        <w:rPr>
          <w:rFonts w:asciiTheme="minorHAnsi" w:hAnsiTheme="minorHAnsi" w:cstheme="minorHAnsi"/>
          <w:sz w:val="22"/>
          <w:szCs w:val="22"/>
          <w:u w:val="single"/>
        </w:rPr>
        <w:t>i</w:t>
      </w:r>
      <w:r w:rsidRPr="001A455A">
        <w:rPr>
          <w:rFonts w:asciiTheme="minorHAnsi" w:hAnsiTheme="minorHAnsi" w:cstheme="minorHAnsi"/>
          <w:sz w:val="22"/>
          <w:szCs w:val="22"/>
          <w:u w:val="single"/>
        </w:rPr>
        <w:t xml:space="preserve">nclusion criteria </w:t>
      </w:r>
    </w:p>
    <w:p w14:paraId="7CE29875" w14:textId="77777777" w:rsidR="00B523AF" w:rsidRPr="001A455A" w:rsidRDefault="00B523AF" w:rsidP="00723FFA">
      <w:pPr>
        <w:spacing w:after="100" w:afterAutospacing="1" w:line="276" w:lineRule="auto"/>
        <w:ind w:left="60"/>
        <w:rPr>
          <w:rFonts w:asciiTheme="minorHAnsi" w:hAnsiTheme="minorHAnsi" w:cstheme="minorHAnsi"/>
          <w:sz w:val="22"/>
          <w:szCs w:val="22"/>
        </w:rPr>
      </w:pPr>
      <w:r w:rsidRPr="001A455A">
        <w:rPr>
          <w:rFonts w:asciiTheme="minorHAnsi" w:hAnsiTheme="minorHAnsi" w:cstheme="minorHAnsi"/>
          <w:sz w:val="22"/>
          <w:szCs w:val="22"/>
        </w:rPr>
        <w:t>Studies were eligible for inclusion if they met the following criteria:</w:t>
      </w:r>
    </w:p>
    <w:p w14:paraId="1BFFB88B" w14:textId="77777777" w:rsidR="00B523AF" w:rsidRPr="001A455A" w:rsidRDefault="00B523AF" w:rsidP="00723FFA">
      <w:pPr>
        <w:pStyle w:val="ListParagraph"/>
        <w:numPr>
          <w:ilvl w:val="0"/>
          <w:numId w:val="1"/>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Any intervention delivered directly to individuals where the primary aim is to alleviate loneliness (if there are multiple primary aims, it must be one of three or fewer);</w:t>
      </w:r>
    </w:p>
    <w:p w14:paraId="3C575FAC" w14:textId="77777777" w:rsidR="00B523AF" w:rsidRPr="001A455A" w:rsidRDefault="00B523AF" w:rsidP="00723FFA">
      <w:pPr>
        <w:pStyle w:val="ListParagraph"/>
        <w:numPr>
          <w:ilvl w:val="0"/>
          <w:numId w:val="1"/>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Intervention must be based in an OECD country;</w:t>
      </w:r>
    </w:p>
    <w:p w14:paraId="7EFE25A5" w14:textId="77777777" w:rsidR="00B523AF" w:rsidRPr="001A455A" w:rsidRDefault="00B523AF" w:rsidP="00723FFA">
      <w:pPr>
        <w:pStyle w:val="ListParagraph"/>
        <w:numPr>
          <w:ilvl w:val="0"/>
          <w:numId w:val="1"/>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Loneliness must be measured using a validated and standardised measure;</w:t>
      </w:r>
    </w:p>
    <w:p w14:paraId="76F714D0" w14:textId="77777777" w:rsidR="00B523AF" w:rsidRPr="001A455A" w:rsidRDefault="00B523AF" w:rsidP="00723FFA">
      <w:pPr>
        <w:pStyle w:val="ListParagraph"/>
        <w:numPr>
          <w:ilvl w:val="0"/>
          <w:numId w:val="1"/>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Loneliness must be measured before and after intervention (pre/post design);</w:t>
      </w:r>
    </w:p>
    <w:p w14:paraId="7FE662B9" w14:textId="3C700E61" w:rsidR="00B523AF" w:rsidRPr="001A455A" w:rsidRDefault="00B523AF" w:rsidP="00723FFA">
      <w:pPr>
        <w:pStyle w:val="ListParagraph"/>
        <w:numPr>
          <w:ilvl w:val="0"/>
          <w:numId w:val="1"/>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English language</w:t>
      </w:r>
    </w:p>
    <w:p w14:paraId="25A8E8BD" w14:textId="77777777" w:rsidR="00B523AF" w:rsidRPr="001A455A" w:rsidRDefault="00B523AF" w:rsidP="00723FFA">
      <w:p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The exclusion criteria included:</w:t>
      </w:r>
    </w:p>
    <w:p w14:paraId="5BF550E8" w14:textId="77777777" w:rsidR="00B523AF" w:rsidRPr="001A455A" w:rsidRDefault="00B523AF" w:rsidP="00723FFA">
      <w:pPr>
        <w:pStyle w:val="ListParagraph"/>
        <w:numPr>
          <w:ilvl w:val="0"/>
          <w:numId w:val="2"/>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Intervention where alleviating loneliness is a secondary aim or one of 4+ primary aims;</w:t>
      </w:r>
    </w:p>
    <w:p w14:paraId="6D2DC199" w14:textId="77777777" w:rsidR="00B523AF" w:rsidRPr="001A455A" w:rsidRDefault="00B523AF" w:rsidP="00723FFA">
      <w:pPr>
        <w:pStyle w:val="ListParagraph"/>
        <w:numPr>
          <w:ilvl w:val="0"/>
          <w:numId w:val="2"/>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Intervention is based in a non-OECD country;</w:t>
      </w:r>
    </w:p>
    <w:p w14:paraId="0F690B50" w14:textId="77777777" w:rsidR="00B523AF" w:rsidRPr="001A455A" w:rsidRDefault="00B523AF" w:rsidP="00723FFA">
      <w:pPr>
        <w:pStyle w:val="ListParagraph"/>
        <w:numPr>
          <w:ilvl w:val="0"/>
          <w:numId w:val="2"/>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Do not use validated and a standardised measure of loneliness (including qualitative ascertainment);</w:t>
      </w:r>
    </w:p>
    <w:p w14:paraId="4BE3B1EF" w14:textId="77777777" w:rsidR="00B523AF" w:rsidRPr="001A455A" w:rsidRDefault="00B523AF" w:rsidP="00723FFA">
      <w:pPr>
        <w:pStyle w:val="ListParagraph"/>
        <w:numPr>
          <w:ilvl w:val="0"/>
          <w:numId w:val="2"/>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Loneliness not measure before and after the intervention;</w:t>
      </w:r>
    </w:p>
    <w:p w14:paraId="792E0EAA" w14:textId="77777777" w:rsidR="00B523AF" w:rsidRPr="001A455A" w:rsidRDefault="00B523AF" w:rsidP="00723FFA">
      <w:pPr>
        <w:pStyle w:val="ListParagraph"/>
        <w:numPr>
          <w:ilvl w:val="0"/>
          <w:numId w:val="2"/>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 xml:space="preserve">Non-English language; </w:t>
      </w:r>
    </w:p>
    <w:p w14:paraId="76F57EB9" w14:textId="77777777" w:rsidR="00B523AF" w:rsidRPr="001A455A" w:rsidRDefault="00B523AF" w:rsidP="00723FFA">
      <w:pPr>
        <w:pStyle w:val="ListParagraph"/>
        <w:numPr>
          <w:ilvl w:val="0"/>
          <w:numId w:val="2"/>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Medical-based intervention (i.e. pharmaceutical) or delivered within a hospital setting.</w:t>
      </w:r>
    </w:p>
    <w:p w14:paraId="2B34F01E" w14:textId="07882FB6" w:rsidR="00B523AF" w:rsidRPr="001A455A" w:rsidRDefault="00B523AF" w:rsidP="00723FFA">
      <w:pPr>
        <w:pStyle w:val="ListParagraph"/>
        <w:numPr>
          <w:ilvl w:val="0"/>
          <w:numId w:val="2"/>
        </w:numPr>
        <w:spacing w:after="100" w:afterAutospacing="1" w:line="276" w:lineRule="auto"/>
        <w:rPr>
          <w:rFonts w:asciiTheme="minorHAnsi" w:hAnsiTheme="minorHAnsi" w:cstheme="minorHAnsi"/>
          <w:sz w:val="22"/>
          <w:szCs w:val="22"/>
        </w:rPr>
      </w:pPr>
      <w:r w:rsidRPr="001A455A">
        <w:rPr>
          <w:rFonts w:asciiTheme="minorHAnsi" w:hAnsiTheme="minorHAnsi" w:cstheme="minorHAnsi"/>
          <w:sz w:val="22"/>
          <w:szCs w:val="22"/>
        </w:rPr>
        <w:t>Inappropriate record type (i.e. news article, book, dissertation)</w:t>
      </w:r>
    </w:p>
    <w:p w14:paraId="21ABEED7" w14:textId="3FF966C1" w:rsidR="00B523AF" w:rsidRPr="001A455A" w:rsidRDefault="00B523AF" w:rsidP="00723FFA">
      <w:pPr>
        <w:spacing w:after="100" w:afterAutospacing="1" w:line="276" w:lineRule="auto"/>
        <w:rPr>
          <w:rFonts w:asciiTheme="minorHAnsi" w:hAnsiTheme="minorHAnsi" w:cstheme="minorHAnsi"/>
          <w:sz w:val="22"/>
          <w:szCs w:val="22"/>
          <w:u w:val="single"/>
        </w:rPr>
      </w:pPr>
      <w:r w:rsidRPr="001A455A">
        <w:rPr>
          <w:rFonts w:asciiTheme="minorHAnsi" w:hAnsiTheme="minorHAnsi" w:cstheme="minorHAnsi"/>
          <w:sz w:val="22"/>
          <w:szCs w:val="22"/>
          <w:u w:val="single"/>
        </w:rPr>
        <w:t xml:space="preserve">Search strategy </w:t>
      </w:r>
    </w:p>
    <w:p w14:paraId="17E78D56" w14:textId="77733C34" w:rsidR="00B523AF" w:rsidRPr="001A455A" w:rsidRDefault="00B523AF" w:rsidP="00723FFA">
      <w:pPr>
        <w:spacing w:after="100" w:afterAutospacing="1" w:line="276" w:lineRule="auto"/>
        <w:jc w:val="both"/>
        <w:rPr>
          <w:rFonts w:asciiTheme="minorHAnsi" w:hAnsiTheme="minorHAnsi" w:cstheme="minorHAnsi"/>
          <w:sz w:val="22"/>
          <w:szCs w:val="22"/>
        </w:rPr>
      </w:pPr>
      <w:r w:rsidRPr="001A455A">
        <w:rPr>
          <w:rFonts w:asciiTheme="minorHAnsi" w:hAnsiTheme="minorHAnsi" w:cstheme="minorHAnsi"/>
          <w:sz w:val="22"/>
          <w:szCs w:val="22"/>
        </w:rPr>
        <w:t xml:space="preserve">The search strategy consisted of two arms: traditional academic databases and grey literature. Both arms combined two key constructs ‘loneliness’ and ‘intervention’ using Boolean operators, truncation symbols and MeSH terms/mapped subject headings (see Figure 1). Truncation symbols enabled various spellings of a given phrase to be included; for example, ‘program*’ would capture ‘programme”, ‘program’, ‘programe’, ‘programs’, etc. </w:t>
      </w:r>
    </w:p>
    <w:p w14:paraId="2E0A0959" w14:textId="7FF97C61" w:rsidR="00B523AF" w:rsidRPr="001A455A" w:rsidRDefault="00B523AF" w:rsidP="00723FFA">
      <w:pPr>
        <w:spacing w:after="100" w:afterAutospacing="1" w:line="276" w:lineRule="auto"/>
        <w:jc w:val="both"/>
        <w:rPr>
          <w:rFonts w:asciiTheme="minorHAnsi" w:hAnsiTheme="minorHAnsi" w:cstheme="minorHAnsi"/>
          <w:sz w:val="22"/>
          <w:szCs w:val="22"/>
        </w:rPr>
      </w:pPr>
      <w:r w:rsidRPr="001A455A">
        <w:rPr>
          <w:rFonts w:asciiTheme="minorHAnsi" w:hAnsiTheme="minorHAnsi" w:cstheme="minorHAnsi"/>
          <w:sz w:val="22"/>
          <w:szCs w:val="22"/>
        </w:rPr>
        <w:t xml:space="preserve">Searches were conducted across three academic databases (Ovid Medline, ERIC, PsychInfo) using keywords and MeSH terms/mapped subject headings and were restricted to 2008 onwards. Grey literature searches were conducted across the electronic databases and websites/online repositories listed in </w:t>
      </w:r>
      <w:r w:rsidR="009213AB" w:rsidRPr="001A455A">
        <w:rPr>
          <w:rFonts w:asciiTheme="minorHAnsi" w:hAnsiTheme="minorHAnsi" w:cstheme="minorHAnsi"/>
          <w:sz w:val="22"/>
          <w:szCs w:val="22"/>
        </w:rPr>
        <w:t>Table</w:t>
      </w:r>
      <w:r w:rsidRPr="001A455A">
        <w:rPr>
          <w:rFonts w:asciiTheme="minorHAnsi" w:hAnsiTheme="minorHAnsi" w:cstheme="minorHAnsi"/>
          <w:sz w:val="22"/>
          <w:szCs w:val="22"/>
        </w:rPr>
        <w:t xml:space="preserve"> </w:t>
      </w:r>
      <w:r w:rsidR="009213AB" w:rsidRPr="001A455A">
        <w:rPr>
          <w:rFonts w:asciiTheme="minorHAnsi" w:hAnsiTheme="minorHAnsi" w:cstheme="minorHAnsi"/>
          <w:sz w:val="22"/>
          <w:szCs w:val="22"/>
        </w:rPr>
        <w:t>S</w:t>
      </w:r>
      <w:r w:rsidRPr="001A455A">
        <w:rPr>
          <w:rFonts w:asciiTheme="minorHAnsi" w:hAnsiTheme="minorHAnsi" w:cstheme="minorHAnsi"/>
          <w:sz w:val="22"/>
          <w:szCs w:val="22"/>
        </w:rPr>
        <w:t xml:space="preserve">1 below. </w:t>
      </w:r>
    </w:p>
    <w:p w14:paraId="2CADAE62" w14:textId="0EE8DE83" w:rsidR="0086059B" w:rsidRPr="001A455A" w:rsidRDefault="009213AB" w:rsidP="00723FFA">
      <w:pPr>
        <w:spacing w:after="100" w:afterAutospacing="1" w:line="276" w:lineRule="auto"/>
        <w:rPr>
          <w:rFonts w:asciiTheme="minorHAnsi" w:hAnsiTheme="minorHAnsi" w:cstheme="minorHAnsi"/>
          <w:b/>
          <w:bCs/>
          <w:sz w:val="22"/>
          <w:szCs w:val="22"/>
        </w:rPr>
      </w:pPr>
      <w:r w:rsidRPr="001A455A">
        <w:rPr>
          <w:rFonts w:asciiTheme="minorHAnsi" w:hAnsiTheme="minorHAnsi" w:cstheme="minorHAnsi"/>
          <w:b/>
          <w:bCs/>
          <w:sz w:val="22"/>
          <w:szCs w:val="22"/>
        </w:rPr>
        <w:t xml:space="preserve">Supplementary </w:t>
      </w:r>
      <w:r w:rsidR="00B523AF" w:rsidRPr="001A455A">
        <w:rPr>
          <w:rFonts w:asciiTheme="minorHAnsi" w:hAnsiTheme="minorHAnsi" w:cstheme="minorHAnsi"/>
          <w:b/>
          <w:bCs/>
          <w:sz w:val="22"/>
          <w:szCs w:val="22"/>
        </w:rPr>
        <w:t xml:space="preserve">Table </w:t>
      </w:r>
      <w:r w:rsidRPr="001A455A">
        <w:rPr>
          <w:rFonts w:asciiTheme="minorHAnsi" w:hAnsiTheme="minorHAnsi" w:cstheme="minorHAnsi"/>
          <w:b/>
          <w:bCs/>
          <w:sz w:val="22"/>
          <w:szCs w:val="22"/>
        </w:rPr>
        <w:t>S</w:t>
      </w:r>
      <w:r w:rsidR="00B523AF" w:rsidRPr="001A455A">
        <w:rPr>
          <w:rFonts w:asciiTheme="minorHAnsi" w:hAnsiTheme="minorHAnsi" w:cstheme="minorHAnsi"/>
          <w:b/>
          <w:bCs/>
          <w:sz w:val="22"/>
          <w:szCs w:val="22"/>
        </w:rPr>
        <w:t>1</w:t>
      </w:r>
      <w:r w:rsidR="00723FFA" w:rsidRPr="001A455A">
        <w:rPr>
          <w:rFonts w:asciiTheme="minorHAnsi" w:hAnsiTheme="minorHAnsi" w:cstheme="minorHAnsi"/>
          <w:b/>
          <w:bCs/>
          <w:sz w:val="22"/>
          <w:szCs w:val="22"/>
        </w:rPr>
        <w:t>.</w:t>
      </w:r>
      <w:r w:rsidR="00B523AF" w:rsidRPr="001A455A">
        <w:rPr>
          <w:rFonts w:asciiTheme="minorHAnsi" w:hAnsiTheme="minorHAnsi" w:cstheme="minorHAnsi"/>
          <w:b/>
          <w:bCs/>
          <w:sz w:val="22"/>
          <w:szCs w:val="22"/>
        </w:rPr>
        <w:t xml:space="preserve"> </w:t>
      </w:r>
      <w:r w:rsidR="00412EF3" w:rsidRPr="001A455A">
        <w:rPr>
          <w:rFonts w:asciiTheme="minorHAnsi" w:hAnsiTheme="minorHAnsi" w:cstheme="minorHAnsi"/>
          <w:b/>
          <w:bCs/>
          <w:sz w:val="22"/>
          <w:szCs w:val="22"/>
        </w:rPr>
        <w:t>Example of Ovid MEDLINE search</w:t>
      </w:r>
    </w:p>
    <w:tbl>
      <w:tblPr>
        <w:tblStyle w:val="TableGrid"/>
        <w:tblW w:w="0" w:type="auto"/>
        <w:tblLook w:val="04A0" w:firstRow="1" w:lastRow="0" w:firstColumn="1" w:lastColumn="0" w:noHBand="0" w:noVBand="1"/>
      </w:tblPr>
      <w:tblGrid>
        <w:gridCol w:w="988"/>
        <w:gridCol w:w="8022"/>
      </w:tblGrid>
      <w:tr w:rsidR="001A455A" w:rsidRPr="001A455A" w14:paraId="1F8D2452" w14:textId="77777777" w:rsidTr="00412EF3">
        <w:tc>
          <w:tcPr>
            <w:tcW w:w="988" w:type="dxa"/>
            <w:tcBorders>
              <w:top w:val="single" w:sz="4" w:space="0" w:color="auto"/>
              <w:left w:val="single" w:sz="4" w:space="0" w:color="auto"/>
              <w:bottom w:val="single" w:sz="4" w:space="0" w:color="auto"/>
              <w:right w:val="single" w:sz="4" w:space="0" w:color="auto"/>
            </w:tcBorders>
            <w:hideMark/>
          </w:tcPr>
          <w:p w14:paraId="6863743C"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1</w:t>
            </w:r>
          </w:p>
        </w:tc>
        <w:tc>
          <w:tcPr>
            <w:tcW w:w="8022" w:type="dxa"/>
            <w:tcBorders>
              <w:top w:val="single" w:sz="4" w:space="0" w:color="auto"/>
              <w:left w:val="single" w:sz="4" w:space="0" w:color="auto"/>
              <w:bottom w:val="single" w:sz="4" w:space="0" w:color="auto"/>
              <w:right w:val="single" w:sz="4" w:space="0" w:color="auto"/>
            </w:tcBorders>
            <w:hideMark/>
          </w:tcPr>
          <w:p w14:paraId="4A6F012E"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(Loneliness or Loneliness assessment or "At risk for loneliness").mp.</w:t>
            </w:r>
          </w:p>
        </w:tc>
      </w:tr>
      <w:tr w:rsidR="001A455A" w:rsidRPr="001A455A" w14:paraId="048C9515" w14:textId="77777777" w:rsidTr="00412EF3">
        <w:tc>
          <w:tcPr>
            <w:tcW w:w="988" w:type="dxa"/>
            <w:tcBorders>
              <w:top w:val="single" w:sz="4" w:space="0" w:color="auto"/>
              <w:left w:val="single" w:sz="4" w:space="0" w:color="auto"/>
              <w:bottom w:val="single" w:sz="4" w:space="0" w:color="auto"/>
              <w:right w:val="single" w:sz="4" w:space="0" w:color="auto"/>
            </w:tcBorders>
            <w:hideMark/>
          </w:tcPr>
          <w:p w14:paraId="04B712C4"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2</w:t>
            </w:r>
          </w:p>
        </w:tc>
        <w:tc>
          <w:tcPr>
            <w:tcW w:w="8022" w:type="dxa"/>
            <w:tcBorders>
              <w:top w:val="single" w:sz="4" w:space="0" w:color="auto"/>
              <w:left w:val="single" w:sz="4" w:space="0" w:color="auto"/>
              <w:bottom w:val="single" w:sz="4" w:space="0" w:color="auto"/>
              <w:right w:val="single" w:sz="4" w:space="0" w:color="auto"/>
            </w:tcBorders>
            <w:hideMark/>
          </w:tcPr>
          <w:p w14:paraId="7E57ACC9"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Loneliness/ or Loneliness.mp.</w:t>
            </w:r>
          </w:p>
        </w:tc>
      </w:tr>
      <w:tr w:rsidR="001A455A" w:rsidRPr="001A455A" w14:paraId="420084FA" w14:textId="77777777" w:rsidTr="00412EF3">
        <w:tc>
          <w:tcPr>
            <w:tcW w:w="988" w:type="dxa"/>
            <w:tcBorders>
              <w:top w:val="single" w:sz="4" w:space="0" w:color="auto"/>
              <w:left w:val="single" w:sz="4" w:space="0" w:color="auto"/>
              <w:bottom w:val="single" w:sz="4" w:space="0" w:color="auto"/>
              <w:right w:val="single" w:sz="4" w:space="0" w:color="auto"/>
            </w:tcBorders>
            <w:hideMark/>
          </w:tcPr>
          <w:p w14:paraId="203FF610"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3</w:t>
            </w:r>
          </w:p>
        </w:tc>
        <w:tc>
          <w:tcPr>
            <w:tcW w:w="8022" w:type="dxa"/>
            <w:tcBorders>
              <w:top w:val="single" w:sz="4" w:space="0" w:color="auto"/>
              <w:left w:val="single" w:sz="4" w:space="0" w:color="auto"/>
              <w:bottom w:val="single" w:sz="4" w:space="0" w:color="auto"/>
              <w:right w:val="single" w:sz="4" w:space="0" w:color="auto"/>
            </w:tcBorders>
            <w:hideMark/>
          </w:tcPr>
          <w:p w14:paraId="50CF7677"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loneliness.mp. or exp Loneliness/</w:t>
            </w:r>
          </w:p>
        </w:tc>
      </w:tr>
      <w:tr w:rsidR="001A455A" w:rsidRPr="001A455A" w14:paraId="480A370E" w14:textId="77777777" w:rsidTr="00412EF3">
        <w:tc>
          <w:tcPr>
            <w:tcW w:w="988" w:type="dxa"/>
            <w:tcBorders>
              <w:top w:val="single" w:sz="4" w:space="0" w:color="auto"/>
              <w:left w:val="single" w:sz="4" w:space="0" w:color="auto"/>
              <w:bottom w:val="single" w:sz="4" w:space="0" w:color="auto"/>
              <w:right w:val="single" w:sz="4" w:space="0" w:color="auto"/>
            </w:tcBorders>
            <w:hideMark/>
          </w:tcPr>
          <w:p w14:paraId="28FA4B2E"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4</w:t>
            </w:r>
          </w:p>
        </w:tc>
        <w:tc>
          <w:tcPr>
            <w:tcW w:w="8022" w:type="dxa"/>
            <w:tcBorders>
              <w:top w:val="single" w:sz="4" w:space="0" w:color="auto"/>
              <w:left w:val="single" w:sz="4" w:space="0" w:color="auto"/>
              <w:bottom w:val="single" w:sz="4" w:space="0" w:color="auto"/>
              <w:right w:val="single" w:sz="4" w:space="0" w:color="auto"/>
            </w:tcBorders>
            <w:hideMark/>
          </w:tcPr>
          <w:p w14:paraId="2522EDD1"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intervention*.mp. or Psychosocial Intervention/ [mp=title, book title, abstract, original title, name of substance word, subject heading word, floating sub-heading word, keyword heading word, organism supplementary concept word, protocol supplementary concept word, rare disease supplementary concept word, unique identifier, synonyms]</w:t>
            </w:r>
          </w:p>
        </w:tc>
      </w:tr>
      <w:tr w:rsidR="001A455A" w:rsidRPr="001A455A" w14:paraId="46185E52" w14:textId="77777777" w:rsidTr="00412EF3">
        <w:tc>
          <w:tcPr>
            <w:tcW w:w="988" w:type="dxa"/>
            <w:tcBorders>
              <w:top w:val="single" w:sz="4" w:space="0" w:color="auto"/>
              <w:left w:val="single" w:sz="4" w:space="0" w:color="auto"/>
              <w:bottom w:val="single" w:sz="4" w:space="0" w:color="auto"/>
              <w:right w:val="single" w:sz="4" w:space="0" w:color="auto"/>
            </w:tcBorders>
            <w:hideMark/>
          </w:tcPr>
          <w:p w14:paraId="4AEEDC8B"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lastRenderedPageBreak/>
              <w:t>5</w:t>
            </w:r>
          </w:p>
        </w:tc>
        <w:tc>
          <w:tcPr>
            <w:tcW w:w="8022" w:type="dxa"/>
            <w:tcBorders>
              <w:top w:val="single" w:sz="4" w:space="0" w:color="auto"/>
              <w:left w:val="single" w:sz="4" w:space="0" w:color="auto"/>
              <w:bottom w:val="single" w:sz="4" w:space="0" w:color="auto"/>
              <w:right w:val="single" w:sz="4" w:space="0" w:color="auto"/>
            </w:tcBorders>
            <w:hideMark/>
          </w:tcPr>
          <w:p w14:paraId="488F8CC6"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(program or programs or programme or programmes or programes).mp. or Program Evaluation/ [mp=title, book title, abstract, original title, name of substance word, subject heading word, floating sub-heading word, keyword heading word, organism supplementary concept word, protocol supplementary concept word, rare disease supplementary concept word, unique identifier, synonyms]</w:t>
            </w:r>
          </w:p>
        </w:tc>
      </w:tr>
      <w:tr w:rsidR="001A455A" w:rsidRPr="001A455A" w14:paraId="7AB1A31E" w14:textId="77777777" w:rsidTr="00412EF3">
        <w:tc>
          <w:tcPr>
            <w:tcW w:w="988" w:type="dxa"/>
            <w:tcBorders>
              <w:top w:val="single" w:sz="4" w:space="0" w:color="auto"/>
              <w:left w:val="single" w:sz="4" w:space="0" w:color="auto"/>
              <w:bottom w:val="single" w:sz="4" w:space="0" w:color="auto"/>
              <w:right w:val="single" w:sz="4" w:space="0" w:color="auto"/>
            </w:tcBorders>
            <w:hideMark/>
          </w:tcPr>
          <w:p w14:paraId="2FE75A30"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6</w:t>
            </w:r>
          </w:p>
        </w:tc>
        <w:tc>
          <w:tcPr>
            <w:tcW w:w="8022" w:type="dxa"/>
            <w:tcBorders>
              <w:top w:val="single" w:sz="4" w:space="0" w:color="auto"/>
              <w:left w:val="single" w:sz="4" w:space="0" w:color="auto"/>
              <w:bottom w:val="single" w:sz="4" w:space="0" w:color="auto"/>
              <w:right w:val="single" w:sz="4" w:space="0" w:color="auto"/>
            </w:tcBorders>
            <w:hideMark/>
          </w:tcPr>
          <w:p w14:paraId="597BBA94"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evaluation.mp. or Evaluation Study/ [mp=title, book title, abstract, original title, name of substance word, subject heading word, floating sub-heading word, keyword heading word, organism supplementary concept word, protocol supplementary concept word, rare disease supplementary concept word, unique identifier, synonyms]</w:t>
            </w:r>
          </w:p>
        </w:tc>
      </w:tr>
      <w:tr w:rsidR="001A455A" w:rsidRPr="001A455A" w14:paraId="7D45FD3F" w14:textId="77777777" w:rsidTr="00412EF3">
        <w:tc>
          <w:tcPr>
            <w:tcW w:w="988" w:type="dxa"/>
            <w:tcBorders>
              <w:top w:val="single" w:sz="4" w:space="0" w:color="auto"/>
              <w:left w:val="single" w:sz="4" w:space="0" w:color="auto"/>
              <w:bottom w:val="single" w:sz="4" w:space="0" w:color="auto"/>
              <w:right w:val="single" w:sz="4" w:space="0" w:color="auto"/>
            </w:tcBorders>
            <w:hideMark/>
          </w:tcPr>
          <w:p w14:paraId="0BCBB08F"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7</w:t>
            </w:r>
          </w:p>
        </w:tc>
        <w:tc>
          <w:tcPr>
            <w:tcW w:w="8022" w:type="dxa"/>
            <w:tcBorders>
              <w:top w:val="single" w:sz="4" w:space="0" w:color="auto"/>
              <w:left w:val="single" w:sz="4" w:space="0" w:color="auto"/>
              <w:bottom w:val="single" w:sz="4" w:space="0" w:color="auto"/>
              <w:right w:val="single" w:sz="4" w:space="0" w:color="auto"/>
            </w:tcBorders>
            <w:hideMark/>
          </w:tcPr>
          <w:p w14:paraId="20411EC4"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4 or 5 or 6</w:t>
            </w:r>
          </w:p>
        </w:tc>
      </w:tr>
      <w:tr w:rsidR="001A455A" w:rsidRPr="001A455A" w14:paraId="5B6F033D" w14:textId="77777777" w:rsidTr="00412EF3">
        <w:tc>
          <w:tcPr>
            <w:tcW w:w="988" w:type="dxa"/>
            <w:tcBorders>
              <w:top w:val="single" w:sz="4" w:space="0" w:color="auto"/>
              <w:left w:val="single" w:sz="4" w:space="0" w:color="auto"/>
              <w:bottom w:val="single" w:sz="4" w:space="0" w:color="auto"/>
              <w:right w:val="single" w:sz="4" w:space="0" w:color="auto"/>
            </w:tcBorders>
            <w:hideMark/>
          </w:tcPr>
          <w:p w14:paraId="01115500"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8</w:t>
            </w:r>
          </w:p>
        </w:tc>
        <w:tc>
          <w:tcPr>
            <w:tcW w:w="8022" w:type="dxa"/>
            <w:tcBorders>
              <w:top w:val="single" w:sz="4" w:space="0" w:color="auto"/>
              <w:left w:val="single" w:sz="4" w:space="0" w:color="auto"/>
              <w:bottom w:val="single" w:sz="4" w:space="0" w:color="auto"/>
              <w:right w:val="single" w:sz="4" w:space="0" w:color="auto"/>
            </w:tcBorders>
            <w:hideMark/>
          </w:tcPr>
          <w:p w14:paraId="10F67EE6"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3 and 7</w:t>
            </w:r>
          </w:p>
        </w:tc>
      </w:tr>
      <w:tr w:rsidR="001A455A" w:rsidRPr="001A455A" w14:paraId="15E8402F" w14:textId="77777777" w:rsidTr="00412EF3">
        <w:tc>
          <w:tcPr>
            <w:tcW w:w="988" w:type="dxa"/>
            <w:tcBorders>
              <w:top w:val="single" w:sz="4" w:space="0" w:color="auto"/>
              <w:left w:val="single" w:sz="4" w:space="0" w:color="auto"/>
              <w:bottom w:val="single" w:sz="4" w:space="0" w:color="auto"/>
              <w:right w:val="single" w:sz="4" w:space="0" w:color="auto"/>
            </w:tcBorders>
            <w:hideMark/>
          </w:tcPr>
          <w:p w14:paraId="4CDC1DA7"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9</w:t>
            </w:r>
          </w:p>
        </w:tc>
        <w:tc>
          <w:tcPr>
            <w:tcW w:w="8022" w:type="dxa"/>
            <w:tcBorders>
              <w:top w:val="single" w:sz="4" w:space="0" w:color="auto"/>
              <w:left w:val="single" w:sz="4" w:space="0" w:color="auto"/>
              <w:bottom w:val="single" w:sz="4" w:space="0" w:color="auto"/>
              <w:right w:val="single" w:sz="4" w:space="0" w:color="auto"/>
            </w:tcBorders>
            <w:hideMark/>
          </w:tcPr>
          <w:p w14:paraId="336A73C6" w14:textId="77777777" w:rsidR="00412EF3" w:rsidRPr="001A455A" w:rsidRDefault="00412EF3">
            <w:pPr>
              <w:rPr>
                <w:rFonts w:asciiTheme="minorHAnsi" w:hAnsiTheme="minorHAnsi" w:cstheme="minorHAnsi"/>
                <w:sz w:val="22"/>
                <w:szCs w:val="22"/>
              </w:rPr>
            </w:pPr>
            <w:r w:rsidRPr="001A455A">
              <w:rPr>
                <w:rFonts w:asciiTheme="minorHAnsi" w:hAnsiTheme="minorHAnsi" w:cstheme="minorHAnsi"/>
                <w:sz w:val="22"/>
                <w:szCs w:val="22"/>
              </w:rPr>
              <w:t>limit 8 to yr="2008 -Current"</w:t>
            </w:r>
          </w:p>
        </w:tc>
      </w:tr>
    </w:tbl>
    <w:p w14:paraId="09F308F8" w14:textId="77777777" w:rsidR="00412EF3" w:rsidRPr="001A455A" w:rsidRDefault="00412EF3" w:rsidP="00412EF3">
      <w:pPr>
        <w:rPr>
          <w:rFonts w:asciiTheme="minorHAnsi" w:hAnsiTheme="minorHAnsi" w:cstheme="minorHAnsi"/>
          <w:sz w:val="22"/>
          <w:szCs w:val="22"/>
          <w:lang w:eastAsia="en-US"/>
        </w:rPr>
      </w:pPr>
      <w:r w:rsidRPr="001A455A">
        <w:rPr>
          <w:rFonts w:asciiTheme="minorHAnsi" w:hAnsiTheme="minorHAnsi" w:cstheme="minorHAnsi"/>
          <w:sz w:val="22"/>
          <w:szCs w:val="22"/>
        </w:rPr>
        <w:tab/>
      </w:r>
    </w:p>
    <w:p w14:paraId="36923CCC" w14:textId="77777777" w:rsidR="00412EF3" w:rsidRPr="001A455A" w:rsidRDefault="00412EF3" w:rsidP="00723FFA">
      <w:pPr>
        <w:spacing w:after="100" w:afterAutospacing="1" w:line="276" w:lineRule="auto"/>
        <w:rPr>
          <w:rFonts w:asciiTheme="minorHAnsi" w:hAnsiTheme="minorHAnsi" w:cstheme="minorHAnsi"/>
          <w:sz w:val="22"/>
          <w:szCs w:val="22"/>
        </w:rPr>
      </w:pPr>
    </w:p>
    <w:p w14:paraId="16808609" w14:textId="77777777" w:rsidR="00412EF3" w:rsidRPr="001A455A" w:rsidRDefault="00412EF3" w:rsidP="00723FFA">
      <w:pPr>
        <w:spacing w:after="100" w:afterAutospacing="1" w:line="276" w:lineRule="auto"/>
        <w:rPr>
          <w:rFonts w:asciiTheme="minorHAnsi" w:hAnsiTheme="minorHAnsi" w:cstheme="minorHAnsi"/>
          <w:sz w:val="22"/>
          <w:szCs w:val="22"/>
        </w:rPr>
      </w:pPr>
    </w:p>
    <w:p w14:paraId="52E56807" w14:textId="77777777" w:rsidR="00D51080" w:rsidRPr="001A455A" w:rsidRDefault="00D51080" w:rsidP="00D51080">
      <w:pPr>
        <w:spacing w:after="100" w:afterAutospacing="1" w:line="276" w:lineRule="auto"/>
        <w:ind w:left="-11" w:right="54"/>
        <w:jc w:val="both"/>
        <w:rPr>
          <w:rFonts w:asciiTheme="minorHAnsi" w:hAnsiTheme="minorHAnsi" w:cstheme="minorHAnsi"/>
          <w:sz w:val="22"/>
          <w:szCs w:val="22"/>
        </w:rPr>
      </w:pPr>
    </w:p>
    <w:p w14:paraId="472E95C4" w14:textId="16AD01D0" w:rsidR="0086059B" w:rsidRPr="001A455A" w:rsidRDefault="009213AB" w:rsidP="00D51080">
      <w:pPr>
        <w:spacing w:after="100" w:afterAutospacing="1" w:line="276" w:lineRule="auto"/>
        <w:ind w:left="-11" w:right="54"/>
        <w:jc w:val="both"/>
        <w:rPr>
          <w:rFonts w:asciiTheme="minorHAnsi" w:hAnsiTheme="minorHAnsi" w:cstheme="minorHAnsi"/>
          <w:b/>
          <w:bCs/>
          <w:sz w:val="22"/>
          <w:szCs w:val="22"/>
        </w:rPr>
      </w:pPr>
      <w:r w:rsidRPr="001A455A">
        <w:rPr>
          <w:rFonts w:asciiTheme="minorHAnsi" w:hAnsiTheme="minorHAnsi" w:cstheme="minorHAnsi"/>
          <w:b/>
          <w:bCs/>
          <w:sz w:val="22"/>
          <w:szCs w:val="22"/>
        </w:rPr>
        <w:br w:type="column"/>
      </w:r>
      <w:r w:rsidRPr="001A455A">
        <w:rPr>
          <w:rFonts w:asciiTheme="minorHAnsi" w:hAnsiTheme="minorHAnsi" w:cstheme="minorHAnsi"/>
          <w:b/>
          <w:bCs/>
          <w:sz w:val="22"/>
          <w:szCs w:val="22"/>
        </w:rPr>
        <w:lastRenderedPageBreak/>
        <w:t xml:space="preserve">Supplementary </w:t>
      </w:r>
      <w:r w:rsidR="00D51080" w:rsidRPr="001A455A">
        <w:rPr>
          <w:rFonts w:asciiTheme="minorHAnsi" w:hAnsiTheme="minorHAnsi" w:cstheme="minorHAnsi"/>
          <w:b/>
          <w:bCs/>
          <w:sz w:val="22"/>
          <w:szCs w:val="22"/>
        </w:rPr>
        <w:t xml:space="preserve">Table </w:t>
      </w:r>
      <w:r w:rsidRPr="001A455A">
        <w:rPr>
          <w:rFonts w:asciiTheme="minorHAnsi" w:hAnsiTheme="minorHAnsi" w:cstheme="minorHAnsi"/>
          <w:b/>
          <w:bCs/>
          <w:sz w:val="22"/>
          <w:szCs w:val="22"/>
        </w:rPr>
        <w:t>S2</w:t>
      </w:r>
      <w:r w:rsidR="00D51080" w:rsidRPr="001A455A">
        <w:rPr>
          <w:rFonts w:asciiTheme="minorHAnsi" w:hAnsiTheme="minorHAnsi" w:cstheme="minorHAnsi"/>
          <w:b/>
          <w:bCs/>
          <w:sz w:val="22"/>
          <w:szCs w:val="22"/>
        </w:rPr>
        <w:t xml:space="preserve">. </w:t>
      </w:r>
      <w:r w:rsidRPr="001A455A">
        <w:rPr>
          <w:rFonts w:asciiTheme="minorHAnsi" w:hAnsiTheme="minorHAnsi" w:cstheme="minorHAnsi"/>
          <w:b/>
          <w:bCs/>
          <w:sz w:val="22"/>
          <w:szCs w:val="22"/>
        </w:rPr>
        <w:t>What Works Centre for Wellbeing (WWCW) Quality Checklist: Quantitative evidence of intervention effectiveness (c</w:t>
      </w:r>
      <w:r w:rsidR="00D51080" w:rsidRPr="001A455A">
        <w:rPr>
          <w:rFonts w:asciiTheme="minorHAnsi" w:hAnsiTheme="minorHAnsi" w:cstheme="minorHAnsi"/>
          <w:b/>
          <w:bCs/>
          <w:sz w:val="22"/>
          <w:szCs w:val="22"/>
        </w:rPr>
        <w:t>hecklist for study critical appraisal</w:t>
      </w:r>
      <w:r w:rsidRPr="001A455A">
        <w:rPr>
          <w:rFonts w:asciiTheme="minorHAnsi" w:hAnsiTheme="minorHAnsi" w:cstheme="minorHAnsi"/>
          <w:b/>
          <w:bCs/>
          <w:sz w:val="22"/>
          <w:szCs w:val="22"/>
        </w:rPr>
        <w:t>)</w:t>
      </w:r>
    </w:p>
    <w:p w14:paraId="09C72368" w14:textId="075172DD" w:rsidR="009213AB" w:rsidRPr="001A455A" w:rsidRDefault="009213AB" w:rsidP="009213AB">
      <w:pPr>
        <w:spacing w:after="100" w:afterAutospacing="1" w:line="276" w:lineRule="auto"/>
        <w:ind w:left="-11" w:right="54"/>
        <w:jc w:val="both"/>
        <w:rPr>
          <w:rFonts w:asciiTheme="minorHAnsi" w:hAnsiTheme="minorHAnsi" w:cstheme="minorHAnsi"/>
          <w:sz w:val="22"/>
          <w:szCs w:val="22"/>
        </w:rPr>
      </w:pPr>
      <w:r w:rsidRPr="001A455A">
        <w:rPr>
          <w:rFonts w:asciiTheme="minorHAnsi" w:hAnsiTheme="minorHAnsi" w:cstheme="minorHAnsi"/>
          <w:sz w:val="22"/>
          <w:szCs w:val="22"/>
        </w:rPr>
        <w:t>The checklist below is from the quality checklist for quantitative evidence of intervention effectiveness. In a previous review, WWCW developed a scoring system to provide an indication of overall level of confidence in the design, conduct and reporting of the study. The 10 elements of the checklist can be scored either 1 (yes) or 0 (no, can’t tell or N/A). The total score can be used to assign each study an overall level of confidence of low (0-2), moderate (3-6) or high (7-10).</w:t>
      </w:r>
    </w:p>
    <w:tbl>
      <w:tblPr>
        <w:tblStyle w:val="TableGrid0"/>
        <w:tblW w:w="9624" w:type="dxa"/>
        <w:tblInd w:w="5" w:type="dxa"/>
        <w:tblCellMar>
          <w:top w:w="5" w:type="dxa"/>
          <w:left w:w="110" w:type="dxa"/>
          <w:right w:w="46" w:type="dxa"/>
        </w:tblCellMar>
        <w:tblLook w:val="04A0" w:firstRow="1" w:lastRow="0" w:firstColumn="1" w:lastColumn="0" w:noHBand="0" w:noVBand="1"/>
      </w:tblPr>
      <w:tblGrid>
        <w:gridCol w:w="1963"/>
        <w:gridCol w:w="5448"/>
        <w:gridCol w:w="2213"/>
      </w:tblGrid>
      <w:tr w:rsidR="001A455A" w:rsidRPr="001A455A" w14:paraId="5FA87633" w14:textId="77777777" w:rsidTr="001C3226">
        <w:trPr>
          <w:trHeight w:val="283"/>
          <w:tblHeader/>
        </w:trPr>
        <w:tc>
          <w:tcPr>
            <w:tcW w:w="1963" w:type="dxa"/>
            <w:tcBorders>
              <w:top w:val="single" w:sz="4" w:space="0" w:color="BFBFBF"/>
              <w:left w:val="single" w:sz="4" w:space="0" w:color="BFBFBF"/>
              <w:bottom w:val="single" w:sz="4" w:space="0" w:color="BFBFBF"/>
              <w:right w:val="single" w:sz="4" w:space="0" w:color="BFBFBF"/>
            </w:tcBorders>
          </w:tcPr>
          <w:p w14:paraId="61345445" w14:textId="77777777" w:rsidR="0086059B" w:rsidRPr="001A455A" w:rsidRDefault="0086059B" w:rsidP="00D51080">
            <w:pPr>
              <w:spacing w:after="100" w:afterAutospacing="1" w:line="276" w:lineRule="auto"/>
              <w:jc w:val="both"/>
              <w:rPr>
                <w:rFonts w:asciiTheme="minorHAnsi" w:hAnsiTheme="minorHAnsi" w:cstheme="minorHAnsi"/>
                <w:b/>
                <w:bCs/>
              </w:rPr>
            </w:pPr>
            <w:r w:rsidRPr="001A455A">
              <w:rPr>
                <w:rFonts w:asciiTheme="minorHAnsi" w:eastAsia="Calibri" w:hAnsiTheme="minorHAnsi" w:cstheme="minorHAnsi"/>
                <w:b/>
                <w:bCs/>
              </w:rPr>
              <w:t xml:space="preserve">Question </w:t>
            </w:r>
          </w:p>
        </w:tc>
        <w:tc>
          <w:tcPr>
            <w:tcW w:w="5448" w:type="dxa"/>
            <w:tcBorders>
              <w:top w:val="single" w:sz="4" w:space="0" w:color="BFBFBF"/>
              <w:left w:val="single" w:sz="4" w:space="0" w:color="BFBFBF"/>
              <w:bottom w:val="single" w:sz="4" w:space="0" w:color="BFBFBF"/>
              <w:right w:val="single" w:sz="4" w:space="0" w:color="BFBFBF"/>
            </w:tcBorders>
          </w:tcPr>
          <w:p w14:paraId="2F91D3A1" w14:textId="77777777" w:rsidR="0086059B" w:rsidRPr="001A455A" w:rsidRDefault="0086059B" w:rsidP="00D51080">
            <w:pPr>
              <w:spacing w:after="100" w:afterAutospacing="1" w:line="276" w:lineRule="auto"/>
              <w:jc w:val="both"/>
              <w:rPr>
                <w:rFonts w:asciiTheme="minorHAnsi" w:hAnsiTheme="minorHAnsi" w:cstheme="minorHAnsi"/>
                <w:b/>
                <w:bCs/>
              </w:rPr>
            </w:pPr>
            <w:r w:rsidRPr="001A455A">
              <w:rPr>
                <w:rFonts w:asciiTheme="minorHAnsi" w:eastAsia="Calibri" w:hAnsiTheme="minorHAnsi" w:cstheme="minorHAnsi"/>
                <w:b/>
                <w:bCs/>
              </w:rPr>
              <w:t xml:space="preserve">Element </w:t>
            </w:r>
          </w:p>
        </w:tc>
        <w:tc>
          <w:tcPr>
            <w:tcW w:w="2213" w:type="dxa"/>
            <w:tcBorders>
              <w:top w:val="single" w:sz="4" w:space="0" w:color="BFBFBF"/>
              <w:left w:val="single" w:sz="4" w:space="0" w:color="BFBFBF"/>
              <w:bottom w:val="single" w:sz="4" w:space="0" w:color="BFBFBF"/>
              <w:right w:val="single" w:sz="4" w:space="0" w:color="BFBFBF"/>
            </w:tcBorders>
          </w:tcPr>
          <w:p w14:paraId="087084EF" w14:textId="77777777" w:rsidR="0086059B" w:rsidRPr="001A455A" w:rsidRDefault="0086059B" w:rsidP="00D51080">
            <w:pPr>
              <w:spacing w:after="100" w:afterAutospacing="1" w:line="276" w:lineRule="auto"/>
              <w:jc w:val="both"/>
              <w:rPr>
                <w:rFonts w:asciiTheme="minorHAnsi" w:hAnsiTheme="minorHAnsi" w:cstheme="minorHAnsi"/>
                <w:b/>
                <w:bCs/>
              </w:rPr>
            </w:pPr>
            <w:r w:rsidRPr="001A455A">
              <w:rPr>
                <w:rFonts w:asciiTheme="minorHAnsi" w:eastAsia="Calibri" w:hAnsiTheme="minorHAnsi" w:cstheme="minorHAnsi"/>
                <w:b/>
                <w:bCs/>
              </w:rPr>
              <w:t xml:space="preserve">Response options </w:t>
            </w:r>
          </w:p>
        </w:tc>
      </w:tr>
      <w:tr w:rsidR="001A455A" w:rsidRPr="001A455A" w14:paraId="381B4283" w14:textId="77777777" w:rsidTr="001C3226">
        <w:trPr>
          <w:trHeight w:val="1378"/>
        </w:trPr>
        <w:tc>
          <w:tcPr>
            <w:tcW w:w="1963" w:type="dxa"/>
            <w:vMerge w:val="restart"/>
            <w:tcBorders>
              <w:top w:val="single" w:sz="4" w:space="0" w:color="BFBFBF"/>
              <w:left w:val="single" w:sz="4" w:space="0" w:color="BFBFBF"/>
              <w:bottom w:val="single" w:sz="4" w:space="0" w:color="BFBFBF"/>
              <w:right w:val="single" w:sz="4" w:space="0" w:color="BFBFBF"/>
            </w:tcBorders>
          </w:tcPr>
          <w:p w14:paraId="5CCB7744"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Was the evidence well-designed? </w:t>
            </w:r>
          </w:p>
        </w:tc>
        <w:tc>
          <w:tcPr>
            <w:tcW w:w="5448" w:type="dxa"/>
            <w:tcBorders>
              <w:top w:val="single" w:sz="4" w:space="0" w:color="BFBFBF"/>
              <w:left w:val="single" w:sz="4" w:space="0" w:color="BFBFBF"/>
              <w:bottom w:val="single" w:sz="4" w:space="0" w:color="BFBFBF"/>
              <w:right w:val="single" w:sz="4" w:space="0" w:color="BFBFBF"/>
            </w:tcBorders>
          </w:tcPr>
          <w:p w14:paraId="04AB4565"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Fidelity: </w:t>
            </w:r>
          </w:p>
          <w:p w14:paraId="3991F76D" w14:textId="77777777" w:rsidR="0086059B" w:rsidRPr="001A455A" w:rsidRDefault="0086059B" w:rsidP="00D51080">
            <w:pPr>
              <w:spacing w:after="100" w:afterAutospacing="1" w:line="276" w:lineRule="auto"/>
              <w:ind w:left="360" w:hanging="360"/>
              <w:jc w:val="both"/>
              <w:rPr>
                <w:rFonts w:asciiTheme="minorHAnsi" w:hAnsiTheme="minorHAnsi" w:cstheme="minorHAnsi"/>
              </w:rPr>
            </w:pPr>
            <w:r w:rsidRPr="001A455A">
              <w:rPr>
                <w:rFonts w:asciiTheme="minorHAnsi" w:eastAsia="Calibri" w:hAnsiTheme="minorHAnsi" w:cstheme="minorHAnsi"/>
              </w:rPr>
              <w:t>•</w:t>
            </w:r>
            <w:r w:rsidRPr="001A455A">
              <w:rPr>
                <w:rFonts w:asciiTheme="minorHAnsi" w:eastAsia="Arial" w:hAnsiTheme="minorHAnsi" w:cstheme="minorHAnsi"/>
              </w:rPr>
              <w:t xml:space="preserve"> </w:t>
            </w:r>
            <w:r w:rsidRPr="001A455A">
              <w:rPr>
                <w:rFonts w:asciiTheme="minorHAnsi" w:eastAsia="Arial" w:hAnsiTheme="minorHAnsi" w:cstheme="minorHAnsi"/>
              </w:rPr>
              <w:tab/>
            </w:r>
            <w:r w:rsidRPr="001A455A">
              <w:rPr>
                <w:rFonts w:asciiTheme="minorHAnsi" w:eastAsia="Calibri" w:hAnsiTheme="minorHAnsi" w:cstheme="minorHAnsi"/>
              </w:rPr>
              <w:t xml:space="preserve">The extent to which the intervention was delivered with fidelity is clear – i.e., if there is a specific intervention which is being evaluated, this has been well reproduced. </w:t>
            </w:r>
          </w:p>
        </w:tc>
        <w:tc>
          <w:tcPr>
            <w:tcW w:w="2213" w:type="dxa"/>
            <w:tcBorders>
              <w:top w:val="single" w:sz="4" w:space="0" w:color="BFBFBF"/>
              <w:left w:val="single" w:sz="4" w:space="0" w:color="BFBFBF"/>
              <w:bottom w:val="single" w:sz="4" w:space="0" w:color="BFBFBF"/>
              <w:right w:val="single" w:sz="4" w:space="0" w:color="BFBFBF"/>
            </w:tcBorders>
          </w:tcPr>
          <w:p w14:paraId="2FCDF23B"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Yes (1) </w:t>
            </w:r>
          </w:p>
          <w:p w14:paraId="0AD28EEA"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No (0) </w:t>
            </w:r>
          </w:p>
          <w:p w14:paraId="4AC15371"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Can’t tell (0)  </w:t>
            </w:r>
          </w:p>
          <w:p w14:paraId="75AAE4DF"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N/A (0) </w:t>
            </w:r>
          </w:p>
        </w:tc>
      </w:tr>
      <w:tr w:rsidR="001A455A" w:rsidRPr="001A455A" w14:paraId="77288623" w14:textId="77777777" w:rsidTr="001C3226">
        <w:trPr>
          <w:trHeight w:val="3835"/>
        </w:trPr>
        <w:tc>
          <w:tcPr>
            <w:tcW w:w="0" w:type="auto"/>
            <w:vMerge/>
            <w:tcBorders>
              <w:top w:val="nil"/>
              <w:left w:val="single" w:sz="4" w:space="0" w:color="BFBFBF"/>
              <w:bottom w:val="nil"/>
              <w:right w:val="single" w:sz="4" w:space="0" w:color="BFBFBF"/>
            </w:tcBorders>
          </w:tcPr>
          <w:p w14:paraId="08D36D0A" w14:textId="77777777" w:rsidR="0086059B" w:rsidRPr="001A455A" w:rsidRDefault="0086059B" w:rsidP="00D51080">
            <w:pPr>
              <w:spacing w:after="100" w:afterAutospacing="1" w:line="276" w:lineRule="auto"/>
              <w:jc w:val="both"/>
              <w:rPr>
                <w:rFonts w:asciiTheme="minorHAnsi" w:hAnsiTheme="minorHAnsi" w:cstheme="minorHAnsi"/>
              </w:rPr>
            </w:pPr>
          </w:p>
        </w:tc>
        <w:tc>
          <w:tcPr>
            <w:tcW w:w="5448" w:type="dxa"/>
            <w:tcBorders>
              <w:top w:val="single" w:sz="4" w:space="0" w:color="BFBFBF"/>
              <w:left w:val="single" w:sz="4" w:space="0" w:color="BFBFBF"/>
              <w:bottom w:val="single" w:sz="4" w:space="0" w:color="BFBFBF"/>
              <w:right w:val="single" w:sz="4" w:space="0" w:color="BFBFBF"/>
            </w:tcBorders>
          </w:tcPr>
          <w:p w14:paraId="320ADD1E"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Measurement: </w:t>
            </w:r>
          </w:p>
          <w:p w14:paraId="65D1A27C" w14:textId="77777777" w:rsidR="0086059B" w:rsidRPr="001A455A" w:rsidRDefault="0086059B" w:rsidP="00D51080">
            <w:pPr>
              <w:numPr>
                <w:ilvl w:val="0"/>
                <w:numId w:val="3"/>
              </w:numPr>
              <w:spacing w:after="100" w:afterAutospacing="1" w:line="276" w:lineRule="auto"/>
              <w:ind w:right="56" w:hanging="360"/>
              <w:jc w:val="both"/>
              <w:rPr>
                <w:rFonts w:asciiTheme="minorHAnsi" w:hAnsiTheme="minorHAnsi" w:cstheme="minorHAnsi"/>
              </w:rPr>
            </w:pPr>
            <w:r w:rsidRPr="001A455A">
              <w:rPr>
                <w:rFonts w:asciiTheme="minorHAnsi" w:eastAsia="Calibri" w:hAnsiTheme="minorHAnsi" w:cstheme="minorHAnsi"/>
              </w:rPr>
              <w:t xml:space="preserve">The measures are appropriate for the intervention’s anticipated outcomes and population. </w:t>
            </w:r>
          </w:p>
          <w:p w14:paraId="3653600A" w14:textId="77777777" w:rsidR="0086059B" w:rsidRPr="001A455A" w:rsidRDefault="0086059B" w:rsidP="00D51080">
            <w:pPr>
              <w:numPr>
                <w:ilvl w:val="0"/>
                <w:numId w:val="3"/>
              </w:numPr>
              <w:spacing w:after="100" w:afterAutospacing="1" w:line="276" w:lineRule="auto"/>
              <w:ind w:right="56" w:hanging="360"/>
              <w:jc w:val="both"/>
              <w:rPr>
                <w:rFonts w:asciiTheme="minorHAnsi" w:hAnsiTheme="minorHAnsi" w:cstheme="minorHAnsi"/>
              </w:rPr>
            </w:pPr>
            <w:r w:rsidRPr="001A455A">
              <w:rPr>
                <w:rFonts w:asciiTheme="minorHAnsi" w:eastAsia="Calibri" w:hAnsiTheme="minorHAnsi" w:cstheme="minorHAnsi"/>
              </w:rPr>
              <w:t xml:space="preserve">Participants completed the same set of measures once shortly before participating in the intervention and once again immediately afterwards. </w:t>
            </w:r>
          </w:p>
          <w:p w14:paraId="3798362D" w14:textId="77777777" w:rsidR="0086059B" w:rsidRPr="001A455A" w:rsidRDefault="0086059B" w:rsidP="00D51080">
            <w:pPr>
              <w:numPr>
                <w:ilvl w:val="0"/>
                <w:numId w:val="3"/>
              </w:numPr>
              <w:spacing w:after="100" w:afterAutospacing="1" w:line="276" w:lineRule="auto"/>
              <w:ind w:right="56" w:hanging="360"/>
              <w:jc w:val="both"/>
              <w:rPr>
                <w:rFonts w:asciiTheme="minorHAnsi" w:hAnsiTheme="minorHAnsi" w:cstheme="minorHAnsi"/>
              </w:rPr>
            </w:pPr>
            <w:r w:rsidRPr="001A455A">
              <w:rPr>
                <w:rFonts w:asciiTheme="minorHAnsi" w:eastAsia="Calibri" w:hAnsiTheme="minorHAnsi" w:cstheme="minorHAnsi"/>
              </w:rPr>
              <w:t xml:space="preserve">An ‘intent-to-treat’ design was used, meaning that all participants recruited to the intervention participated in the pre/post measurement, regardless of whether or how much of the intervention they received, even if they dropped out of the intervention (this does not include dropping out of the study - which may then be regarded as missing data). </w:t>
            </w:r>
          </w:p>
        </w:tc>
        <w:tc>
          <w:tcPr>
            <w:tcW w:w="2213" w:type="dxa"/>
            <w:tcBorders>
              <w:top w:val="single" w:sz="4" w:space="0" w:color="BFBFBF"/>
              <w:left w:val="single" w:sz="4" w:space="0" w:color="BFBFBF"/>
              <w:bottom w:val="single" w:sz="4" w:space="0" w:color="BFBFBF"/>
              <w:right w:val="single" w:sz="4" w:space="0" w:color="BFBFBF"/>
            </w:tcBorders>
          </w:tcPr>
          <w:p w14:paraId="65632E51"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Yes (1) </w:t>
            </w:r>
          </w:p>
          <w:p w14:paraId="28F4CEB1"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No (0) </w:t>
            </w:r>
          </w:p>
          <w:p w14:paraId="52AA1A0A"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Can’t tell (0)  </w:t>
            </w:r>
          </w:p>
          <w:p w14:paraId="62B5E53F"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N/A (0) </w:t>
            </w:r>
          </w:p>
        </w:tc>
      </w:tr>
      <w:tr w:rsidR="001A455A" w:rsidRPr="001A455A" w14:paraId="76121C9E" w14:textId="77777777" w:rsidTr="001C3226">
        <w:trPr>
          <w:trHeight w:val="4114"/>
        </w:trPr>
        <w:tc>
          <w:tcPr>
            <w:tcW w:w="0" w:type="auto"/>
            <w:vMerge/>
            <w:tcBorders>
              <w:top w:val="nil"/>
              <w:left w:val="single" w:sz="4" w:space="0" w:color="BFBFBF"/>
              <w:bottom w:val="single" w:sz="4" w:space="0" w:color="BFBFBF"/>
              <w:right w:val="single" w:sz="4" w:space="0" w:color="BFBFBF"/>
            </w:tcBorders>
          </w:tcPr>
          <w:p w14:paraId="68AEEE44" w14:textId="77777777" w:rsidR="0086059B" w:rsidRPr="001A455A" w:rsidRDefault="0086059B" w:rsidP="00D51080">
            <w:pPr>
              <w:spacing w:after="100" w:afterAutospacing="1" w:line="276" w:lineRule="auto"/>
              <w:jc w:val="both"/>
              <w:rPr>
                <w:rFonts w:asciiTheme="minorHAnsi" w:hAnsiTheme="minorHAnsi" w:cstheme="minorHAnsi"/>
              </w:rPr>
            </w:pPr>
          </w:p>
        </w:tc>
        <w:tc>
          <w:tcPr>
            <w:tcW w:w="5448" w:type="dxa"/>
            <w:tcBorders>
              <w:top w:val="single" w:sz="4" w:space="0" w:color="BFBFBF"/>
              <w:left w:val="single" w:sz="4" w:space="0" w:color="BFBFBF"/>
              <w:bottom w:val="single" w:sz="4" w:space="0" w:color="BFBFBF"/>
              <w:right w:val="single" w:sz="4" w:space="0" w:color="BFBFBF"/>
            </w:tcBorders>
          </w:tcPr>
          <w:p w14:paraId="19F782CB"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Counterfactual: </w:t>
            </w:r>
          </w:p>
          <w:p w14:paraId="4761624A" w14:textId="77777777" w:rsidR="0086059B" w:rsidRPr="001A455A" w:rsidRDefault="0086059B" w:rsidP="00D51080">
            <w:pPr>
              <w:numPr>
                <w:ilvl w:val="0"/>
                <w:numId w:val="4"/>
              </w:numPr>
              <w:spacing w:after="100" w:afterAutospacing="1" w:line="276" w:lineRule="auto"/>
              <w:ind w:right="28" w:hanging="360"/>
              <w:jc w:val="both"/>
              <w:rPr>
                <w:rFonts w:asciiTheme="minorHAnsi" w:hAnsiTheme="minorHAnsi" w:cstheme="minorHAnsi"/>
              </w:rPr>
            </w:pPr>
            <w:r w:rsidRPr="001A455A">
              <w:rPr>
                <w:rFonts w:asciiTheme="minorHAnsi" w:eastAsia="Calibri" w:hAnsiTheme="minorHAnsi" w:cstheme="minorHAnsi"/>
              </w:rPr>
              <w:t xml:space="preserve">Assignment to the treatment and comparison group was at the appropriate level (e.g., individual, family, school, community). </w:t>
            </w:r>
          </w:p>
          <w:p w14:paraId="7E0481BA" w14:textId="77777777" w:rsidR="0086059B" w:rsidRPr="001A455A" w:rsidRDefault="0086059B" w:rsidP="00D51080">
            <w:pPr>
              <w:numPr>
                <w:ilvl w:val="0"/>
                <w:numId w:val="4"/>
              </w:numPr>
              <w:spacing w:after="100" w:afterAutospacing="1" w:line="276" w:lineRule="auto"/>
              <w:ind w:right="28" w:hanging="360"/>
              <w:jc w:val="both"/>
              <w:rPr>
                <w:rFonts w:asciiTheme="minorHAnsi" w:hAnsiTheme="minorHAnsi" w:cstheme="minorHAnsi"/>
              </w:rPr>
            </w:pPr>
            <w:r w:rsidRPr="001A455A">
              <w:rPr>
                <w:rFonts w:asciiTheme="minorHAnsi" w:eastAsia="Calibri" w:hAnsiTheme="minorHAnsi" w:cstheme="minorHAnsi"/>
              </w:rPr>
              <w:t xml:space="preserve">The comparison condition provides an appropriate counterfactual to the treatment group. Consider: </w:t>
            </w:r>
          </w:p>
          <w:p w14:paraId="0DF1BC67" w14:textId="77777777" w:rsidR="0086059B" w:rsidRPr="001A455A" w:rsidRDefault="0086059B" w:rsidP="00D51080">
            <w:pPr>
              <w:numPr>
                <w:ilvl w:val="0"/>
                <w:numId w:val="4"/>
              </w:numPr>
              <w:spacing w:after="100" w:afterAutospacing="1" w:line="276" w:lineRule="auto"/>
              <w:ind w:right="28" w:hanging="360"/>
              <w:jc w:val="both"/>
              <w:rPr>
                <w:rFonts w:asciiTheme="minorHAnsi" w:hAnsiTheme="minorHAnsi" w:cstheme="minorHAnsi"/>
              </w:rPr>
            </w:pPr>
            <w:r w:rsidRPr="001A455A">
              <w:rPr>
                <w:rFonts w:asciiTheme="minorHAnsi" w:eastAsia="Calibri" w:hAnsiTheme="minorHAnsi" w:cstheme="minorHAnsi"/>
              </w:rPr>
              <w:t xml:space="preserve">Participants were randomly assigned to the treatment and control group through the use of methods appropriate for the circumstances and target population OR sufficiently rigorous quasi-experimental methods (regression discontinuity, propensity score matching) were used to generate an appropriately comparable sample through non-random methods. </w:t>
            </w:r>
          </w:p>
          <w:p w14:paraId="0DD56A67" w14:textId="77777777" w:rsidR="0086059B" w:rsidRPr="001A455A" w:rsidRDefault="0086059B" w:rsidP="00D51080">
            <w:pPr>
              <w:numPr>
                <w:ilvl w:val="0"/>
                <w:numId w:val="4"/>
              </w:numPr>
              <w:spacing w:after="100" w:afterAutospacing="1" w:line="276" w:lineRule="auto"/>
              <w:ind w:right="28" w:hanging="360"/>
              <w:jc w:val="both"/>
              <w:rPr>
                <w:rFonts w:asciiTheme="minorHAnsi" w:hAnsiTheme="minorHAnsi" w:cstheme="minorHAnsi"/>
              </w:rPr>
            </w:pPr>
            <w:r w:rsidRPr="001A455A">
              <w:rPr>
                <w:rFonts w:asciiTheme="minorHAnsi" w:eastAsia="Calibri" w:hAnsiTheme="minorHAnsi" w:cstheme="minorHAnsi"/>
              </w:rPr>
              <w:t xml:space="preserve">The treatment and comparison conditions are thoroughly described. </w:t>
            </w:r>
          </w:p>
        </w:tc>
        <w:tc>
          <w:tcPr>
            <w:tcW w:w="2213" w:type="dxa"/>
            <w:tcBorders>
              <w:top w:val="single" w:sz="4" w:space="0" w:color="BFBFBF"/>
              <w:left w:val="single" w:sz="4" w:space="0" w:color="BFBFBF"/>
              <w:bottom w:val="single" w:sz="4" w:space="0" w:color="BFBFBF"/>
              <w:right w:val="single" w:sz="4" w:space="0" w:color="BFBFBF"/>
            </w:tcBorders>
          </w:tcPr>
          <w:p w14:paraId="4F5FA09F"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Yes (1) </w:t>
            </w:r>
          </w:p>
          <w:p w14:paraId="22A1DE3D"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No (0) </w:t>
            </w:r>
          </w:p>
          <w:p w14:paraId="36D781E8"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Can’t tell (0)  </w:t>
            </w:r>
          </w:p>
          <w:p w14:paraId="049F8085"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N/A (0) </w:t>
            </w:r>
          </w:p>
        </w:tc>
      </w:tr>
      <w:tr w:rsidR="001A455A" w:rsidRPr="001A455A" w14:paraId="271A56CF" w14:textId="77777777" w:rsidTr="001C3226">
        <w:trPr>
          <w:trHeight w:val="1378"/>
        </w:trPr>
        <w:tc>
          <w:tcPr>
            <w:tcW w:w="1963" w:type="dxa"/>
            <w:vMerge w:val="restart"/>
            <w:tcBorders>
              <w:top w:val="single" w:sz="4" w:space="0" w:color="BFBFBF"/>
              <w:left w:val="single" w:sz="4" w:space="0" w:color="BFBFBF"/>
              <w:right w:val="single" w:sz="4" w:space="0" w:color="BFBFBF"/>
            </w:tcBorders>
          </w:tcPr>
          <w:p w14:paraId="2FE0E358"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Was </w:t>
            </w:r>
            <w:r w:rsidRPr="001A455A">
              <w:rPr>
                <w:rFonts w:asciiTheme="minorHAnsi" w:eastAsia="Calibri" w:hAnsiTheme="minorHAnsi" w:cstheme="minorHAnsi"/>
              </w:rPr>
              <w:tab/>
              <w:t xml:space="preserve">the study carried out appropriately? Including appropriate sample </w:t>
            </w:r>
          </w:p>
        </w:tc>
        <w:tc>
          <w:tcPr>
            <w:tcW w:w="5448" w:type="dxa"/>
            <w:tcBorders>
              <w:top w:val="single" w:sz="4" w:space="0" w:color="BFBFBF"/>
              <w:left w:val="single" w:sz="4" w:space="0" w:color="BFBFBF"/>
              <w:bottom w:val="single" w:sz="4" w:space="0" w:color="BFBFBF"/>
              <w:right w:val="single" w:sz="4" w:space="0" w:color="BFBFBF"/>
            </w:tcBorders>
          </w:tcPr>
          <w:p w14:paraId="617E69E1"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Representative: </w:t>
            </w:r>
          </w:p>
          <w:p w14:paraId="49B0BE72" w14:textId="77777777" w:rsidR="0086059B" w:rsidRPr="001A455A" w:rsidRDefault="0086059B" w:rsidP="00D51080">
            <w:pPr>
              <w:spacing w:after="100" w:afterAutospacing="1" w:line="276" w:lineRule="auto"/>
              <w:ind w:left="360" w:right="57" w:hanging="360"/>
              <w:jc w:val="both"/>
              <w:rPr>
                <w:rFonts w:asciiTheme="minorHAnsi" w:eastAsia="Calibri" w:hAnsiTheme="minorHAnsi" w:cstheme="minorHAnsi"/>
              </w:rPr>
            </w:pPr>
            <w:r w:rsidRPr="001A455A">
              <w:rPr>
                <w:rFonts w:asciiTheme="minorHAnsi" w:eastAsia="Segoe UI Symbol" w:hAnsiTheme="minorHAnsi" w:cstheme="minorHAnsi"/>
              </w:rPr>
              <w:t>•</w:t>
            </w:r>
            <w:r w:rsidRPr="001A455A">
              <w:rPr>
                <w:rFonts w:asciiTheme="minorHAnsi" w:eastAsia="Arial" w:hAnsiTheme="minorHAnsi" w:cstheme="minorHAnsi"/>
              </w:rPr>
              <w:t xml:space="preserve"> </w:t>
            </w:r>
            <w:r w:rsidRPr="001A455A">
              <w:rPr>
                <w:rFonts w:asciiTheme="minorHAnsi" w:eastAsia="Calibri" w:hAnsiTheme="minorHAnsi" w:cstheme="minorHAnsi"/>
              </w:rPr>
              <w:t xml:space="preserve">The sample is representative of the intervention’s target population in terms of age, demographics and level of need. The sample characteristics are clearly stated. </w:t>
            </w:r>
          </w:p>
          <w:p w14:paraId="1C86EFDC" w14:textId="77777777" w:rsidR="0086059B" w:rsidRPr="001A455A" w:rsidRDefault="0086059B" w:rsidP="00D51080">
            <w:pPr>
              <w:spacing w:after="100" w:afterAutospacing="1" w:line="276" w:lineRule="auto"/>
              <w:ind w:left="360" w:right="57" w:hanging="360"/>
              <w:jc w:val="both"/>
              <w:rPr>
                <w:rFonts w:asciiTheme="minorHAnsi" w:hAnsiTheme="minorHAnsi" w:cstheme="minorHAnsi"/>
              </w:rPr>
            </w:pPr>
            <w:r w:rsidRPr="001A455A">
              <w:rPr>
                <w:rFonts w:asciiTheme="minorHAnsi" w:eastAsia="Segoe UI Symbol" w:hAnsiTheme="minorHAnsi" w:cstheme="minorHAnsi"/>
              </w:rPr>
              <w:t>•</w:t>
            </w:r>
            <w:r w:rsidRPr="001A455A">
              <w:rPr>
                <w:rFonts w:asciiTheme="minorHAnsi" w:eastAsia="Arial" w:hAnsiTheme="minorHAnsi" w:cstheme="minorHAnsi"/>
              </w:rPr>
              <w:t xml:space="preserve"> </w:t>
            </w:r>
            <w:r w:rsidRPr="001A455A">
              <w:rPr>
                <w:rFonts w:asciiTheme="minorHAnsi" w:eastAsia="Calibri" w:hAnsiTheme="minorHAnsi" w:cstheme="minorHAnsi"/>
              </w:rPr>
              <w:t>There is baseline equivalence between the treatment and comparison group participants on key demographic variables of interest to the study and baseline measures of outcomes (when feasible).</w:t>
            </w:r>
          </w:p>
        </w:tc>
        <w:tc>
          <w:tcPr>
            <w:tcW w:w="2213" w:type="dxa"/>
            <w:tcBorders>
              <w:top w:val="single" w:sz="4" w:space="0" w:color="BFBFBF"/>
              <w:left w:val="single" w:sz="4" w:space="0" w:color="BFBFBF"/>
              <w:bottom w:val="single" w:sz="4" w:space="0" w:color="BFBFBF"/>
              <w:right w:val="single" w:sz="4" w:space="0" w:color="BFBFBF"/>
            </w:tcBorders>
          </w:tcPr>
          <w:p w14:paraId="7FAC9998"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Yes (1) </w:t>
            </w:r>
          </w:p>
          <w:p w14:paraId="1B8D51C9"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No (0) </w:t>
            </w:r>
          </w:p>
          <w:p w14:paraId="17873F59"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Can’t tell (0)  </w:t>
            </w:r>
          </w:p>
          <w:p w14:paraId="3A95FD11"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N/A (0) </w:t>
            </w:r>
          </w:p>
        </w:tc>
      </w:tr>
      <w:tr w:rsidR="001A455A" w:rsidRPr="001A455A" w14:paraId="126330EB" w14:textId="77777777" w:rsidTr="001C3226">
        <w:trPr>
          <w:trHeight w:val="1378"/>
        </w:trPr>
        <w:tc>
          <w:tcPr>
            <w:tcW w:w="1963" w:type="dxa"/>
            <w:vMerge/>
            <w:tcBorders>
              <w:left w:val="single" w:sz="4" w:space="0" w:color="BFBFBF"/>
              <w:right w:val="single" w:sz="4" w:space="0" w:color="BFBFBF"/>
            </w:tcBorders>
          </w:tcPr>
          <w:p w14:paraId="388110AD" w14:textId="77777777" w:rsidR="0086059B" w:rsidRPr="001A455A" w:rsidRDefault="0086059B" w:rsidP="00D51080">
            <w:pPr>
              <w:spacing w:after="100" w:afterAutospacing="1" w:line="276" w:lineRule="auto"/>
              <w:jc w:val="both"/>
              <w:rPr>
                <w:rFonts w:asciiTheme="minorHAnsi" w:eastAsia="Calibri" w:hAnsiTheme="minorHAnsi" w:cstheme="minorHAnsi"/>
              </w:rPr>
            </w:pPr>
          </w:p>
        </w:tc>
        <w:tc>
          <w:tcPr>
            <w:tcW w:w="5448" w:type="dxa"/>
            <w:tcBorders>
              <w:top w:val="single" w:sz="4" w:space="0" w:color="BFBFBF"/>
              <w:left w:val="single" w:sz="4" w:space="0" w:color="BFBFBF"/>
              <w:bottom w:val="single" w:sz="4" w:space="0" w:color="BFBFBF"/>
              <w:right w:val="single" w:sz="4" w:space="0" w:color="BFBFBF"/>
            </w:tcBorders>
          </w:tcPr>
          <w:p w14:paraId="4A698FA5"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Sample size: </w:t>
            </w:r>
          </w:p>
          <w:p w14:paraId="4EB87BC4" w14:textId="77777777" w:rsidR="0086059B" w:rsidRPr="001A455A" w:rsidRDefault="0086059B" w:rsidP="00D51080">
            <w:pPr>
              <w:spacing w:after="100" w:afterAutospacing="1" w:line="276" w:lineRule="auto"/>
              <w:jc w:val="both"/>
              <w:rPr>
                <w:rFonts w:asciiTheme="minorHAnsi" w:eastAsia="Calibri" w:hAnsiTheme="minorHAnsi" w:cstheme="minorHAnsi"/>
              </w:rPr>
            </w:pPr>
            <w:r w:rsidRPr="001A455A">
              <w:rPr>
                <w:rFonts w:asciiTheme="minorHAnsi" w:eastAsia="Segoe UI Symbol" w:hAnsiTheme="minorHAnsi" w:cstheme="minorHAnsi"/>
              </w:rPr>
              <w:t>•</w:t>
            </w:r>
            <w:r w:rsidRPr="001A455A">
              <w:rPr>
                <w:rFonts w:asciiTheme="minorHAnsi" w:eastAsia="Arial" w:hAnsiTheme="minorHAnsi" w:cstheme="minorHAnsi"/>
              </w:rPr>
              <w:t xml:space="preserve"> </w:t>
            </w:r>
            <w:r w:rsidRPr="001A455A">
              <w:rPr>
                <w:rFonts w:asciiTheme="minorHAnsi" w:eastAsia="Calibri" w:hAnsiTheme="minorHAnsi" w:cstheme="minorHAnsi"/>
              </w:rPr>
              <w:t xml:space="preserve">The sample size is sufficiently large to test for the desired impact. This depends most importantly on the effect size, however a suggestion could be, for example, that a minimum of 20 participants have completed the measures at both time points within each study group. </w:t>
            </w:r>
          </w:p>
        </w:tc>
        <w:tc>
          <w:tcPr>
            <w:tcW w:w="2213" w:type="dxa"/>
            <w:tcBorders>
              <w:top w:val="single" w:sz="4" w:space="0" w:color="BFBFBF"/>
              <w:left w:val="single" w:sz="4" w:space="0" w:color="BFBFBF"/>
              <w:bottom w:val="single" w:sz="4" w:space="0" w:color="BFBFBF"/>
              <w:right w:val="single" w:sz="4" w:space="0" w:color="BFBFBF"/>
            </w:tcBorders>
          </w:tcPr>
          <w:p w14:paraId="1670EB58"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Yes (1) </w:t>
            </w:r>
          </w:p>
          <w:p w14:paraId="050139FB"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No (0) </w:t>
            </w:r>
          </w:p>
          <w:p w14:paraId="1B1A0FB4"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Can’t tell (0)  </w:t>
            </w:r>
          </w:p>
          <w:p w14:paraId="51D924BC" w14:textId="77777777" w:rsidR="0086059B" w:rsidRPr="001A455A" w:rsidRDefault="0086059B" w:rsidP="00D51080">
            <w:pPr>
              <w:spacing w:after="100" w:afterAutospacing="1" w:line="276" w:lineRule="auto"/>
              <w:jc w:val="both"/>
              <w:rPr>
                <w:rFonts w:asciiTheme="minorHAnsi" w:eastAsia="Calibri" w:hAnsiTheme="minorHAnsi" w:cstheme="minorHAnsi"/>
              </w:rPr>
            </w:pPr>
            <w:r w:rsidRPr="001A455A">
              <w:rPr>
                <w:rFonts w:asciiTheme="minorHAnsi" w:eastAsia="Calibri" w:hAnsiTheme="minorHAnsi" w:cstheme="minorHAnsi"/>
              </w:rPr>
              <w:t xml:space="preserve">N/A (0) </w:t>
            </w:r>
          </w:p>
        </w:tc>
      </w:tr>
      <w:tr w:rsidR="001A455A" w:rsidRPr="001A455A" w14:paraId="305D34D9" w14:textId="77777777" w:rsidTr="001C3226">
        <w:trPr>
          <w:trHeight w:val="1378"/>
        </w:trPr>
        <w:tc>
          <w:tcPr>
            <w:tcW w:w="1963" w:type="dxa"/>
            <w:vMerge/>
            <w:tcBorders>
              <w:left w:val="single" w:sz="4" w:space="0" w:color="BFBFBF"/>
              <w:right w:val="single" w:sz="4" w:space="0" w:color="BFBFBF"/>
            </w:tcBorders>
          </w:tcPr>
          <w:p w14:paraId="02585B13" w14:textId="77777777" w:rsidR="0086059B" w:rsidRPr="001A455A" w:rsidRDefault="0086059B" w:rsidP="00D51080">
            <w:pPr>
              <w:spacing w:after="100" w:afterAutospacing="1" w:line="276" w:lineRule="auto"/>
              <w:jc w:val="both"/>
              <w:rPr>
                <w:rFonts w:asciiTheme="minorHAnsi" w:eastAsia="Calibri" w:hAnsiTheme="minorHAnsi" w:cstheme="minorHAnsi"/>
              </w:rPr>
            </w:pPr>
          </w:p>
        </w:tc>
        <w:tc>
          <w:tcPr>
            <w:tcW w:w="5448" w:type="dxa"/>
            <w:tcBorders>
              <w:top w:val="single" w:sz="4" w:space="0" w:color="BFBFBF"/>
              <w:left w:val="single" w:sz="4" w:space="0" w:color="BFBFBF"/>
              <w:bottom w:val="single" w:sz="4" w:space="0" w:color="BFBFBF"/>
              <w:right w:val="single" w:sz="4" w:space="0" w:color="BFBFBF"/>
            </w:tcBorders>
          </w:tcPr>
          <w:p w14:paraId="12AAA81E"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Attrition:  </w:t>
            </w:r>
          </w:p>
          <w:p w14:paraId="380053EE" w14:textId="77777777" w:rsidR="0086059B" w:rsidRPr="001A455A" w:rsidRDefault="0086059B" w:rsidP="00D51080">
            <w:pPr>
              <w:numPr>
                <w:ilvl w:val="0"/>
                <w:numId w:val="5"/>
              </w:numPr>
              <w:spacing w:after="100" w:afterAutospacing="1" w:line="276" w:lineRule="auto"/>
              <w:ind w:hanging="360"/>
              <w:jc w:val="both"/>
              <w:rPr>
                <w:rFonts w:asciiTheme="minorHAnsi" w:hAnsiTheme="minorHAnsi" w:cstheme="minorHAnsi"/>
              </w:rPr>
            </w:pPr>
            <w:r w:rsidRPr="001A455A">
              <w:rPr>
                <w:rFonts w:asciiTheme="minorHAnsi" w:eastAsia="Calibri" w:hAnsiTheme="minorHAnsi" w:cstheme="minorHAnsi"/>
              </w:rPr>
              <w:t xml:space="preserve">A minimum of 35% of the participants completed pre/post measures. Overall study attrition is not higher than 65%.  </w:t>
            </w:r>
          </w:p>
          <w:p w14:paraId="7FA09172" w14:textId="77777777" w:rsidR="0086059B" w:rsidRPr="001A455A" w:rsidRDefault="0086059B" w:rsidP="00D51080">
            <w:pPr>
              <w:numPr>
                <w:ilvl w:val="0"/>
                <w:numId w:val="5"/>
              </w:numPr>
              <w:spacing w:after="100" w:afterAutospacing="1" w:line="276" w:lineRule="auto"/>
              <w:ind w:hanging="360"/>
              <w:jc w:val="both"/>
              <w:rPr>
                <w:rFonts w:asciiTheme="minorHAnsi" w:hAnsiTheme="minorHAnsi" w:cstheme="minorHAnsi"/>
              </w:rPr>
            </w:pPr>
            <w:r w:rsidRPr="001A455A">
              <w:rPr>
                <w:rFonts w:asciiTheme="minorHAnsi" w:eastAsia="Calibri" w:hAnsiTheme="minorHAnsi" w:cstheme="minorHAnsi"/>
              </w:rPr>
              <w:t xml:space="preserve">The study had clear processes for determining and reporting drop-out and dose. Differences between study drop-outs and completers were reported if attrition was greater than 10%.  </w:t>
            </w:r>
          </w:p>
          <w:p w14:paraId="4DF8C743" w14:textId="77777777" w:rsidR="0086059B" w:rsidRPr="001A455A" w:rsidRDefault="0086059B" w:rsidP="00D51080">
            <w:pPr>
              <w:spacing w:after="100" w:afterAutospacing="1" w:line="276" w:lineRule="auto"/>
              <w:jc w:val="both"/>
              <w:rPr>
                <w:rFonts w:asciiTheme="minorHAnsi" w:eastAsia="Calibri" w:hAnsiTheme="minorHAnsi" w:cstheme="minorHAnsi"/>
              </w:rPr>
            </w:pPr>
            <w:r w:rsidRPr="001A455A">
              <w:rPr>
                <w:rFonts w:asciiTheme="minorHAnsi" w:eastAsia="Calibri" w:hAnsiTheme="minorHAnsi" w:cstheme="minorHAnsi"/>
              </w:rPr>
              <w:lastRenderedPageBreak/>
              <w:t xml:space="preserve">The study assessed and reported on overall and differential attrition.  </w:t>
            </w:r>
          </w:p>
        </w:tc>
        <w:tc>
          <w:tcPr>
            <w:tcW w:w="2213" w:type="dxa"/>
            <w:tcBorders>
              <w:top w:val="single" w:sz="4" w:space="0" w:color="BFBFBF"/>
              <w:left w:val="single" w:sz="4" w:space="0" w:color="BFBFBF"/>
              <w:bottom w:val="single" w:sz="4" w:space="0" w:color="BFBFBF"/>
              <w:right w:val="single" w:sz="4" w:space="0" w:color="BFBFBF"/>
            </w:tcBorders>
          </w:tcPr>
          <w:p w14:paraId="5C013120"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lastRenderedPageBreak/>
              <w:t xml:space="preserve">Yes (1) </w:t>
            </w:r>
          </w:p>
          <w:p w14:paraId="34C68605"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No (0) </w:t>
            </w:r>
          </w:p>
          <w:p w14:paraId="3F104F26"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Can’t tell (0)  </w:t>
            </w:r>
          </w:p>
          <w:p w14:paraId="6FB93CC5" w14:textId="77777777" w:rsidR="0086059B" w:rsidRPr="001A455A" w:rsidRDefault="0086059B" w:rsidP="00D51080">
            <w:pPr>
              <w:spacing w:after="100" w:afterAutospacing="1" w:line="276" w:lineRule="auto"/>
              <w:jc w:val="both"/>
              <w:rPr>
                <w:rFonts w:asciiTheme="minorHAnsi" w:eastAsia="Calibri" w:hAnsiTheme="minorHAnsi" w:cstheme="minorHAnsi"/>
              </w:rPr>
            </w:pPr>
            <w:r w:rsidRPr="001A455A">
              <w:rPr>
                <w:rFonts w:asciiTheme="minorHAnsi" w:eastAsia="Calibri" w:hAnsiTheme="minorHAnsi" w:cstheme="minorHAnsi"/>
              </w:rPr>
              <w:t xml:space="preserve">N/A (0) </w:t>
            </w:r>
          </w:p>
        </w:tc>
      </w:tr>
      <w:tr w:rsidR="001A455A" w:rsidRPr="001A455A" w14:paraId="49D1DB29" w14:textId="77777777" w:rsidTr="001C3226">
        <w:trPr>
          <w:trHeight w:val="1378"/>
        </w:trPr>
        <w:tc>
          <w:tcPr>
            <w:tcW w:w="1963" w:type="dxa"/>
            <w:vMerge/>
            <w:tcBorders>
              <w:left w:val="single" w:sz="4" w:space="0" w:color="BFBFBF"/>
              <w:right w:val="single" w:sz="4" w:space="0" w:color="BFBFBF"/>
            </w:tcBorders>
          </w:tcPr>
          <w:p w14:paraId="02C1363D" w14:textId="77777777" w:rsidR="0086059B" w:rsidRPr="001A455A" w:rsidRDefault="0086059B" w:rsidP="00D51080">
            <w:pPr>
              <w:spacing w:after="100" w:afterAutospacing="1" w:line="276" w:lineRule="auto"/>
              <w:jc w:val="both"/>
              <w:rPr>
                <w:rFonts w:asciiTheme="minorHAnsi" w:eastAsia="Calibri" w:hAnsiTheme="minorHAnsi" w:cstheme="minorHAnsi"/>
              </w:rPr>
            </w:pPr>
          </w:p>
        </w:tc>
        <w:tc>
          <w:tcPr>
            <w:tcW w:w="5448" w:type="dxa"/>
            <w:tcBorders>
              <w:top w:val="single" w:sz="4" w:space="0" w:color="BFBFBF"/>
              <w:left w:val="single" w:sz="4" w:space="0" w:color="BFBFBF"/>
              <w:bottom w:val="single" w:sz="4" w:space="0" w:color="BFBFBF"/>
              <w:right w:val="single" w:sz="4" w:space="0" w:color="BFBFBF"/>
            </w:tcBorders>
          </w:tcPr>
          <w:p w14:paraId="494A67A0"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Equivalence:  </w:t>
            </w:r>
          </w:p>
          <w:p w14:paraId="46763813" w14:textId="77777777" w:rsidR="0086059B" w:rsidRPr="001A455A" w:rsidRDefault="0086059B" w:rsidP="00D51080">
            <w:pPr>
              <w:numPr>
                <w:ilvl w:val="0"/>
                <w:numId w:val="6"/>
              </w:numPr>
              <w:spacing w:after="100" w:afterAutospacing="1" w:line="276" w:lineRule="auto"/>
              <w:ind w:hanging="360"/>
              <w:jc w:val="both"/>
              <w:rPr>
                <w:rFonts w:asciiTheme="minorHAnsi" w:hAnsiTheme="minorHAnsi" w:cstheme="minorHAnsi"/>
              </w:rPr>
            </w:pPr>
            <w:r w:rsidRPr="001A455A">
              <w:rPr>
                <w:rFonts w:asciiTheme="minorHAnsi" w:eastAsia="Calibri" w:hAnsiTheme="minorHAnsi" w:cstheme="minorHAnsi"/>
              </w:rPr>
              <w:t xml:space="preserve">Risks for contamination of the comparison group and other confounding factors have been taken into account and controlled for in the analysis if possible.  </w:t>
            </w:r>
          </w:p>
          <w:p w14:paraId="4051FE4E" w14:textId="77777777" w:rsidR="0086059B" w:rsidRPr="001A455A" w:rsidRDefault="0086059B" w:rsidP="00D51080">
            <w:pPr>
              <w:numPr>
                <w:ilvl w:val="0"/>
                <w:numId w:val="6"/>
              </w:numPr>
              <w:spacing w:after="100" w:afterAutospacing="1" w:line="276" w:lineRule="auto"/>
              <w:ind w:hanging="360"/>
              <w:jc w:val="both"/>
              <w:rPr>
                <w:rFonts w:asciiTheme="minorHAnsi" w:hAnsiTheme="minorHAnsi" w:cstheme="minorHAnsi"/>
              </w:rPr>
            </w:pPr>
            <w:r w:rsidRPr="001A455A">
              <w:rPr>
                <w:rFonts w:asciiTheme="minorHAnsi" w:eastAsia="Calibri" w:hAnsiTheme="minorHAnsi" w:cstheme="minorHAnsi"/>
              </w:rPr>
              <w:t xml:space="preserve">Participants were blind as to their assignment to the treatment and comparison group.  </w:t>
            </w:r>
          </w:p>
          <w:p w14:paraId="2495C22A" w14:textId="77777777" w:rsidR="0086059B" w:rsidRPr="001A455A" w:rsidRDefault="0086059B" w:rsidP="00D51080">
            <w:pPr>
              <w:spacing w:after="100" w:afterAutospacing="1" w:line="276" w:lineRule="auto"/>
              <w:jc w:val="both"/>
              <w:rPr>
                <w:rFonts w:asciiTheme="minorHAnsi" w:eastAsia="Calibri" w:hAnsiTheme="minorHAnsi" w:cstheme="minorHAnsi"/>
              </w:rPr>
            </w:pPr>
            <w:r w:rsidRPr="001A455A">
              <w:rPr>
                <w:rFonts w:asciiTheme="minorHAnsi" w:eastAsia="Calibri" w:hAnsiTheme="minorHAnsi" w:cstheme="minorHAnsi"/>
              </w:rPr>
              <w:t xml:space="preserve">There was consistent and equivalent measurement of the treatment and control groups at all points when measurement took place.  </w:t>
            </w:r>
          </w:p>
        </w:tc>
        <w:tc>
          <w:tcPr>
            <w:tcW w:w="2213" w:type="dxa"/>
            <w:tcBorders>
              <w:top w:val="single" w:sz="4" w:space="0" w:color="BFBFBF"/>
              <w:left w:val="single" w:sz="4" w:space="0" w:color="BFBFBF"/>
              <w:bottom w:val="single" w:sz="4" w:space="0" w:color="BFBFBF"/>
              <w:right w:val="single" w:sz="4" w:space="0" w:color="BFBFBF"/>
            </w:tcBorders>
          </w:tcPr>
          <w:p w14:paraId="20469835"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Yes (1) </w:t>
            </w:r>
          </w:p>
          <w:p w14:paraId="4F49DFA7"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No (0) </w:t>
            </w:r>
          </w:p>
          <w:p w14:paraId="6015DE8F"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Can’t tell (0)  </w:t>
            </w:r>
          </w:p>
          <w:p w14:paraId="42080C6F" w14:textId="77777777" w:rsidR="0086059B" w:rsidRPr="001A455A" w:rsidRDefault="0086059B" w:rsidP="00D51080">
            <w:pPr>
              <w:spacing w:after="100" w:afterAutospacing="1" w:line="276" w:lineRule="auto"/>
              <w:jc w:val="both"/>
              <w:rPr>
                <w:rFonts w:asciiTheme="minorHAnsi" w:eastAsia="Calibri" w:hAnsiTheme="minorHAnsi" w:cstheme="minorHAnsi"/>
              </w:rPr>
            </w:pPr>
            <w:r w:rsidRPr="001A455A">
              <w:rPr>
                <w:rFonts w:asciiTheme="minorHAnsi" w:eastAsia="Calibri" w:hAnsiTheme="minorHAnsi" w:cstheme="minorHAnsi"/>
              </w:rPr>
              <w:t xml:space="preserve">N/A (0) </w:t>
            </w:r>
          </w:p>
        </w:tc>
      </w:tr>
      <w:tr w:rsidR="001A455A" w:rsidRPr="001A455A" w14:paraId="4910AADF" w14:textId="77777777" w:rsidTr="001C3226">
        <w:trPr>
          <w:trHeight w:val="1378"/>
        </w:trPr>
        <w:tc>
          <w:tcPr>
            <w:tcW w:w="1963" w:type="dxa"/>
            <w:vMerge/>
            <w:tcBorders>
              <w:left w:val="single" w:sz="4" w:space="0" w:color="BFBFBF"/>
              <w:bottom w:val="single" w:sz="4" w:space="0" w:color="BFBFBF"/>
              <w:right w:val="single" w:sz="4" w:space="0" w:color="BFBFBF"/>
            </w:tcBorders>
          </w:tcPr>
          <w:p w14:paraId="12D18FC2" w14:textId="77777777" w:rsidR="0086059B" w:rsidRPr="001A455A" w:rsidRDefault="0086059B" w:rsidP="00D51080">
            <w:pPr>
              <w:spacing w:after="100" w:afterAutospacing="1" w:line="276" w:lineRule="auto"/>
              <w:jc w:val="both"/>
              <w:rPr>
                <w:rFonts w:asciiTheme="minorHAnsi" w:eastAsia="Calibri" w:hAnsiTheme="minorHAnsi" w:cstheme="minorHAnsi"/>
              </w:rPr>
            </w:pPr>
          </w:p>
        </w:tc>
        <w:tc>
          <w:tcPr>
            <w:tcW w:w="5448" w:type="dxa"/>
            <w:tcBorders>
              <w:top w:val="single" w:sz="4" w:space="0" w:color="BFBFBF"/>
              <w:left w:val="single" w:sz="4" w:space="0" w:color="BFBFBF"/>
              <w:bottom w:val="single" w:sz="4" w:space="0" w:color="BFBFBF"/>
              <w:right w:val="single" w:sz="4" w:space="0" w:color="BFBFBF"/>
            </w:tcBorders>
          </w:tcPr>
          <w:p w14:paraId="0C84D37B"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Measures:  </w:t>
            </w:r>
          </w:p>
          <w:p w14:paraId="5EB1CC88" w14:textId="77777777" w:rsidR="0086059B" w:rsidRPr="001A455A" w:rsidRDefault="0086059B" w:rsidP="00D51080">
            <w:pPr>
              <w:numPr>
                <w:ilvl w:val="0"/>
                <w:numId w:val="7"/>
              </w:numPr>
              <w:spacing w:after="100" w:afterAutospacing="1" w:line="276" w:lineRule="auto"/>
              <w:ind w:right="6" w:hanging="360"/>
              <w:jc w:val="both"/>
              <w:rPr>
                <w:rFonts w:asciiTheme="minorHAnsi" w:hAnsiTheme="minorHAnsi" w:cstheme="minorHAnsi"/>
              </w:rPr>
            </w:pPr>
            <w:r w:rsidRPr="001A455A">
              <w:rPr>
                <w:rFonts w:asciiTheme="minorHAnsi" w:eastAsia="Calibri" w:hAnsiTheme="minorHAnsi" w:cstheme="minorHAnsi"/>
              </w:rPr>
              <w:t xml:space="preserve">The measures used were valid and reliable. This means that the measure was standardised and validated independently of the study, and that the methods for standardisation were published. </w:t>
            </w:r>
          </w:p>
          <w:p w14:paraId="660055BF" w14:textId="77777777" w:rsidR="0086059B" w:rsidRPr="001A455A" w:rsidRDefault="0086059B" w:rsidP="00D51080">
            <w:pPr>
              <w:spacing w:after="100" w:afterAutospacing="1" w:line="276" w:lineRule="auto"/>
              <w:ind w:left="360"/>
              <w:jc w:val="both"/>
              <w:rPr>
                <w:rFonts w:asciiTheme="minorHAnsi" w:hAnsiTheme="minorHAnsi" w:cstheme="minorHAnsi"/>
              </w:rPr>
            </w:pPr>
            <w:r w:rsidRPr="001A455A">
              <w:rPr>
                <w:rFonts w:asciiTheme="minorHAnsi" w:eastAsia="Calibri" w:hAnsiTheme="minorHAnsi" w:cstheme="minorHAnsi"/>
              </w:rPr>
              <w:t xml:space="preserve">Administrative data and observational measures may also have been used to measure programme impact, but sufficient  </w:t>
            </w:r>
          </w:p>
          <w:p w14:paraId="35E66025" w14:textId="77777777" w:rsidR="0086059B" w:rsidRPr="001A455A" w:rsidRDefault="0086059B" w:rsidP="00D51080">
            <w:pPr>
              <w:numPr>
                <w:ilvl w:val="0"/>
                <w:numId w:val="7"/>
              </w:numPr>
              <w:spacing w:after="100" w:afterAutospacing="1" w:line="276" w:lineRule="auto"/>
              <w:ind w:right="6" w:hanging="360"/>
              <w:jc w:val="both"/>
              <w:rPr>
                <w:rFonts w:asciiTheme="minorHAnsi" w:hAnsiTheme="minorHAnsi" w:cstheme="minorHAnsi"/>
              </w:rPr>
            </w:pPr>
            <w:r w:rsidRPr="001A455A">
              <w:rPr>
                <w:rFonts w:asciiTheme="minorHAnsi" w:eastAsia="Calibri" w:hAnsiTheme="minorHAnsi" w:cstheme="minorHAnsi"/>
              </w:rPr>
              <w:t xml:space="preserve">Information was given to determine their validity for doing this.  </w:t>
            </w:r>
          </w:p>
          <w:p w14:paraId="62034A86" w14:textId="77777777" w:rsidR="0086059B" w:rsidRPr="001A455A" w:rsidRDefault="0086059B" w:rsidP="00D51080">
            <w:pPr>
              <w:numPr>
                <w:ilvl w:val="0"/>
                <w:numId w:val="7"/>
              </w:numPr>
              <w:spacing w:after="100" w:afterAutospacing="1" w:line="276" w:lineRule="auto"/>
              <w:ind w:right="6" w:hanging="360"/>
              <w:jc w:val="both"/>
              <w:rPr>
                <w:rFonts w:asciiTheme="minorHAnsi" w:hAnsiTheme="minorHAnsi" w:cstheme="minorHAnsi"/>
              </w:rPr>
            </w:pPr>
            <w:r w:rsidRPr="001A455A">
              <w:rPr>
                <w:rFonts w:asciiTheme="minorHAnsi" w:eastAsia="Calibri" w:hAnsiTheme="minorHAnsi" w:cstheme="minorHAnsi"/>
              </w:rPr>
              <w:t xml:space="preserve">Measurement was independent of any measures used as part of the treatment.  </w:t>
            </w:r>
          </w:p>
          <w:p w14:paraId="334EE3C7" w14:textId="77777777" w:rsidR="0086059B" w:rsidRPr="001A455A" w:rsidRDefault="0086059B" w:rsidP="00D51080">
            <w:pPr>
              <w:numPr>
                <w:ilvl w:val="0"/>
                <w:numId w:val="7"/>
              </w:numPr>
              <w:spacing w:after="100" w:afterAutospacing="1" w:line="276" w:lineRule="auto"/>
              <w:ind w:right="6" w:hanging="360"/>
              <w:jc w:val="both"/>
              <w:rPr>
                <w:rFonts w:asciiTheme="minorHAnsi" w:hAnsiTheme="minorHAnsi" w:cstheme="minorHAnsi"/>
              </w:rPr>
            </w:pPr>
            <w:r w:rsidRPr="001A455A">
              <w:rPr>
                <w:rFonts w:asciiTheme="minorHAnsi" w:eastAsia="Calibri" w:hAnsiTheme="minorHAnsi" w:cstheme="minorHAnsi"/>
              </w:rPr>
              <w:t xml:space="preserve">In addition to any self-reported data (collected through the use of validated instruments), the study also included assessment information independent of the study participants (e.g., an independent observer, administrative data etc)  </w:t>
            </w:r>
          </w:p>
        </w:tc>
        <w:tc>
          <w:tcPr>
            <w:tcW w:w="2213" w:type="dxa"/>
            <w:tcBorders>
              <w:top w:val="single" w:sz="4" w:space="0" w:color="BFBFBF"/>
              <w:left w:val="single" w:sz="4" w:space="0" w:color="BFBFBF"/>
              <w:bottom w:val="single" w:sz="4" w:space="0" w:color="BFBFBF"/>
              <w:right w:val="single" w:sz="4" w:space="0" w:color="BFBFBF"/>
            </w:tcBorders>
          </w:tcPr>
          <w:p w14:paraId="74850EC0"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Yes (1) </w:t>
            </w:r>
          </w:p>
          <w:p w14:paraId="2F93C434"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No (0) </w:t>
            </w:r>
          </w:p>
          <w:p w14:paraId="52DABA75"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Can’t tell (0)  </w:t>
            </w:r>
          </w:p>
          <w:p w14:paraId="2C3003DB" w14:textId="77777777" w:rsidR="0086059B" w:rsidRPr="001A455A" w:rsidRDefault="0086059B" w:rsidP="00D51080">
            <w:pPr>
              <w:spacing w:after="100" w:afterAutospacing="1" w:line="276" w:lineRule="auto"/>
              <w:jc w:val="both"/>
              <w:rPr>
                <w:rFonts w:asciiTheme="minorHAnsi" w:eastAsia="Calibri" w:hAnsiTheme="minorHAnsi" w:cstheme="minorHAnsi"/>
              </w:rPr>
            </w:pPr>
            <w:r w:rsidRPr="001A455A">
              <w:rPr>
                <w:rFonts w:asciiTheme="minorHAnsi" w:eastAsia="Calibri" w:hAnsiTheme="minorHAnsi" w:cstheme="minorHAnsi"/>
              </w:rPr>
              <w:t xml:space="preserve">N/A (0) </w:t>
            </w:r>
          </w:p>
        </w:tc>
      </w:tr>
      <w:tr w:rsidR="001A455A" w:rsidRPr="001A455A" w14:paraId="131F3A0F" w14:textId="77777777" w:rsidTr="001C3226">
        <w:trPr>
          <w:trHeight w:val="1378"/>
        </w:trPr>
        <w:tc>
          <w:tcPr>
            <w:tcW w:w="1963" w:type="dxa"/>
            <w:tcBorders>
              <w:top w:val="single" w:sz="4" w:space="0" w:color="BFBFBF"/>
              <w:left w:val="single" w:sz="4" w:space="0" w:color="BFBFBF"/>
              <w:bottom w:val="single" w:sz="4" w:space="0" w:color="BFBFBF"/>
              <w:right w:val="single" w:sz="4" w:space="0" w:color="BFBFBF"/>
            </w:tcBorders>
          </w:tcPr>
          <w:p w14:paraId="1F77FD56" w14:textId="77777777" w:rsidR="0086059B" w:rsidRPr="001A455A" w:rsidRDefault="0086059B" w:rsidP="00D51080">
            <w:pPr>
              <w:spacing w:after="100" w:afterAutospacing="1" w:line="276" w:lineRule="auto"/>
              <w:jc w:val="both"/>
              <w:rPr>
                <w:rFonts w:asciiTheme="minorHAnsi" w:eastAsia="Calibri" w:hAnsiTheme="minorHAnsi" w:cstheme="minorHAnsi"/>
              </w:rPr>
            </w:pPr>
            <w:r w:rsidRPr="001A455A">
              <w:rPr>
                <w:rFonts w:asciiTheme="minorHAnsi" w:eastAsia="Calibri" w:hAnsiTheme="minorHAnsi" w:cstheme="minorHAnsi"/>
              </w:rPr>
              <w:t xml:space="preserve">Was the analysis appropriate? </w:t>
            </w:r>
          </w:p>
        </w:tc>
        <w:tc>
          <w:tcPr>
            <w:tcW w:w="5448" w:type="dxa"/>
            <w:tcBorders>
              <w:top w:val="single" w:sz="4" w:space="0" w:color="BFBFBF"/>
              <w:left w:val="single" w:sz="4" w:space="0" w:color="BFBFBF"/>
              <w:bottom w:val="single" w:sz="4" w:space="0" w:color="BFBFBF"/>
              <w:right w:val="single" w:sz="4" w:space="0" w:color="BFBFBF"/>
            </w:tcBorders>
          </w:tcPr>
          <w:p w14:paraId="593E9B4A" w14:textId="77777777" w:rsidR="0086059B" w:rsidRPr="001A455A" w:rsidRDefault="0086059B" w:rsidP="00D51080">
            <w:pPr>
              <w:spacing w:after="100" w:afterAutospacing="1" w:line="276" w:lineRule="auto"/>
              <w:ind w:left="360" w:hanging="360"/>
              <w:jc w:val="both"/>
              <w:rPr>
                <w:rFonts w:asciiTheme="minorHAnsi" w:eastAsia="Calibri" w:hAnsiTheme="minorHAnsi" w:cstheme="minorHAnsi"/>
              </w:rPr>
            </w:pPr>
            <w:r w:rsidRPr="001A455A">
              <w:rPr>
                <w:rFonts w:asciiTheme="minorHAnsi" w:eastAsia="Segoe UI Symbol" w:hAnsiTheme="minorHAnsi" w:cstheme="minorHAnsi"/>
              </w:rPr>
              <w:t>•</w:t>
            </w:r>
            <w:r w:rsidRPr="001A455A">
              <w:rPr>
                <w:rFonts w:asciiTheme="minorHAnsi" w:eastAsia="Arial" w:hAnsiTheme="minorHAnsi" w:cstheme="minorHAnsi"/>
              </w:rPr>
              <w:t xml:space="preserve"> </w:t>
            </w:r>
            <w:r w:rsidRPr="001A455A">
              <w:rPr>
                <w:rFonts w:asciiTheme="minorHAnsi" w:eastAsia="Arial" w:hAnsiTheme="minorHAnsi" w:cstheme="minorHAnsi"/>
              </w:rPr>
              <w:tab/>
            </w:r>
            <w:r w:rsidRPr="001A455A">
              <w:rPr>
                <w:rFonts w:asciiTheme="minorHAnsi" w:eastAsia="Calibri" w:hAnsiTheme="minorHAnsi" w:cstheme="minorHAnsi"/>
              </w:rPr>
              <w:t xml:space="preserve">The methods used to analyse results are appropriate given the data being analysed (categorical, ordinal/ratio, parametric/non-parametric, etc.) and the purpose of the analysis.  </w:t>
            </w:r>
          </w:p>
          <w:p w14:paraId="51D857EC" w14:textId="77777777" w:rsidR="0086059B" w:rsidRPr="001A455A" w:rsidRDefault="0086059B" w:rsidP="00D51080">
            <w:pPr>
              <w:spacing w:after="100" w:afterAutospacing="1" w:line="276" w:lineRule="auto"/>
              <w:ind w:left="360" w:hanging="360"/>
              <w:jc w:val="both"/>
              <w:rPr>
                <w:rFonts w:asciiTheme="minorHAnsi" w:eastAsia="Calibri" w:hAnsiTheme="minorHAnsi" w:cstheme="minorHAnsi"/>
              </w:rPr>
            </w:pPr>
            <w:r w:rsidRPr="001A455A">
              <w:rPr>
                <w:rFonts w:asciiTheme="minorHAnsi" w:eastAsia="Segoe UI Symbol" w:hAnsiTheme="minorHAnsi" w:cstheme="minorHAnsi"/>
              </w:rPr>
              <w:t>•</w:t>
            </w:r>
            <w:r w:rsidRPr="001A455A">
              <w:rPr>
                <w:rFonts w:asciiTheme="minorHAnsi" w:eastAsia="Arial" w:hAnsiTheme="minorHAnsi" w:cstheme="minorHAnsi"/>
              </w:rPr>
              <w:t xml:space="preserve"> </w:t>
            </w:r>
            <w:r w:rsidRPr="001A455A">
              <w:rPr>
                <w:rFonts w:asciiTheme="minorHAnsi" w:eastAsia="Arial" w:hAnsiTheme="minorHAnsi" w:cstheme="minorHAnsi"/>
              </w:rPr>
              <w:tab/>
            </w:r>
            <w:r w:rsidRPr="001A455A">
              <w:rPr>
                <w:rFonts w:asciiTheme="minorHAnsi" w:eastAsia="Calibri" w:hAnsiTheme="minorHAnsi" w:cstheme="minorHAnsi"/>
              </w:rPr>
              <w:t xml:space="preserve">Appropriate methods have been used and reported for the treatment of missing data.  </w:t>
            </w:r>
          </w:p>
        </w:tc>
        <w:tc>
          <w:tcPr>
            <w:tcW w:w="2213" w:type="dxa"/>
            <w:tcBorders>
              <w:top w:val="single" w:sz="4" w:space="0" w:color="BFBFBF"/>
              <w:left w:val="single" w:sz="4" w:space="0" w:color="BFBFBF"/>
              <w:bottom w:val="single" w:sz="4" w:space="0" w:color="BFBFBF"/>
              <w:right w:val="single" w:sz="4" w:space="0" w:color="BFBFBF"/>
            </w:tcBorders>
          </w:tcPr>
          <w:p w14:paraId="73B1E41B"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Yes (1) </w:t>
            </w:r>
          </w:p>
          <w:p w14:paraId="0A88C4D1"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No (0) </w:t>
            </w:r>
          </w:p>
          <w:p w14:paraId="3BF333B5" w14:textId="77777777" w:rsidR="0086059B" w:rsidRPr="001A455A" w:rsidRDefault="0086059B" w:rsidP="00D51080">
            <w:pPr>
              <w:spacing w:after="100" w:afterAutospacing="1" w:line="276" w:lineRule="auto"/>
              <w:jc w:val="both"/>
              <w:rPr>
                <w:rFonts w:asciiTheme="minorHAnsi" w:hAnsiTheme="minorHAnsi" w:cstheme="minorHAnsi"/>
              </w:rPr>
            </w:pPr>
            <w:r w:rsidRPr="001A455A">
              <w:rPr>
                <w:rFonts w:asciiTheme="minorHAnsi" w:eastAsia="Calibri" w:hAnsiTheme="minorHAnsi" w:cstheme="minorHAnsi"/>
              </w:rPr>
              <w:t xml:space="preserve">Can’t tell (0)  </w:t>
            </w:r>
          </w:p>
          <w:p w14:paraId="7C137FEA" w14:textId="77777777" w:rsidR="0086059B" w:rsidRPr="001A455A" w:rsidRDefault="0086059B" w:rsidP="00D51080">
            <w:pPr>
              <w:spacing w:after="100" w:afterAutospacing="1" w:line="276" w:lineRule="auto"/>
              <w:jc w:val="both"/>
              <w:rPr>
                <w:rFonts w:asciiTheme="minorHAnsi" w:eastAsia="Calibri" w:hAnsiTheme="minorHAnsi" w:cstheme="minorHAnsi"/>
              </w:rPr>
            </w:pPr>
            <w:r w:rsidRPr="001A455A">
              <w:rPr>
                <w:rFonts w:asciiTheme="minorHAnsi" w:eastAsia="Calibri" w:hAnsiTheme="minorHAnsi" w:cstheme="minorHAnsi"/>
              </w:rPr>
              <w:t xml:space="preserve">N/A (0) </w:t>
            </w:r>
          </w:p>
        </w:tc>
      </w:tr>
      <w:tr w:rsidR="0086059B" w:rsidRPr="001A455A" w14:paraId="7DA4A217" w14:textId="77777777" w:rsidTr="001C3226">
        <w:trPr>
          <w:trHeight w:val="1378"/>
        </w:trPr>
        <w:tc>
          <w:tcPr>
            <w:tcW w:w="1963" w:type="dxa"/>
            <w:tcBorders>
              <w:top w:val="single" w:sz="4" w:space="0" w:color="BFBFBF"/>
              <w:left w:val="single" w:sz="4" w:space="0" w:color="BFBFBF"/>
              <w:bottom w:val="single" w:sz="4" w:space="0" w:color="BFBFBF"/>
              <w:right w:val="single" w:sz="4" w:space="0" w:color="BFBFBF"/>
            </w:tcBorders>
          </w:tcPr>
          <w:p w14:paraId="30030347" w14:textId="77777777" w:rsidR="0086059B" w:rsidRPr="001A455A" w:rsidRDefault="0086059B" w:rsidP="00D51080">
            <w:pPr>
              <w:spacing w:after="100" w:afterAutospacing="1" w:line="276" w:lineRule="auto"/>
              <w:jc w:val="both"/>
              <w:rPr>
                <w:rFonts w:asciiTheme="minorHAnsi" w:eastAsia="Calibri" w:hAnsiTheme="minorHAnsi" w:cstheme="minorHAnsi"/>
              </w:rPr>
            </w:pPr>
            <w:r w:rsidRPr="001A455A">
              <w:rPr>
                <w:rFonts w:asciiTheme="minorHAnsi" w:eastAsia="Calibri" w:hAnsiTheme="minorHAnsi" w:cstheme="minorHAnsi"/>
              </w:rPr>
              <w:lastRenderedPageBreak/>
              <w:t xml:space="preserve">Is the evidence consistent?  </w:t>
            </w:r>
          </w:p>
        </w:tc>
        <w:tc>
          <w:tcPr>
            <w:tcW w:w="5448" w:type="dxa"/>
            <w:tcBorders>
              <w:top w:val="single" w:sz="4" w:space="0" w:color="BFBFBF"/>
              <w:left w:val="single" w:sz="4" w:space="0" w:color="BFBFBF"/>
              <w:bottom w:val="single" w:sz="4" w:space="0" w:color="BFBFBF"/>
              <w:right w:val="single" w:sz="4" w:space="0" w:color="BFBFBF"/>
            </w:tcBorders>
          </w:tcPr>
          <w:p w14:paraId="7EA18C9C" w14:textId="77777777" w:rsidR="0086059B" w:rsidRPr="001A455A" w:rsidRDefault="0086059B" w:rsidP="00D51080">
            <w:pPr>
              <w:numPr>
                <w:ilvl w:val="0"/>
                <w:numId w:val="8"/>
              </w:numPr>
              <w:spacing w:after="100" w:afterAutospacing="1" w:line="276" w:lineRule="auto"/>
              <w:ind w:hanging="360"/>
              <w:jc w:val="both"/>
              <w:rPr>
                <w:rFonts w:asciiTheme="minorHAnsi" w:hAnsiTheme="minorHAnsi" w:cstheme="minorHAnsi"/>
              </w:rPr>
            </w:pPr>
            <w:r w:rsidRPr="001A455A">
              <w:rPr>
                <w:rFonts w:asciiTheme="minorHAnsi" w:eastAsia="Calibri" w:hAnsiTheme="minorHAnsi" w:cstheme="minorHAnsi"/>
              </w:rPr>
              <w:t xml:space="preserve">Are the findings made explicit? </w:t>
            </w:r>
          </w:p>
          <w:p w14:paraId="169C4A5D" w14:textId="77777777" w:rsidR="0086059B" w:rsidRPr="001A455A" w:rsidRDefault="0086059B" w:rsidP="00D51080">
            <w:pPr>
              <w:numPr>
                <w:ilvl w:val="0"/>
                <w:numId w:val="8"/>
              </w:numPr>
              <w:spacing w:after="100" w:afterAutospacing="1" w:line="276" w:lineRule="auto"/>
              <w:ind w:hanging="360"/>
              <w:jc w:val="both"/>
              <w:rPr>
                <w:rFonts w:asciiTheme="minorHAnsi" w:hAnsiTheme="minorHAnsi" w:cstheme="minorHAnsi"/>
              </w:rPr>
            </w:pPr>
            <w:r w:rsidRPr="001A455A">
              <w:rPr>
                <w:rFonts w:asciiTheme="minorHAnsi" w:eastAsia="Calibri" w:hAnsiTheme="minorHAnsi" w:cstheme="minorHAnsi"/>
              </w:rPr>
              <w:t xml:space="preserve">Is there adequate discussion of the evidence both for and against the researcher’s arguments? </w:t>
            </w:r>
          </w:p>
          <w:p w14:paraId="04DD97D9" w14:textId="77777777" w:rsidR="0086059B" w:rsidRPr="001A455A" w:rsidRDefault="0086059B" w:rsidP="00D51080">
            <w:pPr>
              <w:numPr>
                <w:ilvl w:val="0"/>
                <w:numId w:val="8"/>
              </w:numPr>
              <w:spacing w:after="100" w:afterAutospacing="1" w:line="276" w:lineRule="auto"/>
              <w:ind w:hanging="360"/>
              <w:jc w:val="both"/>
              <w:rPr>
                <w:rFonts w:asciiTheme="minorHAnsi" w:hAnsiTheme="minorHAnsi" w:cstheme="minorHAnsi"/>
              </w:rPr>
            </w:pPr>
            <w:r w:rsidRPr="001A455A">
              <w:rPr>
                <w:rFonts w:asciiTheme="minorHAnsi" w:eastAsia="Calibri" w:hAnsiTheme="minorHAnsi" w:cstheme="minorHAnsi"/>
              </w:rPr>
              <w:t xml:space="preserve">Has the researcher discussed the credibility of their findings (e.g., triangulation, respondent validation, more than one analyst)? </w:t>
            </w:r>
          </w:p>
          <w:p w14:paraId="44170CF0" w14:textId="77777777" w:rsidR="0086059B" w:rsidRPr="001A455A" w:rsidRDefault="0086059B" w:rsidP="00D51080">
            <w:pPr>
              <w:spacing w:after="100" w:afterAutospacing="1" w:line="276" w:lineRule="auto"/>
              <w:ind w:left="360" w:hanging="360"/>
              <w:jc w:val="both"/>
              <w:rPr>
                <w:rFonts w:asciiTheme="minorHAnsi" w:eastAsia="Segoe UI Symbol" w:hAnsiTheme="minorHAnsi" w:cstheme="minorHAnsi"/>
              </w:rPr>
            </w:pPr>
            <w:r w:rsidRPr="001A455A">
              <w:rPr>
                <w:rFonts w:asciiTheme="minorHAnsi" w:eastAsia="Segoe UI Symbol" w:hAnsiTheme="minorHAnsi" w:cstheme="minorHAnsi"/>
              </w:rPr>
              <w:t>•</w:t>
            </w:r>
            <w:r w:rsidRPr="001A455A">
              <w:rPr>
                <w:rFonts w:asciiTheme="minorHAnsi" w:eastAsia="Arial" w:hAnsiTheme="minorHAnsi" w:cstheme="minorHAnsi"/>
              </w:rPr>
              <w:t xml:space="preserve"> </w:t>
            </w:r>
            <w:r w:rsidRPr="001A455A">
              <w:rPr>
                <w:rFonts w:asciiTheme="minorHAnsi" w:eastAsia="Arial" w:hAnsiTheme="minorHAnsi" w:cstheme="minorHAnsi"/>
              </w:rPr>
              <w:tab/>
            </w:r>
            <w:r w:rsidRPr="001A455A">
              <w:rPr>
                <w:rFonts w:asciiTheme="minorHAnsi" w:eastAsia="Calibri" w:hAnsiTheme="minorHAnsi" w:cstheme="minorHAnsi"/>
              </w:rPr>
              <w:t xml:space="preserve">Are the findings discussed in relation to the original research question? </w:t>
            </w:r>
          </w:p>
        </w:tc>
        <w:tc>
          <w:tcPr>
            <w:tcW w:w="2213" w:type="dxa"/>
            <w:tcBorders>
              <w:top w:val="single" w:sz="4" w:space="0" w:color="BFBFBF"/>
              <w:left w:val="single" w:sz="4" w:space="0" w:color="BFBFBF"/>
              <w:bottom w:val="single" w:sz="4" w:space="0" w:color="BFBFBF"/>
              <w:right w:val="single" w:sz="4" w:space="0" w:color="BFBFBF"/>
            </w:tcBorders>
          </w:tcPr>
          <w:p w14:paraId="43583A5D" w14:textId="77777777" w:rsidR="0086059B" w:rsidRPr="001A455A" w:rsidRDefault="0086059B" w:rsidP="00D51080">
            <w:pPr>
              <w:spacing w:after="100" w:afterAutospacing="1" w:line="276" w:lineRule="auto"/>
              <w:ind w:left="100"/>
              <w:jc w:val="both"/>
              <w:rPr>
                <w:rFonts w:asciiTheme="minorHAnsi" w:hAnsiTheme="minorHAnsi" w:cstheme="minorHAnsi"/>
              </w:rPr>
            </w:pPr>
            <w:r w:rsidRPr="001A455A">
              <w:rPr>
                <w:rFonts w:asciiTheme="minorHAnsi" w:eastAsia="Calibri" w:hAnsiTheme="minorHAnsi" w:cstheme="minorHAnsi"/>
              </w:rPr>
              <w:t xml:space="preserve">Yes (1) </w:t>
            </w:r>
          </w:p>
          <w:p w14:paraId="2AC3E032" w14:textId="77777777" w:rsidR="0086059B" w:rsidRPr="001A455A" w:rsidRDefault="0086059B" w:rsidP="00D51080">
            <w:pPr>
              <w:spacing w:after="100" w:afterAutospacing="1" w:line="276" w:lineRule="auto"/>
              <w:ind w:left="100"/>
              <w:jc w:val="both"/>
              <w:rPr>
                <w:rFonts w:asciiTheme="minorHAnsi" w:hAnsiTheme="minorHAnsi" w:cstheme="minorHAnsi"/>
              </w:rPr>
            </w:pPr>
            <w:r w:rsidRPr="001A455A">
              <w:rPr>
                <w:rFonts w:asciiTheme="minorHAnsi" w:eastAsia="Calibri" w:hAnsiTheme="minorHAnsi" w:cstheme="minorHAnsi"/>
              </w:rPr>
              <w:t xml:space="preserve">No (0) </w:t>
            </w:r>
          </w:p>
          <w:p w14:paraId="377CB2E9" w14:textId="77777777" w:rsidR="0086059B" w:rsidRPr="001A455A" w:rsidRDefault="0086059B" w:rsidP="00D51080">
            <w:pPr>
              <w:spacing w:after="100" w:afterAutospacing="1" w:line="276" w:lineRule="auto"/>
              <w:ind w:left="100"/>
              <w:jc w:val="both"/>
              <w:rPr>
                <w:rFonts w:asciiTheme="minorHAnsi" w:hAnsiTheme="minorHAnsi" w:cstheme="minorHAnsi"/>
              </w:rPr>
            </w:pPr>
            <w:r w:rsidRPr="001A455A">
              <w:rPr>
                <w:rFonts w:asciiTheme="minorHAnsi" w:eastAsia="Calibri" w:hAnsiTheme="minorHAnsi" w:cstheme="minorHAnsi"/>
              </w:rPr>
              <w:t xml:space="preserve">Can’t tell (0)  </w:t>
            </w:r>
          </w:p>
          <w:p w14:paraId="45E858D4" w14:textId="77777777" w:rsidR="0086059B" w:rsidRPr="001A455A" w:rsidRDefault="0086059B" w:rsidP="00D51080">
            <w:pPr>
              <w:spacing w:after="100" w:afterAutospacing="1" w:line="276" w:lineRule="auto"/>
              <w:jc w:val="both"/>
              <w:rPr>
                <w:rFonts w:asciiTheme="minorHAnsi" w:eastAsia="Calibri" w:hAnsiTheme="minorHAnsi" w:cstheme="minorHAnsi"/>
              </w:rPr>
            </w:pPr>
            <w:r w:rsidRPr="001A455A">
              <w:rPr>
                <w:rFonts w:asciiTheme="minorHAnsi" w:eastAsia="Calibri" w:hAnsiTheme="minorHAnsi" w:cstheme="minorHAnsi"/>
              </w:rPr>
              <w:t xml:space="preserve">N/A (0) </w:t>
            </w:r>
          </w:p>
        </w:tc>
      </w:tr>
    </w:tbl>
    <w:p w14:paraId="663095FE" w14:textId="77777777" w:rsidR="00D51080" w:rsidRPr="001A455A" w:rsidRDefault="00D51080" w:rsidP="00D51080">
      <w:pPr>
        <w:spacing w:after="100" w:afterAutospacing="1" w:line="276" w:lineRule="auto"/>
        <w:jc w:val="both"/>
        <w:rPr>
          <w:rFonts w:asciiTheme="minorHAnsi" w:hAnsiTheme="minorHAnsi" w:cstheme="minorHAnsi"/>
          <w:b/>
          <w:bCs/>
          <w:sz w:val="22"/>
          <w:szCs w:val="22"/>
        </w:rPr>
      </w:pPr>
    </w:p>
    <w:p w14:paraId="27D2AEB0" w14:textId="062B4136" w:rsidR="00D51080" w:rsidRPr="001A455A" w:rsidRDefault="009213AB" w:rsidP="00D51080">
      <w:pPr>
        <w:spacing w:after="100" w:afterAutospacing="1" w:line="276" w:lineRule="auto"/>
        <w:jc w:val="both"/>
        <w:rPr>
          <w:rFonts w:ascii="Arial" w:hAnsi="Arial" w:cs="Arial"/>
          <w:b/>
          <w:bCs/>
        </w:rPr>
      </w:pPr>
      <w:r w:rsidRPr="001A455A">
        <w:rPr>
          <w:rFonts w:asciiTheme="minorHAnsi" w:hAnsiTheme="minorHAnsi" w:cstheme="minorHAnsi"/>
          <w:b/>
          <w:bCs/>
          <w:sz w:val="22"/>
          <w:szCs w:val="22"/>
        </w:rPr>
        <w:t xml:space="preserve">Supplementary </w:t>
      </w:r>
      <w:r w:rsidR="00D51080" w:rsidRPr="001A455A">
        <w:rPr>
          <w:rFonts w:asciiTheme="minorHAnsi" w:hAnsiTheme="minorHAnsi" w:cstheme="minorHAnsi"/>
          <w:b/>
          <w:bCs/>
          <w:sz w:val="22"/>
          <w:szCs w:val="22"/>
        </w:rPr>
        <w:t xml:space="preserve">Table </w:t>
      </w:r>
      <w:r w:rsidRPr="001A455A">
        <w:rPr>
          <w:rFonts w:asciiTheme="minorHAnsi" w:hAnsiTheme="minorHAnsi" w:cstheme="minorHAnsi"/>
          <w:b/>
          <w:bCs/>
          <w:sz w:val="22"/>
          <w:szCs w:val="22"/>
        </w:rPr>
        <w:t>S3</w:t>
      </w:r>
      <w:r w:rsidR="00D51080" w:rsidRPr="001A455A">
        <w:rPr>
          <w:rFonts w:asciiTheme="minorHAnsi" w:hAnsiTheme="minorHAnsi" w:cstheme="minorHAnsi"/>
          <w:b/>
          <w:bCs/>
          <w:sz w:val="22"/>
          <w:szCs w:val="22"/>
        </w:rPr>
        <w:t xml:space="preserve">. Breakdown of included </w:t>
      </w:r>
      <w:r w:rsidR="00524F0E" w:rsidRPr="001A455A">
        <w:rPr>
          <w:rFonts w:asciiTheme="minorHAnsi" w:hAnsiTheme="minorHAnsi" w:cstheme="minorHAnsi"/>
          <w:b/>
          <w:bCs/>
          <w:sz w:val="22"/>
          <w:szCs w:val="22"/>
        </w:rPr>
        <w:t>studies</w:t>
      </w:r>
      <w:r w:rsidR="00D51080" w:rsidRPr="001A455A">
        <w:rPr>
          <w:rFonts w:asciiTheme="minorHAnsi" w:hAnsiTheme="minorHAnsi" w:cstheme="minorHAnsi"/>
          <w:b/>
          <w:bCs/>
          <w:sz w:val="22"/>
          <w:szCs w:val="22"/>
        </w:rPr>
        <w:t xml:space="preserve"> by critical appraisal score </w:t>
      </w:r>
    </w:p>
    <w:tbl>
      <w:tblPr>
        <w:tblW w:w="2291" w:type="pct"/>
        <w:tblInd w:w="108" w:type="dxa"/>
        <w:tblCellMar>
          <w:left w:w="0" w:type="dxa"/>
          <w:right w:w="0" w:type="dxa"/>
        </w:tblCellMar>
        <w:tblLook w:val="04A0" w:firstRow="1" w:lastRow="0" w:firstColumn="1" w:lastColumn="0" w:noHBand="0" w:noVBand="1"/>
      </w:tblPr>
      <w:tblGrid>
        <w:gridCol w:w="2919"/>
        <w:gridCol w:w="1208"/>
      </w:tblGrid>
      <w:tr w:rsidR="001A455A" w:rsidRPr="001A455A" w14:paraId="6976CEFE" w14:textId="77777777" w:rsidTr="001C3226">
        <w:tc>
          <w:tcPr>
            <w:tcW w:w="3536" w:type="pct"/>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14:paraId="58845314" w14:textId="77777777" w:rsidR="00D51080" w:rsidRPr="001A455A" w:rsidRDefault="00D51080" w:rsidP="001C3226">
            <w:pPr>
              <w:pStyle w:val="NormalWeb"/>
              <w:spacing w:before="0" w:beforeAutospacing="0" w:line="276" w:lineRule="auto"/>
              <w:rPr>
                <w:rFonts w:asciiTheme="minorHAnsi" w:hAnsiTheme="minorHAnsi" w:cstheme="minorHAnsi"/>
                <w:sz w:val="22"/>
                <w:szCs w:val="22"/>
              </w:rPr>
            </w:pPr>
            <w:r w:rsidRPr="001A455A">
              <w:rPr>
                <w:rFonts w:asciiTheme="minorHAnsi" w:hAnsiTheme="minorHAnsi" w:cstheme="minorHAnsi"/>
                <w:b/>
                <w:bCs/>
                <w:sz w:val="22"/>
                <w:szCs w:val="22"/>
              </w:rPr>
              <w:t> </w:t>
            </w:r>
          </w:p>
        </w:tc>
        <w:tc>
          <w:tcPr>
            <w:tcW w:w="1464" w:type="pct"/>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14:paraId="6774087F"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b/>
                <w:bCs/>
                <w:sz w:val="22"/>
                <w:szCs w:val="22"/>
              </w:rPr>
              <w:t>N (%)</w:t>
            </w:r>
          </w:p>
        </w:tc>
      </w:tr>
      <w:tr w:rsidR="001A455A" w:rsidRPr="001A455A" w14:paraId="41517B12"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0DEFE4D5" w14:textId="77777777" w:rsidR="00D51080" w:rsidRPr="001A455A" w:rsidRDefault="00D51080" w:rsidP="001C3226">
            <w:pPr>
              <w:pStyle w:val="NormalWeb"/>
              <w:spacing w:before="0" w:beforeAutospacing="0" w:line="276" w:lineRule="auto"/>
              <w:rPr>
                <w:rFonts w:asciiTheme="minorHAnsi" w:hAnsiTheme="minorHAnsi" w:cstheme="minorHAnsi"/>
                <w:sz w:val="22"/>
                <w:szCs w:val="22"/>
              </w:rPr>
            </w:pPr>
            <w:r w:rsidRPr="001A455A">
              <w:rPr>
                <w:rFonts w:asciiTheme="minorHAnsi" w:hAnsiTheme="minorHAnsi" w:cstheme="minorHAnsi"/>
                <w:b/>
                <w:bCs/>
                <w:sz w:val="22"/>
                <w:szCs w:val="22"/>
              </w:rPr>
              <w:t>Overall summary score</w:t>
            </w:r>
          </w:p>
        </w:tc>
        <w:tc>
          <w:tcPr>
            <w:tcW w:w="1464" w:type="pct"/>
            <w:tcBorders>
              <w:top w:val="nil"/>
              <w:left w:val="nil"/>
              <w:bottom w:val="single" w:sz="8" w:space="0" w:color="BFBFBF"/>
              <w:right w:val="single" w:sz="8" w:space="0" w:color="BFBFBF"/>
            </w:tcBorders>
            <w:tcMar>
              <w:top w:w="0" w:type="dxa"/>
              <w:left w:w="108" w:type="dxa"/>
              <w:bottom w:w="0" w:type="dxa"/>
              <w:right w:w="108" w:type="dxa"/>
            </w:tcMar>
            <w:hideMark/>
          </w:tcPr>
          <w:p w14:paraId="472A6AD6"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 </w:t>
            </w:r>
          </w:p>
        </w:tc>
      </w:tr>
      <w:tr w:rsidR="001A455A" w:rsidRPr="001A455A" w14:paraId="59D82C15"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6DEB2785"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Low (0-2)</w:t>
            </w:r>
          </w:p>
        </w:tc>
        <w:tc>
          <w:tcPr>
            <w:tcW w:w="1464" w:type="pct"/>
            <w:tcBorders>
              <w:top w:val="nil"/>
              <w:left w:val="nil"/>
              <w:bottom w:val="single" w:sz="8" w:space="0" w:color="BFBFBF"/>
              <w:right w:val="single" w:sz="8" w:space="0" w:color="BFBFBF"/>
            </w:tcBorders>
            <w:tcMar>
              <w:top w:w="0" w:type="dxa"/>
              <w:left w:w="108" w:type="dxa"/>
              <w:bottom w:w="0" w:type="dxa"/>
              <w:right w:w="108" w:type="dxa"/>
            </w:tcMar>
            <w:hideMark/>
          </w:tcPr>
          <w:p w14:paraId="71580C2E"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0 (0%)</w:t>
            </w:r>
          </w:p>
        </w:tc>
      </w:tr>
      <w:tr w:rsidR="001A455A" w:rsidRPr="001A455A" w14:paraId="5C62A1B1"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552006B5"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Moderate (3-6)</w:t>
            </w:r>
          </w:p>
        </w:tc>
        <w:tc>
          <w:tcPr>
            <w:tcW w:w="1464" w:type="pct"/>
            <w:tcBorders>
              <w:top w:val="nil"/>
              <w:left w:val="nil"/>
              <w:bottom w:val="single" w:sz="8" w:space="0" w:color="BFBFBF"/>
              <w:right w:val="single" w:sz="8" w:space="0" w:color="BFBFBF"/>
            </w:tcBorders>
            <w:tcMar>
              <w:top w:w="0" w:type="dxa"/>
              <w:left w:w="108" w:type="dxa"/>
              <w:bottom w:w="0" w:type="dxa"/>
              <w:right w:w="108" w:type="dxa"/>
            </w:tcMar>
            <w:hideMark/>
          </w:tcPr>
          <w:p w14:paraId="48AE28DE"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35 (37%)</w:t>
            </w:r>
          </w:p>
        </w:tc>
      </w:tr>
      <w:tr w:rsidR="001A455A" w:rsidRPr="001A455A" w14:paraId="781F1710"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EE1E35C"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High (7-10)</w:t>
            </w:r>
          </w:p>
        </w:tc>
        <w:tc>
          <w:tcPr>
            <w:tcW w:w="1464" w:type="pct"/>
            <w:tcBorders>
              <w:top w:val="nil"/>
              <w:left w:val="nil"/>
              <w:bottom w:val="single" w:sz="8" w:space="0" w:color="BFBFBF"/>
              <w:right w:val="single" w:sz="8" w:space="0" w:color="BFBFBF"/>
            </w:tcBorders>
            <w:tcMar>
              <w:top w:w="0" w:type="dxa"/>
              <w:left w:w="108" w:type="dxa"/>
              <w:bottom w:w="0" w:type="dxa"/>
              <w:right w:w="108" w:type="dxa"/>
            </w:tcMar>
            <w:hideMark/>
          </w:tcPr>
          <w:p w14:paraId="4ADC1504"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60 (63%)</w:t>
            </w:r>
          </w:p>
        </w:tc>
      </w:tr>
      <w:tr w:rsidR="001A455A" w:rsidRPr="001A455A" w14:paraId="2E7EB070"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5BC4AE22" w14:textId="77777777" w:rsidR="00D51080" w:rsidRPr="001A455A" w:rsidRDefault="00D51080" w:rsidP="001C3226">
            <w:pPr>
              <w:pStyle w:val="NormalWeb"/>
              <w:spacing w:before="0" w:beforeAutospacing="0" w:line="276" w:lineRule="auto"/>
              <w:rPr>
                <w:rFonts w:asciiTheme="minorHAnsi" w:hAnsiTheme="minorHAnsi" w:cstheme="minorHAnsi"/>
                <w:sz w:val="22"/>
                <w:szCs w:val="22"/>
              </w:rPr>
            </w:pPr>
            <w:r w:rsidRPr="001A455A">
              <w:rPr>
                <w:rFonts w:asciiTheme="minorHAnsi" w:hAnsiTheme="minorHAnsi" w:cstheme="minorHAnsi"/>
                <w:b/>
                <w:bCs/>
                <w:sz w:val="22"/>
                <w:szCs w:val="22"/>
              </w:rPr>
              <w:t>Element</w:t>
            </w:r>
          </w:p>
        </w:tc>
        <w:tc>
          <w:tcPr>
            <w:tcW w:w="1464" w:type="pct"/>
            <w:tcBorders>
              <w:top w:val="nil"/>
              <w:left w:val="nil"/>
              <w:bottom w:val="single" w:sz="8" w:space="0" w:color="BFBFBF"/>
              <w:right w:val="single" w:sz="8" w:space="0" w:color="BFBFBF"/>
            </w:tcBorders>
            <w:tcMar>
              <w:top w:w="0" w:type="dxa"/>
              <w:left w:w="108" w:type="dxa"/>
              <w:bottom w:w="0" w:type="dxa"/>
              <w:right w:w="108" w:type="dxa"/>
            </w:tcMar>
            <w:hideMark/>
          </w:tcPr>
          <w:p w14:paraId="235928CB"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 </w:t>
            </w:r>
          </w:p>
        </w:tc>
      </w:tr>
      <w:tr w:rsidR="001A455A" w:rsidRPr="001A455A" w14:paraId="46F090A7"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4D439779"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Fidelity</w:t>
            </w:r>
          </w:p>
        </w:tc>
        <w:tc>
          <w:tcPr>
            <w:tcW w:w="1464" w:type="pct"/>
            <w:tcBorders>
              <w:top w:val="nil"/>
              <w:left w:val="nil"/>
              <w:bottom w:val="single" w:sz="8" w:space="0" w:color="BFBFBF"/>
              <w:right w:val="single" w:sz="8" w:space="0" w:color="BFBFBF"/>
            </w:tcBorders>
            <w:tcMar>
              <w:top w:w="0" w:type="dxa"/>
              <w:left w:w="108" w:type="dxa"/>
              <w:bottom w:w="0" w:type="dxa"/>
              <w:right w:w="108" w:type="dxa"/>
            </w:tcMar>
            <w:hideMark/>
          </w:tcPr>
          <w:p w14:paraId="3516CE2E"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92 (97%)</w:t>
            </w:r>
          </w:p>
        </w:tc>
      </w:tr>
      <w:tr w:rsidR="001A455A" w:rsidRPr="001A455A" w14:paraId="0DA4FFD0"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15EA3D9F"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Measures </w:t>
            </w:r>
          </w:p>
        </w:tc>
        <w:tc>
          <w:tcPr>
            <w:tcW w:w="1464" w:type="pct"/>
            <w:tcBorders>
              <w:top w:val="nil"/>
              <w:left w:val="nil"/>
              <w:bottom w:val="single" w:sz="8" w:space="0" w:color="BFBFBF"/>
              <w:right w:val="single" w:sz="8" w:space="0" w:color="BFBFBF"/>
            </w:tcBorders>
            <w:tcMar>
              <w:top w:w="0" w:type="dxa"/>
              <w:left w:w="108" w:type="dxa"/>
              <w:bottom w:w="0" w:type="dxa"/>
              <w:right w:w="108" w:type="dxa"/>
            </w:tcMar>
          </w:tcPr>
          <w:p w14:paraId="564AC644"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92 (97%)</w:t>
            </w:r>
          </w:p>
        </w:tc>
      </w:tr>
      <w:tr w:rsidR="001A455A" w:rsidRPr="001A455A" w14:paraId="1B0E11FC"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0DF691A0"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Consistency</w:t>
            </w:r>
          </w:p>
        </w:tc>
        <w:tc>
          <w:tcPr>
            <w:tcW w:w="1464" w:type="pct"/>
            <w:tcBorders>
              <w:top w:val="nil"/>
              <w:left w:val="nil"/>
              <w:bottom w:val="single" w:sz="8" w:space="0" w:color="BFBFBF"/>
              <w:right w:val="single" w:sz="8" w:space="0" w:color="BFBFBF"/>
            </w:tcBorders>
            <w:tcMar>
              <w:top w:w="0" w:type="dxa"/>
              <w:left w:w="108" w:type="dxa"/>
              <w:bottom w:w="0" w:type="dxa"/>
              <w:right w:w="108" w:type="dxa"/>
            </w:tcMar>
          </w:tcPr>
          <w:p w14:paraId="473D7068"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84 (88%)</w:t>
            </w:r>
          </w:p>
        </w:tc>
      </w:tr>
      <w:tr w:rsidR="001A455A" w:rsidRPr="001A455A" w14:paraId="11F40CCE"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05D4BFFA"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Analysis </w:t>
            </w:r>
          </w:p>
        </w:tc>
        <w:tc>
          <w:tcPr>
            <w:tcW w:w="1464" w:type="pct"/>
            <w:tcBorders>
              <w:top w:val="nil"/>
              <w:left w:val="nil"/>
              <w:bottom w:val="single" w:sz="8" w:space="0" w:color="BFBFBF"/>
              <w:right w:val="single" w:sz="8" w:space="0" w:color="BFBFBF"/>
            </w:tcBorders>
            <w:tcMar>
              <w:top w:w="0" w:type="dxa"/>
              <w:left w:w="108" w:type="dxa"/>
              <w:bottom w:w="0" w:type="dxa"/>
              <w:right w:w="108" w:type="dxa"/>
            </w:tcMar>
          </w:tcPr>
          <w:p w14:paraId="4DD57B9D"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82 (86%)</w:t>
            </w:r>
          </w:p>
        </w:tc>
      </w:tr>
      <w:tr w:rsidR="001A455A" w:rsidRPr="001A455A" w14:paraId="6ABFB2A9"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5A9BFB59"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Measurement</w:t>
            </w:r>
          </w:p>
        </w:tc>
        <w:tc>
          <w:tcPr>
            <w:tcW w:w="1464" w:type="pct"/>
            <w:tcBorders>
              <w:top w:val="nil"/>
              <w:left w:val="nil"/>
              <w:bottom w:val="single" w:sz="8" w:space="0" w:color="BFBFBF"/>
              <w:right w:val="single" w:sz="8" w:space="0" w:color="BFBFBF"/>
            </w:tcBorders>
            <w:tcMar>
              <w:top w:w="0" w:type="dxa"/>
              <w:left w:w="108" w:type="dxa"/>
              <w:bottom w:w="0" w:type="dxa"/>
              <w:right w:w="108" w:type="dxa"/>
            </w:tcMar>
          </w:tcPr>
          <w:p w14:paraId="2D066E3C"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78 (82%)</w:t>
            </w:r>
          </w:p>
        </w:tc>
      </w:tr>
      <w:tr w:rsidR="001A455A" w:rsidRPr="001A455A" w14:paraId="429BCECA"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5735E671"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Representative</w:t>
            </w:r>
          </w:p>
        </w:tc>
        <w:tc>
          <w:tcPr>
            <w:tcW w:w="1464" w:type="pct"/>
            <w:tcBorders>
              <w:top w:val="nil"/>
              <w:left w:val="nil"/>
              <w:bottom w:val="single" w:sz="8" w:space="0" w:color="BFBFBF"/>
              <w:right w:val="single" w:sz="8" w:space="0" w:color="BFBFBF"/>
            </w:tcBorders>
            <w:tcMar>
              <w:top w:w="0" w:type="dxa"/>
              <w:left w:w="108" w:type="dxa"/>
              <w:bottom w:w="0" w:type="dxa"/>
              <w:right w:w="108" w:type="dxa"/>
            </w:tcMar>
          </w:tcPr>
          <w:p w14:paraId="49D67037"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68 (72%)</w:t>
            </w:r>
          </w:p>
        </w:tc>
      </w:tr>
      <w:tr w:rsidR="001A455A" w:rsidRPr="001A455A" w14:paraId="142355B6"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6E58E8EE"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Sample size</w:t>
            </w:r>
          </w:p>
        </w:tc>
        <w:tc>
          <w:tcPr>
            <w:tcW w:w="1464" w:type="pct"/>
            <w:tcBorders>
              <w:top w:val="nil"/>
              <w:left w:val="nil"/>
              <w:bottom w:val="single" w:sz="8" w:space="0" w:color="BFBFBF"/>
              <w:right w:val="single" w:sz="8" w:space="0" w:color="BFBFBF"/>
            </w:tcBorders>
            <w:tcMar>
              <w:top w:w="0" w:type="dxa"/>
              <w:left w:w="108" w:type="dxa"/>
              <w:bottom w:w="0" w:type="dxa"/>
              <w:right w:w="108" w:type="dxa"/>
            </w:tcMar>
          </w:tcPr>
          <w:p w14:paraId="63ECF296"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66 (69%)</w:t>
            </w:r>
          </w:p>
        </w:tc>
      </w:tr>
      <w:tr w:rsidR="001A455A" w:rsidRPr="001A455A" w14:paraId="24A09A87"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2A9BEC34"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Attrition</w:t>
            </w:r>
          </w:p>
        </w:tc>
        <w:tc>
          <w:tcPr>
            <w:tcW w:w="1464" w:type="pct"/>
            <w:tcBorders>
              <w:top w:val="nil"/>
              <w:left w:val="nil"/>
              <w:bottom w:val="single" w:sz="8" w:space="0" w:color="BFBFBF"/>
              <w:right w:val="single" w:sz="8" w:space="0" w:color="BFBFBF"/>
            </w:tcBorders>
            <w:tcMar>
              <w:top w:w="0" w:type="dxa"/>
              <w:left w:w="108" w:type="dxa"/>
              <w:bottom w:w="0" w:type="dxa"/>
              <w:right w:w="108" w:type="dxa"/>
            </w:tcMar>
            <w:hideMark/>
          </w:tcPr>
          <w:p w14:paraId="3AC14C80"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48 (51%)</w:t>
            </w:r>
          </w:p>
        </w:tc>
      </w:tr>
      <w:tr w:rsidR="001A455A" w:rsidRPr="001A455A" w14:paraId="655C5EBC"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4054E038"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Equivalence</w:t>
            </w:r>
          </w:p>
        </w:tc>
        <w:tc>
          <w:tcPr>
            <w:tcW w:w="1464" w:type="pct"/>
            <w:tcBorders>
              <w:top w:val="nil"/>
              <w:left w:val="nil"/>
              <w:bottom w:val="single" w:sz="8" w:space="0" w:color="BFBFBF"/>
              <w:right w:val="single" w:sz="8" w:space="0" w:color="BFBFBF"/>
            </w:tcBorders>
            <w:tcMar>
              <w:top w:w="0" w:type="dxa"/>
              <w:left w:w="108" w:type="dxa"/>
              <w:bottom w:w="0" w:type="dxa"/>
              <w:right w:w="108" w:type="dxa"/>
            </w:tcMar>
          </w:tcPr>
          <w:p w14:paraId="132AA082"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37 (39%)</w:t>
            </w:r>
          </w:p>
        </w:tc>
      </w:tr>
      <w:tr w:rsidR="001A455A" w:rsidRPr="001A455A" w14:paraId="7E9E7081" w14:textId="77777777" w:rsidTr="001C3226">
        <w:tc>
          <w:tcPr>
            <w:tcW w:w="3536" w:type="pct"/>
            <w:tcBorders>
              <w:top w:val="nil"/>
              <w:left w:val="single" w:sz="8" w:space="0" w:color="BFBFBF"/>
              <w:bottom w:val="single" w:sz="8" w:space="0" w:color="BFBFBF"/>
              <w:right w:val="single" w:sz="8" w:space="0" w:color="BFBFBF"/>
            </w:tcBorders>
            <w:tcMar>
              <w:top w:w="0" w:type="dxa"/>
              <w:left w:w="108" w:type="dxa"/>
              <w:bottom w:w="0" w:type="dxa"/>
              <w:right w:w="108" w:type="dxa"/>
            </w:tcMar>
          </w:tcPr>
          <w:p w14:paraId="23AB4564" w14:textId="77777777" w:rsidR="00D51080" w:rsidRPr="001A455A" w:rsidRDefault="00D51080" w:rsidP="001C3226">
            <w:pPr>
              <w:pStyle w:val="NormalWeb"/>
              <w:spacing w:before="0" w:beforeAutospacing="0" w:line="276" w:lineRule="auto"/>
              <w:ind w:left="319"/>
              <w:rPr>
                <w:rFonts w:asciiTheme="minorHAnsi" w:hAnsiTheme="minorHAnsi" w:cstheme="minorHAnsi"/>
                <w:sz w:val="22"/>
                <w:szCs w:val="22"/>
              </w:rPr>
            </w:pPr>
            <w:r w:rsidRPr="001A455A">
              <w:rPr>
                <w:rFonts w:asciiTheme="minorHAnsi" w:hAnsiTheme="minorHAnsi" w:cstheme="minorHAnsi"/>
                <w:sz w:val="22"/>
                <w:szCs w:val="22"/>
              </w:rPr>
              <w:t>Counterfactual</w:t>
            </w:r>
          </w:p>
        </w:tc>
        <w:tc>
          <w:tcPr>
            <w:tcW w:w="1464" w:type="pct"/>
            <w:tcBorders>
              <w:top w:val="nil"/>
              <w:left w:val="nil"/>
              <w:bottom w:val="single" w:sz="8" w:space="0" w:color="BFBFBF"/>
              <w:right w:val="single" w:sz="8" w:space="0" w:color="BFBFBF"/>
            </w:tcBorders>
            <w:tcMar>
              <w:top w:w="0" w:type="dxa"/>
              <w:left w:w="108" w:type="dxa"/>
              <w:bottom w:w="0" w:type="dxa"/>
              <w:right w:w="108" w:type="dxa"/>
            </w:tcMar>
          </w:tcPr>
          <w:p w14:paraId="7C91C0CD" w14:textId="77777777" w:rsidR="00D51080" w:rsidRPr="001A455A" w:rsidRDefault="00D51080" w:rsidP="001C3226">
            <w:pPr>
              <w:pStyle w:val="NormalWeb"/>
              <w:spacing w:before="0" w:beforeAutospacing="0" w:line="276" w:lineRule="auto"/>
              <w:ind w:left="17"/>
              <w:jc w:val="center"/>
              <w:rPr>
                <w:rFonts w:asciiTheme="minorHAnsi" w:hAnsiTheme="minorHAnsi" w:cstheme="minorHAnsi"/>
                <w:sz w:val="22"/>
                <w:szCs w:val="22"/>
              </w:rPr>
            </w:pPr>
            <w:r w:rsidRPr="001A455A">
              <w:rPr>
                <w:rFonts w:asciiTheme="minorHAnsi" w:hAnsiTheme="minorHAnsi" w:cstheme="minorHAnsi"/>
                <w:sz w:val="22"/>
                <w:szCs w:val="22"/>
              </w:rPr>
              <w:t>36 (38%)</w:t>
            </w:r>
          </w:p>
        </w:tc>
      </w:tr>
    </w:tbl>
    <w:p w14:paraId="60A7DFC3" w14:textId="026A4F60" w:rsidR="00D51080" w:rsidRPr="001A455A" w:rsidRDefault="00D51080" w:rsidP="00CB457E">
      <w:pPr>
        <w:spacing w:after="100" w:afterAutospacing="1"/>
        <w:rPr>
          <w:rFonts w:ascii="Arial" w:hAnsi="Arial" w:cs="Arial"/>
          <w:b/>
          <w:bCs/>
        </w:rPr>
        <w:sectPr w:rsidR="00D51080" w:rsidRPr="001A455A" w:rsidSect="001A455A">
          <w:type w:val="continuous"/>
          <w:pgSz w:w="11906" w:h="16838"/>
          <w:pgMar w:top="1440" w:right="1440" w:bottom="1440" w:left="1440" w:header="708" w:footer="708" w:gutter="0"/>
          <w:cols w:space="708"/>
          <w:docGrid w:linePitch="360"/>
        </w:sectPr>
      </w:pPr>
    </w:p>
    <w:p w14:paraId="21D46185" w14:textId="44717462" w:rsidR="00CB457E" w:rsidRPr="001A455A" w:rsidRDefault="009213AB" w:rsidP="00CB457E">
      <w:pPr>
        <w:spacing w:after="100" w:afterAutospacing="1"/>
        <w:rPr>
          <w:rFonts w:asciiTheme="minorHAnsi" w:hAnsiTheme="minorHAnsi" w:cstheme="minorHAnsi"/>
          <w:b/>
          <w:bCs/>
          <w:sz w:val="22"/>
          <w:szCs w:val="22"/>
        </w:rPr>
      </w:pPr>
      <w:r w:rsidRPr="001A455A">
        <w:rPr>
          <w:rFonts w:asciiTheme="minorHAnsi" w:hAnsiTheme="minorHAnsi" w:cstheme="minorHAnsi"/>
          <w:b/>
          <w:bCs/>
          <w:sz w:val="22"/>
          <w:szCs w:val="22"/>
        </w:rPr>
        <w:lastRenderedPageBreak/>
        <w:t xml:space="preserve">Supplementary </w:t>
      </w:r>
      <w:r w:rsidR="00CB457E" w:rsidRPr="001A455A">
        <w:rPr>
          <w:rFonts w:asciiTheme="minorHAnsi" w:hAnsiTheme="minorHAnsi" w:cstheme="minorHAnsi"/>
          <w:b/>
          <w:bCs/>
          <w:sz w:val="22"/>
          <w:szCs w:val="22"/>
        </w:rPr>
        <w:t xml:space="preserve">Table </w:t>
      </w:r>
      <w:r w:rsidRPr="001A455A">
        <w:rPr>
          <w:rFonts w:asciiTheme="minorHAnsi" w:hAnsiTheme="minorHAnsi" w:cstheme="minorHAnsi"/>
          <w:b/>
          <w:bCs/>
          <w:sz w:val="22"/>
          <w:szCs w:val="22"/>
        </w:rPr>
        <w:t>S4</w:t>
      </w:r>
      <w:r w:rsidR="00CB457E" w:rsidRPr="001A455A">
        <w:rPr>
          <w:rFonts w:asciiTheme="minorHAnsi" w:hAnsiTheme="minorHAnsi" w:cstheme="minorHAnsi"/>
          <w:b/>
          <w:bCs/>
          <w:sz w:val="22"/>
          <w:szCs w:val="22"/>
        </w:rPr>
        <w:t>. Characteristics of each intervention in the Psychological interventions theme (n=23)</w:t>
      </w:r>
    </w:p>
    <w:tbl>
      <w:tblPr>
        <w:tblW w:w="13892" w:type="dxa"/>
        <w:tblLook w:val="04A0" w:firstRow="1" w:lastRow="0" w:firstColumn="1" w:lastColumn="0" w:noHBand="0" w:noVBand="1"/>
      </w:tblPr>
      <w:tblGrid>
        <w:gridCol w:w="1985"/>
        <w:gridCol w:w="1559"/>
        <w:gridCol w:w="4111"/>
        <w:gridCol w:w="6237"/>
      </w:tblGrid>
      <w:tr w:rsidR="001A455A" w:rsidRPr="001A455A" w14:paraId="5ACD0711" w14:textId="77777777" w:rsidTr="001C3226">
        <w:trPr>
          <w:trHeight w:val="557"/>
          <w:tblHeader/>
        </w:trPr>
        <w:tc>
          <w:tcPr>
            <w:tcW w:w="1985" w:type="dxa"/>
            <w:tcBorders>
              <w:top w:val="single" w:sz="4" w:space="0" w:color="auto"/>
              <w:bottom w:val="single" w:sz="4" w:space="0" w:color="auto"/>
            </w:tcBorders>
            <w:shd w:val="clear" w:color="auto" w:fill="auto"/>
            <w:vAlign w:val="center"/>
            <w:hideMark/>
          </w:tcPr>
          <w:p w14:paraId="0CFE8226" w14:textId="77777777" w:rsidR="00CB457E" w:rsidRPr="001A455A" w:rsidRDefault="00CB457E" w:rsidP="001C3226">
            <w:pPr>
              <w:spacing w:after="100" w:afterAutospacing="1"/>
              <w:rPr>
                <w:rFonts w:asciiTheme="minorHAnsi" w:hAnsiTheme="minorHAnsi" w:cstheme="minorHAnsi"/>
                <w:b/>
                <w:bCs/>
                <w:sz w:val="22"/>
                <w:szCs w:val="22"/>
              </w:rPr>
            </w:pPr>
            <w:r w:rsidRPr="001A455A">
              <w:rPr>
                <w:rFonts w:asciiTheme="minorHAnsi" w:hAnsiTheme="minorHAnsi" w:cstheme="minorHAnsi"/>
                <w:b/>
                <w:bCs/>
                <w:sz w:val="22"/>
                <w:szCs w:val="22"/>
              </w:rPr>
              <w:t>Authors</w:t>
            </w:r>
          </w:p>
        </w:tc>
        <w:tc>
          <w:tcPr>
            <w:tcW w:w="1559" w:type="dxa"/>
            <w:tcBorders>
              <w:top w:val="single" w:sz="4" w:space="0" w:color="auto"/>
              <w:bottom w:val="single" w:sz="4" w:space="0" w:color="auto"/>
            </w:tcBorders>
            <w:vAlign w:val="center"/>
          </w:tcPr>
          <w:p w14:paraId="1AD3B696" w14:textId="77777777" w:rsidR="00CB457E" w:rsidRPr="001A455A" w:rsidRDefault="00CB457E" w:rsidP="001C3226">
            <w:pPr>
              <w:spacing w:after="100" w:afterAutospacing="1"/>
              <w:ind w:right="-59"/>
              <w:rPr>
                <w:rFonts w:asciiTheme="minorHAnsi" w:hAnsiTheme="minorHAnsi" w:cstheme="minorHAnsi"/>
                <w:b/>
                <w:bCs/>
                <w:sz w:val="22"/>
                <w:szCs w:val="22"/>
              </w:rPr>
            </w:pPr>
            <w:r w:rsidRPr="001A455A">
              <w:rPr>
                <w:rFonts w:asciiTheme="minorHAnsi" w:hAnsiTheme="minorHAnsi" w:cstheme="minorHAnsi"/>
                <w:b/>
                <w:bCs/>
                <w:sz w:val="22"/>
                <w:szCs w:val="22"/>
              </w:rPr>
              <w:t>Country</w:t>
            </w:r>
          </w:p>
        </w:tc>
        <w:tc>
          <w:tcPr>
            <w:tcW w:w="4111" w:type="dxa"/>
            <w:tcBorders>
              <w:top w:val="single" w:sz="4" w:space="0" w:color="auto"/>
              <w:bottom w:val="single" w:sz="4" w:space="0" w:color="auto"/>
            </w:tcBorders>
            <w:shd w:val="clear" w:color="auto" w:fill="auto"/>
            <w:vAlign w:val="center"/>
          </w:tcPr>
          <w:p w14:paraId="4710569C" w14:textId="77777777" w:rsidR="00CB457E" w:rsidRPr="001A455A" w:rsidRDefault="00CB457E" w:rsidP="001C3226">
            <w:pPr>
              <w:spacing w:after="100" w:afterAutospacing="1"/>
              <w:ind w:right="-59"/>
              <w:rPr>
                <w:rFonts w:asciiTheme="minorHAnsi" w:hAnsiTheme="minorHAnsi" w:cstheme="minorHAnsi"/>
                <w:b/>
                <w:bCs/>
                <w:sz w:val="22"/>
                <w:szCs w:val="22"/>
              </w:rPr>
            </w:pPr>
            <w:r w:rsidRPr="001A455A">
              <w:rPr>
                <w:rFonts w:asciiTheme="minorHAnsi" w:hAnsiTheme="minorHAnsi" w:cstheme="minorHAnsi"/>
                <w:b/>
                <w:bCs/>
                <w:sz w:val="22"/>
                <w:szCs w:val="22"/>
              </w:rPr>
              <w:t xml:space="preserve">Sample size </w:t>
            </w:r>
            <w:r w:rsidRPr="001A455A">
              <w:rPr>
                <w:rFonts w:asciiTheme="minorHAnsi" w:hAnsiTheme="minorHAnsi" w:cstheme="minorHAnsi"/>
                <w:b/>
                <w:bCs/>
                <w:sz w:val="22"/>
                <w:szCs w:val="22"/>
                <w:vertAlign w:val="superscript"/>
              </w:rPr>
              <w:t>a</w:t>
            </w:r>
            <w:r w:rsidRPr="001A455A">
              <w:rPr>
                <w:rFonts w:asciiTheme="minorHAnsi" w:hAnsiTheme="minorHAnsi" w:cstheme="minorHAnsi"/>
                <w:b/>
                <w:bCs/>
                <w:sz w:val="22"/>
                <w:szCs w:val="22"/>
              </w:rPr>
              <w:t xml:space="preserve"> and description</w:t>
            </w:r>
          </w:p>
        </w:tc>
        <w:tc>
          <w:tcPr>
            <w:tcW w:w="6237" w:type="dxa"/>
            <w:tcBorders>
              <w:top w:val="single" w:sz="4" w:space="0" w:color="auto"/>
              <w:bottom w:val="single" w:sz="4" w:space="0" w:color="auto"/>
            </w:tcBorders>
            <w:vAlign w:val="center"/>
          </w:tcPr>
          <w:p w14:paraId="58D76866" w14:textId="77777777" w:rsidR="00CB457E" w:rsidRPr="001A455A" w:rsidRDefault="00CB457E" w:rsidP="001C3226">
            <w:pPr>
              <w:spacing w:after="100" w:afterAutospacing="1"/>
              <w:ind w:right="-94"/>
              <w:rPr>
                <w:rFonts w:asciiTheme="minorHAnsi" w:hAnsiTheme="minorHAnsi" w:cstheme="minorHAnsi"/>
                <w:b/>
                <w:bCs/>
                <w:sz w:val="22"/>
                <w:szCs w:val="22"/>
              </w:rPr>
            </w:pPr>
            <w:r w:rsidRPr="001A455A">
              <w:rPr>
                <w:rFonts w:asciiTheme="minorHAnsi" w:hAnsiTheme="minorHAnsi" w:cstheme="minorHAnsi"/>
                <w:b/>
                <w:bCs/>
                <w:sz w:val="22"/>
                <w:szCs w:val="22"/>
              </w:rPr>
              <w:t>Intervention description</w:t>
            </w:r>
          </w:p>
        </w:tc>
      </w:tr>
      <w:tr w:rsidR="001A455A" w:rsidRPr="001A455A" w14:paraId="1B6A9291" w14:textId="77777777" w:rsidTr="001C3226">
        <w:trPr>
          <w:trHeight w:val="320"/>
        </w:trPr>
        <w:tc>
          <w:tcPr>
            <w:tcW w:w="13892" w:type="dxa"/>
            <w:gridSpan w:val="4"/>
            <w:tcBorders>
              <w:top w:val="single" w:sz="4" w:space="0" w:color="auto"/>
              <w:bottom w:val="single" w:sz="4" w:space="0" w:color="auto"/>
            </w:tcBorders>
            <w:shd w:val="clear" w:color="auto" w:fill="BFBFBF" w:themeFill="background1" w:themeFillShade="BF"/>
          </w:tcPr>
          <w:p w14:paraId="0694F43E" w14:textId="77777777" w:rsidR="00CB457E" w:rsidRPr="001A455A" w:rsidRDefault="00CB457E" w:rsidP="001C3226">
            <w:pPr>
              <w:spacing w:after="100" w:afterAutospacing="1"/>
              <w:rPr>
                <w:rFonts w:asciiTheme="minorHAnsi" w:hAnsiTheme="minorHAnsi" w:cstheme="minorHAnsi"/>
                <w:b/>
                <w:bCs/>
                <w:sz w:val="22"/>
                <w:szCs w:val="22"/>
              </w:rPr>
            </w:pPr>
            <w:r w:rsidRPr="001A455A">
              <w:rPr>
                <w:rFonts w:asciiTheme="minorHAnsi" w:hAnsiTheme="minorHAnsi" w:cstheme="minorHAnsi"/>
                <w:b/>
                <w:bCs/>
                <w:sz w:val="22"/>
                <w:szCs w:val="22"/>
              </w:rPr>
              <w:t>THERAPY (N=14)</w:t>
            </w:r>
          </w:p>
        </w:tc>
      </w:tr>
      <w:tr w:rsidR="001A455A" w:rsidRPr="001A455A" w14:paraId="67C21847"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hideMark/>
          </w:tcPr>
          <w:p w14:paraId="6285865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Creswell et al., 2012</w:t>
            </w:r>
          </w:p>
        </w:tc>
        <w:tc>
          <w:tcPr>
            <w:tcW w:w="1559" w:type="dxa"/>
            <w:tcBorders>
              <w:top w:val="single" w:sz="4" w:space="0" w:color="auto"/>
              <w:bottom w:val="single" w:sz="4" w:space="0" w:color="auto"/>
              <w:right w:val="nil"/>
            </w:tcBorders>
            <w:vAlign w:val="center"/>
          </w:tcPr>
          <w:p w14:paraId="377E8966"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111" w:type="dxa"/>
            <w:tcBorders>
              <w:top w:val="single" w:sz="4" w:space="0" w:color="auto"/>
              <w:left w:val="nil"/>
              <w:bottom w:val="single" w:sz="4" w:space="0" w:color="auto"/>
              <w:right w:val="nil"/>
            </w:tcBorders>
            <w:shd w:val="clear" w:color="auto" w:fill="auto"/>
            <w:noWrap/>
            <w:vAlign w:val="center"/>
          </w:tcPr>
          <w:p w14:paraId="0C69DBD5"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34 older community-dwelling adults</w:t>
            </w:r>
          </w:p>
        </w:tc>
        <w:tc>
          <w:tcPr>
            <w:tcW w:w="6237" w:type="dxa"/>
            <w:tcBorders>
              <w:top w:val="single" w:sz="4" w:space="0" w:color="auto"/>
              <w:left w:val="nil"/>
              <w:bottom w:val="single" w:sz="4" w:space="0" w:color="auto"/>
            </w:tcBorders>
            <w:shd w:val="clear" w:color="auto" w:fill="auto"/>
            <w:noWrap/>
            <w:vAlign w:val="center"/>
            <w:hideMark/>
          </w:tcPr>
          <w:p w14:paraId="542342AF"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Mindfulness Based Stress Reduction Program; 8x 120-min group sessions weekly, a day-long retreat in the sixth or seventh week, and 30-min of daily home mindfulness practice</w:t>
            </w:r>
          </w:p>
        </w:tc>
      </w:tr>
      <w:tr w:rsidR="001A455A" w:rsidRPr="001A455A" w14:paraId="77D41D91"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1C2A3A6E"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Cruwys et al., 2022</w:t>
            </w:r>
          </w:p>
        </w:tc>
        <w:tc>
          <w:tcPr>
            <w:tcW w:w="1559" w:type="dxa"/>
            <w:tcBorders>
              <w:top w:val="single" w:sz="4" w:space="0" w:color="auto"/>
              <w:bottom w:val="single" w:sz="4" w:space="0" w:color="auto"/>
              <w:right w:val="nil"/>
            </w:tcBorders>
            <w:vAlign w:val="center"/>
          </w:tcPr>
          <w:p w14:paraId="1B105140"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Australia</w:t>
            </w:r>
          </w:p>
        </w:tc>
        <w:tc>
          <w:tcPr>
            <w:tcW w:w="4111" w:type="dxa"/>
            <w:tcBorders>
              <w:top w:val="single" w:sz="4" w:space="0" w:color="auto"/>
              <w:left w:val="nil"/>
              <w:bottom w:val="single" w:sz="4" w:space="0" w:color="auto"/>
              <w:right w:val="nil"/>
            </w:tcBorders>
            <w:shd w:val="clear" w:color="auto" w:fill="auto"/>
            <w:noWrap/>
            <w:vAlign w:val="center"/>
          </w:tcPr>
          <w:p w14:paraId="5C09BC12"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152 young people seeking mental healthcare</w:t>
            </w:r>
          </w:p>
        </w:tc>
        <w:tc>
          <w:tcPr>
            <w:tcW w:w="6237" w:type="dxa"/>
            <w:tcBorders>
              <w:top w:val="single" w:sz="4" w:space="0" w:color="auto"/>
              <w:left w:val="nil"/>
              <w:bottom w:val="single" w:sz="4" w:space="0" w:color="auto"/>
            </w:tcBorders>
            <w:shd w:val="clear" w:color="auto" w:fill="auto"/>
            <w:noWrap/>
            <w:vAlign w:val="center"/>
          </w:tcPr>
          <w:p w14:paraId="7C80E4BD"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 xml:space="preserve">5x 75 min group-based psychotherapy sessions aiming to build group-based belonging, max group size 5 </w:t>
            </w:r>
          </w:p>
        </w:tc>
      </w:tr>
      <w:tr w:rsidR="001A455A" w:rsidRPr="001A455A" w14:paraId="18EEBA85"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1F7F4E12"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Gürgan, 2013</w:t>
            </w:r>
          </w:p>
        </w:tc>
        <w:tc>
          <w:tcPr>
            <w:tcW w:w="1559" w:type="dxa"/>
            <w:tcBorders>
              <w:top w:val="single" w:sz="4" w:space="0" w:color="auto"/>
              <w:bottom w:val="single" w:sz="4" w:space="0" w:color="auto"/>
              <w:right w:val="nil"/>
            </w:tcBorders>
            <w:vAlign w:val="center"/>
          </w:tcPr>
          <w:p w14:paraId="71E2CEE5"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Turkey</w:t>
            </w:r>
          </w:p>
        </w:tc>
        <w:tc>
          <w:tcPr>
            <w:tcW w:w="4111" w:type="dxa"/>
            <w:tcBorders>
              <w:top w:val="single" w:sz="4" w:space="0" w:color="auto"/>
              <w:left w:val="nil"/>
              <w:bottom w:val="single" w:sz="4" w:space="0" w:color="auto"/>
              <w:right w:val="nil"/>
            </w:tcBorders>
            <w:shd w:val="clear" w:color="auto" w:fill="auto"/>
            <w:noWrap/>
            <w:vAlign w:val="center"/>
          </w:tcPr>
          <w:p w14:paraId="25281689"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34 university students</w:t>
            </w:r>
          </w:p>
        </w:tc>
        <w:tc>
          <w:tcPr>
            <w:tcW w:w="6237" w:type="dxa"/>
            <w:tcBorders>
              <w:top w:val="single" w:sz="4" w:space="0" w:color="auto"/>
              <w:left w:val="nil"/>
              <w:bottom w:val="single" w:sz="4" w:space="0" w:color="auto"/>
            </w:tcBorders>
            <w:shd w:val="clear" w:color="auto" w:fill="auto"/>
            <w:noWrap/>
            <w:vAlign w:val="center"/>
          </w:tcPr>
          <w:p w14:paraId="0DF55C9D"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11x 2hr weekly group psychological counselling sessions focusing on developing communication skills, social awareness, and emotional awareness</w:t>
            </w:r>
          </w:p>
        </w:tc>
      </w:tr>
      <w:tr w:rsidR="001A455A" w:rsidRPr="001A455A" w14:paraId="2746184E"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19763EB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Jang and Kim, 2012</w:t>
            </w:r>
          </w:p>
        </w:tc>
        <w:tc>
          <w:tcPr>
            <w:tcW w:w="1559" w:type="dxa"/>
            <w:tcBorders>
              <w:top w:val="single" w:sz="4" w:space="0" w:color="auto"/>
              <w:bottom w:val="single" w:sz="4" w:space="0" w:color="auto"/>
              <w:right w:val="nil"/>
            </w:tcBorders>
            <w:vAlign w:val="center"/>
          </w:tcPr>
          <w:p w14:paraId="68517189"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South Korea</w:t>
            </w:r>
          </w:p>
        </w:tc>
        <w:tc>
          <w:tcPr>
            <w:tcW w:w="4111" w:type="dxa"/>
            <w:tcBorders>
              <w:top w:val="single" w:sz="4" w:space="0" w:color="auto"/>
              <w:left w:val="nil"/>
              <w:bottom w:val="single" w:sz="4" w:space="0" w:color="auto"/>
              <w:right w:val="nil"/>
            </w:tcBorders>
            <w:shd w:val="clear" w:color="auto" w:fill="auto"/>
            <w:noWrap/>
            <w:vAlign w:val="center"/>
          </w:tcPr>
          <w:p w14:paraId="177D7A4D"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11 migrant adult women in international marriages</w:t>
            </w:r>
          </w:p>
        </w:tc>
        <w:tc>
          <w:tcPr>
            <w:tcW w:w="6237" w:type="dxa"/>
            <w:tcBorders>
              <w:top w:val="single" w:sz="4" w:space="0" w:color="auto"/>
              <w:left w:val="nil"/>
              <w:bottom w:val="single" w:sz="4" w:space="0" w:color="auto"/>
            </w:tcBorders>
            <w:shd w:val="clear" w:color="auto" w:fill="auto"/>
            <w:noWrap/>
            <w:vAlign w:val="center"/>
          </w:tcPr>
          <w:p w14:paraId="43C9942B"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10x 1.5hr weekly Kalffian sandplay therapy (Kalff, 2003/1980); participants created a scene in a sand tray in silence and told the group of the emotions, physical sensations, memories and ideas they felt while making the sand scene</w:t>
            </w:r>
          </w:p>
        </w:tc>
      </w:tr>
      <w:tr w:rsidR="001A455A" w:rsidRPr="001A455A" w14:paraId="03E9C436"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471F2447"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Käll et al., 2020a</w:t>
            </w:r>
          </w:p>
        </w:tc>
        <w:tc>
          <w:tcPr>
            <w:tcW w:w="1559" w:type="dxa"/>
            <w:tcBorders>
              <w:top w:val="single" w:sz="4" w:space="0" w:color="auto"/>
              <w:bottom w:val="single" w:sz="4" w:space="0" w:color="auto"/>
              <w:right w:val="nil"/>
            </w:tcBorders>
            <w:vAlign w:val="center"/>
          </w:tcPr>
          <w:p w14:paraId="10BF9DA0"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Sweden</w:t>
            </w:r>
          </w:p>
        </w:tc>
        <w:tc>
          <w:tcPr>
            <w:tcW w:w="4111" w:type="dxa"/>
            <w:tcBorders>
              <w:top w:val="single" w:sz="4" w:space="0" w:color="auto"/>
              <w:left w:val="nil"/>
              <w:bottom w:val="single" w:sz="4" w:space="0" w:color="auto"/>
              <w:right w:val="nil"/>
            </w:tcBorders>
            <w:shd w:val="clear" w:color="auto" w:fill="auto"/>
            <w:noWrap/>
            <w:vAlign w:val="center"/>
          </w:tcPr>
          <w:p w14:paraId="220EB0D5"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61 adults who are suffering/experiencing distress as a result of loneliness (as assessed by the participant)</w:t>
            </w:r>
          </w:p>
        </w:tc>
        <w:tc>
          <w:tcPr>
            <w:tcW w:w="6237" w:type="dxa"/>
            <w:tcBorders>
              <w:top w:val="single" w:sz="4" w:space="0" w:color="auto"/>
              <w:left w:val="nil"/>
              <w:bottom w:val="single" w:sz="4" w:space="0" w:color="auto"/>
            </w:tcBorders>
            <w:shd w:val="clear" w:color="auto" w:fill="auto"/>
            <w:noWrap/>
            <w:vAlign w:val="center"/>
          </w:tcPr>
          <w:p w14:paraId="28A2AD94"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8x weekly internet-based CBT online modules; each module revolved around themes of loneliness and involved a homework assignment for which participants received feedback from their paired therapist</w:t>
            </w:r>
          </w:p>
        </w:tc>
      </w:tr>
      <w:tr w:rsidR="001A455A" w:rsidRPr="001A455A" w14:paraId="7F3CD6BB"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3A18FCF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Käll et al., 2021 (two intervention arms)</w:t>
            </w:r>
          </w:p>
        </w:tc>
        <w:tc>
          <w:tcPr>
            <w:tcW w:w="1559" w:type="dxa"/>
            <w:tcBorders>
              <w:top w:val="single" w:sz="4" w:space="0" w:color="auto"/>
              <w:bottom w:val="single" w:sz="4" w:space="0" w:color="auto"/>
              <w:right w:val="nil"/>
            </w:tcBorders>
            <w:vAlign w:val="center"/>
          </w:tcPr>
          <w:p w14:paraId="6BAE9102"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Sweden</w:t>
            </w:r>
          </w:p>
        </w:tc>
        <w:tc>
          <w:tcPr>
            <w:tcW w:w="4111" w:type="dxa"/>
            <w:tcBorders>
              <w:top w:val="single" w:sz="4" w:space="0" w:color="auto"/>
              <w:left w:val="nil"/>
              <w:bottom w:val="single" w:sz="4" w:space="0" w:color="auto"/>
              <w:right w:val="nil"/>
            </w:tcBorders>
            <w:shd w:val="clear" w:color="auto" w:fill="auto"/>
            <w:noWrap/>
            <w:vAlign w:val="center"/>
          </w:tcPr>
          <w:p w14:paraId="22FDF9C8"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130 adults who are suffering/experiencing distress as a result of loneliness (as assessed by the participant) across two intervention arms</w:t>
            </w:r>
          </w:p>
        </w:tc>
        <w:tc>
          <w:tcPr>
            <w:tcW w:w="6237" w:type="dxa"/>
            <w:tcBorders>
              <w:top w:val="single" w:sz="4" w:space="0" w:color="auto"/>
              <w:left w:val="nil"/>
              <w:bottom w:val="single" w:sz="4" w:space="0" w:color="auto"/>
            </w:tcBorders>
            <w:shd w:val="clear" w:color="auto" w:fill="auto"/>
            <w:noWrap/>
            <w:vAlign w:val="center"/>
          </w:tcPr>
          <w:p w14:paraId="04643178"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First intervention arm: internet-based CBT. This consisted of 9 modules that contained text, pictures, and interactive assignments related to the theme of loneliness and how to deal with it. Participants received weekly feedback on their work by their assigned therapist for 10-weeks intervention duration.</w:t>
            </w:r>
          </w:p>
          <w:p w14:paraId="12CA8AD5"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Second intervention arm: internet-based interpersonal psychotherapy.  This consisted of 9 modules that contained text, pictures, and interactive assignments related to the theme of loneliness and how to deal with it. Participants received weekly feedback on their work by their assigned therapist for 10-weeks intervention duration.</w:t>
            </w:r>
          </w:p>
        </w:tc>
      </w:tr>
      <w:tr w:rsidR="001A455A" w:rsidRPr="001A455A" w14:paraId="115244D7"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5C06BD77"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lastRenderedPageBreak/>
              <w:t>Ozturk and Tekkas-Kerman, 2022</w:t>
            </w:r>
          </w:p>
        </w:tc>
        <w:tc>
          <w:tcPr>
            <w:tcW w:w="1559" w:type="dxa"/>
            <w:tcBorders>
              <w:top w:val="single" w:sz="4" w:space="0" w:color="auto"/>
              <w:bottom w:val="single" w:sz="4" w:space="0" w:color="auto"/>
              <w:right w:val="nil"/>
            </w:tcBorders>
            <w:vAlign w:val="center"/>
          </w:tcPr>
          <w:p w14:paraId="099F700D"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Turkey</w:t>
            </w:r>
          </w:p>
        </w:tc>
        <w:tc>
          <w:tcPr>
            <w:tcW w:w="4111" w:type="dxa"/>
            <w:tcBorders>
              <w:top w:val="single" w:sz="4" w:space="0" w:color="auto"/>
              <w:left w:val="nil"/>
              <w:bottom w:val="single" w:sz="4" w:space="0" w:color="auto"/>
              <w:right w:val="nil"/>
            </w:tcBorders>
            <w:shd w:val="clear" w:color="auto" w:fill="auto"/>
            <w:noWrap/>
            <w:vAlign w:val="center"/>
          </w:tcPr>
          <w:p w14:paraId="449A52D4"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61 nursing students</w:t>
            </w:r>
          </w:p>
        </w:tc>
        <w:tc>
          <w:tcPr>
            <w:tcW w:w="6237" w:type="dxa"/>
            <w:tcBorders>
              <w:top w:val="single" w:sz="4" w:space="0" w:color="auto"/>
              <w:left w:val="nil"/>
              <w:bottom w:val="single" w:sz="4" w:space="0" w:color="auto"/>
            </w:tcBorders>
            <w:shd w:val="clear" w:color="auto" w:fill="auto"/>
            <w:noWrap/>
            <w:vAlign w:val="center"/>
          </w:tcPr>
          <w:p w14:paraId="6F685A04"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8x online group 45min laughter therapy sessions (2/week for 4 weeks) consisting of clapping/warm-up exercises, deep breathing exercises, childlike playfulness and laughter exercises</w:t>
            </w:r>
          </w:p>
        </w:tc>
      </w:tr>
      <w:tr w:rsidR="001A455A" w:rsidRPr="001A455A" w14:paraId="2DF1970D"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1C27A97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Shapira et al., 2021</w:t>
            </w:r>
          </w:p>
        </w:tc>
        <w:tc>
          <w:tcPr>
            <w:tcW w:w="1559" w:type="dxa"/>
            <w:tcBorders>
              <w:top w:val="single" w:sz="4" w:space="0" w:color="auto"/>
              <w:bottom w:val="single" w:sz="4" w:space="0" w:color="auto"/>
              <w:right w:val="nil"/>
            </w:tcBorders>
            <w:vAlign w:val="center"/>
          </w:tcPr>
          <w:p w14:paraId="389D57B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Israel</w:t>
            </w:r>
          </w:p>
        </w:tc>
        <w:tc>
          <w:tcPr>
            <w:tcW w:w="4111" w:type="dxa"/>
            <w:tcBorders>
              <w:top w:val="single" w:sz="4" w:space="0" w:color="auto"/>
              <w:left w:val="nil"/>
              <w:bottom w:val="single" w:sz="4" w:space="0" w:color="auto"/>
              <w:right w:val="nil"/>
            </w:tcBorders>
            <w:shd w:val="clear" w:color="auto" w:fill="auto"/>
            <w:noWrap/>
            <w:vAlign w:val="center"/>
          </w:tcPr>
          <w:p w14:paraId="073B736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64 older community dwelling adults living on their own</w:t>
            </w:r>
          </w:p>
        </w:tc>
        <w:tc>
          <w:tcPr>
            <w:tcW w:w="6237" w:type="dxa"/>
            <w:tcBorders>
              <w:top w:val="single" w:sz="4" w:space="0" w:color="auto"/>
              <w:left w:val="nil"/>
              <w:bottom w:val="single" w:sz="4" w:space="0" w:color="auto"/>
            </w:tcBorders>
            <w:shd w:val="clear" w:color="auto" w:fill="auto"/>
            <w:noWrap/>
            <w:vAlign w:val="center"/>
          </w:tcPr>
          <w:p w14:paraId="0EC81C47"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7x online sessions over 3.5 weeks consisting of guided online group discussions, mindfulness and CBT techniques</w:t>
            </w:r>
          </w:p>
        </w:tc>
      </w:tr>
      <w:tr w:rsidR="001A455A" w:rsidRPr="001A455A" w14:paraId="29B42730"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283C9D9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Stacey &amp; Edwards, 2013</w:t>
            </w:r>
          </w:p>
        </w:tc>
        <w:tc>
          <w:tcPr>
            <w:tcW w:w="1559" w:type="dxa"/>
            <w:tcBorders>
              <w:top w:val="single" w:sz="4" w:space="0" w:color="auto"/>
              <w:bottom w:val="single" w:sz="4" w:space="0" w:color="auto"/>
              <w:right w:val="nil"/>
            </w:tcBorders>
            <w:vAlign w:val="center"/>
          </w:tcPr>
          <w:p w14:paraId="3876C22F"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England</w:t>
            </w:r>
          </w:p>
        </w:tc>
        <w:tc>
          <w:tcPr>
            <w:tcW w:w="4111" w:type="dxa"/>
            <w:tcBorders>
              <w:top w:val="single" w:sz="4" w:space="0" w:color="auto"/>
              <w:left w:val="nil"/>
              <w:bottom w:val="single" w:sz="4" w:space="0" w:color="auto"/>
              <w:right w:val="nil"/>
            </w:tcBorders>
            <w:shd w:val="clear" w:color="auto" w:fill="auto"/>
            <w:noWrap/>
            <w:vAlign w:val="center"/>
          </w:tcPr>
          <w:p w14:paraId="3F04697A"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5 adult men with a mild learning disability</w:t>
            </w:r>
          </w:p>
        </w:tc>
        <w:tc>
          <w:tcPr>
            <w:tcW w:w="6237" w:type="dxa"/>
            <w:tcBorders>
              <w:top w:val="single" w:sz="4" w:space="0" w:color="auto"/>
              <w:left w:val="nil"/>
              <w:bottom w:val="single" w:sz="4" w:space="0" w:color="auto"/>
            </w:tcBorders>
            <w:shd w:val="clear" w:color="auto" w:fill="auto"/>
            <w:noWrap/>
            <w:vAlign w:val="center"/>
          </w:tcPr>
          <w:p w14:paraId="274F5672"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8x 2hr narrative therapy group sessions examining loneliness, causes, solutions and developing personalised plans</w:t>
            </w:r>
          </w:p>
        </w:tc>
      </w:tr>
      <w:tr w:rsidR="001A455A" w:rsidRPr="001A455A" w14:paraId="25386AC3"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7F5012C2"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Tatilioglu, 2013</w:t>
            </w:r>
          </w:p>
        </w:tc>
        <w:tc>
          <w:tcPr>
            <w:tcW w:w="1559" w:type="dxa"/>
            <w:tcBorders>
              <w:top w:val="single" w:sz="4" w:space="0" w:color="auto"/>
              <w:bottom w:val="single" w:sz="4" w:space="0" w:color="auto"/>
              <w:right w:val="nil"/>
            </w:tcBorders>
            <w:vAlign w:val="center"/>
          </w:tcPr>
          <w:p w14:paraId="3DEC90C4"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Turkey</w:t>
            </w:r>
          </w:p>
        </w:tc>
        <w:tc>
          <w:tcPr>
            <w:tcW w:w="4111" w:type="dxa"/>
            <w:tcBorders>
              <w:top w:val="single" w:sz="4" w:space="0" w:color="auto"/>
              <w:left w:val="nil"/>
              <w:bottom w:val="single" w:sz="4" w:space="0" w:color="auto"/>
              <w:right w:val="nil"/>
            </w:tcBorders>
            <w:shd w:val="clear" w:color="auto" w:fill="auto"/>
            <w:noWrap/>
            <w:vAlign w:val="center"/>
          </w:tcPr>
          <w:p w14:paraId="377A8572"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28 university students</w:t>
            </w:r>
          </w:p>
        </w:tc>
        <w:tc>
          <w:tcPr>
            <w:tcW w:w="6237" w:type="dxa"/>
            <w:tcBorders>
              <w:top w:val="single" w:sz="4" w:space="0" w:color="auto"/>
              <w:left w:val="nil"/>
              <w:bottom w:val="single" w:sz="4" w:space="0" w:color="auto"/>
            </w:tcBorders>
            <w:shd w:val="clear" w:color="auto" w:fill="auto"/>
            <w:noWrap/>
            <w:vAlign w:val="center"/>
          </w:tcPr>
          <w:p w14:paraId="725E42DF"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12x weekly online cognitive behavioural therapy via MSN messenger with weekly homework (material included explanations on loneliness, how to communicate better, and changing cognitive structures).</w:t>
            </w:r>
          </w:p>
        </w:tc>
      </w:tr>
      <w:tr w:rsidR="001A455A" w:rsidRPr="001A455A" w14:paraId="75A02289"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0064772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Theeke et al., 2016a</w:t>
            </w:r>
          </w:p>
        </w:tc>
        <w:tc>
          <w:tcPr>
            <w:tcW w:w="1559" w:type="dxa"/>
            <w:tcBorders>
              <w:top w:val="single" w:sz="4" w:space="0" w:color="auto"/>
              <w:bottom w:val="single" w:sz="4" w:space="0" w:color="auto"/>
              <w:right w:val="nil"/>
            </w:tcBorders>
            <w:vAlign w:val="center"/>
          </w:tcPr>
          <w:p w14:paraId="293C1BD7"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111" w:type="dxa"/>
            <w:tcBorders>
              <w:top w:val="single" w:sz="4" w:space="0" w:color="auto"/>
              <w:left w:val="nil"/>
              <w:bottom w:val="single" w:sz="4" w:space="0" w:color="auto"/>
              <w:right w:val="nil"/>
            </w:tcBorders>
            <w:shd w:val="clear" w:color="auto" w:fill="auto"/>
            <w:noWrap/>
            <w:vAlign w:val="center"/>
          </w:tcPr>
          <w:p w14:paraId="0204C693"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27 chronically ill older adults</w:t>
            </w:r>
          </w:p>
        </w:tc>
        <w:tc>
          <w:tcPr>
            <w:tcW w:w="6237" w:type="dxa"/>
            <w:tcBorders>
              <w:top w:val="single" w:sz="4" w:space="0" w:color="auto"/>
              <w:left w:val="nil"/>
              <w:bottom w:val="single" w:sz="4" w:space="0" w:color="auto"/>
            </w:tcBorders>
            <w:shd w:val="clear" w:color="auto" w:fill="auto"/>
            <w:noWrap/>
            <w:vAlign w:val="center"/>
          </w:tcPr>
          <w:p w14:paraId="0C42B180"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5x weekly 2hr group CBT-based sessions aiming to facilitate change in cognitive perspective; topics included belonging, relationships, socialization in community, challenges of loneliness, and meaning of loneliness</w:t>
            </w:r>
          </w:p>
        </w:tc>
      </w:tr>
      <w:tr w:rsidR="001A455A" w:rsidRPr="001A455A" w14:paraId="7EE18577"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1B59EAF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Theeke et al., 2021</w:t>
            </w:r>
          </w:p>
        </w:tc>
        <w:tc>
          <w:tcPr>
            <w:tcW w:w="1559" w:type="dxa"/>
            <w:tcBorders>
              <w:top w:val="single" w:sz="4" w:space="0" w:color="auto"/>
              <w:bottom w:val="single" w:sz="4" w:space="0" w:color="auto"/>
              <w:right w:val="nil"/>
            </w:tcBorders>
            <w:vAlign w:val="center"/>
          </w:tcPr>
          <w:p w14:paraId="639773AC"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111" w:type="dxa"/>
            <w:tcBorders>
              <w:top w:val="single" w:sz="4" w:space="0" w:color="auto"/>
              <w:left w:val="nil"/>
              <w:bottom w:val="single" w:sz="4" w:space="0" w:color="auto"/>
              <w:right w:val="nil"/>
            </w:tcBorders>
            <w:shd w:val="clear" w:color="auto" w:fill="auto"/>
            <w:noWrap/>
            <w:vAlign w:val="center"/>
          </w:tcPr>
          <w:p w14:paraId="443D6FF1"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6 adult survivors of stroke</w:t>
            </w:r>
          </w:p>
        </w:tc>
        <w:tc>
          <w:tcPr>
            <w:tcW w:w="6237" w:type="dxa"/>
            <w:tcBorders>
              <w:top w:val="single" w:sz="4" w:space="0" w:color="auto"/>
              <w:left w:val="nil"/>
              <w:bottom w:val="single" w:sz="4" w:space="0" w:color="auto"/>
            </w:tcBorders>
            <w:shd w:val="clear" w:color="auto" w:fill="auto"/>
            <w:noWrap/>
            <w:vAlign w:val="center"/>
          </w:tcPr>
          <w:p w14:paraId="03FC3DF5"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5x weekly 2hr group CBT-based sessions aiming to facilitate change in cognitive perspective; topics included belonging, relationships, socialization in community, challenges of loneliness, and meaning of loneliness</w:t>
            </w:r>
          </w:p>
        </w:tc>
      </w:tr>
      <w:tr w:rsidR="001A455A" w:rsidRPr="001A455A" w14:paraId="15B342A7"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2CCA1F8A"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Yárnoz et al., 2008</w:t>
            </w:r>
          </w:p>
        </w:tc>
        <w:tc>
          <w:tcPr>
            <w:tcW w:w="1559" w:type="dxa"/>
            <w:tcBorders>
              <w:top w:val="single" w:sz="4" w:space="0" w:color="auto"/>
              <w:bottom w:val="single" w:sz="4" w:space="0" w:color="auto"/>
              <w:right w:val="nil"/>
            </w:tcBorders>
            <w:vAlign w:val="center"/>
          </w:tcPr>
          <w:p w14:paraId="6128CDF8"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Spain</w:t>
            </w:r>
          </w:p>
        </w:tc>
        <w:tc>
          <w:tcPr>
            <w:tcW w:w="4111" w:type="dxa"/>
            <w:tcBorders>
              <w:top w:val="single" w:sz="4" w:space="0" w:color="auto"/>
              <w:left w:val="nil"/>
              <w:bottom w:val="single" w:sz="4" w:space="0" w:color="auto"/>
              <w:right w:val="nil"/>
            </w:tcBorders>
            <w:shd w:val="clear" w:color="auto" w:fill="auto"/>
            <w:noWrap/>
            <w:vAlign w:val="center"/>
          </w:tcPr>
          <w:p w14:paraId="75727EF4"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14 long-term divorced parents</w:t>
            </w:r>
          </w:p>
        </w:tc>
        <w:tc>
          <w:tcPr>
            <w:tcW w:w="6237" w:type="dxa"/>
            <w:tcBorders>
              <w:top w:val="single" w:sz="4" w:space="0" w:color="auto"/>
              <w:left w:val="nil"/>
              <w:bottom w:val="single" w:sz="4" w:space="0" w:color="auto"/>
            </w:tcBorders>
            <w:shd w:val="clear" w:color="auto" w:fill="auto"/>
            <w:noWrap/>
            <w:vAlign w:val="center"/>
          </w:tcPr>
          <w:p w14:paraId="447D4B01"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 xml:space="preserve">8-months of weekly 2hr group sessions (attendance on voluntary basis) delivering an attachment-based intervention for separated or divorced parents; aim was to share narratives discuss the events, the self, and the relationship that contributed to adapting better to being divorced. </w:t>
            </w:r>
          </w:p>
        </w:tc>
      </w:tr>
      <w:tr w:rsidR="001A455A" w:rsidRPr="001A455A" w14:paraId="6BA080F1" w14:textId="77777777" w:rsidTr="001C3226">
        <w:trPr>
          <w:trHeight w:val="320"/>
        </w:trPr>
        <w:tc>
          <w:tcPr>
            <w:tcW w:w="1985" w:type="dxa"/>
            <w:tcBorders>
              <w:top w:val="single" w:sz="4" w:space="0" w:color="auto"/>
              <w:bottom w:val="single" w:sz="4" w:space="0" w:color="auto"/>
            </w:tcBorders>
            <w:shd w:val="clear" w:color="auto" w:fill="BFBFBF" w:themeFill="background1" w:themeFillShade="BF"/>
            <w:vAlign w:val="center"/>
          </w:tcPr>
          <w:p w14:paraId="1910B99E" w14:textId="77777777" w:rsidR="00CB457E" w:rsidRPr="001A455A" w:rsidRDefault="00CB457E" w:rsidP="001C3226">
            <w:pPr>
              <w:spacing w:after="100" w:afterAutospacing="1"/>
              <w:ind w:right="-94"/>
              <w:rPr>
                <w:rFonts w:asciiTheme="minorHAnsi" w:hAnsiTheme="minorHAnsi" w:cstheme="minorHAnsi"/>
                <w:b/>
                <w:bCs/>
                <w:sz w:val="22"/>
                <w:szCs w:val="22"/>
              </w:rPr>
            </w:pPr>
            <w:r w:rsidRPr="001A455A">
              <w:rPr>
                <w:rFonts w:asciiTheme="minorHAnsi" w:hAnsiTheme="minorHAnsi" w:cstheme="minorHAnsi"/>
                <w:b/>
                <w:bCs/>
                <w:sz w:val="22"/>
                <w:szCs w:val="22"/>
              </w:rPr>
              <w:t>OTHER (N=9)</w:t>
            </w:r>
          </w:p>
        </w:tc>
        <w:tc>
          <w:tcPr>
            <w:tcW w:w="11907" w:type="dxa"/>
            <w:gridSpan w:val="3"/>
            <w:tcBorders>
              <w:top w:val="single" w:sz="4" w:space="0" w:color="auto"/>
              <w:bottom w:val="single" w:sz="4" w:space="0" w:color="auto"/>
            </w:tcBorders>
            <w:shd w:val="clear" w:color="auto" w:fill="BFBFBF" w:themeFill="background1" w:themeFillShade="BF"/>
            <w:noWrap/>
            <w:vAlign w:val="center"/>
          </w:tcPr>
          <w:p w14:paraId="31AD97AC" w14:textId="77777777" w:rsidR="00CB457E" w:rsidRPr="001A455A" w:rsidRDefault="00CB457E" w:rsidP="001C3226">
            <w:pPr>
              <w:spacing w:after="100" w:afterAutospacing="1"/>
              <w:ind w:right="-94"/>
              <w:jc w:val="both"/>
              <w:rPr>
                <w:rFonts w:asciiTheme="minorHAnsi" w:hAnsiTheme="minorHAnsi" w:cstheme="minorHAnsi"/>
                <w:sz w:val="22"/>
                <w:szCs w:val="22"/>
              </w:rPr>
            </w:pPr>
          </w:p>
        </w:tc>
      </w:tr>
      <w:tr w:rsidR="001A455A" w:rsidRPr="001A455A" w14:paraId="7A2AFF07"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077F872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Bruehlman-Senecal et al., 2020 </w:t>
            </w:r>
          </w:p>
        </w:tc>
        <w:tc>
          <w:tcPr>
            <w:tcW w:w="1559" w:type="dxa"/>
            <w:tcBorders>
              <w:top w:val="single" w:sz="4" w:space="0" w:color="auto"/>
              <w:bottom w:val="single" w:sz="4" w:space="0" w:color="auto"/>
              <w:right w:val="nil"/>
            </w:tcBorders>
            <w:vAlign w:val="center"/>
          </w:tcPr>
          <w:p w14:paraId="426FADEB"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111" w:type="dxa"/>
            <w:tcBorders>
              <w:top w:val="single" w:sz="4" w:space="0" w:color="auto"/>
              <w:left w:val="nil"/>
              <w:bottom w:val="single" w:sz="4" w:space="0" w:color="auto"/>
              <w:right w:val="nil"/>
            </w:tcBorders>
            <w:shd w:val="clear" w:color="auto" w:fill="auto"/>
            <w:noWrap/>
            <w:vAlign w:val="center"/>
          </w:tcPr>
          <w:p w14:paraId="516FDB4C"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209 recent first-year college students</w:t>
            </w:r>
          </w:p>
        </w:tc>
        <w:tc>
          <w:tcPr>
            <w:tcW w:w="6237" w:type="dxa"/>
            <w:tcBorders>
              <w:top w:val="single" w:sz="4" w:space="0" w:color="auto"/>
              <w:left w:val="nil"/>
              <w:bottom w:val="single" w:sz="4" w:space="0" w:color="auto"/>
            </w:tcBorders>
            <w:shd w:val="clear" w:color="auto" w:fill="auto"/>
            <w:noWrap/>
            <w:vAlign w:val="center"/>
          </w:tcPr>
          <w:p w14:paraId="4B3CE506"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4-weeks access to a smartphone app with cognitive and behavioural exercises when starting college, control group allowed access following a 4-week wait period.</w:t>
            </w:r>
          </w:p>
        </w:tc>
      </w:tr>
      <w:tr w:rsidR="001A455A" w:rsidRPr="001A455A" w14:paraId="7C81F256"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5E86A64E"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Caputi et al., 2021</w:t>
            </w:r>
          </w:p>
        </w:tc>
        <w:tc>
          <w:tcPr>
            <w:tcW w:w="1559" w:type="dxa"/>
            <w:tcBorders>
              <w:top w:val="single" w:sz="4" w:space="0" w:color="auto"/>
              <w:bottom w:val="single" w:sz="4" w:space="0" w:color="auto"/>
              <w:right w:val="nil"/>
            </w:tcBorders>
            <w:vAlign w:val="center"/>
          </w:tcPr>
          <w:p w14:paraId="6EA6D46D"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Italy</w:t>
            </w:r>
          </w:p>
        </w:tc>
        <w:tc>
          <w:tcPr>
            <w:tcW w:w="4111" w:type="dxa"/>
            <w:tcBorders>
              <w:top w:val="single" w:sz="4" w:space="0" w:color="auto"/>
              <w:left w:val="nil"/>
              <w:bottom w:val="single" w:sz="4" w:space="0" w:color="auto"/>
              <w:right w:val="nil"/>
            </w:tcBorders>
            <w:shd w:val="clear" w:color="auto" w:fill="auto"/>
            <w:noWrap/>
            <w:vAlign w:val="center"/>
          </w:tcPr>
          <w:p w14:paraId="11304E7D"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210 fourth and fifth graders</w:t>
            </w:r>
          </w:p>
        </w:tc>
        <w:tc>
          <w:tcPr>
            <w:tcW w:w="6237" w:type="dxa"/>
            <w:tcBorders>
              <w:top w:val="single" w:sz="4" w:space="0" w:color="auto"/>
              <w:left w:val="nil"/>
              <w:bottom w:val="single" w:sz="4" w:space="0" w:color="auto"/>
            </w:tcBorders>
            <w:shd w:val="clear" w:color="auto" w:fill="auto"/>
            <w:noWrap/>
            <w:vAlign w:val="center"/>
          </w:tcPr>
          <w:p w14:paraId="053FD2AD"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 xml:space="preserve">5 weekly class-based Theory of Mind training sessions, each lasting 50 minutes with two mentalistic stories (i.e. discrepancy in belief </w:t>
            </w:r>
            <w:r w:rsidRPr="001A455A">
              <w:rPr>
                <w:rFonts w:asciiTheme="minorHAnsi" w:hAnsiTheme="minorHAnsi" w:cstheme="minorHAnsi"/>
                <w:sz w:val="22"/>
                <w:szCs w:val="22"/>
              </w:rPr>
              <w:lastRenderedPageBreak/>
              <w:t>between characters focusing on persuasion, misunderstanding, white lie, irony/sarcasm, contrary emotions) and a group discussion and language exercises about the stories</w:t>
            </w:r>
          </w:p>
        </w:tc>
      </w:tr>
      <w:tr w:rsidR="001A455A" w:rsidRPr="001A455A" w14:paraId="272B1F0A"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203AD5F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lastRenderedPageBreak/>
              <w:t>Cohen-Mansfield et al., 2018</w:t>
            </w:r>
          </w:p>
        </w:tc>
        <w:tc>
          <w:tcPr>
            <w:tcW w:w="1559" w:type="dxa"/>
            <w:tcBorders>
              <w:top w:val="single" w:sz="4" w:space="0" w:color="auto"/>
              <w:bottom w:val="single" w:sz="4" w:space="0" w:color="auto"/>
              <w:right w:val="nil"/>
            </w:tcBorders>
            <w:vAlign w:val="center"/>
          </w:tcPr>
          <w:p w14:paraId="0C30116C"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Israel</w:t>
            </w:r>
          </w:p>
        </w:tc>
        <w:tc>
          <w:tcPr>
            <w:tcW w:w="4111" w:type="dxa"/>
            <w:tcBorders>
              <w:top w:val="single" w:sz="4" w:space="0" w:color="auto"/>
              <w:left w:val="nil"/>
              <w:bottom w:val="single" w:sz="4" w:space="0" w:color="auto"/>
              <w:right w:val="nil"/>
            </w:tcBorders>
            <w:shd w:val="clear" w:color="auto" w:fill="auto"/>
            <w:noWrap/>
            <w:vAlign w:val="center"/>
          </w:tcPr>
          <w:p w14:paraId="2B190CCA"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63 older community-dwelling adults</w:t>
            </w:r>
          </w:p>
        </w:tc>
        <w:tc>
          <w:tcPr>
            <w:tcW w:w="6237" w:type="dxa"/>
            <w:tcBorders>
              <w:top w:val="single" w:sz="4" w:space="0" w:color="auto"/>
              <w:left w:val="nil"/>
              <w:bottom w:val="single" w:sz="4" w:space="0" w:color="auto"/>
            </w:tcBorders>
            <w:shd w:val="clear" w:color="auto" w:fill="auto"/>
            <w:noWrap/>
            <w:vAlign w:val="center"/>
          </w:tcPr>
          <w:p w14:paraId="7B0C6FD4"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iSOCIAL intervention which consisted of 1) identifying individual barriers, 2) up to ten individual meetings with an activities counsellor and 3) up to seven group sessions with participants to provide opportunities to practice social skills</w:t>
            </w:r>
          </w:p>
        </w:tc>
      </w:tr>
      <w:tr w:rsidR="001A455A" w:rsidRPr="001A455A" w14:paraId="3DB5F813"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3C52826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Iyer et al., 2022</w:t>
            </w:r>
          </w:p>
        </w:tc>
        <w:tc>
          <w:tcPr>
            <w:tcW w:w="1559" w:type="dxa"/>
            <w:tcBorders>
              <w:top w:val="single" w:sz="4" w:space="0" w:color="auto"/>
              <w:bottom w:val="single" w:sz="4" w:space="0" w:color="auto"/>
              <w:right w:val="nil"/>
            </w:tcBorders>
            <w:vAlign w:val="center"/>
          </w:tcPr>
          <w:p w14:paraId="44614CA2"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111" w:type="dxa"/>
            <w:tcBorders>
              <w:top w:val="single" w:sz="4" w:space="0" w:color="auto"/>
              <w:left w:val="nil"/>
              <w:bottom w:val="single" w:sz="4" w:space="0" w:color="auto"/>
              <w:right w:val="nil"/>
            </w:tcBorders>
            <w:shd w:val="clear" w:color="auto" w:fill="auto"/>
            <w:noWrap/>
            <w:vAlign w:val="center"/>
          </w:tcPr>
          <w:p w14:paraId="63C5CAED"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108 high-school students</w:t>
            </w:r>
          </w:p>
        </w:tc>
        <w:tc>
          <w:tcPr>
            <w:tcW w:w="6237" w:type="dxa"/>
            <w:tcBorders>
              <w:top w:val="single" w:sz="4" w:space="0" w:color="auto"/>
              <w:left w:val="nil"/>
              <w:bottom w:val="single" w:sz="4" w:space="0" w:color="auto"/>
            </w:tcBorders>
            <w:shd w:val="clear" w:color="auto" w:fill="auto"/>
            <w:noWrap/>
            <w:vAlign w:val="center"/>
          </w:tcPr>
          <w:p w14:paraId="3606CB67"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28-day Self-Care programme; participants used guided tools to relax/meditate/affirm/breathe/rejuvenate/self-observe for 15 min/day and joined 4x weekly 30-min webinars that focused on managing stress, building a positive mind map, aligning with the daily circadian rhythm to improve sleep quality, and setting goals with self-observation</w:t>
            </w:r>
          </w:p>
        </w:tc>
      </w:tr>
      <w:tr w:rsidR="001A455A" w:rsidRPr="001A455A" w14:paraId="75859E50"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08FAB99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Mueller and Cougle, 2023</w:t>
            </w:r>
          </w:p>
        </w:tc>
        <w:tc>
          <w:tcPr>
            <w:tcW w:w="1559" w:type="dxa"/>
            <w:tcBorders>
              <w:top w:val="single" w:sz="4" w:space="0" w:color="auto"/>
              <w:bottom w:val="single" w:sz="4" w:space="0" w:color="auto"/>
              <w:right w:val="nil"/>
            </w:tcBorders>
            <w:vAlign w:val="center"/>
          </w:tcPr>
          <w:p w14:paraId="15AE6A50"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111" w:type="dxa"/>
            <w:tcBorders>
              <w:top w:val="single" w:sz="4" w:space="0" w:color="auto"/>
              <w:left w:val="nil"/>
              <w:bottom w:val="single" w:sz="4" w:space="0" w:color="auto"/>
              <w:right w:val="nil"/>
            </w:tcBorders>
            <w:shd w:val="clear" w:color="auto" w:fill="auto"/>
            <w:noWrap/>
            <w:vAlign w:val="center"/>
          </w:tcPr>
          <w:p w14:paraId="5F314917"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42 adults with social anxiety disorder</w:t>
            </w:r>
          </w:p>
        </w:tc>
        <w:tc>
          <w:tcPr>
            <w:tcW w:w="6237" w:type="dxa"/>
            <w:tcBorders>
              <w:top w:val="single" w:sz="4" w:space="0" w:color="auto"/>
              <w:left w:val="nil"/>
              <w:bottom w:val="single" w:sz="4" w:space="0" w:color="auto"/>
            </w:tcBorders>
            <w:shd w:val="clear" w:color="auto" w:fill="auto"/>
            <w:noWrap/>
            <w:vAlign w:val="center"/>
          </w:tcPr>
          <w:p w14:paraId="00CDE2E2"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4x weekly online sessions psychoeducation expressive writing, social skills learning, exposure introduction and planning, exposure follow-up) with 2x additional online practice sessions each week; aimed at 'Building Closer Friendships' by reducing fear of intimacy</w:t>
            </w:r>
          </w:p>
        </w:tc>
      </w:tr>
      <w:tr w:rsidR="001A455A" w:rsidRPr="001A455A" w14:paraId="773A89BF"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2217555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Stewart et al., 2014</w:t>
            </w:r>
          </w:p>
        </w:tc>
        <w:tc>
          <w:tcPr>
            <w:tcW w:w="1559" w:type="dxa"/>
            <w:tcBorders>
              <w:top w:val="single" w:sz="4" w:space="0" w:color="auto"/>
              <w:bottom w:val="single" w:sz="4" w:space="0" w:color="auto"/>
              <w:right w:val="nil"/>
            </w:tcBorders>
            <w:vAlign w:val="center"/>
          </w:tcPr>
          <w:p w14:paraId="74315D0A"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111" w:type="dxa"/>
            <w:tcBorders>
              <w:top w:val="single" w:sz="4" w:space="0" w:color="auto"/>
              <w:left w:val="nil"/>
              <w:bottom w:val="single" w:sz="4" w:space="0" w:color="auto"/>
              <w:right w:val="nil"/>
            </w:tcBorders>
            <w:shd w:val="clear" w:color="auto" w:fill="auto"/>
            <w:noWrap/>
            <w:vAlign w:val="center"/>
          </w:tcPr>
          <w:p w14:paraId="24CB4D8F"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50 university students</w:t>
            </w:r>
          </w:p>
        </w:tc>
        <w:tc>
          <w:tcPr>
            <w:tcW w:w="6237" w:type="dxa"/>
            <w:tcBorders>
              <w:top w:val="single" w:sz="4" w:space="0" w:color="auto"/>
              <w:left w:val="nil"/>
              <w:bottom w:val="single" w:sz="4" w:space="0" w:color="auto"/>
            </w:tcBorders>
            <w:shd w:val="clear" w:color="auto" w:fill="auto"/>
            <w:noWrap/>
            <w:vAlign w:val="center"/>
          </w:tcPr>
          <w:p w14:paraId="266B236B"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6x biweekly 2hr drop-in sessions with a therapy dog in student halls; informal group-based sessions involved petting the dog, hugging the dog, giving the dog treats, and brushing the dog's coat.</w:t>
            </w:r>
          </w:p>
        </w:tc>
      </w:tr>
      <w:tr w:rsidR="001A455A" w:rsidRPr="001A455A" w14:paraId="3D688FB4"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1BC36857"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Thimmapuram et al., 2021</w:t>
            </w:r>
          </w:p>
        </w:tc>
        <w:tc>
          <w:tcPr>
            <w:tcW w:w="1559" w:type="dxa"/>
            <w:tcBorders>
              <w:top w:val="single" w:sz="4" w:space="0" w:color="auto"/>
              <w:bottom w:val="single" w:sz="4" w:space="0" w:color="auto"/>
              <w:right w:val="nil"/>
            </w:tcBorders>
            <w:vAlign w:val="center"/>
          </w:tcPr>
          <w:p w14:paraId="32868023"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111" w:type="dxa"/>
            <w:tcBorders>
              <w:top w:val="single" w:sz="4" w:space="0" w:color="auto"/>
              <w:left w:val="nil"/>
              <w:bottom w:val="single" w:sz="4" w:space="0" w:color="auto"/>
              <w:right w:val="nil"/>
            </w:tcBorders>
            <w:shd w:val="clear" w:color="auto" w:fill="auto"/>
            <w:noWrap/>
            <w:vAlign w:val="center"/>
          </w:tcPr>
          <w:p w14:paraId="6CEE90D5"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97 physicians and advance practice providers</w:t>
            </w:r>
          </w:p>
        </w:tc>
        <w:tc>
          <w:tcPr>
            <w:tcW w:w="6237" w:type="dxa"/>
            <w:tcBorders>
              <w:top w:val="single" w:sz="4" w:space="0" w:color="auto"/>
              <w:left w:val="nil"/>
              <w:bottom w:val="single" w:sz="4" w:space="0" w:color="auto"/>
            </w:tcBorders>
            <w:shd w:val="clear" w:color="auto" w:fill="auto"/>
            <w:noWrap/>
            <w:vAlign w:val="center"/>
          </w:tcPr>
          <w:p w14:paraId="17373E95"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4-weeks of daily heartful meditation practices in the morning and before going to bed (each practice consisted of 6-minute audio guiding participants to gradually relax their body and rest their attention in their heart space)</w:t>
            </w:r>
          </w:p>
        </w:tc>
      </w:tr>
      <w:tr w:rsidR="001A455A" w:rsidRPr="001A455A" w14:paraId="72F77CA4"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6F5DC15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Travers and Bartlett, 2011</w:t>
            </w:r>
          </w:p>
        </w:tc>
        <w:tc>
          <w:tcPr>
            <w:tcW w:w="1559" w:type="dxa"/>
            <w:tcBorders>
              <w:top w:val="single" w:sz="4" w:space="0" w:color="auto"/>
              <w:bottom w:val="single" w:sz="4" w:space="0" w:color="auto"/>
              <w:right w:val="nil"/>
            </w:tcBorders>
            <w:vAlign w:val="center"/>
          </w:tcPr>
          <w:p w14:paraId="7ACFBF82"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Australia</w:t>
            </w:r>
          </w:p>
        </w:tc>
        <w:tc>
          <w:tcPr>
            <w:tcW w:w="4111" w:type="dxa"/>
            <w:tcBorders>
              <w:top w:val="single" w:sz="4" w:space="0" w:color="auto"/>
              <w:left w:val="nil"/>
              <w:bottom w:val="single" w:sz="4" w:space="0" w:color="auto"/>
              <w:right w:val="nil"/>
            </w:tcBorders>
            <w:shd w:val="clear" w:color="auto" w:fill="auto"/>
            <w:noWrap/>
            <w:vAlign w:val="center"/>
          </w:tcPr>
          <w:p w14:paraId="0EF2DD62"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113 older community-dwelling adults</w:t>
            </w:r>
          </w:p>
        </w:tc>
        <w:tc>
          <w:tcPr>
            <w:tcW w:w="6237" w:type="dxa"/>
            <w:tcBorders>
              <w:top w:val="single" w:sz="4" w:space="0" w:color="auto"/>
              <w:left w:val="nil"/>
              <w:bottom w:val="single" w:sz="4" w:space="0" w:color="auto"/>
            </w:tcBorders>
            <w:shd w:val="clear" w:color="auto" w:fill="auto"/>
            <w:noWrap/>
            <w:vAlign w:val="center"/>
          </w:tcPr>
          <w:p w14:paraId="1623B585"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3-months of daily listening to a 1hr radio programme specifically focused on the era from which older people grew up (1920s-1950s) broadcasting music, serials, and segments designed to address depression and loneliness in older adults</w:t>
            </w:r>
          </w:p>
        </w:tc>
      </w:tr>
      <w:tr w:rsidR="001A455A" w:rsidRPr="001A455A" w14:paraId="3F05F9DD"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1B758ACE"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Vassilopoulos et al., 2018</w:t>
            </w:r>
          </w:p>
        </w:tc>
        <w:tc>
          <w:tcPr>
            <w:tcW w:w="1559" w:type="dxa"/>
            <w:tcBorders>
              <w:top w:val="single" w:sz="4" w:space="0" w:color="auto"/>
              <w:bottom w:val="single" w:sz="4" w:space="0" w:color="auto"/>
              <w:right w:val="nil"/>
            </w:tcBorders>
            <w:vAlign w:val="center"/>
          </w:tcPr>
          <w:p w14:paraId="075AB19E"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Greece</w:t>
            </w:r>
          </w:p>
        </w:tc>
        <w:tc>
          <w:tcPr>
            <w:tcW w:w="4111" w:type="dxa"/>
            <w:tcBorders>
              <w:top w:val="single" w:sz="4" w:space="0" w:color="auto"/>
              <w:left w:val="nil"/>
              <w:bottom w:val="single" w:sz="4" w:space="0" w:color="auto"/>
              <w:right w:val="nil"/>
            </w:tcBorders>
            <w:shd w:val="clear" w:color="auto" w:fill="auto"/>
            <w:noWrap/>
            <w:vAlign w:val="center"/>
          </w:tcPr>
          <w:p w14:paraId="3D5CB764"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 54 6th grade school students</w:t>
            </w:r>
          </w:p>
        </w:tc>
        <w:tc>
          <w:tcPr>
            <w:tcW w:w="6237" w:type="dxa"/>
            <w:tcBorders>
              <w:top w:val="single" w:sz="4" w:space="0" w:color="auto"/>
              <w:left w:val="nil"/>
              <w:bottom w:val="single" w:sz="4" w:space="0" w:color="auto"/>
            </w:tcBorders>
            <w:shd w:val="clear" w:color="auto" w:fill="auto"/>
            <w:noWrap/>
            <w:vAlign w:val="center"/>
          </w:tcPr>
          <w:p w14:paraId="28F44BA0"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5x weekly 1.5hr group sessions aimed to reduce fears/concerns about secondary school; session themes included social skills, cognitive restructuring, and conflict resolution</w:t>
            </w:r>
          </w:p>
        </w:tc>
      </w:tr>
    </w:tbl>
    <w:p w14:paraId="3AF4F22F" w14:textId="77777777" w:rsidR="00AA0656" w:rsidRPr="001A455A" w:rsidRDefault="00AA0656" w:rsidP="00AA0656">
      <w:pPr>
        <w:spacing w:after="100" w:afterAutospacing="1" w:line="276" w:lineRule="auto"/>
        <w:jc w:val="both"/>
        <w:rPr>
          <w:rFonts w:asciiTheme="minorHAnsi" w:hAnsiTheme="minorHAnsi" w:cstheme="minorHAnsi"/>
          <w:sz w:val="22"/>
          <w:szCs w:val="22"/>
        </w:rPr>
      </w:pPr>
      <w:r w:rsidRPr="001A455A">
        <w:rPr>
          <w:rFonts w:asciiTheme="minorHAnsi" w:hAnsiTheme="minorHAnsi" w:cstheme="minorHAnsi"/>
          <w:sz w:val="22"/>
          <w:szCs w:val="22"/>
          <w:vertAlign w:val="superscript"/>
        </w:rPr>
        <w:lastRenderedPageBreak/>
        <w:t xml:space="preserve">a </w:t>
      </w:r>
      <w:r w:rsidRPr="001A455A">
        <w:rPr>
          <w:rFonts w:asciiTheme="minorHAnsi" w:hAnsiTheme="minorHAnsi" w:cstheme="minorHAnsi"/>
          <w:sz w:val="22"/>
          <w:szCs w:val="22"/>
        </w:rPr>
        <w:t>Sample size represents number of participants who responded to post intervention loneliness measures across intervention and control groups</w:t>
      </w:r>
    </w:p>
    <w:p w14:paraId="43AC55C4" w14:textId="77777777" w:rsidR="00CB457E" w:rsidRPr="001A455A" w:rsidRDefault="00CB457E">
      <w:pPr>
        <w:rPr>
          <w:rFonts w:ascii="Arial" w:hAnsi="Arial" w:cs="Arial"/>
          <w:b/>
          <w:bCs/>
        </w:rPr>
      </w:pPr>
      <w:r w:rsidRPr="001A455A">
        <w:rPr>
          <w:rFonts w:ascii="Arial" w:hAnsi="Arial" w:cs="Arial"/>
          <w:b/>
          <w:bCs/>
        </w:rPr>
        <w:br w:type="page"/>
      </w:r>
    </w:p>
    <w:p w14:paraId="3783DED9" w14:textId="4F8A9D2E" w:rsidR="00CB457E" w:rsidRPr="001A455A" w:rsidRDefault="009213AB" w:rsidP="00CB457E">
      <w:pPr>
        <w:spacing w:after="100" w:afterAutospacing="1"/>
        <w:rPr>
          <w:rFonts w:asciiTheme="minorHAnsi" w:hAnsiTheme="minorHAnsi" w:cstheme="minorHAnsi"/>
          <w:b/>
          <w:bCs/>
          <w:sz w:val="22"/>
          <w:szCs w:val="22"/>
        </w:rPr>
      </w:pPr>
      <w:r w:rsidRPr="001A455A">
        <w:rPr>
          <w:rFonts w:asciiTheme="minorHAnsi" w:hAnsiTheme="minorHAnsi" w:cstheme="minorHAnsi"/>
          <w:b/>
          <w:bCs/>
          <w:sz w:val="22"/>
          <w:szCs w:val="22"/>
        </w:rPr>
        <w:lastRenderedPageBreak/>
        <w:t xml:space="preserve">Supplementary </w:t>
      </w:r>
      <w:r w:rsidR="00CB457E" w:rsidRPr="001A455A">
        <w:rPr>
          <w:rFonts w:asciiTheme="minorHAnsi" w:hAnsiTheme="minorHAnsi" w:cstheme="minorHAnsi"/>
          <w:b/>
          <w:bCs/>
          <w:sz w:val="22"/>
          <w:szCs w:val="22"/>
        </w:rPr>
        <w:t xml:space="preserve">Table </w:t>
      </w:r>
      <w:r w:rsidRPr="001A455A">
        <w:rPr>
          <w:rFonts w:asciiTheme="minorHAnsi" w:hAnsiTheme="minorHAnsi" w:cstheme="minorHAnsi"/>
          <w:b/>
          <w:bCs/>
          <w:sz w:val="22"/>
          <w:szCs w:val="22"/>
        </w:rPr>
        <w:t>S5</w:t>
      </w:r>
      <w:r w:rsidR="00CB457E" w:rsidRPr="001A455A">
        <w:rPr>
          <w:rFonts w:asciiTheme="minorHAnsi" w:hAnsiTheme="minorHAnsi" w:cstheme="minorHAnsi"/>
          <w:b/>
          <w:bCs/>
          <w:sz w:val="22"/>
          <w:szCs w:val="22"/>
        </w:rPr>
        <w:t>. Characteristics of each intervention in the Social Interaction theme (n=23)</w:t>
      </w:r>
    </w:p>
    <w:tbl>
      <w:tblPr>
        <w:tblW w:w="13892" w:type="dxa"/>
        <w:tblLook w:val="04A0" w:firstRow="1" w:lastRow="0" w:firstColumn="1" w:lastColumn="0" w:noHBand="0" w:noVBand="1"/>
      </w:tblPr>
      <w:tblGrid>
        <w:gridCol w:w="1985"/>
        <w:gridCol w:w="1471"/>
        <w:gridCol w:w="4341"/>
        <w:gridCol w:w="6095"/>
      </w:tblGrid>
      <w:tr w:rsidR="001A455A" w:rsidRPr="001A455A" w14:paraId="6D82800A" w14:textId="77777777" w:rsidTr="001C3226">
        <w:trPr>
          <w:trHeight w:val="557"/>
          <w:tblHeader/>
        </w:trPr>
        <w:tc>
          <w:tcPr>
            <w:tcW w:w="1985" w:type="dxa"/>
            <w:tcBorders>
              <w:top w:val="single" w:sz="4" w:space="0" w:color="auto"/>
              <w:bottom w:val="single" w:sz="4" w:space="0" w:color="auto"/>
            </w:tcBorders>
            <w:shd w:val="clear" w:color="auto" w:fill="auto"/>
            <w:vAlign w:val="center"/>
            <w:hideMark/>
          </w:tcPr>
          <w:p w14:paraId="64DA21BE" w14:textId="77777777" w:rsidR="00CB457E" w:rsidRPr="001A455A" w:rsidRDefault="00CB457E" w:rsidP="001C3226">
            <w:pPr>
              <w:spacing w:after="100" w:afterAutospacing="1"/>
              <w:rPr>
                <w:rFonts w:asciiTheme="minorHAnsi" w:hAnsiTheme="minorHAnsi" w:cstheme="minorHAnsi"/>
                <w:b/>
                <w:bCs/>
                <w:sz w:val="22"/>
                <w:szCs w:val="22"/>
              </w:rPr>
            </w:pPr>
            <w:r w:rsidRPr="001A455A">
              <w:rPr>
                <w:rFonts w:asciiTheme="minorHAnsi" w:hAnsiTheme="minorHAnsi" w:cstheme="minorHAnsi"/>
                <w:b/>
                <w:bCs/>
                <w:sz w:val="22"/>
                <w:szCs w:val="22"/>
              </w:rPr>
              <w:t>Authors</w:t>
            </w:r>
          </w:p>
        </w:tc>
        <w:tc>
          <w:tcPr>
            <w:tcW w:w="1471" w:type="dxa"/>
            <w:tcBorders>
              <w:top w:val="single" w:sz="4" w:space="0" w:color="auto"/>
              <w:bottom w:val="single" w:sz="4" w:space="0" w:color="auto"/>
            </w:tcBorders>
            <w:shd w:val="clear" w:color="auto" w:fill="auto"/>
            <w:vAlign w:val="center"/>
            <w:hideMark/>
          </w:tcPr>
          <w:p w14:paraId="1F4D6C56" w14:textId="77777777" w:rsidR="00CB457E" w:rsidRPr="001A455A" w:rsidRDefault="00CB457E" w:rsidP="001C3226">
            <w:pPr>
              <w:spacing w:after="100" w:afterAutospacing="1"/>
              <w:ind w:right="-59"/>
              <w:rPr>
                <w:rFonts w:asciiTheme="minorHAnsi" w:hAnsiTheme="minorHAnsi" w:cstheme="minorHAnsi"/>
                <w:b/>
                <w:bCs/>
                <w:sz w:val="22"/>
                <w:szCs w:val="22"/>
              </w:rPr>
            </w:pPr>
            <w:r w:rsidRPr="001A455A">
              <w:rPr>
                <w:rFonts w:asciiTheme="minorHAnsi" w:hAnsiTheme="minorHAnsi" w:cstheme="minorHAnsi"/>
                <w:b/>
                <w:bCs/>
                <w:sz w:val="22"/>
                <w:szCs w:val="22"/>
              </w:rPr>
              <w:t>Country</w:t>
            </w:r>
          </w:p>
        </w:tc>
        <w:tc>
          <w:tcPr>
            <w:tcW w:w="4341" w:type="dxa"/>
            <w:tcBorders>
              <w:top w:val="single" w:sz="4" w:space="0" w:color="auto"/>
              <w:bottom w:val="single" w:sz="4" w:space="0" w:color="auto"/>
            </w:tcBorders>
            <w:vAlign w:val="center"/>
          </w:tcPr>
          <w:p w14:paraId="7841F1CF" w14:textId="77777777" w:rsidR="00CB457E" w:rsidRPr="001A455A" w:rsidRDefault="00CB457E" w:rsidP="001C3226">
            <w:pPr>
              <w:spacing w:after="100" w:afterAutospacing="1"/>
              <w:ind w:right="-94"/>
              <w:rPr>
                <w:rFonts w:asciiTheme="minorHAnsi" w:hAnsiTheme="minorHAnsi" w:cstheme="minorHAnsi"/>
                <w:b/>
                <w:bCs/>
                <w:sz w:val="22"/>
                <w:szCs w:val="22"/>
              </w:rPr>
            </w:pPr>
            <w:r w:rsidRPr="001A455A">
              <w:rPr>
                <w:rFonts w:asciiTheme="minorHAnsi" w:hAnsiTheme="minorHAnsi" w:cstheme="minorHAnsi"/>
                <w:b/>
                <w:bCs/>
                <w:sz w:val="22"/>
                <w:szCs w:val="22"/>
              </w:rPr>
              <w:t xml:space="preserve">Sample size </w:t>
            </w:r>
            <w:r w:rsidRPr="001A455A">
              <w:rPr>
                <w:rFonts w:asciiTheme="minorHAnsi" w:hAnsiTheme="minorHAnsi" w:cstheme="minorHAnsi"/>
                <w:b/>
                <w:bCs/>
                <w:sz w:val="22"/>
                <w:szCs w:val="22"/>
                <w:vertAlign w:val="superscript"/>
              </w:rPr>
              <w:t>a</w:t>
            </w:r>
            <w:r w:rsidRPr="001A455A">
              <w:rPr>
                <w:rFonts w:asciiTheme="minorHAnsi" w:hAnsiTheme="minorHAnsi" w:cstheme="minorHAnsi"/>
                <w:b/>
                <w:bCs/>
                <w:sz w:val="22"/>
                <w:szCs w:val="22"/>
              </w:rPr>
              <w:t xml:space="preserve"> and description</w:t>
            </w:r>
          </w:p>
        </w:tc>
        <w:tc>
          <w:tcPr>
            <w:tcW w:w="6095" w:type="dxa"/>
            <w:tcBorders>
              <w:top w:val="single" w:sz="4" w:space="0" w:color="auto"/>
              <w:bottom w:val="single" w:sz="4" w:space="0" w:color="auto"/>
            </w:tcBorders>
            <w:shd w:val="clear" w:color="auto" w:fill="auto"/>
            <w:vAlign w:val="center"/>
          </w:tcPr>
          <w:p w14:paraId="14E698D9" w14:textId="77777777" w:rsidR="00CB457E" w:rsidRPr="001A455A" w:rsidRDefault="00CB457E" w:rsidP="001C3226">
            <w:pPr>
              <w:spacing w:after="100" w:afterAutospacing="1"/>
              <w:ind w:right="-94"/>
              <w:rPr>
                <w:rFonts w:asciiTheme="minorHAnsi" w:hAnsiTheme="minorHAnsi" w:cstheme="minorHAnsi"/>
                <w:b/>
                <w:bCs/>
                <w:sz w:val="22"/>
                <w:szCs w:val="22"/>
              </w:rPr>
            </w:pPr>
            <w:r w:rsidRPr="001A455A">
              <w:rPr>
                <w:rFonts w:asciiTheme="minorHAnsi" w:hAnsiTheme="minorHAnsi" w:cstheme="minorHAnsi"/>
                <w:b/>
                <w:bCs/>
                <w:sz w:val="22"/>
                <w:szCs w:val="22"/>
              </w:rPr>
              <w:t>Intervention description</w:t>
            </w:r>
          </w:p>
        </w:tc>
      </w:tr>
      <w:tr w:rsidR="001A455A" w:rsidRPr="001A455A" w14:paraId="69DCEAF0" w14:textId="77777777" w:rsidTr="001C3226">
        <w:trPr>
          <w:trHeight w:val="320"/>
        </w:trPr>
        <w:tc>
          <w:tcPr>
            <w:tcW w:w="13892" w:type="dxa"/>
            <w:gridSpan w:val="4"/>
            <w:tcBorders>
              <w:top w:val="single" w:sz="4" w:space="0" w:color="auto"/>
              <w:bottom w:val="single" w:sz="4" w:space="0" w:color="auto"/>
            </w:tcBorders>
            <w:shd w:val="clear" w:color="auto" w:fill="BFBFBF" w:themeFill="background1" w:themeFillShade="BF"/>
            <w:vAlign w:val="center"/>
          </w:tcPr>
          <w:p w14:paraId="4276FD36" w14:textId="77777777" w:rsidR="00CB457E" w:rsidRPr="001A455A" w:rsidRDefault="00CB457E" w:rsidP="001C3226">
            <w:pPr>
              <w:spacing w:after="100" w:afterAutospacing="1"/>
              <w:rPr>
                <w:rFonts w:asciiTheme="minorHAnsi" w:hAnsiTheme="minorHAnsi" w:cstheme="minorHAnsi"/>
                <w:b/>
                <w:bCs/>
                <w:sz w:val="22"/>
                <w:szCs w:val="22"/>
              </w:rPr>
            </w:pPr>
            <w:r w:rsidRPr="001A455A">
              <w:rPr>
                <w:rFonts w:asciiTheme="minorHAnsi" w:hAnsiTheme="minorHAnsi" w:cstheme="minorHAnsi"/>
                <w:b/>
                <w:bCs/>
                <w:sz w:val="22"/>
                <w:szCs w:val="22"/>
              </w:rPr>
              <w:t>ARTS/MUSIC/CULTURE (N= 8)</w:t>
            </w:r>
          </w:p>
        </w:tc>
      </w:tr>
      <w:tr w:rsidR="001A455A" w:rsidRPr="001A455A" w14:paraId="77A79EBC"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hideMark/>
          </w:tcPr>
          <w:p w14:paraId="5B2DEFB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Adery and Park, 2022</w:t>
            </w:r>
          </w:p>
        </w:tc>
        <w:tc>
          <w:tcPr>
            <w:tcW w:w="1471" w:type="dxa"/>
            <w:tcBorders>
              <w:top w:val="single" w:sz="4" w:space="0" w:color="auto"/>
              <w:left w:val="nil"/>
              <w:bottom w:val="single" w:sz="4" w:space="0" w:color="auto"/>
              <w:right w:val="nil"/>
            </w:tcBorders>
            <w:shd w:val="clear" w:color="auto" w:fill="auto"/>
            <w:noWrap/>
            <w:vAlign w:val="center"/>
          </w:tcPr>
          <w:p w14:paraId="0C5273B0"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341" w:type="dxa"/>
            <w:tcBorders>
              <w:top w:val="single" w:sz="4" w:space="0" w:color="auto"/>
              <w:left w:val="nil"/>
              <w:bottom w:val="single" w:sz="4" w:space="0" w:color="auto"/>
              <w:right w:val="nil"/>
            </w:tcBorders>
            <w:vAlign w:val="center"/>
          </w:tcPr>
          <w:p w14:paraId="522CD47E"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17 adults with ﻿schizophrenia-spectrum conditions</w:t>
            </w:r>
          </w:p>
        </w:tc>
        <w:tc>
          <w:tcPr>
            <w:tcW w:w="6095" w:type="dxa"/>
            <w:tcBorders>
              <w:top w:val="single" w:sz="4" w:space="0" w:color="auto"/>
              <w:left w:val="nil"/>
              <w:bottom w:val="single" w:sz="4" w:space="0" w:color="auto"/>
            </w:tcBorders>
            <w:shd w:val="clear" w:color="auto" w:fill="auto"/>
            <w:noWrap/>
            <w:vAlign w:val="center"/>
            <w:hideMark/>
          </w:tcPr>
          <w:p w14:paraId="1CE0D066"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﻿8x weekly 1hr group choral rehearsals</w:t>
            </w:r>
          </w:p>
        </w:tc>
      </w:tr>
      <w:tr w:rsidR="001A455A" w:rsidRPr="001A455A" w14:paraId="65C12B44"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74818FA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Apteligen, 2021 </w:t>
            </w:r>
          </w:p>
        </w:tc>
        <w:tc>
          <w:tcPr>
            <w:tcW w:w="1471" w:type="dxa"/>
            <w:tcBorders>
              <w:top w:val="single" w:sz="4" w:space="0" w:color="auto"/>
              <w:left w:val="nil"/>
              <w:bottom w:val="single" w:sz="4" w:space="0" w:color="auto"/>
              <w:right w:val="nil"/>
            </w:tcBorders>
            <w:shd w:val="clear" w:color="auto" w:fill="auto"/>
            <w:noWrap/>
            <w:vAlign w:val="center"/>
          </w:tcPr>
          <w:p w14:paraId="2970CF2A"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UK</w:t>
            </w:r>
          </w:p>
        </w:tc>
        <w:tc>
          <w:tcPr>
            <w:tcW w:w="4341" w:type="dxa"/>
            <w:tcBorders>
              <w:top w:val="single" w:sz="4" w:space="0" w:color="auto"/>
              <w:left w:val="nil"/>
              <w:bottom w:val="single" w:sz="4" w:space="0" w:color="auto"/>
              <w:right w:val="nil"/>
            </w:tcBorders>
            <w:vAlign w:val="center"/>
          </w:tcPr>
          <w:p w14:paraId="67C83B79"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 xml:space="preserve">n= 230 female carers experiencing or at risk of low wellbeing and loneliness and/or social isolation </w:t>
            </w:r>
          </w:p>
        </w:tc>
        <w:tc>
          <w:tcPr>
            <w:tcW w:w="6095" w:type="dxa"/>
            <w:tcBorders>
              <w:top w:val="single" w:sz="4" w:space="0" w:color="auto"/>
              <w:left w:val="nil"/>
              <w:bottom w:val="single" w:sz="4" w:space="0" w:color="auto"/>
            </w:tcBorders>
            <w:shd w:val="clear" w:color="auto" w:fill="auto"/>
            <w:noWrap/>
            <w:vAlign w:val="center"/>
          </w:tcPr>
          <w:p w14:paraId="079E7A29"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 xml:space="preserve">9-week long group music-making activity aimed at female carers. Music creation projects included singing, song writing, learning an instrument, and digital music production.  </w:t>
            </w:r>
          </w:p>
        </w:tc>
      </w:tr>
      <w:tr w:rsidR="001A455A" w:rsidRPr="001A455A" w14:paraId="3CAB15D5"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3EA5CEA2"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﻿Aydın and ﻿Kutlu, 2021</w:t>
            </w:r>
          </w:p>
        </w:tc>
        <w:tc>
          <w:tcPr>
            <w:tcW w:w="1471" w:type="dxa"/>
            <w:tcBorders>
              <w:top w:val="single" w:sz="4" w:space="0" w:color="auto"/>
              <w:left w:val="nil"/>
              <w:bottom w:val="single" w:sz="4" w:space="0" w:color="auto"/>
              <w:right w:val="nil"/>
            </w:tcBorders>
            <w:shd w:val="clear" w:color="auto" w:fill="auto"/>
            <w:noWrap/>
            <w:vAlign w:val="center"/>
          </w:tcPr>
          <w:p w14:paraId="79F4EB26"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Turkey</w:t>
            </w:r>
          </w:p>
        </w:tc>
        <w:tc>
          <w:tcPr>
            <w:tcW w:w="4341" w:type="dxa"/>
            <w:tcBorders>
              <w:top w:val="single" w:sz="4" w:space="0" w:color="auto"/>
              <w:left w:val="nil"/>
              <w:bottom w:val="single" w:sz="4" w:space="0" w:color="auto"/>
              <w:right w:val="nil"/>
            </w:tcBorders>
            <w:vAlign w:val="center"/>
          </w:tcPr>
          <w:p w14:paraId="43EE09E4"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60 older community-dwelling adults living on their own</w:t>
            </w:r>
          </w:p>
        </w:tc>
        <w:tc>
          <w:tcPr>
            <w:tcW w:w="6095" w:type="dxa"/>
            <w:tcBorders>
              <w:top w:val="single" w:sz="4" w:space="0" w:color="auto"/>
              <w:left w:val="nil"/>
              <w:bottom w:val="single" w:sz="4" w:space="0" w:color="auto"/>
            </w:tcBorders>
            <w:shd w:val="clear" w:color="auto" w:fill="auto"/>
            <w:noWrap/>
            <w:vAlign w:val="center"/>
          </w:tcPr>
          <w:p w14:paraId="1DFE37B0"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1.5hr clay sessions weekly for 6 weeks, participants arranged into 3 groups of 10</w:t>
            </w:r>
          </w:p>
        </w:tc>
      </w:tr>
      <w:tr w:rsidR="001A455A" w:rsidRPr="001A455A" w14:paraId="5BE604E0"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0A715D6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Brown et al., 2019 </w:t>
            </w:r>
          </w:p>
        </w:tc>
        <w:tc>
          <w:tcPr>
            <w:tcW w:w="1471" w:type="dxa"/>
            <w:tcBorders>
              <w:top w:val="single" w:sz="4" w:space="0" w:color="auto"/>
              <w:left w:val="nil"/>
              <w:bottom w:val="single" w:sz="4" w:space="0" w:color="auto"/>
              <w:right w:val="nil"/>
            </w:tcBorders>
            <w:shd w:val="clear" w:color="auto" w:fill="auto"/>
            <w:noWrap/>
            <w:vAlign w:val="center"/>
          </w:tcPr>
          <w:p w14:paraId="3A181347"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England</w:t>
            </w:r>
          </w:p>
        </w:tc>
        <w:tc>
          <w:tcPr>
            <w:tcW w:w="4341" w:type="dxa"/>
            <w:tcBorders>
              <w:top w:val="single" w:sz="4" w:space="0" w:color="auto"/>
              <w:left w:val="nil"/>
              <w:bottom w:val="single" w:sz="4" w:space="0" w:color="auto"/>
              <w:right w:val="nil"/>
            </w:tcBorders>
            <w:vAlign w:val="center"/>
          </w:tcPr>
          <w:p w14:paraId="48A857BE"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 xml:space="preserve">n= 18 older people experiencing or at risk of, experiencing social isolation and/or loneliness </w:t>
            </w:r>
          </w:p>
        </w:tc>
        <w:tc>
          <w:tcPr>
            <w:tcW w:w="6095" w:type="dxa"/>
            <w:tcBorders>
              <w:top w:val="single" w:sz="4" w:space="0" w:color="auto"/>
              <w:left w:val="nil"/>
              <w:bottom w:val="single" w:sz="4" w:space="0" w:color="auto"/>
            </w:tcBorders>
            <w:shd w:val="clear" w:color="auto" w:fill="auto"/>
            <w:noWrap/>
            <w:vAlign w:val="center"/>
          </w:tcPr>
          <w:p w14:paraId="7D3B02C4"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A group of older people meet monthly (five-set sessions) for around 2 hours. Activities include sharing cake, socialising, and a heritage presentation and sometimes other heritage activity (e.g., handling objects, and/or visiting an associated exhibition or installation)</w:t>
            </w:r>
          </w:p>
        </w:tc>
      </w:tr>
      <w:tr w:rsidR="001A455A" w:rsidRPr="001A455A" w14:paraId="21E7154B"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2255DFF7"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Fields N et al., 2021</w:t>
            </w:r>
          </w:p>
        </w:tc>
        <w:tc>
          <w:tcPr>
            <w:tcW w:w="1471" w:type="dxa"/>
            <w:tcBorders>
              <w:top w:val="single" w:sz="4" w:space="0" w:color="auto"/>
              <w:left w:val="nil"/>
              <w:bottom w:val="single" w:sz="4" w:space="0" w:color="auto"/>
              <w:right w:val="nil"/>
            </w:tcBorders>
            <w:shd w:val="clear" w:color="auto" w:fill="auto"/>
            <w:noWrap/>
            <w:vAlign w:val="center"/>
          </w:tcPr>
          <w:p w14:paraId="537DD15C"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341" w:type="dxa"/>
            <w:tcBorders>
              <w:top w:val="single" w:sz="4" w:space="0" w:color="auto"/>
              <w:left w:val="nil"/>
              <w:bottom w:val="single" w:sz="4" w:space="0" w:color="auto"/>
              <w:right w:val="nil"/>
            </w:tcBorders>
            <w:vAlign w:val="center"/>
          </w:tcPr>
          <w:p w14:paraId="1CD58CF7"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15 older adults in a residential care setting</w:t>
            </w:r>
          </w:p>
        </w:tc>
        <w:tc>
          <w:tcPr>
            <w:tcW w:w="6095" w:type="dxa"/>
            <w:tcBorders>
              <w:top w:val="single" w:sz="4" w:space="0" w:color="auto"/>
              <w:left w:val="nil"/>
              <w:bottom w:val="single" w:sz="4" w:space="0" w:color="auto"/>
            </w:tcBorders>
            <w:shd w:val="clear" w:color="auto" w:fill="auto"/>
            <w:noWrap/>
            <w:vAlign w:val="center"/>
          </w:tcPr>
          <w:p w14:paraId="478DB1B4"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3x 10-minute sessions with a social robot engaging older adults in participatory arts (e.g. Shakespearean text, etc.)</w:t>
            </w:r>
          </w:p>
        </w:tc>
      </w:tr>
      <w:tr w:rsidR="001A455A" w:rsidRPr="001A455A" w14:paraId="14C7F74A"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39289BF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Hansen et al., 2021</w:t>
            </w:r>
          </w:p>
        </w:tc>
        <w:tc>
          <w:tcPr>
            <w:tcW w:w="1471" w:type="dxa"/>
            <w:tcBorders>
              <w:top w:val="single" w:sz="4" w:space="0" w:color="auto"/>
              <w:left w:val="nil"/>
              <w:bottom w:val="single" w:sz="4" w:space="0" w:color="auto"/>
              <w:right w:val="nil"/>
            </w:tcBorders>
            <w:shd w:val="clear" w:color="auto" w:fill="auto"/>
            <w:noWrap/>
            <w:vAlign w:val="center"/>
          </w:tcPr>
          <w:p w14:paraId="65F50629"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Canada</w:t>
            </w:r>
          </w:p>
        </w:tc>
        <w:tc>
          <w:tcPr>
            <w:tcW w:w="4341" w:type="dxa"/>
            <w:tcBorders>
              <w:top w:val="single" w:sz="4" w:space="0" w:color="auto"/>
              <w:left w:val="nil"/>
              <w:bottom w:val="single" w:sz="4" w:space="0" w:color="auto"/>
              <w:right w:val="nil"/>
            </w:tcBorders>
            <w:vAlign w:val="center"/>
          </w:tcPr>
          <w:p w14:paraId="03FA3727"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13 older community-dwelling adults</w:t>
            </w:r>
          </w:p>
        </w:tc>
        <w:tc>
          <w:tcPr>
            <w:tcW w:w="6095" w:type="dxa"/>
            <w:tcBorders>
              <w:top w:val="single" w:sz="4" w:space="0" w:color="auto"/>
              <w:left w:val="nil"/>
              <w:bottom w:val="single" w:sz="4" w:space="0" w:color="auto"/>
            </w:tcBorders>
            <w:shd w:val="clear" w:color="auto" w:fill="auto"/>
            <w:noWrap/>
            <w:vAlign w:val="center"/>
          </w:tcPr>
          <w:p w14:paraId="312287FE"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The Moving Connections Project; 4x 3.5hr choreography-based dance session held over 4 consecutive days</w:t>
            </w:r>
          </w:p>
        </w:tc>
      </w:tr>
      <w:tr w:rsidR="001A455A" w:rsidRPr="001A455A" w14:paraId="1CC6C124"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5666877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Richmond-Cullen, 2018</w:t>
            </w:r>
          </w:p>
        </w:tc>
        <w:tc>
          <w:tcPr>
            <w:tcW w:w="1471" w:type="dxa"/>
            <w:tcBorders>
              <w:top w:val="single" w:sz="4" w:space="0" w:color="auto"/>
              <w:left w:val="nil"/>
              <w:bottom w:val="single" w:sz="4" w:space="0" w:color="auto"/>
              <w:right w:val="nil"/>
            </w:tcBorders>
            <w:shd w:val="clear" w:color="auto" w:fill="auto"/>
            <w:noWrap/>
            <w:vAlign w:val="center"/>
          </w:tcPr>
          <w:p w14:paraId="36676879"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341" w:type="dxa"/>
            <w:tcBorders>
              <w:top w:val="single" w:sz="4" w:space="0" w:color="auto"/>
              <w:left w:val="nil"/>
              <w:bottom w:val="single" w:sz="4" w:space="0" w:color="auto"/>
              <w:right w:val="nil"/>
            </w:tcBorders>
            <w:vAlign w:val="center"/>
          </w:tcPr>
          <w:p w14:paraId="381FC30C"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71 older community-dwelling adults</w:t>
            </w:r>
          </w:p>
        </w:tc>
        <w:tc>
          <w:tcPr>
            <w:tcW w:w="6095" w:type="dxa"/>
            <w:tcBorders>
              <w:top w:val="single" w:sz="4" w:space="0" w:color="auto"/>
              <w:left w:val="nil"/>
              <w:bottom w:val="single" w:sz="4" w:space="0" w:color="auto"/>
            </w:tcBorders>
            <w:shd w:val="clear" w:color="auto" w:fill="auto"/>
            <w:noWrap/>
            <w:vAlign w:val="center"/>
          </w:tcPr>
          <w:p w14:paraId="358A7C13"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10x weekly or biweekly 2hr art sessions at 14 senior community centres as part of an artist in residence program; art type varied by artist (e.g., performing, visual or multidisciplinary arts)</w:t>
            </w:r>
          </w:p>
        </w:tc>
      </w:tr>
      <w:tr w:rsidR="001A455A" w:rsidRPr="001A455A" w14:paraId="655A6FE8"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0FEC4C8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Starks, 2023</w:t>
            </w:r>
          </w:p>
        </w:tc>
        <w:tc>
          <w:tcPr>
            <w:tcW w:w="1471" w:type="dxa"/>
            <w:tcBorders>
              <w:top w:val="single" w:sz="4" w:space="0" w:color="auto"/>
              <w:left w:val="nil"/>
              <w:bottom w:val="single" w:sz="4" w:space="0" w:color="auto"/>
              <w:right w:val="nil"/>
            </w:tcBorders>
            <w:shd w:val="clear" w:color="auto" w:fill="auto"/>
            <w:noWrap/>
            <w:vAlign w:val="center"/>
          </w:tcPr>
          <w:p w14:paraId="7741D28D"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UK</w:t>
            </w:r>
          </w:p>
        </w:tc>
        <w:tc>
          <w:tcPr>
            <w:tcW w:w="4341" w:type="dxa"/>
            <w:tcBorders>
              <w:top w:val="single" w:sz="4" w:space="0" w:color="auto"/>
              <w:left w:val="nil"/>
              <w:bottom w:val="single" w:sz="4" w:space="0" w:color="auto"/>
              <w:right w:val="nil"/>
            </w:tcBorders>
            <w:vAlign w:val="center"/>
          </w:tcPr>
          <w:p w14:paraId="33376BCD"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 xml:space="preserve">n= 102 adult men at risk of/experiencing loneliness and/or social isolation -` mostly retired, widowed or living alone.  </w:t>
            </w:r>
          </w:p>
        </w:tc>
        <w:tc>
          <w:tcPr>
            <w:tcW w:w="6095" w:type="dxa"/>
            <w:tcBorders>
              <w:top w:val="single" w:sz="4" w:space="0" w:color="auto"/>
              <w:left w:val="nil"/>
              <w:bottom w:val="single" w:sz="4" w:space="0" w:color="auto"/>
            </w:tcBorders>
            <w:shd w:val="clear" w:color="auto" w:fill="auto"/>
            <w:noWrap/>
            <w:vAlign w:val="center"/>
          </w:tcPr>
          <w:p w14:paraId="702F659F"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 xml:space="preserve">Community spaces enabling men to connect, converse, make friends, and get creative with tools and machinery, and with support from others, learn new skills. Members pay small weekly fee and take part in activities such as woodworking, metalworking, repairing and restoring furniture or bicycles, building boxes. </w:t>
            </w:r>
          </w:p>
        </w:tc>
      </w:tr>
      <w:tr w:rsidR="001A455A" w:rsidRPr="001A455A" w14:paraId="3A15D246" w14:textId="77777777" w:rsidTr="001C3226">
        <w:trPr>
          <w:trHeight w:val="320"/>
        </w:trPr>
        <w:tc>
          <w:tcPr>
            <w:tcW w:w="13892" w:type="dxa"/>
            <w:gridSpan w:val="4"/>
            <w:tcBorders>
              <w:top w:val="single" w:sz="4" w:space="0" w:color="auto"/>
              <w:bottom w:val="single" w:sz="4" w:space="0" w:color="auto"/>
            </w:tcBorders>
            <w:shd w:val="clear" w:color="auto" w:fill="BFBFBF" w:themeFill="background1" w:themeFillShade="BF"/>
            <w:noWrap/>
            <w:vAlign w:val="center"/>
          </w:tcPr>
          <w:p w14:paraId="59840DE4"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b/>
                <w:bCs/>
                <w:sz w:val="22"/>
                <w:szCs w:val="22"/>
              </w:rPr>
              <w:t>OTHER SINGLE ACTIVITIES (N=8)</w:t>
            </w:r>
          </w:p>
        </w:tc>
      </w:tr>
      <w:tr w:rsidR="001A455A" w:rsidRPr="001A455A" w14:paraId="35D9FF96"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7230973A"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Blevins, 2023</w:t>
            </w:r>
          </w:p>
        </w:tc>
        <w:tc>
          <w:tcPr>
            <w:tcW w:w="1471" w:type="dxa"/>
            <w:tcBorders>
              <w:top w:val="single" w:sz="4" w:space="0" w:color="auto"/>
              <w:left w:val="nil"/>
              <w:bottom w:val="single" w:sz="4" w:space="0" w:color="auto"/>
              <w:right w:val="nil"/>
            </w:tcBorders>
            <w:shd w:val="clear" w:color="auto" w:fill="auto"/>
            <w:noWrap/>
            <w:vAlign w:val="center"/>
          </w:tcPr>
          <w:p w14:paraId="4D267711"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341" w:type="dxa"/>
            <w:tcBorders>
              <w:top w:val="single" w:sz="4" w:space="0" w:color="auto"/>
              <w:left w:val="nil"/>
              <w:bottom w:val="single" w:sz="4" w:space="0" w:color="auto"/>
              <w:right w:val="nil"/>
            </w:tcBorders>
            <w:vAlign w:val="center"/>
          </w:tcPr>
          <w:p w14:paraId="57B2AFB3"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Older community-dwelling adults (n not reported)</w:t>
            </w:r>
          </w:p>
        </w:tc>
        <w:tc>
          <w:tcPr>
            <w:tcW w:w="6095" w:type="dxa"/>
            <w:tcBorders>
              <w:top w:val="single" w:sz="4" w:space="0" w:color="auto"/>
              <w:left w:val="nil"/>
              <w:bottom w:val="single" w:sz="4" w:space="0" w:color="auto"/>
            </w:tcBorders>
            <w:shd w:val="clear" w:color="auto" w:fill="auto"/>
            <w:noWrap/>
            <w:vAlign w:val="center"/>
          </w:tcPr>
          <w:p w14:paraId="7D0B4EC6"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0.5hr virtual church sessions weekly for 12 weeks consisting of opening prayer, Bible verses, mindfulness exercise, teaching, gratitude and Bible memorization</w:t>
            </w:r>
          </w:p>
        </w:tc>
      </w:tr>
      <w:tr w:rsidR="001A455A" w:rsidRPr="001A455A" w14:paraId="4FE8DB08"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072EE88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lastRenderedPageBreak/>
              <w:t>Chan et al., 2017</w:t>
            </w:r>
          </w:p>
        </w:tc>
        <w:tc>
          <w:tcPr>
            <w:tcW w:w="1471" w:type="dxa"/>
            <w:tcBorders>
              <w:top w:val="single" w:sz="4" w:space="0" w:color="auto"/>
              <w:left w:val="nil"/>
              <w:bottom w:val="single" w:sz="4" w:space="0" w:color="auto"/>
              <w:right w:val="nil"/>
            </w:tcBorders>
            <w:shd w:val="clear" w:color="auto" w:fill="auto"/>
            <w:noWrap/>
            <w:vAlign w:val="center"/>
          </w:tcPr>
          <w:p w14:paraId="2D9A2329"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Hong Kong</w:t>
            </w:r>
          </w:p>
        </w:tc>
        <w:tc>
          <w:tcPr>
            <w:tcW w:w="4341" w:type="dxa"/>
            <w:tcBorders>
              <w:top w:val="single" w:sz="4" w:space="0" w:color="auto"/>
              <w:left w:val="nil"/>
              <w:bottom w:val="single" w:sz="4" w:space="0" w:color="auto"/>
              <w:right w:val="nil"/>
            </w:tcBorders>
            <w:vAlign w:val="center"/>
          </w:tcPr>
          <w:p w14:paraId="0D439944"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45 socially isolated older adults</w:t>
            </w:r>
          </w:p>
        </w:tc>
        <w:tc>
          <w:tcPr>
            <w:tcW w:w="6095" w:type="dxa"/>
            <w:tcBorders>
              <w:top w:val="single" w:sz="4" w:space="0" w:color="auto"/>
              <w:left w:val="nil"/>
              <w:bottom w:val="single" w:sz="4" w:space="0" w:color="auto"/>
            </w:tcBorders>
            <w:shd w:val="clear" w:color="auto" w:fill="auto"/>
            <w:noWrap/>
            <w:vAlign w:val="center"/>
          </w:tcPr>
          <w:p w14:paraId="755B701C"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3-month program of 2x 60-minute sessions each week of tai chi qigong, encouraged by a paired socially active volunteer (in and out of classes)</w:t>
            </w:r>
          </w:p>
        </w:tc>
      </w:tr>
      <w:tr w:rsidR="001A455A" w:rsidRPr="001A455A" w14:paraId="7961D79B"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33279B4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DCMS, 2019 (two intervention arms)</w:t>
            </w:r>
          </w:p>
        </w:tc>
        <w:tc>
          <w:tcPr>
            <w:tcW w:w="1471" w:type="dxa"/>
            <w:tcBorders>
              <w:top w:val="single" w:sz="4" w:space="0" w:color="auto"/>
              <w:left w:val="nil"/>
              <w:bottom w:val="single" w:sz="4" w:space="0" w:color="auto"/>
              <w:right w:val="nil"/>
            </w:tcBorders>
            <w:shd w:val="clear" w:color="auto" w:fill="auto"/>
            <w:noWrap/>
            <w:vAlign w:val="center"/>
          </w:tcPr>
          <w:p w14:paraId="117D80D6"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England</w:t>
            </w:r>
          </w:p>
        </w:tc>
        <w:tc>
          <w:tcPr>
            <w:tcW w:w="4341" w:type="dxa"/>
            <w:tcBorders>
              <w:top w:val="single" w:sz="4" w:space="0" w:color="auto"/>
              <w:left w:val="nil"/>
              <w:bottom w:val="single" w:sz="4" w:space="0" w:color="auto"/>
              <w:right w:val="nil"/>
            </w:tcBorders>
            <w:vAlign w:val="center"/>
          </w:tcPr>
          <w:p w14:paraId="16C45D7F"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 xml:space="preserve">n= 20 individuals from 3 test sites: community centre users (largely with learning difficulties); supported living facility (30-60yrs) and residential home residents (60+ and living with age-related illnesses).   </w:t>
            </w:r>
          </w:p>
          <w:p w14:paraId="06439D1E" w14:textId="77777777" w:rsidR="00CB457E" w:rsidRPr="001A455A" w:rsidRDefault="00CB457E" w:rsidP="001C3226">
            <w:pPr>
              <w:spacing w:after="100" w:afterAutospacing="1"/>
              <w:ind w:right="-94"/>
              <w:rPr>
                <w:rFonts w:asciiTheme="minorHAnsi" w:hAnsiTheme="minorHAnsi" w:cstheme="minorHAnsi"/>
                <w:sz w:val="22"/>
                <w:szCs w:val="22"/>
              </w:rPr>
            </w:pPr>
          </w:p>
          <w:p w14:paraId="6AEF426A"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17 individuals with care responsibilities at home</w:t>
            </w:r>
          </w:p>
        </w:tc>
        <w:tc>
          <w:tcPr>
            <w:tcW w:w="6095" w:type="dxa"/>
            <w:tcBorders>
              <w:top w:val="single" w:sz="4" w:space="0" w:color="auto"/>
              <w:left w:val="nil"/>
              <w:bottom w:val="single" w:sz="4" w:space="0" w:color="auto"/>
            </w:tcBorders>
            <w:shd w:val="clear" w:color="auto" w:fill="auto"/>
            <w:noWrap/>
            <w:vAlign w:val="center"/>
          </w:tcPr>
          <w:p w14:paraId="77D3D763"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 xml:space="preserve">Social gaming app that brings people together to take part in online quizzing, games and chat to combat social isolation. Uses video communication to allow users to meet and participate irrespective of location, allowing users to take part in a group situation, or from their own room. Requires 5g (high bandwidth to drive device-to-device video capability).  </w:t>
            </w:r>
          </w:p>
          <w:p w14:paraId="14FAECF9"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Push to Talk device allows users to press a button, indicating that they want a chat, and be connected via their phone to another user who has also pushed their button. Users are grouped into ‘communities’ of people in similar situations.</w:t>
            </w:r>
          </w:p>
        </w:tc>
      </w:tr>
      <w:tr w:rsidR="001A455A" w:rsidRPr="001A455A" w14:paraId="0E13601C"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39995CA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Robinson et al., 2013</w:t>
            </w:r>
          </w:p>
        </w:tc>
        <w:tc>
          <w:tcPr>
            <w:tcW w:w="1471" w:type="dxa"/>
            <w:tcBorders>
              <w:top w:val="single" w:sz="4" w:space="0" w:color="auto"/>
              <w:left w:val="nil"/>
              <w:bottom w:val="single" w:sz="4" w:space="0" w:color="auto"/>
              <w:right w:val="nil"/>
            </w:tcBorders>
            <w:shd w:val="clear" w:color="auto" w:fill="auto"/>
            <w:noWrap/>
            <w:vAlign w:val="center"/>
          </w:tcPr>
          <w:p w14:paraId="4B836820"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New Zealand</w:t>
            </w:r>
          </w:p>
        </w:tc>
        <w:tc>
          <w:tcPr>
            <w:tcW w:w="4341" w:type="dxa"/>
            <w:tcBorders>
              <w:top w:val="single" w:sz="4" w:space="0" w:color="auto"/>
              <w:left w:val="nil"/>
              <w:bottom w:val="single" w:sz="4" w:space="0" w:color="auto"/>
              <w:right w:val="nil"/>
            </w:tcBorders>
            <w:vAlign w:val="center"/>
          </w:tcPr>
          <w:p w14:paraId="0B3E7316"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34 older adult residents in the hospital or rest home care areas of a retirement home</w:t>
            </w:r>
          </w:p>
        </w:tc>
        <w:tc>
          <w:tcPr>
            <w:tcW w:w="6095" w:type="dxa"/>
            <w:tcBorders>
              <w:top w:val="single" w:sz="4" w:space="0" w:color="auto"/>
              <w:left w:val="nil"/>
              <w:bottom w:val="single" w:sz="4" w:space="0" w:color="auto"/>
            </w:tcBorders>
            <w:shd w:val="clear" w:color="auto" w:fill="auto"/>
            <w:noWrap/>
            <w:vAlign w:val="center"/>
          </w:tcPr>
          <w:p w14:paraId="75D1D633"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12x 1hr weekly group sessions for participants to discuss and interact with Paro, an advanced interactive robot modelled after a baby seal and covered in white artificial fur.</w:t>
            </w:r>
          </w:p>
        </w:tc>
      </w:tr>
      <w:tr w:rsidR="001A455A" w:rsidRPr="001A455A" w14:paraId="7BED1187"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185AD622"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Thomas et al., 2016 (two intervention arms)</w:t>
            </w:r>
          </w:p>
        </w:tc>
        <w:tc>
          <w:tcPr>
            <w:tcW w:w="1471" w:type="dxa"/>
            <w:tcBorders>
              <w:top w:val="single" w:sz="4" w:space="0" w:color="auto"/>
              <w:left w:val="nil"/>
              <w:bottom w:val="single" w:sz="4" w:space="0" w:color="auto"/>
              <w:right w:val="nil"/>
            </w:tcBorders>
            <w:shd w:val="clear" w:color="auto" w:fill="auto"/>
            <w:noWrap/>
            <w:vAlign w:val="center"/>
          </w:tcPr>
          <w:p w14:paraId="6FD5A686"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341" w:type="dxa"/>
            <w:tcBorders>
              <w:top w:val="single" w:sz="4" w:space="0" w:color="auto"/>
              <w:left w:val="nil"/>
              <w:bottom w:val="single" w:sz="4" w:space="0" w:color="auto"/>
              <w:right w:val="nil"/>
            </w:tcBorders>
            <w:vAlign w:val="center"/>
          </w:tcPr>
          <w:p w14:paraId="72624A27"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359 older community-dwelling adults living on their own across two intervention arms</w:t>
            </w:r>
          </w:p>
          <w:p w14:paraId="3FC3B487" w14:textId="77777777" w:rsidR="00CB457E" w:rsidRPr="001A455A" w:rsidRDefault="00CB457E" w:rsidP="001C3226">
            <w:pPr>
              <w:spacing w:after="100" w:afterAutospacing="1"/>
              <w:ind w:right="-94"/>
              <w:rPr>
                <w:rFonts w:asciiTheme="minorHAnsi" w:hAnsiTheme="minorHAnsi" w:cstheme="minorHAnsi"/>
                <w:sz w:val="22"/>
                <w:szCs w:val="22"/>
              </w:rPr>
            </w:pPr>
          </w:p>
        </w:tc>
        <w:tc>
          <w:tcPr>
            <w:tcW w:w="6095" w:type="dxa"/>
            <w:tcBorders>
              <w:top w:val="single" w:sz="4" w:space="0" w:color="auto"/>
              <w:left w:val="nil"/>
              <w:bottom w:val="single" w:sz="4" w:space="0" w:color="auto"/>
            </w:tcBorders>
            <w:shd w:val="clear" w:color="auto" w:fill="auto"/>
            <w:noWrap/>
            <w:vAlign w:val="center"/>
          </w:tcPr>
          <w:p w14:paraId="51F16A58"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First intervention arm: daily meal delivery (traditional) by Meals on Wheels</w:t>
            </w:r>
          </w:p>
          <w:p w14:paraId="3589A0DD"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Second intervention arm: weekly meal delivery (frozen) by Meals on Wheels</w:t>
            </w:r>
          </w:p>
        </w:tc>
      </w:tr>
      <w:tr w:rsidR="001A455A" w:rsidRPr="001A455A" w14:paraId="5EC46B44"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50C660A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Tkatch et al., 2020</w:t>
            </w:r>
          </w:p>
        </w:tc>
        <w:tc>
          <w:tcPr>
            <w:tcW w:w="1471" w:type="dxa"/>
            <w:tcBorders>
              <w:top w:val="single" w:sz="4" w:space="0" w:color="auto"/>
              <w:left w:val="nil"/>
              <w:bottom w:val="single" w:sz="4" w:space="0" w:color="auto"/>
              <w:right w:val="nil"/>
            </w:tcBorders>
            <w:shd w:val="clear" w:color="auto" w:fill="auto"/>
            <w:noWrap/>
            <w:vAlign w:val="center"/>
          </w:tcPr>
          <w:p w14:paraId="6577B7C5"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341" w:type="dxa"/>
            <w:tcBorders>
              <w:top w:val="single" w:sz="4" w:space="0" w:color="auto"/>
              <w:left w:val="nil"/>
              <w:bottom w:val="single" w:sz="4" w:space="0" w:color="auto"/>
              <w:right w:val="nil"/>
            </w:tcBorders>
            <w:vAlign w:val="center"/>
          </w:tcPr>
          <w:p w14:paraId="3CD1E220"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125 older community-dwelling adults without pets</w:t>
            </w:r>
          </w:p>
        </w:tc>
        <w:tc>
          <w:tcPr>
            <w:tcW w:w="6095" w:type="dxa"/>
            <w:tcBorders>
              <w:top w:val="single" w:sz="4" w:space="0" w:color="auto"/>
              <w:left w:val="nil"/>
              <w:bottom w:val="single" w:sz="4" w:space="0" w:color="auto"/>
            </w:tcBorders>
            <w:shd w:val="clear" w:color="auto" w:fill="auto"/>
            <w:noWrap/>
            <w:vAlign w:val="center"/>
          </w:tcPr>
          <w:p w14:paraId="5ADCAC22"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2-months of having a weekly animatronic pet (choice of cat or dog), where participants were instructed to treat it as a pet; participants received automated weekly phone-calls reminding them to interact with their pet</w:t>
            </w:r>
          </w:p>
        </w:tc>
      </w:tr>
      <w:tr w:rsidR="001A455A" w:rsidRPr="001A455A" w14:paraId="223E1C9D" w14:textId="77777777" w:rsidTr="001C3226">
        <w:trPr>
          <w:trHeight w:val="320"/>
        </w:trPr>
        <w:tc>
          <w:tcPr>
            <w:tcW w:w="13892" w:type="dxa"/>
            <w:gridSpan w:val="4"/>
            <w:tcBorders>
              <w:top w:val="single" w:sz="4" w:space="0" w:color="auto"/>
              <w:bottom w:val="single" w:sz="4" w:space="0" w:color="auto"/>
            </w:tcBorders>
            <w:shd w:val="clear" w:color="auto" w:fill="BFBFBF" w:themeFill="background1" w:themeFillShade="BF"/>
            <w:noWrap/>
            <w:vAlign w:val="center"/>
          </w:tcPr>
          <w:p w14:paraId="30540485" w14:textId="77777777" w:rsidR="00CB457E" w:rsidRPr="001A455A" w:rsidRDefault="00CB457E" w:rsidP="001C3226">
            <w:pPr>
              <w:spacing w:after="100" w:afterAutospacing="1"/>
              <w:jc w:val="both"/>
              <w:rPr>
                <w:rFonts w:asciiTheme="minorHAnsi" w:hAnsiTheme="minorHAnsi" w:cstheme="minorHAnsi"/>
                <w:b/>
                <w:bCs/>
                <w:sz w:val="22"/>
                <w:szCs w:val="22"/>
              </w:rPr>
            </w:pPr>
            <w:r w:rsidRPr="001A455A">
              <w:rPr>
                <w:rFonts w:asciiTheme="minorHAnsi" w:hAnsiTheme="minorHAnsi" w:cstheme="minorHAnsi"/>
                <w:b/>
                <w:bCs/>
                <w:sz w:val="22"/>
                <w:szCs w:val="22"/>
              </w:rPr>
              <w:t>MULTIPLE ACTIVITIES (n=7)</w:t>
            </w:r>
          </w:p>
        </w:tc>
      </w:tr>
      <w:tr w:rsidR="001A455A" w:rsidRPr="001A455A" w14:paraId="6C206443"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43DC72A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Bartlett et al., 2012 (three intervention arms)</w:t>
            </w:r>
          </w:p>
        </w:tc>
        <w:tc>
          <w:tcPr>
            <w:tcW w:w="1471" w:type="dxa"/>
            <w:tcBorders>
              <w:top w:val="single" w:sz="4" w:space="0" w:color="auto"/>
              <w:left w:val="nil"/>
              <w:bottom w:val="single" w:sz="4" w:space="0" w:color="auto"/>
              <w:right w:val="nil"/>
            </w:tcBorders>
            <w:shd w:val="clear" w:color="auto" w:fill="auto"/>
            <w:noWrap/>
            <w:vAlign w:val="center"/>
          </w:tcPr>
          <w:p w14:paraId="7B272C4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Australia</w:t>
            </w:r>
          </w:p>
        </w:tc>
        <w:tc>
          <w:tcPr>
            <w:tcW w:w="4341" w:type="dxa"/>
            <w:tcBorders>
              <w:top w:val="single" w:sz="4" w:space="0" w:color="auto"/>
              <w:left w:val="nil"/>
              <w:bottom w:val="single" w:sz="4" w:space="0" w:color="auto"/>
              <w:right w:val="nil"/>
            </w:tcBorders>
            <w:vAlign w:val="center"/>
          </w:tcPr>
          <w:p w14:paraId="28DBC30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56 older community-dwelling adults across three intervention arms</w:t>
            </w:r>
          </w:p>
        </w:tc>
        <w:tc>
          <w:tcPr>
            <w:tcW w:w="6095" w:type="dxa"/>
            <w:tcBorders>
              <w:top w:val="single" w:sz="4" w:space="0" w:color="auto"/>
              <w:left w:val="nil"/>
              <w:bottom w:val="single" w:sz="4" w:space="0" w:color="auto"/>
            </w:tcBorders>
            <w:shd w:val="clear" w:color="auto" w:fill="auto"/>
            <w:noWrap/>
            <w:vAlign w:val="center"/>
          </w:tcPr>
          <w:p w14:paraId="11D55516"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 xml:space="preserve">Rural town: a regular fitness programme and an arts programme was established; provisions were also made to build community </w:t>
            </w:r>
            <w:r w:rsidRPr="001A455A">
              <w:rPr>
                <w:rFonts w:asciiTheme="minorHAnsi" w:hAnsiTheme="minorHAnsi" w:cstheme="minorHAnsi"/>
                <w:sz w:val="22"/>
                <w:szCs w:val="22"/>
              </w:rPr>
              <w:lastRenderedPageBreak/>
              <w:t>capacity so participants could arrange their own activities and find funding for future development.</w:t>
            </w:r>
          </w:p>
          <w:p w14:paraId="402DDE4C"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Coastal centre: community forums, an action plan and a buddy system for older people fostered engagement in community social welfare.</w:t>
            </w:r>
          </w:p>
          <w:p w14:paraId="3AB5D104"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Metropolitan centre: volunteers were recruited and trained to deliver information and resources to seniors especially migrants (e.g., leisure activities and library services)</w:t>
            </w:r>
          </w:p>
        </w:tc>
      </w:tr>
      <w:tr w:rsidR="001A455A" w:rsidRPr="001A455A" w14:paraId="3C7E58AF"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31B3481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lastRenderedPageBreak/>
              <w:t>Basaran, 2016</w:t>
            </w:r>
          </w:p>
        </w:tc>
        <w:tc>
          <w:tcPr>
            <w:tcW w:w="1471" w:type="dxa"/>
            <w:tcBorders>
              <w:top w:val="single" w:sz="4" w:space="0" w:color="auto"/>
              <w:left w:val="nil"/>
              <w:bottom w:val="single" w:sz="4" w:space="0" w:color="auto"/>
              <w:right w:val="nil"/>
            </w:tcBorders>
            <w:shd w:val="clear" w:color="auto" w:fill="auto"/>
            <w:noWrap/>
            <w:vAlign w:val="center"/>
          </w:tcPr>
          <w:p w14:paraId="45E0730A"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Turkey</w:t>
            </w:r>
          </w:p>
        </w:tc>
        <w:tc>
          <w:tcPr>
            <w:tcW w:w="4341" w:type="dxa"/>
            <w:tcBorders>
              <w:top w:val="single" w:sz="4" w:space="0" w:color="auto"/>
              <w:left w:val="nil"/>
              <w:bottom w:val="single" w:sz="4" w:space="0" w:color="auto"/>
              <w:right w:val="nil"/>
            </w:tcBorders>
            <w:vAlign w:val="center"/>
          </w:tcPr>
          <w:p w14:paraId="4EAA2FAF"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23 female adult prisoners</w:t>
            </w:r>
          </w:p>
        </w:tc>
        <w:tc>
          <w:tcPr>
            <w:tcW w:w="6095" w:type="dxa"/>
            <w:tcBorders>
              <w:top w:val="single" w:sz="4" w:space="0" w:color="auto"/>
              <w:left w:val="nil"/>
              <w:bottom w:val="single" w:sz="4" w:space="0" w:color="auto"/>
            </w:tcBorders>
            <w:shd w:val="clear" w:color="auto" w:fill="auto"/>
            <w:noWrap/>
            <w:vAlign w:val="center"/>
          </w:tcPr>
          <w:p w14:paraId="71F4195F"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1.5hr recreational sessions twice a week for 12 weeks (e.g., volleyball, karaoke, art, Zumba, orienteering)</w:t>
            </w:r>
          </w:p>
        </w:tc>
      </w:tr>
      <w:tr w:rsidR="001A455A" w:rsidRPr="001A455A" w14:paraId="70D84DB8"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561CFF2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Rodrıguez-Romero et al., 2021</w:t>
            </w:r>
          </w:p>
        </w:tc>
        <w:tc>
          <w:tcPr>
            <w:tcW w:w="1471" w:type="dxa"/>
            <w:tcBorders>
              <w:top w:val="single" w:sz="4" w:space="0" w:color="auto"/>
              <w:left w:val="nil"/>
              <w:bottom w:val="single" w:sz="4" w:space="0" w:color="auto"/>
              <w:right w:val="nil"/>
            </w:tcBorders>
            <w:shd w:val="clear" w:color="auto" w:fill="auto"/>
            <w:noWrap/>
            <w:vAlign w:val="center"/>
          </w:tcPr>
          <w:p w14:paraId="31744864"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Spain</w:t>
            </w:r>
          </w:p>
        </w:tc>
        <w:tc>
          <w:tcPr>
            <w:tcW w:w="4341" w:type="dxa"/>
            <w:tcBorders>
              <w:top w:val="single" w:sz="4" w:space="0" w:color="auto"/>
              <w:left w:val="nil"/>
              <w:bottom w:val="single" w:sz="4" w:space="0" w:color="auto"/>
              <w:right w:val="nil"/>
            </w:tcBorders>
            <w:vAlign w:val="center"/>
          </w:tcPr>
          <w:p w14:paraId="5509EF08"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55 older community-dwelling adults</w:t>
            </w:r>
          </w:p>
        </w:tc>
        <w:tc>
          <w:tcPr>
            <w:tcW w:w="6095" w:type="dxa"/>
            <w:tcBorders>
              <w:top w:val="single" w:sz="4" w:space="0" w:color="auto"/>
              <w:left w:val="nil"/>
              <w:bottom w:val="single" w:sz="4" w:space="0" w:color="auto"/>
            </w:tcBorders>
            <w:shd w:val="clear" w:color="auto" w:fill="auto"/>
            <w:noWrap/>
            <w:vAlign w:val="center"/>
          </w:tcPr>
          <w:p w14:paraId="7923E36A"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18x group sessions across 6 months consisting of: i) education health promotion and disease prevention sessions (e.g., healthy eating, needs of ageing, memory, sleep hygiene), ii) activities to improve mental and emotional state (e.g., mindfulness, yoga, laughter therapy, songs) and iii) activities to improve social networks and use of community resources (neighbourhood kitchen, cinema, green walk, cultural trip)</w:t>
            </w:r>
          </w:p>
        </w:tc>
      </w:tr>
      <w:tr w:rsidR="001A455A" w:rsidRPr="001A455A" w14:paraId="3140010A"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352A818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Roland et al., 2021</w:t>
            </w:r>
          </w:p>
        </w:tc>
        <w:tc>
          <w:tcPr>
            <w:tcW w:w="1471" w:type="dxa"/>
            <w:tcBorders>
              <w:top w:val="single" w:sz="4" w:space="0" w:color="auto"/>
              <w:left w:val="nil"/>
              <w:bottom w:val="single" w:sz="4" w:space="0" w:color="auto"/>
              <w:right w:val="nil"/>
            </w:tcBorders>
            <w:shd w:val="clear" w:color="auto" w:fill="auto"/>
            <w:noWrap/>
            <w:vAlign w:val="center"/>
          </w:tcPr>
          <w:p w14:paraId="3AB90C36"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Canada</w:t>
            </w:r>
          </w:p>
        </w:tc>
        <w:tc>
          <w:tcPr>
            <w:tcW w:w="4341" w:type="dxa"/>
            <w:tcBorders>
              <w:top w:val="single" w:sz="4" w:space="0" w:color="auto"/>
              <w:left w:val="nil"/>
              <w:bottom w:val="single" w:sz="4" w:space="0" w:color="auto"/>
              <w:right w:val="nil"/>
            </w:tcBorders>
            <w:vAlign w:val="center"/>
          </w:tcPr>
          <w:p w14:paraId="68165579"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99 older community-dwelling adults</w:t>
            </w:r>
          </w:p>
        </w:tc>
        <w:tc>
          <w:tcPr>
            <w:tcW w:w="6095" w:type="dxa"/>
            <w:tcBorders>
              <w:top w:val="single" w:sz="4" w:space="0" w:color="auto"/>
              <w:left w:val="nil"/>
              <w:bottom w:val="single" w:sz="4" w:space="0" w:color="auto"/>
            </w:tcBorders>
            <w:shd w:val="clear" w:color="auto" w:fill="auto"/>
            <w:noWrap/>
            <w:vAlign w:val="center"/>
          </w:tcPr>
          <w:p w14:paraId="3BD9E557"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6-months of weekday 2.5hr group-based telephone-based sessions; participants chose which and how many sessions to attend. Sessions included discussions, games, and presentations under the categories of health (e.g. disease management, exercise), recreation (e.g. BINGO, book clubs, museum talks), and education (e.g. arts and culture talks, English practice).</w:t>
            </w:r>
          </w:p>
        </w:tc>
      </w:tr>
      <w:tr w:rsidR="001A455A" w:rsidRPr="001A455A" w14:paraId="7945BD8E" w14:textId="77777777" w:rsidTr="001C3226">
        <w:trPr>
          <w:trHeight w:val="320"/>
        </w:trPr>
        <w:tc>
          <w:tcPr>
            <w:tcW w:w="1985" w:type="dxa"/>
            <w:tcBorders>
              <w:top w:val="single" w:sz="4" w:space="0" w:color="auto"/>
              <w:bottom w:val="single" w:sz="4" w:space="0" w:color="auto"/>
              <w:right w:val="nil"/>
            </w:tcBorders>
            <w:shd w:val="clear" w:color="auto" w:fill="auto"/>
            <w:noWrap/>
            <w:vAlign w:val="center"/>
          </w:tcPr>
          <w:p w14:paraId="7F74AC94"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Routasalo et al., 2008</w:t>
            </w:r>
          </w:p>
        </w:tc>
        <w:tc>
          <w:tcPr>
            <w:tcW w:w="1471" w:type="dxa"/>
            <w:tcBorders>
              <w:top w:val="single" w:sz="4" w:space="0" w:color="auto"/>
              <w:left w:val="nil"/>
              <w:bottom w:val="single" w:sz="4" w:space="0" w:color="auto"/>
              <w:right w:val="nil"/>
            </w:tcBorders>
            <w:shd w:val="clear" w:color="auto" w:fill="auto"/>
            <w:noWrap/>
            <w:vAlign w:val="center"/>
          </w:tcPr>
          <w:p w14:paraId="3A0DA2B3"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Finland</w:t>
            </w:r>
          </w:p>
        </w:tc>
        <w:tc>
          <w:tcPr>
            <w:tcW w:w="4341" w:type="dxa"/>
            <w:tcBorders>
              <w:top w:val="single" w:sz="4" w:space="0" w:color="auto"/>
              <w:left w:val="nil"/>
              <w:bottom w:val="single" w:sz="4" w:space="0" w:color="auto"/>
              <w:right w:val="nil"/>
            </w:tcBorders>
            <w:vAlign w:val="center"/>
          </w:tcPr>
          <w:p w14:paraId="38278D76"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228 older community-dwelling adults</w:t>
            </w:r>
          </w:p>
        </w:tc>
        <w:tc>
          <w:tcPr>
            <w:tcW w:w="6095" w:type="dxa"/>
            <w:tcBorders>
              <w:top w:val="single" w:sz="4" w:space="0" w:color="auto"/>
              <w:left w:val="nil"/>
              <w:bottom w:val="single" w:sz="4" w:space="0" w:color="auto"/>
            </w:tcBorders>
            <w:shd w:val="clear" w:color="auto" w:fill="auto"/>
            <w:noWrap/>
            <w:vAlign w:val="center"/>
          </w:tcPr>
          <w:p w14:paraId="606AB8F0"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12x weekly group sessions aimed to empower older people and promote peer support and social integration; topics were directed by the group and included art (e.g., creating art and speaking with artists), exercise (e.g., group dancing, swimming), and therapeutic writing and group therapy (e.g., writing about their experiences of loneliness and then discussing as a group).</w:t>
            </w:r>
          </w:p>
        </w:tc>
      </w:tr>
    </w:tbl>
    <w:p w14:paraId="09483A44" w14:textId="77777777" w:rsidR="00AA0656" w:rsidRPr="001A455A" w:rsidRDefault="00AA0656" w:rsidP="00AA0656">
      <w:pPr>
        <w:spacing w:after="100" w:afterAutospacing="1" w:line="276" w:lineRule="auto"/>
        <w:jc w:val="both"/>
        <w:rPr>
          <w:rFonts w:asciiTheme="minorHAnsi" w:hAnsiTheme="minorHAnsi" w:cstheme="minorHAnsi"/>
          <w:sz w:val="22"/>
          <w:szCs w:val="22"/>
        </w:rPr>
      </w:pPr>
      <w:r w:rsidRPr="001A455A">
        <w:rPr>
          <w:rFonts w:asciiTheme="minorHAnsi" w:hAnsiTheme="minorHAnsi" w:cstheme="minorHAnsi"/>
          <w:sz w:val="22"/>
          <w:szCs w:val="22"/>
          <w:vertAlign w:val="superscript"/>
        </w:rPr>
        <w:lastRenderedPageBreak/>
        <w:t xml:space="preserve">a </w:t>
      </w:r>
      <w:r w:rsidRPr="001A455A">
        <w:rPr>
          <w:rFonts w:asciiTheme="minorHAnsi" w:hAnsiTheme="minorHAnsi" w:cstheme="minorHAnsi"/>
          <w:sz w:val="22"/>
          <w:szCs w:val="22"/>
        </w:rPr>
        <w:t>Sample size represents number of participants who responded to post intervention loneliness measures across intervention and control groups</w:t>
      </w:r>
    </w:p>
    <w:p w14:paraId="442AF0A3" w14:textId="77777777" w:rsidR="00CB457E" w:rsidRPr="001A455A" w:rsidRDefault="00CB457E">
      <w:pPr>
        <w:rPr>
          <w:rFonts w:ascii="Arial" w:hAnsi="Arial" w:cs="Arial"/>
          <w:b/>
          <w:bCs/>
        </w:rPr>
      </w:pPr>
      <w:r w:rsidRPr="001A455A">
        <w:rPr>
          <w:rFonts w:ascii="Arial" w:hAnsi="Arial" w:cs="Arial"/>
          <w:b/>
          <w:bCs/>
        </w:rPr>
        <w:br w:type="page"/>
      </w:r>
    </w:p>
    <w:p w14:paraId="03A3D3F8" w14:textId="13BCD5CA" w:rsidR="00CB457E" w:rsidRPr="001A455A" w:rsidRDefault="009213AB" w:rsidP="00CB457E">
      <w:pPr>
        <w:spacing w:after="100" w:afterAutospacing="1"/>
        <w:rPr>
          <w:rFonts w:asciiTheme="minorHAnsi" w:hAnsiTheme="minorHAnsi" w:cstheme="minorHAnsi"/>
          <w:b/>
          <w:bCs/>
          <w:sz w:val="22"/>
          <w:szCs w:val="22"/>
        </w:rPr>
      </w:pPr>
      <w:r w:rsidRPr="001A455A">
        <w:rPr>
          <w:rFonts w:asciiTheme="minorHAnsi" w:hAnsiTheme="minorHAnsi" w:cstheme="minorHAnsi"/>
          <w:b/>
          <w:bCs/>
          <w:sz w:val="22"/>
          <w:szCs w:val="22"/>
        </w:rPr>
        <w:lastRenderedPageBreak/>
        <w:t xml:space="preserve">Supplementary </w:t>
      </w:r>
      <w:r w:rsidR="00CB457E" w:rsidRPr="001A455A">
        <w:rPr>
          <w:rFonts w:asciiTheme="minorHAnsi" w:hAnsiTheme="minorHAnsi" w:cstheme="minorHAnsi"/>
          <w:b/>
          <w:bCs/>
          <w:sz w:val="22"/>
          <w:szCs w:val="22"/>
        </w:rPr>
        <w:t xml:space="preserve">Table </w:t>
      </w:r>
      <w:r w:rsidRPr="001A455A">
        <w:rPr>
          <w:rFonts w:asciiTheme="minorHAnsi" w:hAnsiTheme="minorHAnsi" w:cstheme="minorHAnsi"/>
          <w:b/>
          <w:bCs/>
          <w:sz w:val="22"/>
          <w:szCs w:val="22"/>
        </w:rPr>
        <w:t>S6</w:t>
      </w:r>
      <w:r w:rsidR="00CB457E" w:rsidRPr="001A455A">
        <w:rPr>
          <w:rFonts w:asciiTheme="minorHAnsi" w:hAnsiTheme="minorHAnsi" w:cstheme="minorHAnsi"/>
          <w:b/>
          <w:bCs/>
          <w:sz w:val="22"/>
          <w:szCs w:val="22"/>
        </w:rPr>
        <w:t>. Characteristics of each intervention in the Social Support theme (n=46)</w:t>
      </w:r>
    </w:p>
    <w:tbl>
      <w:tblPr>
        <w:tblpPr w:leftFromText="180" w:rightFromText="180" w:vertAnchor="text" w:tblpY="1"/>
        <w:tblOverlap w:val="never"/>
        <w:tblW w:w="13951" w:type="dxa"/>
        <w:tblLook w:val="04A0" w:firstRow="1" w:lastRow="0" w:firstColumn="1" w:lastColumn="0" w:noHBand="0" w:noVBand="1"/>
      </w:tblPr>
      <w:tblGrid>
        <w:gridCol w:w="1977"/>
        <w:gridCol w:w="1407"/>
        <w:gridCol w:w="4271"/>
        <w:gridCol w:w="6296"/>
      </w:tblGrid>
      <w:tr w:rsidR="001A455A" w:rsidRPr="001A455A" w14:paraId="3F8147D1" w14:textId="77777777" w:rsidTr="001C3226">
        <w:trPr>
          <w:trHeight w:val="557"/>
          <w:tblHeader/>
        </w:trPr>
        <w:tc>
          <w:tcPr>
            <w:tcW w:w="1977" w:type="dxa"/>
            <w:tcBorders>
              <w:top w:val="single" w:sz="4" w:space="0" w:color="auto"/>
              <w:bottom w:val="single" w:sz="4" w:space="0" w:color="auto"/>
            </w:tcBorders>
            <w:shd w:val="clear" w:color="auto" w:fill="auto"/>
            <w:vAlign w:val="center"/>
            <w:hideMark/>
          </w:tcPr>
          <w:p w14:paraId="4A8723FA" w14:textId="77777777" w:rsidR="00CB457E" w:rsidRPr="001A455A" w:rsidRDefault="00CB457E" w:rsidP="001C3226">
            <w:pPr>
              <w:spacing w:after="100" w:afterAutospacing="1"/>
              <w:rPr>
                <w:rFonts w:asciiTheme="minorHAnsi" w:hAnsiTheme="minorHAnsi" w:cstheme="minorHAnsi"/>
                <w:b/>
                <w:bCs/>
                <w:sz w:val="22"/>
                <w:szCs w:val="22"/>
              </w:rPr>
            </w:pPr>
            <w:r w:rsidRPr="001A455A">
              <w:rPr>
                <w:rFonts w:asciiTheme="minorHAnsi" w:hAnsiTheme="minorHAnsi" w:cstheme="minorHAnsi"/>
                <w:b/>
                <w:bCs/>
                <w:sz w:val="22"/>
                <w:szCs w:val="22"/>
              </w:rPr>
              <w:t>Authors</w:t>
            </w:r>
          </w:p>
        </w:tc>
        <w:tc>
          <w:tcPr>
            <w:tcW w:w="1407" w:type="dxa"/>
            <w:tcBorders>
              <w:top w:val="single" w:sz="4" w:space="0" w:color="auto"/>
              <w:bottom w:val="single" w:sz="4" w:space="0" w:color="auto"/>
            </w:tcBorders>
            <w:shd w:val="clear" w:color="auto" w:fill="auto"/>
            <w:vAlign w:val="center"/>
            <w:hideMark/>
          </w:tcPr>
          <w:p w14:paraId="3D7C19C1" w14:textId="77777777" w:rsidR="00CB457E" w:rsidRPr="001A455A" w:rsidRDefault="00CB457E" w:rsidP="001C3226">
            <w:pPr>
              <w:spacing w:after="100" w:afterAutospacing="1"/>
              <w:ind w:right="-59"/>
              <w:rPr>
                <w:rFonts w:asciiTheme="minorHAnsi" w:hAnsiTheme="minorHAnsi" w:cstheme="minorHAnsi"/>
                <w:b/>
                <w:bCs/>
                <w:sz w:val="22"/>
                <w:szCs w:val="22"/>
              </w:rPr>
            </w:pPr>
            <w:r w:rsidRPr="001A455A">
              <w:rPr>
                <w:rFonts w:asciiTheme="minorHAnsi" w:hAnsiTheme="minorHAnsi" w:cstheme="minorHAnsi"/>
                <w:b/>
                <w:bCs/>
                <w:sz w:val="22"/>
                <w:szCs w:val="22"/>
              </w:rPr>
              <w:t>Country</w:t>
            </w:r>
          </w:p>
        </w:tc>
        <w:tc>
          <w:tcPr>
            <w:tcW w:w="4271" w:type="dxa"/>
            <w:tcBorders>
              <w:top w:val="single" w:sz="4" w:space="0" w:color="auto"/>
              <w:bottom w:val="single" w:sz="4" w:space="0" w:color="auto"/>
            </w:tcBorders>
            <w:shd w:val="clear" w:color="auto" w:fill="auto"/>
            <w:vAlign w:val="center"/>
            <w:hideMark/>
          </w:tcPr>
          <w:p w14:paraId="5CF4E0DF" w14:textId="77777777" w:rsidR="00CB457E" w:rsidRPr="001A455A" w:rsidRDefault="00CB457E" w:rsidP="001C3226">
            <w:pPr>
              <w:spacing w:after="100" w:afterAutospacing="1"/>
              <w:ind w:right="-94"/>
              <w:rPr>
                <w:rFonts w:asciiTheme="minorHAnsi" w:hAnsiTheme="minorHAnsi" w:cstheme="minorHAnsi"/>
                <w:b/>
                <w:bCs/>
                <w:sz w:val="22"/>
                <w:szCs w:val="22"/>
              </w:rPr>
            </w:pPr>
            <w:r w:rsidRPr="001A455A">
              <w:rPr>
                <w:rFonts w:asciiTheme="minorHAnsi" w:hAnsiTheme="minorHAnsi" w:cstheme="minorHAnsi"/>
                <w:b/>
                <w:bCs/>
                <w:sz w:val="22"/>
                <w:szCs w:val="22"/>
              </w:rPr>
              <w:t xml:space="preserve">Sample size </w:t>
            </w:r>
            <w:r w:rsidRPr="001A455A">
              <w:rPr>
                <w:rFonts w:asciiTheme="minorHAnsi" w:hAnsiTheme="minorHAnsi" w:cstheme="minorHAnsi"/>
                <w:b/>
                <w:bCs/>
                <w:sz w:val="22"/>
                <w:szCs w:val="22"/>
                <w:vertAlign w:val="superscript"/>
              </w:rPr>
              <w:t>a</w:t>
            </w:r>
            <w:r w:rsidRPr="001A455A">
              <w:rPr>
                <w:rFonts w:asciiTheme="minorHAnsi" w:hAnsiTheme="minorHAnsi" w:cstheme="minorHAnsi"/>
                <w:b/>
                <w:bCs/>
                <w:sz w:val="22"/>
                <w:szCs w:val="22"/>
              </w:rPr>
              <w:t xml:space="preserve"> and description</w:t>
            </w:r>
          </w:p>
        </w:tc>
        <w:tc>
          <w:tcPr>
            <w:tcW w:w="6296" w:type="dxa"/>
            <w:tcBorders>
              <w:top w:val="single" w:sz="4" w:space="0" w:color="auto"/>
              <w:bottom w:val="single" w:sz="4" w:space="0" w:color="auto"/>
            </w:tcBorders>
            <w:shd w:val="clear" w:color="auto" w:fill="auto"/>
            <w:vAlign w:val="center"/>
            <w:hideMark/>
          </w:tcPr>
          <w:p w14:paraId="3963AA19" w14:textId="77777777" w:rsidR="00CB457E" w:rsidRPr="001A455A" w:rsidRDefault="00CB457E" w:rsidP="001C3226">
            <w:pPr>
              <w:spacing w:after="100" w:afterAutospacing="1"/>
              <w:ind w:right="-94"/>
              <w:rPr>
                <w:rFonts w:asciiTheme="minorHAnsi" w:hAnsiTheme="minorHAnsi" w:cstheme="minorHAnsi"/>
                <w:b/>
                <w:bCs/>
                <w:sz w:val="22"/>
                <w:szCs w:val="22"/>
              </w:rPr>
            </w:pPr>
            <w:r w:rsidRPr="001A455A">
              <w:rPr>
                <w:rFonts w:asciiTheme="minorHAnsi" w:hAnsiTheme="minorHAnsi" w:cstheme="minorHAnsi"/>
                <w:b/>
                <w:bCs/>
                <w:sz w:val="22"/>
                <w:szCs w:val="22"/>
              </w:rPr>
              <w:t xml:space="preserve">Intervention description </w:t>
            </w:r>
          </w:p>
        </w:tc>
      </w:tr>
      <w:tr w:rsidR="001A455A" w:rsidRPr="001A455A" w14:paraId="4C75B20D" w14:textId="77777777" w:rsidTr="001C3226">
        <w:trPr>
          <w:trHeight w:val="320"/>
        </w:trPr>
        <w:tc>
          <w:tcPr>
            <w:tcW w:w="13951" w:type="dxa"/>
            <w:gridSpan w:val="4"/>
            <w:tcBorders>
              <w:top w:val="single" w:sz="4" w:space="0" w:color="auto"/>
              <w:bottom w:val="single" w:sz="4" w:space="0" w:color="auto"/>
            </w:tcBorders>
            <w:shd w:val="clear" w:color="auto" w:fill="BFBFBF" w:themeFill="background1" w:themeFillShade="BF"/>
            <w:noWrap/>
            <w:vAlign w:val="center"/>
          </w:tcPr>
          <w:p w14:paraId="5DACE262" w14:textId="77777777" w:rsidR="00CB457E" w:rsidRPr="001A455A" w:rsidRDefault="00CB457E" w:rsidP="001C3226">
            <w:pPr>
              <w:spacing w:after="100" w:afterAutospacing="1"/>
              <w:rPr>
                <w:rFonts w:asciiTheme="minorHAnsi" w:eastAsiaTheme="minorHAnsi" w:hAnsiTheme="minorHAnsi" w:cstheme="minorHAnsi"/>
                <w:b/>
                <w:bCs/>
                <w:kern w:val="2"/>
                <w:sz w:val="22"/>
                <w:szCs w:val="22"/>
                <w:lang w:eastAsia="en-US"/>
                <w14:ligatures w14:val="standardContextual"/>
              </w:rPr>
            </w:pPr>
            <w:r w:rsidRPr="001A455A">
              <w:rPr>
                <w:rFonts w:asciiTheme="minorHAnsi" w:hAnsiTheme="minorHAnsi" w:cstheme="minorHAnsi"/>
                <w:b/>
                <w:bCs/>
                <w:sz w:val="22"/>
                <w:szCs w:val="22"/>
              </w:rPr>
              <w:t>BEFRIENDING/MENTORING/PEER-SUPPORT (N= 20)</w:t>
            </w:r>
          </w:p>
        </w:tc>
      </w:tr>
      <w:tr w:rsidR="001A455A" w:rsidRPr="001A455A" w14:paraId="77FE375F"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5A3C7E8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Bouwman et al., 2017</w:t>
            </w:r>
          </w:p>
        </w:tc>
        <w:tc>
          <w:tcPr>
            <w:tcW w:w="1407" w:type="dxa"/>
            <w:tcBorders>
              <w:top w:val="single" w:sz="4" w:space="0" w:color="auto"/>
              <w:left w:val="nil"/>
              <w:bottom w:val="single" w:sz="4" w:space="0" w:color="auto"/>
              <w:right w:val="nil"/>
            </w:tcBorders>
            <w:shd w:val="clear" w:color="auto" w:fill="auto"/>
            <w:noWrap/>
            <w:vAlign w:val="center"/>
            <w:hideMark/>
          </w:tcPr>
          <w:p w14:paraId="5DCDF646"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Netherlands</w:t>
            </w:r>
          </w:p>
        </w:tc>
        <w:tc>
          <w:tcPr>
            <w:tcW w:w="4271" w:type="dxa"/>
            <w:tcBorders>
              <w:top w:val="single" w:sz="4" w:space="0" w:color="auto"/>
              <w:left w:val="nil"/>
              <w:bottom w:val="single" w:sz="4" w:space="0" w:color="auto"/>
              <w:right w:val="nil"/>
            </w:tcBorders>
            <w:shd w:val="clear" w:color="auto" w:fill="auto"/>
            <w:noWrap/>
            <w:vAlign w:val="center"/>
            <w:hideMark/>
          </w:tcPr>
          <w:p w14:paraId="416DCC59"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75 older community-dwelling adults</w:t>
            </w:r>
          </w:p>
        </w:tc>
        <w:tc>
          <w:tcPr>
            <w:tcW w:w="6296" w:type="dxa"/>
            <w:tcBorders>
              <w:top w:val="single" w:sz="4" w:space="0" w:color="auto"/>
              <w:left w:val="nil"/>
              <w:bottom w:val="single" w:sz="4" w:space="0" w:color="auto"/>
            </w:tcBorders>
            <w:shd w:val="clear" w:color="auto" w:fill="auto"/>
            <w:noWrap/>
            <w:vAlign w:val="center"/>
            <w:hideMark/>
          </w:tcPr>
          <w:p w14:paraId="2C4541E8"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Online Friendship Enrichment Program; 5 online lessons to encourage participants to become aware of their social needs/desires, analyse existing social network, reflect on friendship expectations and develop new friendships</w:t>
            </w:r>
          </w:p>
        </w:tc>
      </w:tr>
      <w:tr w:rsidR="001A455A" w:rsidRPr="001A455A" w14:paraId="7F85AD24"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6E9F2C6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Burchett et al., 2022</w:t>
            </w:r>
          </w:p>
        </w:tc>
        <w:tc>
          <w:tcPr>
            <w:tcW w:w="1407" w:type="dxa"/>
            <w:tcBorders>
              <w:top w:val="single" w:sz="4" w:space="0" w:color="auto"/>
              <w:left w:val="nil"/>
              <w:bottom w:val="single" w:sz="4" w:space="0" w:color="auto"/>
              <w:right w:val="nil"/>
            </w:tcBorders>
            <w:shd w:val="clear" w:color="auto" w:fill="auto"/>
            <w:noWrap/>
            <w:vAlign w:val="center"/>
            <w:hideMark/>
          </w:tcPr>
          <w:p w14:paraId="6B772CAE"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Wales</w:t>
            </w:r>
          </w:p>
        </w:tc>
        <w:tc>
          <w:tcPr>
            <w:tcW w:w="4271" w:type="dxa"/>
            <w:tcBorders>
              <w:top w:val="single" w:sz="4" w:space="0" w:color="auto"/>
              <w:left w:val="nil"/>
              <w:bottom w:val="single" w:sz="4" w:space="0" w:color="auto"/>
              <w:right w:val="nil"/>
            </w:tcBorders>
            <w:shd w:val="clear" w:color="auto" w:fill="auto"/>
            <w:noWrap/>
            <w:vAlign w:val="center"/>
            <w:hideMark/>
          </w:tcPr>
          <w:p w14:paraId="55F9F124" w14:textId="77777777" w:rsidR="00CB457E" w:rsidRPr="001A455A" w:rsidRDefault="00CB457E" w:rsidP="001C3226">
            <w:pPr>
              <w:spacing w:after="100" w:afterAutospacing="1"/>
              <w:ind w:right="-252"/>
              <w:rPr>
                <w:rFonts w:asciiTheme="minorHAnsi" w:hAnsiTheme="minorHAnsi" w:cstheme="minorHAnsi"/>
                <w:sz w:val="22"/>
                <w:szCs w:val="22"/>
              </w:rPr>
            </w:pPr>
            <w:r w:rsidRPr="001A455A">
              <w:rPr>
                <w:rFonts w:asciiTheme="minorHAnsi" w:hAnsiTheme="minorHAnsi" w:cstheme="minorHAnsi"/>
                <w:sz w:val="22"/>
                <w:szCs w:val="22"/>
              </w:rPr>
              <w:t xml:space="preserve">n= 26 older people living in supported housing and experiencing or at risk of experiencing social isolation and/or loneliness </w:t>
            </w:r>
          </w:p>
        </w:tc>
        <w:tc>
          <w:tcPr>
            <w:tcW w:w="6296" w:type="dxa"/>
            <w:tcBorders>
              <w:top w:val="single" w:sz="4" w:space="0" w:color="auto"/>
              <w:left w:val="nil"/>
              <w:bottom w:val="single" w:sz="4" w:space="0" w:color="auto"/>
            </w:tcBorders>
            <w:shd w:val="clear" w:color="auto" w:fill="auto"/>
            <w:noWrap/>
            <w:vAlign w:val="center"/>
            <w:hideMark/>
          </w:tcPr>
          <w:p w14:paraId="70A4DB80"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 xml:space="preserve">2 peer support groups - weekly sessions lasting ~12 weeks  </w:t>
            </w:r>
          </w:p>
        </w:tc>
      </w:tr>
      <w:tr w:rsidR="001A455A" w:rsidRPr="001A455A" w14:paraId="581B0143"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465030C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Hernández-Ascanio, et al., 2022</w:t>
            </w:r>
          </w:p>
        </w:tc>
        <w:tc>
          <w:tcPr>
            <w:tcW w:w="1407" w:type="dxa"/>
            <w:tcBorders>
              <w:top w:val="single" w:sz="4" w:space="0" w:color="auto"/>
              <w:left w:val="nil"/>
              <w:bottom w:val="single" w:sz="4" w:space="0" w:color="auto"/>
              <w:right w:val="nil"/>
            </w:tcBorders>
            <w:shd w:val="clear" w:color="auto" w:fill="auto"/>
            <w:noWrap/>
            <w:vAlign w:val="center"/>
            <w:hideMark/>
          </w:tcPr>
          <w:p w14:paraId="0D6CB92F"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Spain</w:t>
            </w:r>
          </w:p>
        </w:tc>
        <w:tc>
          <w:tcPr>
            <w:tcW w:w="4271" w:type="dxa"/>
            <w:tcBorders>
              <w:top w:val="single" w:sz="4" w:space="0" w:color="auto"/>
              <w:left w:val="nil"/>
              <w:bottom w:val="single" w:sz="4" w:space="0" w:color="auto"/>
              <w:right w:val="nil"/>
            </w:tcBorders>
            <w:shd w:val="clear" w:color="auto" w:fill="auto"/>
            <w:noWrap/>
            <w:vAlign w:val="center"/>
            <w:hideMark/>
          </w:tcPr>
          <w:p w14:paraId="1F0906F5"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94 older adults in primary care centres</w:t>
            </w:r>
          </w:p>
        </w:tc>
        <w:tc>
          <w:tcPr>
            <w:tcW w:w="6296" w:type="dxa"/>
            <w:tcBorders>
              <w:top w:val="single" w:sz="4" w:space="0" w:color="auto"/>
              <w:left w:val="nil"/>
              <w:bottom w:val="single" w:sz="4" w:space="0" w:color="auto"/>
            </w:tcBorders>
            <w:shd w:val="clear" w:color="auto" w:fill="auto"/>
            <w:noWrap/>
            <w:vAlign w:val="center"/>
            <w:hideMark/>
          </w:tcPr>
          <w:p w14:paraId="385CB866"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4-month CARELINK programme; 6x face-to-face home sessions (30+ min) and 5 telephone calls (20+ min) to stimulate social integration and encourage renewed socialisation</w:t>
            </w:r>
          </w:p>
        </w:tc>
      </w:tr>
      <w:tr w:rsidR="001A455A" w:rsidRPr="001A455A" w14:paraId="7347D7CD"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1F0C49D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Juris et al., 2022</w:t>
            </w:r>
          </w:p>
          <w:p w14:paraId="357AC462" w14:textId="77777777" w:rsidR="00CB457E" w:rsidRPr="001A455A" w:rsidRDefault="00CB457E" w:rsidP="001C3226">
            <w:pPr>
              <w:spacing w:after="100" w:afterAutospacing="1"/>
              <w:rPr>
                <w:rFonts w:asciiTheme="minorHAnsi" w:hAnsiTheme="minorHAnsi" w:cstheme="minorHAnsi"/>
                <w:sz w:val="22"/>
                <w:szCs w:val="22"/>
              </w:rPr>
            </w:pPr>
          </w:p>
        </w:tc>
        <w:tc>
          <w:tcPr>
            <w:tcW w:w="1407" w:type="dxa"/>
            <w:tcBorders>
              <w:top w:val="single" w:sz="4" w:space="0" w:color="auto"/>
              <w:left w:val="nil"/>
              <w:bottom w:val="single" w:sz="4" w:space="0" w:color="auto"/>
              <w:right w:val="nil"/>
            </w:tcBorders>
            <w:shd w:val="clear" w:color="auto" w:fill="auto"/>
            <w:noWrap/>
            <w:vAlign w:val="center"/>
            <w:hideMark/>
          </w:tcPr>
          <w:p w14:paraId="41CCAB4F"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63D4C905"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Mentees: n= 7 older community-dwelling adults</w:t>
            </w:r>
          </w:p>
          <w:p w14:paraId="75309E0E"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Mentors: n= 18 university students</w:t>
            </w:r>
          </w:p>
        </w:tc>
        <w:tc>
          <w:tcPr>
            <w:tcW w:w="6296" w:type="dxa"/>
            <w:tcBorders>
              <w:top w:val="single" w:sz="4" w:space="0" w:color="auto"/>
              <w:left w:val="nil"/>
              <w:bottom w:val="single" w:sz="4" w:space="0" w:color="auto"/>
            </w:tcBorders>
            <w:shd w:val="clear" w:color="auto" w:fill="auto"/>
            <w:noWrap/>
            <w:vAlign w:val="center"/>
            <w:hideMark/>
          </w:tcPr>
          <w:p w14:paraId="652C65BC"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1-4 'reverse mentoring' sessions over a 3-month period, where student technology mentors offered solution via phone or video conferencing</w:t>
            </w:r>
          </w:p>
        </w:tc>
      </w:tr>
      <w:tr w:rsidR="001A455A" w:rsidRPr="001A455A" w14:paraId="72D087C2"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262ED30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Kahlon et al., 2021</w:t>
            </w:r>
          </w:p>
        </w:tc>
        <w:tc>
          <w:tcPr>
            <w:tcW w:w="1407" w:type="dxa"/>
            <w:tcBorders>
              <w:top w:val="single" w:sz="4" w:space="0" w:color="auto"/>
              <w:left w:val="nil"/>
              <w:bottom w:val="single" w:sz="4" w:space="0" w:color="auto"/>
              <w:right w:val="nil"/>
            </w:tcBorders>
            <w:shd w:val="clear" w:color="auto" w:fill="auto"/>
            <w:noWrap/>
            <w:vAlign w:val="center"/>
            <w:hideMark/>
          </w:tcPr>
          <w:p w14:paraId="6D6186D5"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517E7F6E"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226 adults that are clients of meals on wheels</w:t>
            </w:r>
          </w:p>
        </w:tc>
        <w:tc>
          <w:tcPr>
            <w:tcW w:w="6296" w:type="dxa"/>
            <w:tcBorders>
              <w:top w:val="single" w:sz="4" w:space="0" w:color="auto"/>
              <w:left w:val="nil"/>
              <w:bottom w:val="single" w:sz="4" w:space="0" w:color="auto"/>
            </w:tcBorders>
            <w:shd w:val="clear" w:color="auto" w:fill="auto"/>
            <w:noWrap/>
            <w:vAlign w:val="center"/>
            <w:hideMark/>
          </w:tcPr>
          <w:p w14:paraId="7CEB8815"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4-weeks of receiving phone calls of &lt;10 min (5x/week for 1st week, 2-5x/week for 3 weeks as decided by each participant); volunteers were trained in empathetic conversation techniques and told the goal was to learn something from each person they called</w:t>
            </w:r>
          </w:p>
        </w:tc>
      </w:tr>
      <w:tr w:rsidR="001A455A" w:rsidRPr="001A455A" w14:paraId="749082B6"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44F520A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Kahlon et al., 2021</w:t>
            </w:r>
          </w:p>
        </w:tc>
        <w:tc>
          <w:tcPr>
            <w:tcW w:w="1407" w:type="dxa"/>
            <w:tcBorders>
              <w:top w:val="single" w:sz="4" w:space="0" w:color="auto"/>
              <w:left w:val="nil"/>
              <w:bottom w:val="single" w:sz="4" w:space="0" w:color="auto"/>
              <w:right w:val="nil"/>
            </w:tcBorders>
            <w:shd w:val="clear" w:color="auto" w:fill="auto"/>
            <w:noWrap/>
            <w:vAlign w:val="center"/>
            <w:hideMark/>
          </w:tcPr>
          <w:p w14:paraId="0AF368CA"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3707BBFD"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226 homebound, largely single, adults who require meals from a community-based provider</w:t>
            </w:r>
          </w:p>
        </w:tc>
        <w:tc>
          <w:tcPr>
            <w:tcW w:w="6296" w:type="dxa"/>
            <w:tcBorders>
              <w:top w:val="single" w:sz="4" w:space="0" w:color="auto"/>
              <w:left w:val="nil"/>
              <w:bottom w:val="single" w:sz="4" w:space="0" w:color="auto"/>
            </w:tcBorders>
            <w:shd w:val="clear" w:color="auto" w:fill="auto"/>
            <w:noWrap/>
            <w:vAlign w:val="center"/>
            <w:hideMark/>
          </w:tcPr>
          <w:p w14:paraId="3EC3B200"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 xml:space="preserve">Empathy-oriented (empathetic listening) telephone call program lasting 4 weeks. Initially with daily calls then dependent on need/preference. Calls lasted 10 minutes max. </w:t>
            </w:r>
          </w:p>
        </w:tc>
      </w:tr>
      <w:tr w:rsidR="001A455A" w:rsidRPr="001A455A" w14:paraId="60684BA7"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66F382B7"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Lai et al., 2020</w:t>
            </w:r>
          </w:p>
        </w:tc>
        <w:tc>
          <w:tcPr>
            <w:tcW w:w="1407" w:type="dxa"/>
            <w:tcBorders>
              <w:top w:val="single" w:sz="4" w:space="0" w:color="auto"/>
              <w:left w:val="nil"/>
              <w:bottom w:val="single" w:sz="4" w:space="0" w:color="auto"/>
              <w:right w:val="nil"/>
            </w:tcBorders>
            <w:shd w:val="clear" w:color="auto" w:fill="auto"/>
            <w:noWrap/>
            <w:vAlign w:val="center"/>
            <w:hideMark/>
          </w:tcPr>
          <w:p w14:paraId="26EA9766"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Canada</w:t>
            </w:r>
          </w:p>
        </w:tc>
        <w:tc>
          <w:tcPr>
            <w:tcW w:w="4271" w:type="dxa"/>
            <w:tcBorders>
              <w:top w:val="single" w:sz="4" w:space="0" w:color="auto"/>
              <w:left w:val="nil"/>
              <w:bottom w:val="single" w:sz="4" w:space="0" w:color="auto"/>
              <w:right w:val="nil"/>
            </w:tcBorders>
            <w:shd w:val="clear" w:color="auto" w:fill="auto"/>
            <w:noWrap/>
            <w:vAlign w:val="center"/>
            <w:hideMark/>
          </w:tcPr>
          <w:p w14:paraId="10BEF3A2"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60 older community-dwelling adults who have immigrated from China</w:t>
            </w:r>
          </w:p>
        </w:tc>
        <w:tc>
          <w:tcPr>
            <w:tcW w:w="6296" w:type="dxa"/>
            <w:tcBorders>
              <w:top w:val="single" w:sz="4" w:space="0" w:color="auto"/>
              <w:left w:val="nil"/>
              <w:bottom w:val="single" w:sz="4" w:space="0" w:color="auto"/>
            </w:tcBorders>
            <w:shd w:val="clear" w:color="auto" w:fill="auto"/>
            <w:noWrap/>
            <w:vAlign w:val="center"/>
            <w:hideMark/>
          </w:tcPr>
          <w:p w14:paraId="08953D96"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8-week peer support intervention in which volunteers (2 per participant) provide emotional support, problem-solving support, and community resource sharing through home visits and phone calls.</w:t>
            </w:r>
          </w:p>
        </w:tc>
      </w:tr>
      <w:tr w:rsidR="001A455A" w:rsidRPr="001A455A" w14:paraId="1247AF26"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1C2B2D4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Larsen et al., 2019 (two intervention arms)</w:t>
            </w:r>
          </w:p>
        </w:tc>
        <w:tc>
          <w:tcPr>
            <w:tcW w:w="1407" w:type="dxa"/>
            <w:tcBorders>
              <w:top w:val="single" w:sz="4" w:space="0" w:color="auto"/>
              <w:left w:val="nil"/>
              <w:bottom w:val="single" w:sz="4" w:space="0" w:color="auto"/>
              <w:right w:val="nil"/>
            </w:tcBorders>
            <w:shd w:val="clear" w:color="auto" w:fill="auto"/>
            <w:noWrap/>
            <w:vAlign w:val="center"/>
            <w:hideMark/>
          </w:tcPr>
          <w:p w14:paraId="3F75781A"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Norway</w:t>
            </w:r>
          </w:p>
        </w:tc>
        <w:tc>
          <w:tcPr>
            <w:tcW w:w="4271" w:type="dxa"/>
            <w:tcBorders>
              <w:top w:val="single" w:sz="4" w:space="0" w:color="auto"/>
              <w:left w:val="nil"/>
              <w:bottom w:val="single" w:sz="4" w:space="0" w:color="auto"/>
              <w:right w:val="nil"/>
            </w:tcBorders>
            <w:shd w:val="clear" w:color="auto" w:fill="auto"/>
            <w:noWrap/>
            <w:vAlign w:val="center"/>
            <w:hideMark/>
          </w:tcPr>
          <w:p w14:paraId="188D5FD4"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1937 upper secondary school teenagers across two arms</w:t>
            </w:r>
          </w:p>
        </w:tc>
        <w:tc>
          <w:tcPr>
            <w:tcW w:w="6296" w:type="dxa"/>
            <w:tcBorders>
              <w:top w:val="single" w:sz="4" w:space="0" w:color="auto"/>
              <w:left w:val="nil"/>
              <w:bottom w:val="single" w:sz="4" w:space="0" w:color="auto"/>
            </w:tcBorders>
            <w:shd w:val="clear" w:color="auto" w:fill="auto"/>
            <w:noWrap/>
            <w:vAlign w:val="center"/>
            <w:hideMark/>
          </w:tcPr>
          <w:p w14:paraId="02A20E74"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 xml:space="preserve">First intervention arm: single-tier. 8-month programme in which students are trained as peer mentors and work with teachers (in </w:t>
            </w:r>
            <w:r w:rsidRPr="001A455A">
              <w:rPr>
                <w:rFonts w:asciiTheme="minorHAnsi" w:hAnsiTheme="minorHAnsi" w:cstheme="minorHAnsi"/>
                <w:sz w:val="22"/>
                <w:szCs w:val="22"/>
              </w:rPr>
              <w:lastRenderedPageBreak/>
              <w:t>group meetings throughout year) to create and maintain good psychosocial class environment.</w:t>
            </w:r>
          </w:p>
          <w:p w14:paraId="1E1121BA"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Second intervention arm: multi-tier consisting of 1) 8-month programme in which students are trained as peer mentors and work with teachers (in group meetings throughout year) to create and maintain good psychosocial class environment and 2) a mental health support team consisting of counsellors, school nurses and follow-up services staff which targets individual students with mental health problems or those at-risk of dropping out.</w:t>
            </w:r>
          </w:p>
        </w:tc>
      </w:tr>
      <w:tr w:rsidR="001A455A" w:rsidRPr="001A455A" w14:paraId="1C35F393"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6316EF5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lastRenderedPageBreak/>
              <w:t>Lorente-Martínez et al., 2021</w:t>
            </w:r>
          </w:p>
        </w:tc>
        <w:tc>
          <w:tcPr>
            <w:tcW w:w="1407" w:type="dxa"/>
            <w:tcBorders>
              <w:top w:val="single" w:sz="4" w:space="0" w:color="auto"/>
              <w:left w:val="nil"/>
              <w:bottom w:val="single" w:sz="4" w:space="0" w:color="auto"/>
              <w:right w:val="nil"/>
            </w:tcBorders>
            <w:shd w:val="clear" w:color="auto" w:fill="auto"/>
            <w:noWrap/>
            <w:vAlign w:val="center"/>
            <w:hideMark/>
          </w:tcPr>
          <w:p w14:paraId="01E9A339"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Spain</w:t>
            </w:r>
          </w:p>
        </w:tc>
        <w:tc>
          <w:tcPr>
            <w:tcW w:w="4271" w:type="dxa"/>
            <w:tcBorders>
              <w:top w:val="single" w:sz="4" w:space="0" w:color="auto"/>
              <w:left w:val="nil"/>
              <w:bottom w:val="single" w:sz="4" w:space="0" w:color="auto"/>
              <w:right w:val="nil"/>
            </w:tcBorders>
            <w:shd w:val="clear" w:color="auto" w:fill="auto"/>
            <w:noWrap/>
            <w:vAlign w:val="center"/>
            <w:hideMark/>
          </w:tcPr>
          <w:p w14:paraId="7B276C6A" w14:textId="77777777" w:rsidR="00CB457E" w:rsidRPr="001A455A" w:rsidRDefault="00CB457E" w:rsidP="001C3226">
            <w:pPr>
              <w:spacing w:after="100" w:afterAutospacing="1"/>
              <w:ind w:right="-94"/>
              <w:rPr>
                <w:rFonts w:asciiTheme="minorHAnsi" w:hAnsiTheme="minorHAnsi" w:cstheme="minorHAnsi"/>
                <w:sz w:val="22"/>
                <w:szCs w:val="22"/>
              </w:rPr>
            </w:pPr>
            <w:r w:rsidRPr="001A455A">
              <w:rPr>
                <w:rFonts w:asciiTheme="minorHAnsi" w:hAnsiTheme="minorHAnsi" w:cstheme="minorHAnsi"/>
                <w:sz w:val="22"/>
                <w:szCs w:val="22"/>
              </w:rPr>
              <w:t>n= 48 older women living alone</w:t>
            </w:r>
          </w:p>
        </w:tc>
        <w:tc>
          <w:tcPr>
            <w:tcW w:w="6296" w:type="dxa"/>
            <w:tcBorders>
              <w:top w:val="single" w:sz="4" w:space="0" w:color="auto"/>
              <w:left w:val="nil"/>
              <w:bottom w:val="single" w:sz="4" w:space="0" w:color="auto"/>
            </w:tcBorders>
            <w:shd w:val="clear" w:color="auto" w:fill="auto"/>
            <w:noWrap/>
            <w:vAlign w:val="center"/>
            <w:hideMark/>
          </w:tcPr>
          <w:p w14:paraId="32770CE1" w14:textId="77777777" w:rsidR="00CB457E" w:rsidRPr="001A455A" w:rsidRDefault="00CB457E" w:rsidP="001C3226">
            <w:pPr>
              <w:spacing w:after="100" w:afterAutospacing="1"/>
              <w:ind w:right="-94"/>
              <w:jc w:val="both"/>
              <w:rPr>
                <w:rFonts w:asciiTheme="minorHAnsi" w:hAnsiTheme="minorHAnsi" w:cstheme="minorHAnsi"/>
                <w:sz w:val="22"/>
                <w:szCs w:val="22"/>
              </w:rPr>
            </w:pPr>
            <w:r w:rsidRPr="001A455A">
              <w:rPr>
                <w:rFonts w:asciiTheme="minorHAnsi" w:hAnsiTheme="minorHAnsi" w:cstheme="minorHAnsi"/>
                <w:sz w:val="22"/>
                <w:szCs w:val="22"/>
              </w:rPr>
              <w:t>9x weekly 2.5hr psychosocial sessions in which volunteer university students are matched with a participant and visit them at home to talk (e.g. discuss social activities they used to enjoy or would like to try) and some sessions included visiting the local community centre together.</w:t>
            </w:r>
          </w:p>
        </w:tc>
      </w:tr>
      <w:tr w:rsidR="001A455A" w:rsidRPr="001A455A" w14:paraId="444E7F89"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5CCE0E17"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Lowthian et al., 2018</w:t>
            </w:r>
          </w:p>
        </w:tc>
        <w:tc>
          <w:tcPr>
            <w:tcW w:w="1407" w:type="dxa"/>
            <w:tcBorders>
              <w:top w:val="single" w:sz="4" w:space="0" w:color="auto"/>
              <w:left w:val="nil"/>
              <w:bottom w:val="single" w:sz="4" w:space="0" w:color="auto"/>
              <w:right w:val="nil"/>
            </w:tcBorders>
            <w:shd w:val="clear" w:color="auto" w:fill="auto"/>
            <w:noWrap/>
            <w:vAlign w:val="center"/>
            <w:hideMark/>
          </w:tcPr>
          <w:p w14:paraId="67FF7154"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Australia</w:t>
            </w:r>
          </w:p>
        </w:tc>
        <w:tc>
          <w:tcPr>
            <w:tcW w:w="4271" w:type="dxa"/>
            <w:tcBorders>
              <w:top w:val="single" w:sz="4" w:space="0" w:color="auto"/>
              <w:left w:val="nil"/>
              <w:bottom w:val="single" w:sz="4" w:space="0" w:color="auto"/>
              <w:right w:val="nil"/>
            </w:tcBorders>
            <w:shd w:val="clear" w:color="auto" w:fill="auto"/>
            <w:noWrap/>
            <w:vAlign w:val="center"/>
            <w:hideMark/>
          </w:tcPr>
          <w:p w14:paraId="4DAB8FB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34 older patients recently discharged from emergency departments</w:t>
            </w:r>
          </w:p>
        </w:tc>
        <w:tc>
          <w:tcPr>
            <w:tcW w:w="6296" w:type="dxa"/>
            <w:tcBorders>
              <w:top w:val="single" w:sz="4" w:space="0" w:color="auto"/>
              <w:left w:val="nil"/>
              <w:bottom w:val="single" w:sz="4" w:space="0" w:color="auto"/>
            </w:tcBorders>
            <w:shd w:val="clear" w:color="auto" w:fill="auto"/>
            <w:noWrap/>
            <w:vAlign w:val="center"/>
            <w:hideMark/>
          </w:tcPr>
          <w:p w14:paraId="49B51E0C"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Weekly 30min peer support phone calls from hospital volunteers to patients (beginning within 72hrs of discharge for up to 3 months, including referral for ongoing community support after this period)</w:t>
            </w:r>
          </w:p>
        </w:tc>
      </w:tr>
      <w:tr w:rsidR="001A455A" w:rsidRPr="001A455A" w14:paraId="3B310908"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127F880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Moonen et al., 2022</w:t>
            </w:r>
          </w:p>
        </w:tc>
        <w:tc>
          <w:tcPr>
            <w:tcW w:w="1407" w:type="dxa"/>
            <w:tcBorders>
              <w:top w:val="single" w:sz="4" w:space="0" w:color="auto"/>
              <w:left w:val="nil"/>
              <w:bottom w:val="single" w:sz="4" w:space="0" w:color="auto"/>
              <w:right w:val="nil"/>
            </w:tcBorders>
            <w:shd w:val="clear" w:color="auto" w:fill="auto"/>
            <w:noWrap/>
            <w:vAlign w:val="center"/>
            <w:hideMark/>
          </w:tcPr>
          <w:p w14:paraId="41936065"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Canada</w:t>
            </w:r>
          </w:p>
        </w:tc>
        <w:tc>
          <w:tcPr>
            <w:tcW w:w="4271" w:type="dxa"/>
            <w:tcBorders>
              <w:top w:val="single" w:sz="4" w:space="0" w:color="auto"/>
              <w:left w:val="nil"/>
              <w:bottom w:val="single" w:sz="4" w:space="0" w:color="auto"/>
              <w:right w:val="nil"/>
            </w:tcBorders>
            <w:shd w:val="clear" w:color="auto" w:fill="auto"/>
            <w:noWrap/>
            <w:vAlign w:val="center"/>
            <w:hideMark/>
          </w:tcPr>
          <w:p w14:paraId="4DE5DE54"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47 older community-dwelling adults living on their own</w:t>
            </w:r>
          </w:p>
        </w:tc>
        <w:tc>
          <w:tcPr>
            <w:tcW w:w="6296" w:type="dxa"/>
            <w:tcBorders>
              <w:top w:val="single" w:sz="4" w:space="0" w:color="auto"/>
              <w:left w:val="nil"/>
              <w:bottom w:val="single" w:sz="4" w:space="0" w:color="auto"/>
            </w:tcBorders>
            <w:shd w:val="clear" w:color="auto" w:fill="auto"/>
            <w:noWrap/>
            <w:vAlign w:val="center"/>
            <w:hideMark/>
          </w:tcPr>
          <w:p w14:paraId="068F1BFA"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12-weeks of regular 15-30min phone calls between volunteer medical students employing empathetic listening, and older participants during Covid-19; call timing, regularity and content was flexible lead by participants</w:t>
            </w:r>
          </w:p>
        </w:tc>
      </w:tr>
      <w:tr w:rsidR="001A455A" w:rsidRPr="001A455A" w14:paraId="425172CB"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63344F1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Moore &amp; Preston, 2015 </w:t>
            </w:r>
          </w:p>
        </w:tc>
        <w:tc>
          <w:tcPr>
            <w:tcW w:w="1407" w:type="dxa"/>
            <w:tcBorders>
              <w:top w:val="single" w:sz="4" w:space="0" w:color="auto"/>
              <w:left w:val="nil"/>
              <w:bottom w:val="single" w:sz="4" w:space="0" w:color="auto"/>
              <w:right w:val="nil"/>
            </w:tcBorders>
            <w:shd w:val="clear" w:color="auto" w:fill="auto"/>
            <w:noWrap/>
            <w:vAlign w:val="center"/>
            <w:hideMark/>
          </w:tcPr>
          <w:p w14:paraId="68CC4295"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UK</w:t>
            </w:r>
          </w:p>
        </w:tc>
        <w:tc>
          <w:tcPr>
            <w:tcW w:w="4271" w:type="dxa"/>
            <w:tcBorders>
              <w:top w:val="single" w:sz="4" w:space="0" w:color="auto"/>
              <w:left w:val="nil"/>
              <w:bottom w:val="single" w:sz="4" w:space="0" w:color="auto"/>
              <w:right w:val="nil"/>
            </w:tcBorders>
            <w:shd w:val="clear" w:color="auto" w:fill="auto"/>
            <w:noWrap/>
            <w:vAlign w:val="center"/>
            <w:hideMark/>
          </w:tcPr>
          <w:p w14:paraId="7F2344A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1669 older people at risk of loneliness and/or social isolation</w:t>
            </w:r>
          </w:p>
        </w:tc>
        <w:tc>
          <w:tcPr>
            <w:tcW w:w="6296" w:type="dxa"/>
            <w:tcBorders>
              <w:top w:val="single" w:sz="4" w:space="0" w:color="auto"/>
              <w:left w:val="nil"/>
              <w:bottom w:val="single" w:sz="4" w:space="0" w:color="auto"/>
            </w:tcBorders>
            <w:shd w:val="clear" w:color="auto" w:fill="auto"/>
            <w:noWrap/>
            <w:vAlign w:val="center"/>
            <w:hideMark/>
          </w:tcPr>
          <w:p w14:paraId="070E153D"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Helpline and Wellbeing and Friends service that matches older people to a volunteer friend calls them for an informal chat and to provide information, advice, referrals to other organisations and an informal chat.  Survey administered to users of Wellbeing and Friends service who receive calls minimum once/week of varying lengths (time not specified)</w:t>
            </w:r>
          </w:p>
        </w:tc>
      </w:tr>
      <w:tr w:rsidR="001A455A" w:rsidRPr="001A455A" w14:paraId="6A01F534"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49ADA0F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Ramamonjiarivelo et al., 2022</w:t>
            </w:r>
          </w:p>
        </w:tc>
        <w:tc>
          <w:tcPr>
            <w:tcW w:w="1407" w:type="dxa"/>
            <w:tcBorders>
              <w:top w:val="single" w:sz="4" w:space="0" w:color="auto"/>
              <w:left w:val="nil"/>
              <w:bottom w:val="single" w:sz="4" w:space="0" w:color="auto"/>
              <w:right w:val="nil"/>
            </w:tcBorders>
            <w:shd w:val="clear" w:color="auto" w:fill="auto"/>
            <w:noWrap/>
            <w:vAlign w:val="center"/>
            <w:hideMark/>
          </w:tcPr>
          <w:p w14:paraId="25055862"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591C7EF7"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22 older community-dwelling adults</w:t>
            </w:r>
          </w:p>
        </w:tc>
        <w:tc>
          <w:tcPr>
            <w:tcW w:w="6296" w:type="dxa"/>
            <w:tcBorders>
              <w:top w:val="single" w:sz="4" w:space="0" w:color="auto"/>
              <w:left w:val="nil"/>
              <w:bottom w:val="single" w:sz="4" w:space="0" w:color="auto"/>
            </w:tcBorders>
            <w:shd w:val="clear" w:color="auto" w:fill="auto"/>
            <w:noWrap/>
            <w:vAlign w:val="center"/>
            <w:hideMark/>
          </w:tcPr>
          <w:p w14:paraId="353FC1FE"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6x 30-min weekly 1:1 virtual interaction (via phone, text, or video call) as part of an intergenerational virtual university led service-learning between undergraduate students and older adults</w:t>
            </w:r>
          </w:p>
        </w:tc>
      </w:tr>
      <w:tr w:rsidR="001A455A" w:rsidRPr="001A455A" w14:paraId="19B64016"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6828B41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lastRenderedPageBreak/>
              <w:t xml:space="preserve">Renaisi, 2016 </w:t>
            </w:r>
          </w:p>
        </w:tc>
        <w:tc>
          <w:tcPr>
            <w:tcW w:w="1407" w:type="dxa"/>
            <w:tcBorders>
              <w:top w:val="single" w:sz="4" w:space="0" w:color="auto"/>
              <w:left w:val="nil"/>
              <w:bottom w:val="single" w:sz="4" w:space="0" w:color="auto"/>
              <w:right w:val="nil"/>
            </w:tcBorders>
            <w:shd w:val="clear" w:color="auto" w:fill="auto"/>
            <w:noWrap/>
            <w:vAlign w:val="center"/>
            <w:hideMark/>
          </w:tcPr>
          <w:p w14:paraId="7C92AFC6"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England</w:t>
            </w:r>
          </w:p>
        </w:tc>
        <w:tc>
          <w:tcPr>
            <w:tcW w:w="4271" w:type="dxa"/>
            <w:tcBorders>
              <w:top w:val="single" w:sz="4" w:space="0" w:color="auto"/>
              <w:left w:val="nil"/>
              <w:bottom w:val="single" w:sz="4" w:space="0" w:color="auto"/>
              <w:right w:val="nil"/>
            </w:tcBorders>
            <w:shd w:val="clear" w:color="auto" w:fill="auto"/>
            <w:noWrap/>
            <w:vAlign w:val="center"/>
            <w:hideMark/>
          </w:tcPr>
          <w:p w14:paraId="226E26B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35 older people and young people at the start of their professional lives - both groups at risk of loneliness and/or social isolation</w:t>
            </w:r>
          </w:p>
        </w:tc>
        <w:tc>
          <w:tcPr>
            <w:tcW w:w="6296" w:type="dxa"/>
            <w:tcBorders>
              <w:top w:val="single" w:sz="4" w:space="0" w:color="auto"/>
              <w:left w:val="nil"/>
              <w:bottom w:val="single" w:sz="4" w:space="0" w:color="auto"/>
            </w:tcBorders>
            <w:shd w:val="clear" w:color="auto" w:fill="auto"/>
            <w:noWrap/>
            <w:vAlign w:val="center"/>
            <w:hideMark/>
          </w:tcPr>
          <w:p w14:paraId="76CFB741"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 xml:space="preserve">Programmes run in North and South London to improve community networks of young professionals and older neighbours. Projects include creating 'Love Your Neighbour' 1:1 friendships, social clubs, 'Winter Wellbeing' outreach and community fundraising.    </w:t>
            </w:r>
          </w:p>
        </w:tc>
      </w:tr>
      <w:tr w:rsidR="001A455A" w:rsidRPr="001A455A" w14:paraId="77223832"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7FC54F0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Roberts and Windle, 2019</w:t>
            </w:r>
          </w:p>
        </w:tc>
        <w:tc>
          <w:tcPr>
            <w:tcW w:w="1407" w:type="dxa"/>
            <w:tcBorders>
              <w:top w:val="single" w:sz="4" w:space="0" w:color="auto"/>
              <w:left w:val="nil"/>
              <w:bottom w:val="single" w:sz="4" w:space="0" w:color="auto"/>
              <w:right w:val="nil"/>
            </w:tcBorders>
            <w:shd w:val="clear" w:color="auto" w:fill="auto"/>
            <w:noWrap/>
            <w:vAlign w:val="center"/>
            <w:hideMark/>
          </w:tcPr>
          <w:p w14:paraId="4F76955D"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Wales</w:t>
            </w:r>
          </w:p>
        </w:tc>
        <w:tc>
          <w:tcPr>
            <w:tcW w:w="4271" w:type="dxa"/>
            <w:tcBorders>
              <w:top w:val="single" w:sz="4" w:space="0" w:color="auto"/>
              <w:left w:val="nil"/>
              <w:bottom w:val="single" w:sz="4" w:space="0" w:color="auto"/>
              <w:right w:val="nil"/>
            </w:tcBorders>
            <w:shd w:val="clear" w:color="auto" w:fill="auto"/>
            <w:noWrap/>
            <w:vAlign w:val="center"/>
            <w:hideMark/>
          </w:tcPr>
          <w:p w14:paraId="134D038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114 older community-dwelling adults</w:t>
            </w:r>
          </w:p>
        </w:tc>
        <w:tc>
          <w:tcPr>
            <w:tcW w:w="6296" w:type="dxa"/>
            <w:tcBorders>
              <w:top w:val="single" w:sz="4" w:space="0" w:color="auto"/>
              <w:left w:val="nil"/>
              <w:bottom w:val="single" w:sz="4" w:space="0" w:color="auto"/>
            </w:tcBorders>
            <w:shd w:val="clear" w:color="auto" w:fill="auto"/>
            <w:noWrap/>
            <w:vAlign w:val="center"/>
            <w:hideMark/>
          </w:tcPr>
          <w:p w14:paraId="0C8C22DD"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10-15x weekly meetings between volunteers paired with older to offer companionship, practical and psychological support, and to increase social networks, confidence and independence</w:t>
            </w:r>
          </w:p>
        </w:tc>
      </w:tr>
      <w:tr w:rsidR="001A455A" w:rsidRPr="001A455A" w14:paraId="624178E4"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76D2D40A"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Sandu et al., 2021</w:t>
            </w:r>
          </w:p>
        </w:tc>
        <w:tc>
          <w:tcPr>
            <w:tcW w:w="1407" w:type="dxa"/>
            <w:tcBorders>
              <w:top w:val="single" w:sz="4" w:space="0" w:color="auto"/>
              <w:left w:val="nil"/>
              <w:bottom w:val="single" w:sz="4" w:space="0" w:color="auto"/>
              <w:right w:val="nil"/>
            </w:tcBorders>
            <w:shd w:val="clear" w:color="auto" w:fill="auto"/>
            <w:noWrap/>
            <w:vAlign w:val="center"/>
            <w:hideMark/>
          </w:tcPr>
          <w:p w14:paraId="111D89D5"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353D702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84 older community dwelling adults</w:t>
            </w:r>
          </w:p>
        </w:tc>
        <w:tc>
          <w:tcPr>
            <w:tcW w:w="6296" w:type="dxa"/>
            <w:tcBorders>
              <w:top w:val="single" w:sz="4" w:space="0" w:color="auto"/>
              <w:left w:val="nil"/>
              <w:bottom w:val="single" w:sz="4" w:space="0" w:color="auto"/>
            </w:tcBorders>
            <w:shd w:val="clear" w:color="auto" w:fill="auto"/>
            <w:noWrap/>
            <w:vAlign w:val="center"/>
            <w:hideMark/>
          </w:tcPr>
          <w:p w14:paraId="11040506"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1-year of ~10min weekly phone calls from a student volunteer to an older adult, following standardized call scripts</w:t>
            </w:r>
          </w:p>
        </w:tc>
      </w:tr>
      <w:tr w:rsidR="001A455A" w:rsidRPr="001A455A" w14:paraId="405A7A80"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04C7A823"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Simpson, 2014</w:t>
            </w:r>
          </w:p>
        </w:tc>
        <w:tc>
          <w:tcPr>
            <w:tcW w:w="1407" w:type="dxa"/>
            <w:tcBorders>
              <w:top w:val="single" w:sz="4" w:space="0" w:color="auto"/>
              <w:left w:val="nil"/>
              <w:bottom w:val="single" w:sz="4" w:space="0" w:color="auto"/>
              <w:right w:val="nil"/>
            </w:tcBorders>
            <w:shd w:val="clear" w:color="auto" w:fill="auto"/>
            <w:noWrap/>
            <w:vAlign w:val="center"/>
            <w:hideMark/>
          </w:tcPr>
          <w:p w14:paraId="7A89EA01"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England</w:t>
            </w:r>
          </w:p>
        </w:tc>
        <w:tc>
          <w:tcPr>
            <w:tcW w:w="4271" w:type="dxa"/>
            <w:tcBorders>
              <w:top w:val="single" w:sz="4" w:space="0" w:color="auto"/>
              <w:left w:val="nil"/>
              <w:bottom w:val="single" w:sz="4" w:space="0" w:color="auto"/>
              <w:right w:val="nil"/>
            </w:tcBorders>
            <w:shd w:val="clear" w:color="auto" w:fill="auto"/>
            <w:noWrap/>
            <w:vAlign w:val="center"/>
            <w:hideMark/>
          </w:tcPr>
          <w:p w14:paraId="17E31769" w14:textId="77777777" w:rsidR="00CB457E" w:rsidRPr="001A455A" w:rsidRDefault="00CB457E" w:rsidP="001C3226">
            <w:pPr>
              <w:spacing w:after="100" w:afterAutospacing="1"/>
              <w:ind w:right="-102"/>
              <w:rPr>
                <w:rFonts w:asciiTheme="minorHAnsi" w:hAnsiTheme="minorHAnsi" w:cstheme="minorHAnsi"/>
                <w:sz w:val="22"/>
                <w:szCs w:val="22"/>
              </w:rPr>
            </w:pPr>
            <w:r w:rsidRPr="001A455A">
              <w:rPr>
                <w:rFonts w:asciiTheme="minorHAnsi" w:hAnsiTheme="minorHAnsi" w:cstheme="minorHAnsi"/>
                <w:sz w:val="22"/>
                <w:szCs w:val="22"/>
              </w:rPr>
              <w:t>n= 46 adults diagnosed with mental illness discharged from mental health ward</w:t>
            </w:r>
          </w:p>
        </w:tc>
        <w:tc>
          <w:tcPr>
            <w:tcW w:w="6296" w:type="dxa"/>
            <w:tcBorders>
              <w:top w:val="single" w:sz="4" w:space="0" w:color="auto"/>
              <w:left w:val="nil"/>
              <w:bottom w:val="single" w:sz="4" w:space="0" w:color="auto"/>
            </w:tcBorders>
            <w:shd w:val="clear" w:color="auto" w:fill="auto"/>
            <w:noWrap/>
            <w:vAlign w:val="center"/>
            <w:hideMark/>
          </w:tcPr>
          <w:p w14:paraId="7E05D21C"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6-weeks of peer support beginning 2-3 weeks before discharge and continuing 4-weeks after</w:t>
            </w:r>
          </w:p>
        </w:tc>
      </w:tr>
      <w:tr w:rsidR="001A455A" w:rsidRPr="001A455A" w14:paraId="48FCBFF5"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6A1A63E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Stewart et al., 2011</w:t>
            </w:r>
          </w:p>
        </w:tc>
        <w:tc>
          <w:tcPr>
            <w:tcW w:w="1407" w:type="dxa"/>
            <w:tcBorders>
              <w:top w:val="single" w:sz="4" w:space="0" w:color="auto"/>
              <w:left w:val="nil"/>
              <w:bottom w:val="single" w:sz="4" w:space="0" w:color="auto"/>
              <w:right w:val="nil"/>
            </w:tcBorders>
            <w:shd w:val="clear" w:color="auto" w:fill="auto"/>
            <w:noWrap/>
            <w:vAlign w:val="center"/>
            <w:hideMark/>
          </w:tcPr>
          <w:p w14:paraId="11787CBA"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Canada</w:t>
            </w:r>
          </w:p>
        </w:tc>
        <w:tc>
          <w:tcPr>
            <w:tcW w:w="4271" w:type="dxa"/>
            <w:tcBorders>
              <w:top w:val="single" w:sz="4" w:space="0" w:color="auto"/>
              <w:left w:val="nil"/>
              <w:bottom w:val="single" w:sz="4" w:space="0" w:color="auto"/>
              <w:right w:val="nil"/>
            </w:tcBorders>
            <w:shd w:val="clear" w:color="auto" w:fill="auto"/>
            <w:noWrap/>
            <w:vAlign w:val="center"/>
            <w:hideMark/>
          </w:tcPr>
          <w:p w14:paraId="5655A83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58 adult Somali and Sudanese refugees</w:t>
            </w:r>
          </w:p>
        </w:tc>
        <w:tc>
          <w:tcPr>
            <w:tcW w:w="6296" w:type="dxa"/>
            <w:tcBorders>
              <w:top w:val="single" w:sz="4" w:space="0" w:color="auto"/>
              <w:left w:val="nil"/>
              <w:bottom w:val="single" w:sz="4" w:space="0" w:color="auto"/>
            </w:tcBorders>
            <w:shd w:val="clear" w:color="auto" w:fill="auto"/>
            <w:noWrap/>
            <w:vAlign w:val="center"/>
            <w:hideMark/>
          </w:tcPr>
          <w:p w14:paraId="2F221141" w14:textId="77777777" w:rsidR="00CB457E" w:rsidRPr="001A455A" w:rsidRDefault="00CB457E" w:rsidP="001C3226">
            <w:pPr>
              <w:spacing w:after="100" w:afterAutospacing="1"/>
              <w:ind w:right="-185"/>
              <w:jc w:val="both"/>
              <w:rPr>
                <w:rFonts w:asciiTheme="minorHAnsi" w:hAnsiTheme="minorHAnsi" w:cstheme="minorHAnsi"/>
                <w:sz w:val="22"/>
                <w:szCs w:val="22"/>
              </w:rPr>
            </w:pPr>
            <w:r w:rsidRPr="001A455A">
              <w:rPr>
                <w:rFonts w:asciiTheme="minorHAnsi" w:hAnsiTheme="minorHAnsi" w:cstheme="minorHAnsi"/>
                <w:sz w:val="22"/>
                <w:szCs w:val="22"/>
              </w:rPr>
              <w:t>6x biweekly 1-1.5hr in-person support groups (5-12 people), with 1:1 support given to new refugees with additional 1:1 support via the phone between sessions. Participants directed topics of discussion around enhancing cultural understanding and social integration (e.g. promoting new skills, seeking employment, improving family dynamics, and overcoming discrimination). Peer facilitators were Sudanese and Somali people who had been settled in Canada for 10+ years</w:t>
            </w:r>
          </w:p>
        </w:tc>
      </w:tr>
      <w:tr w:rsidR="001A455A" w:rsidRPr="001A455A" w14:paraId="0D9F8F8A"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235CEF93"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Theurer et al., 2021a</w:t>
            </w:r>
          </w:p>
        </w:tc>
        <w:tc>
          <w:tcPr>
            <w:tcW w:w="1407" w:type="dxa"/>
            <w:tcBorders>
              <w:top w:val="single" w:sz="4" w:space="0" w:color="auto"/>
              <w:left w:val="nil"/>
              <w:bottom w:val="single" w:sz="4" w:space="0" w:color="auto"/>
              <w:right w:val="nil"/>
            </w:tcBorders>
            <w:shd w:val="clear" w:color="auto" w:fill="auto"/>
            <w:noWrap/>
            <w:vAlign w:val="center"/>
            <w:hideMark/>
          </w:tcPr>
          <w:p w14:paraId="3F5F9E83"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Canada</w:t>
            </w:r>
          </w:p>
        </w:tc>
        <w:tc>
          <w:tcPr>
            <w:tcW w:w="4271" w:type="dxa"/>
            <w:tcBorders>
              <w:top w:val="single" w:sz="4" w:space="0" w:color="auto"/>
              <w:left w:val="nil"/>
              <w:bottom w:val="single" w:sz="4" w:space="0" w:color="auto"/>
              <w:right w:val="nil"/>
            </w:tcBorders>
            <w:shd w:val="clear" w:color="auto" w:fill="auto"/>
            <w:noWrap/>
            <w:vAlign w:val="center"/>
            <w:hideMark/>
          </w:tcPr>
          <w:p w14:paraId="5250E5B3"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Mentees: n= 43 older adult care home residents </w:t>
            </w:r>
          </w:p>
          <w:p w14:paraId="0488E344"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Mentors: n=27 older adult care home residents</w:t>
            </w:r>
          </w:p>
        </w:tc>
        <w:tc>
          <w:tcPr>
            <w:tcW w:w="6296" w:type="dxa"/>
            <w:tcBorders>
              <w:top w:val="single" w:sz="4" w:space="0" w:color="auto"/>
              <w:left w:val="nil"/>
              <w:bottom w:val="single" w:sz="4" w:space="0" w:color="auto"/>
            </w:tcBorders>
            <w:shd w:val="clear" w:color="auto" w:fill="auto"/>
            <w:noWrap/>
            <w:vAlign w:val="center"/>
            <w:hideMark/>
          </w:tcPr>
          <w:p w14:paraId="12835603"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 xml:space="preserve">6-months of weekly 2hr activities at long-term care homes consisting of: i) team meetings with activities and short educational sessions for residents and mentors (26 modules learning communication skills and about topics such as “What if They Don’t Talk Much,” and “Supporting People Grieving.”); b) visits between mentors and mentees to provide empathetic support and encouragement for mentees to attend community events. </w:t>
            </w:r>
          </w:p>
          <w:p w14:paraId="53876E4E" w14:textId="77777777" w:rsidR="00CB457E" w:rsidRPr="001A455A" w:rsidRDefault="00CB457E" w:rsidP="001C3226">
            <w:pPr>
              <w:spacing w:after="100" w:afterAutospacing="1"/>
              <w:jc w:val="both"/>
              <w:rPr>
                <w:rFonts w:asciiTheme="minorHAnsi" w:hAnsiTheme="minorHAnsi" w:cstheme="minorHAnsi"/>
                <w:sz w:val="22"/>
                <w:szCs w:val="22"/>
              </w:rPr>
            </w:pPr>
          </w:p>
        </w:tc>
      </w:tr>
      <w:tr w:rsidR="001A455A" w:rsidRPr="001A455A" w14:paraId="1AA734CB" w14:textId="77777777" w:rsidTr="001C3226">
        <w:trPr>
          <w:trHeight w:val="320"/>
        </w:trPr>
        <w:tc>
          <w:tcPr>
            <w:tcW w:w="13951" w:type="dxa"/>
            <w:gridSpan w:val="4"/>
            <w:tcBorders>
              <w:top w:val="single" w:sz="4" w:space="0" w:color="auto"/>
              <w:bottom w:val="single" w:sz="4" w:space="0" w:color="auto"/>
            </w:tcBorders>
            <w:shd w:val="clear" w:color="auto" w:fill="BFBFBF" w:themeFill="background1" w:themeFillShade="BF"/>
            <w:noWrap/>
            <w:vAlign w:val="center"/>
          </w:tcPr>
          <w:p w14:paraId="3D525582"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b/>
                <w:bCs/>
                <w:sz w:val="22"/>
                <w:szCs w:val="22"/>
              </w:rPr>
              <w:t>EDUCATIONAL/SOCIAL SKILLS DEVELOPMENT (N= 6)</w:t>
            </w:r>
          </w:p>
        </w:tc>
      </w:tr>
      <w:tr w:rsidR="001A455A" w:rsidRPr="001A455A" w14:paraId="17A10D56"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1BA11E0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Bostick and Anderson, 2009</w:t>
            </w:r>
          </w:p>
        </w:tc>
        <w:tc>
          <w:tcPr>
            <w:tcW w:w="1407" w:type="dxa"/>
            <w:tcBorders>
              <w:top w:val="single" w:sz="4" w:space="0" w:color="auto"/>
              <w:left w:val="nil"/>
              <w:bottom w:val="single" w:sz="4" w:space="0" w:color="auto"/>
              <w:right w:val="nil"/>
            </w:tcBorders>
            <w:shd w:val="clear" w:color="auto" w:fill="auto"/>
            <w:noWrap/>
            <w:vAlign w:val="center"/>
            <w:hideMark/>
          </w:tcPr>
          <w:p w14:paraId="0F0A8515" w14:textId="77777777" w:rsidR="00CB457E" w:rsidRPr="001A455A" w:rsidRDefault="00CB457E" w:rsidP="001C3226">
            <w:pPr>
              <w:spacing w:after="100" w:afterAutospacing="1"/>
              <w:ind w:right="-59"/>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21A03E7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49 children with social skills deficits</w:t>
            </w:r>
          </w:p>
        </w:tc>
        <w:tc>
          <w:tcPr>
            <w:tcW w:w="6296" w:type="dxa"/>
            <w:tcBorders>
              <w:top w:val="single" w:sz="4" w:space="0" w:color="auto"/>
              <w:left w:val="nil"/>
              <w:bottom w:val="single" w:sz="4" w:space="0" w:color="auto"/>
            </w:tcBorders>
            <w:shd w:val="clear" w:color="auto" w:fill="auto"/>
            <w:noWrap/>
            <w:vAlign w:val="center"/>
            <w:hideMark/>
          </w:tcPr>
          <w:p w14:paraId="1B89FC4E"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Social Skills Group Intervention; 10 group sessions (duration nr) focusing on development of verbal and nonverbal communication, initiation, cooperation, compromise and negotiation skills</w:t>
            </w:r>
          </w:p>
        </w:tc>
      </w:tr>
      <w:tr w:rsidR="001A455A" w:rsidRPr="001A455A" w14:paraId="2A39B1B5"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18895D48"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lastRenderedPageBreak/>
              <w:t>Coll-Planas et al., 2017</w:t>
            </w:r>
          </w:p>
        </w:tc>
        <w:tc>
          <w:tcPr>
            <w:tcW w:w="1407" w:type="dxa"/>
            <w:tcBorders>
              <w:top w:val="single" w:sz="4" w:space="0" w:color="auto"/>
              <w:left w:val="nil"/>
              <w:bottom w:val="single" w:sz="4" w:space="0" w:color="auto"/>
              <w:right w:val="nil"/>
            </w:tcBorders>
            <w:shd w:val="clear" w:color="auto" w:fill="auto"/>
            <w:noWrap/>
            <w:vAlign w:val="center"/>
            <w:hideMark/>
          </w:tcPr>
          <w:p w14:paraId="68CC601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Spain</w:t>
            </w:r>
          </w:p>
        </w:tc>
        <w:tc>
          <w:tcPr>
            <w:tcW w:w="4271" w:type="dxa"/>
            <w:tcBorders>
              <w:top w:val="single" w:sz="4" w:space="0" w:color="auto"/>
              <w:left w:val="nil"/>
              <w:bottom w:val="single" w:sz="4" w:space="0" w:color="auto"/>
              <w:right w:val="nil"/>
            </w:tcBorders>
            <w:shd w:val="clear" w:color="auto" w:fill="auto"/>
            <w:noWrap/>
            <w:vAlign w:val="center"/>
            <w:hideMark/>
          </w:tcPr>
          <w:p w14:paraId="038FDA8E"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26 older community-dwelling adults</w:t>
            </w:r>
          </w:p>
        </w:tc>
        <w:tc>
          <w:tcPr>
            <w:tcW w:w="6296" w:type="dxa"/>
            <w:tcBorders>
              <w:top w:val="single" w:sz="4" w:space="0" w:color="auto"/>
              <w:left w:val="nil"/>
              <w:bottom w:val="single" w:sz="4" w:space="0" w:color="auto"/>
            </w:tcBorders>
            <w:shd w:val="clear" w:color="auto" w:fill="auto"/>
            <w:noWrap/>
            <w:vAlign w:val="center"/>
            <w:hideMark/>
          </w:tcPr>
          <w:p w14:paraId="40C03EE5"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15x 1.5hr weekly group-based sessions discussing loneliness, social participation, community assets and engaging in the community</w:t>
            </w:r>
          </w:p>
        </w:tc>
      </w:tr>
      <w:tr w:rsidR="001A455A" w:rsidRPr="001A455A" w14:paraId="3D418BDE"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0263306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Costello et al., 2022</w:t>
            </w:r>
          </w:p>
        </w:tc>
        <w:tc>
          <w:tcPr>
            <w:tcW w:w="1407" w:type="dxa"/>
            <w:tcBorders>
              <w:top w:val="single" w:sz="4" w:space="0" w:color="auto"/>
              <w:left w:val="nil"/>
              <w:bottom w:val="single" w:sz="4" w:space="0" w:color="auto"/>
              <w:right w:val="nil"/>
            </w:tcBorders>
            <w:shd w:val="clear" w:color="auto" w:fill="auto"/>
            <w:noWrap/>
            <w:vAlign w:val="center"/>
            <w:hideMark/>
          </w:tcPr>
          <w:p w14:paraId="32452D2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22E2C29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438 recent first-year and transfer students at a public university</w:t>
            </w:r>
          </w:p>
        </w:tc>
        <w:tc>
          <w:tcPr>
            <w:tcW w:w="6296" w:type="dxa"/>
            <w:tcBorders>
              <w:top w:val="single" w:sz="4" w:space="0" w:color="auto"/>
              <w:left w:val="nil"/>
              <w:bottom w:val="single" w:sz="4" w:space="0" w:color="auto"/>
            </w:tcBorders>
            <w:shd w:val="clear" w:color="auto" w:fill="auto"/>
            <w:noWrap/>
            <w:vAlign w:val="center"/>
            <w:hideMark/>
          </w:tcPr>
          <w:p w14:paraId="704FB78D"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The Connection Project; 9x 60‐ to75‐minute weekly sessions consisting of activities and discussions to teach and develop deep, supportive, and authentic relationships</w:t>
            </w:r>
          </w:p>
        </w:tc>
      </w:tr>
      <w:tr w:rsidR="001A455A" w:rsidRPr="001A455A" w14:paraId="4E09D555"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169F900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Haslam et al., 2019</w:t>
            </w:r>
          </w:p>
        </w:tc>
        <w:tc>
          <w:tcPr>
            <w:tcW w:w="1407" w:type="dxa"/>
            <w:tcBorders>
              <w:top w:val="single" w:sz="4" w:space="0" w:color="auto"/>
              <w:left w:val="nil"/>
              <w:bottom w:val="single" w:sz="4" w:space="0" w:color="auto"/>
              <w:right w:val="nil"/>
            </w:tcBorders>
            <w:shd w:val="clear" w:color="auto" w:fill="auto"/>
            <w:noWrap/>
            <w:vAlign w:val="center"/>
            <w:hideMark/>
          </w:tcPr>
          <w:p w14:paraId="02642D5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Australia</w:t>
            </w:r>
          </w:p>
        </w:tc>
        <w:tc>
          <w:tcPr>
            <w:tcW w:w="4271" w:type="dxa"/>
            <w:tcBorders>
              <w:top w:val="single" w:sz="4" w:space="0" w:color="auto"/>
              <w:left w:val="nil"/>
              <w:bottom w:val="single" w:sz="4" w:space="0" w:color="auto"/>
              <w:right w:val="nil"/>
            </w:tcBorders>
            <w:shd w:val="clear" w:color="auto" w:fill="auto"/>
            <w:noWrap/>
            <w:vAlign w:val="center"/>
            <w:hideMark/>
          </w:tcPr>
          <w:p w14:paraId="582D08B3"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99 adults with symptoms of depression</w:t>
            </w:r>
          </w:p>
        </w:tc>
        <w:tc>
          <w:tcPr>
            <w:tcW w:w="6296" w:type="dxa"/>
            <w:tcBorders>
              <w:top w:val="single" w:sz="4" w:space="0" w:color="auto"/>
              <w:left w:val="nil"/>
              <w:bottom w:val="single" w:sz="4" w:space="0" w:color="auto"/>
            </w:tcBorders>
            <w:shd w:val="clear" w:color="auto" w:fill="auto"/>
            <w:noWrap/>
            <w:vAlign w:val="center"/>
            <w:hideMark/>
          </w:tcPr>
          <w:p w14:paraId="52B3928C"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 xml:space="preserve">Groups 4 Health; 4x weekly 1-1.5hr group sessions working through activities and exercises to develop group connection (e.g., social awareness, social mapping, maximising, building and sustaining relationships), followed by a final session 4 weeks later, </w:t>
            </w:r>
          </w:p>
        </w:tc>
      </w:tr>
      <w:tr w:rsidR="001A455A" w:rsidRPr="001A455A" w14:paraId="52C5E96A"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6A49FAD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Lim et al., 2020</w:t>
            </w:r>
          </w:p>
        </w:tc>
        <w:tc>
          <w:tcPr>
            <w:tcW w:w="1407" w:type="dxa"/>
            <w:tcBorders>
              <w:top w:val="single" w:sz="4" w:space="0" w:color="auto"/>
              <w:left w:val="nil"/>
              <w:bottom w:val="single" w:sz="4" w:space="0" w:color="auto"/>
              <w:right w:val="nil"/>
            </w:tcBorders>
            <w:shd w:val="clear" w:color="auto" w:fill="auto"/>
            <w:noWrap/>
            <w:vAlign w:val="center"/>
            <w:hideMark/>
          </w:tcPr>
          <w:p w14:paraId="3329DA1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Australia</w:t>
            </w:r>
          </w:p>
        </w:tc>
        <w:tc>
          <w:tcPr>
            <w:tcW w:w="4271" w:type="dxa"/>
            <w:tcBorders>
              <w:top w:val="single" w:sz="4" w:space="0" w:color="auto"/>
              <w:left w:val="nil"/>
              <w:bottom w:val="single" w:sz="4" w:space="0" w:color="auto"/>
              <w:right w:val="nil"/>
            </w:tcBorders>
            <w:shd w:val="clear" w:color="auto" w:fill="auto"/>
            <w:noWrap/>
            <w:vAlign w:val="center"/>
            <w:hideMark/>
          </w:tcPr>
          <w:p w14:paraId="67A043C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10 young people with psychosis</w:t>
            </w:r>
          </w:p>
        </w:tc>
        <w:tc>
          <w:tcPr>
            <w:tcW w:w="6296" w:type="dxa"/>
            <w:tcBorders>
              <w:top w:val="single" w:sz="4" w:space="0" w:color="auto"/>
              <w:left w:val="nil"/>
              <w:bottom w:val="single" w:sz="4" w:space="0" w:color="auto"/>
            </w:tcBorders>
            <w:shd w:val="clear" w:color="auto" w:fill="auto"/>
            <w:noWrap/>
            <w:vAlign w:val="center"/>
            <w:hideMark/>
          </w:tcPr>
          <w:p w14:paraId="0A53FAB7"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3-months of a gamified app (i.e., with points, challenges etc) aimed to develop positive interpersonal skills (e.g., showing kindness and reciprocity within relationships) through tasks delivered daily via videos and audio.</w:t>
            </w:r>
          </w:p>
        </w:tc>
      </w:tr>
      <w:tr w:rsidR="001A455A" w:rsidRPr="001A455A" w14:paraId="4849157D"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0D98646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Mattanah et al., 2010</w:t>
            </w:r>
          </w:p>
        </w:tc>
        <w:tc>
          <w:tcPr>
            <w:tcW w:w="1407" w:type="dxa"/>
            <w:tcBorders>
              <w:top w:val="single" w:sz="4" w:space="0" w:color="auto"/>
              <w:left w:val="nil"/>
              <w:bottom w:val="single" w:sz="4" w:space="0" w:color="auto"/>
              <w:right w:val="nil"/>
            </w:tcBorders>
            <w:shd w:val="clear" w:color="auto" w:fill="auto"/>
            <w:noWrap/>
            <w:vAlign w:val="center"/>
            <w:hideMark/>
          </w:tcPr>
          <w:p w14:paraId="2A513FB4"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0A05A64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112 first-year university students</w:t>
            </w:r>
          </w:p>
        </w:tc>
        <w:tc>
          <w:tcPr>
            <w:tcW w:w="6296" w:type="dxa"/>
            <w:tcBorders>
              <w:top w:val="single" w:sz="4" w:space="0" w:color="auto"/>
              <w:left w:val="nil"/>
              <w:bottom w:val="single" w:sz="4" w:space="0" w:color="auto"/>
            </w:tcBorders>
            <w:shd w:val="clear" w:color="auto" w:fill="auto"/>
            <w:noWrap/>
            <w:vAlign w:val="center"/>
            <w:hideMark/>
          </w:tcPr>
          <w:p w14:paraId="15C882A8"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9x 1.5hr group social support discussions spread across school year; sessions were facilitated by two undergraduate clinical psychology students and semi-structured around topics such as maintaining old friendships, etc.</w:t>
            </w:r>
          </w:p>
        </w:tc>
      </w:tr>
      <w:tr w:rsidR="001A455A" w:rsidRPr="001A455A" w14:paraId="045CA046" w14:textId="77777777" w:rsidTr="001C3226">
        <w:trPr>
          <w:trHeight w:val="320"/>
        </w:trPr>
        <w:tc>
          <w:tcPr>
            <w:tcW w:w="13951" w:type="dxa"/>
            <w:gridSpan w:val="4"/>
            <w:tcBorders>
              <w:top w:val="single" w:sz="4" w:space="0" w:color="auto"/>
              <w:bottom w:val="single" w:sz="4" w:space="0" w:color="auto"/>
            </w:tcBorders>
            <w:shd w:val="clear" w:color="auto" w:fill="BFBFBF" w:themeFill="background1" w:themeFillShade="BF"/>
            <w:noWrap/>
            <w:vAlign w:val="center"/>
          </w:tcPr>
          <w:p w14:paraId="36CA2790"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b/>
                <w:bCs/>
                <w:sz w:val="22"/>
                <w:szCs w:val="22"/>
              </w:rPr>
              <w:t>SOCIAL PRESCRIBING/CONNECTOR SERVICE (N= 6)</w:t>
            </w:r>
          </w:p>
        </w:tc>
      </w:tr>
      <w:tr w:rsidR="001A455A" w:rsidRPr="001A455A" w14:paraId="45033639"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707D528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Foster et al., 2020</w:t>
            </w:r>
          </w:p>
        </w:tc>
        <w:tc>
          <w:tcPr>
            <w:tcW w:w="1407" w:type="dxa"/>
            <w:tcBorders>
              <w:top w:val="single" w:sz="4" w:space="0" w:color="auto"/>
              <w:left w:val="nil"/>
              <w:bottom w:val="single" w:sz="4" w:space="0" w:color="auto"/>
              <w:right w:val="nil"/>
            </w:tcBorders>
            <w:shd w:val="clear" w:color="auto" w:fill="auto"/>
            <w:noWrap/>
            <w:vAlign w:val="center"/>
            <w:hideMark/>
          </w:tcPr>
          <w:p w14:paraId="12D4E31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England</w:t>
            </w:r>
          </w:p>
        </w:tc>
        <w:tc>
          <w:tcPr>
            <w:tcW w:w="4271" w:type="dxa"/>
            <w:tcBorders>
              <w:top w:val="single" w:sz="4" w:space="0" w:color="auto"/>
              <w:left w:val="nil"/>
              <w:bottom w:val="single" w:sz="4" w:space="0" w:color="auto"/>
              <w:right w:val="nil"/>
            </w:tcBorders>
            <w:shd w:val="clear" w:color="auto" w:fill="auto"/>
            <w:noWrap/>
            <w:vAlign w:val="center"/>
            <w:hideMark/>
          </w:tcPr>
          <w:p w14:paraId="0C1974A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2250 adults experiencing loneliness</w:t>
            </w:r>
          </w:p>
        </w:tc>
        <w:tc>
          <w:tcPr>
            <w:tcW w:w="6296" w:type="dxa"/>
            <w:tcBorders>
              <w:top w:val="single" w:sz="4" w:space="0" w:color="auto"/>
              <w:left w:val="nil"/>
              <w:bottom w:val="single" w:sz="4" w:space="0" w:color="auto"/>
            </w:tcBorders>
            <w:shd w:val="clear" w:color="auto" w:fill="auto"/>
            <w:noWrap/>
            <w:vAlign w:val="center"/>
            <w:hideMark/>
          </w:tcPr>
          <w:p w14:paraId="479BF498"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Social prescribing service with up to 12 weeks support from a link worker helping them connect with social groups, session duration unreported</w:t>
            </w:r>
          </w:p>
        </w:tc>
      </w:tr>
      <w:tr w:rsidR="001A455A" w:rsidRPr="001A455A" w14:paraId="6839E828"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2743FBB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Kellezi et al., 2019</w:t>
            </w:r>
          </w:p>
        </w:tc>
        <w:tc>
          <w:tcPr>
            <w:tcW w:w="1407" w:type="dxa"/>
            <w:tcBorders>
              <w:top w:val="single" w:sz="4" w:space="0" w:color="auto"/>
              <w:left w:val="nil"/>
              <w:bottom w:val="single" w:sz="4" w:space="0" w:color="auto"/>
              <w:right w:val="nil"/>
            </w:tcBorders>
            <w:shd w:val="clear" w:color="auto" w:fill="auto"/>
            <w:noWrap/>
            <w:vAlign w:val="center"/>
            <w:hideMark/>
          </w:tcPr>
          <w:p w14:paraId="761CF24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England</w:t>
            </w:r>
          </w:p>
        </w:tc>
        <w:tc>
          <w:tcPr>
            <w:tcW w:w="4271" w:type="dxa"/>
            <w:tcBorders>
              <w:top w:val="single" w:sz="4" w:space="0" w:color="auto"/>
              <w:left w:val="nil"/>
              <w:bottom w:val="single" w:sz="4" w:space="0" w:color="auto"/>
              <w:right w:val="nil"/>
            </w:tcBorders>
            <w:shd w:val="clear" w:color="auto" w:fill="auto"/>
            <w:noWrap/>
            <w:vAlign w:val="center"/>
            <w:hideMark/>
          </w:tcPr>
          <w:p w14:paraId="4F8844B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19 adults with chronic health conditions (not specified) and/or at-risk of loneliness</w:t>
            </w:r>
          </w:p>
        </w:tc>
        <w:tc>
          <w:tcPr>
            <w:tcW w:w="6296" w:type="dxa"/>
            <w:tcBorders>
              <w:top w:val="single" w:sz="4" w:space="0" w:color="auto"/>
              <w:left w:val="nil"/>
              <w:bottom w:val="single" w:sz="4" w:space="0" w:color="auto"/>
            </w:tcBorders>
            <w:shd w:val="clear" w:color="auto" w:fill="auto"/>
            <w:noWrap/>
            <w:vAlign w:val="center"/>
            <w:hideMark/>
          </w:tcPr>
          <w:p w14:paraId="39C22609"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8x weekly support sessions, where health coaches/link worker provide patients with practical and emotional support and patients are supported to join third-sector groups (e.g., voluntary or social enterprise)</w:t>
            </w:r>
          </w:p>
        </w:tc>
      </w:tr>
      <w:tr w:rsidR="001A455A" w:rsidRPr="001A455A" w14:paraId="23E563F4"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108C2BEA"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Llewellyn et al., 2020 </w:t>
            </w:r>
          </w:p>
        </w:tc>
        <w:tc>
          <w:tcPr>
            <w:tcW w:w="1407" w:type="dxa"/>
            <w:tcBorders>
              <w:top w:val="single" w:sz="4" w:space="0" w:color="auto"/>
              <w:left w:val="nil"/>
              <w:bottom w:val="single" w:sz="4" w:space="0" w:color="auto"/>
              <w:right w:val="nil"/>
            </w:tcBorders>
            <w:shd w:val="clear" w:color="auto" w:fill="auto"/>
            <w:noWrap/>
            <w:vAlign w:val="center"/>
            <w:hideMark/>
          </w:tcPr>
          <w:p w14:paraId="6C7D5A44"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Wales</w:t>
            </w:r>
          </w:p>
        </w:tc>
        <w:tc>
          <w:tcPr>
            <w:tcW w:w="4271" w:type="dxa"/>
            <w:tcBorders>
              <w:top w:val="single" w:sz="4" w:space="0" w:color="auto"/>
              <w:left w:val="nil"/>
              <w:bottom w:val="single" w:sz="4" w:space="0" w:color="auto"/>
              <w:right w:val="nil"/>
            </w:tcBorders>
            <w:shd w:val="clear" w:color="auto" w:fill="auto"/>
            <w:noWrap/>
            <w:vAlign w:val="center"/>
            <w:hideMark/>
          </w:tcPr>
          <w:p w14:paraId="1FFCCDA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7 adults experiencing mild/moderate mental health problems and/or emotional wellbeing disorders</w:t>
            </w:r>
          </w:p>
        </w:tc>
        <w:tc>
          <w:tcPr>
            <w:tcW w:w="6296" w:type="dxa"/>
            <w:tcBorders>
              <w:top w:val="single" w:sz="4" w:space="0" w:color="auto"/>
              <w:left w:val="nil"/>
              <w:bottom w:val="single" w:sz="4" w:space="0" w:color="auto"/>
            </w:tcBorders>
            <w:shd w:val="clear" w:color="auto" w:fill="auto"/>
            <w:noWrap/>
            <w:vAlign w:val="center"/>
            <w:hideMark/>
          </w:tcPr>
          <w:p w14:paraId="406954C2"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 xml:space="preserve">Link worker SP service with several clinical, third sector routes and self-referral to Mind link worker.  Participants included in the trial only came from GP or another primary care worker within the practice; Initial needs assessment followed by co-creation of plan to access community services and support. </w:t>
            </w:r>
          </w:p>
        </w:tc>
      </w:tr>
      <w:tr w:rsidR="001A455A" w:rsidRPr="001A455A" w14:paraId="55654C6E"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32385A7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Massie &amp; Ahmad, 2019</w:t>
            </w:r>
          </w:p>
        </w:tc>
        <w:tc>
          <w:tcPr>
            <w:tcW w:w="1407" w:type="dxa"/>
            <w:tcBorders>
              <w:top w:val="single" w:sz="4" w:space="0" w:color="auto"/>
              <w:left w:val="nil"/>
              <w:bottom w:val="single" w:sz="4" w:space="0" w:color="auto"/>
              <w:right w:val="nil"/>
            </w:tcBorders>
            <w:shd w:val="clear" w:color="auto" w:fill="auto"/>
            <w:noWrap/>
            <w:vAlign w:val="center"/>
            <w:hideMark/>
          </w:tcPr>
          <w:p w14:paraId="36F24983"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England</w:t>
            </w:r>
          </w:p>
        </w:tc>
        <w:tc>
          <w:tcPr>
            <w:tcW w:w="4271" w:type="dxa"/>
            <w:tcBorders>
              <w:top w:val="single" w:sz="4" w:space="0" w:color="auto"/>
              <w:left w:val="nil"/>
              <w:bottom w:val="single" w:sz="4" w:space="0" w:color="auto"/>
              <w:right w:val="nil"/>
            </w:tcBorders>
            <w:shd w:val="clear" w:color="auto" w:fill="auto"/>
            <w:noWrap/>
            <w:vAlign w:val="center"/>
            <w:hideMark/>
          </w:tcPr>
          <w:p w14:paraId="07FB03B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n= 51 people with non-clinical needs, referred to the social prescribing service by GPs, practice nurses, community nursing </w:t>
            </w:r>
            <w:r w:rsidRPr="001A455A">
              <w:rPr>
                <w:rFonts w:asciiTheme="minorHAnsi" w:hAnsiTheme="minorHAnsi" w:cstheme="minorHAnsi"/>
                <w:sz w:val="22"/>
                <w:szCs w:val="22"/>
              </w:rPr>
              <w:lastRenderedPageBreak/>
              <w:t>teams, care navigation staff, social workers, ambulance staff and A&amp;E staff</w:t>
            </w:r>
          </w:p>
        </w:tc>
        <w:tc>
          <w:tcPr>
            <w:tcW w:w="6296" w:type="dxa"/>
            <w:tcBorders>
              <w:top w:val="single" w:sz="4" w:space="0" w:color="auto"/>
              <w:left w:val="nil"/>
              <w:bottom w:val="single" w:sz="4" w:space="0" w:color="auto"/>
            </w:tcBorders>
            <w:shd w:val="clear" w:color="auto" w:fill="auto"/>
            <w:noWrap/>
            <w:vAlign w:val="center"/>
            <w:hideMark/>
          </w:tcPr>
          <w:p w14:paraId="43CAC7F1"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lastRenderedPageBreak/>
              <w:t>3 x link workers placed across the city to help individuals access range of health and wellbeing services. Support commonly included exercise programmes, social activities, healthy eating, self-</w:t>
            </w:r>
            <w:r w:rsidRPr="001A455A">
              <w:rPr>
                <w:rFonts w:asciiTheme="minorHAnsi" w:hAnsiTheme="minorHAnsi" w:cstheme="minorHAnsi"/>
                <w:sz w:val="22"/>
                <w:szCs w:val="22"/>
              </w:rPr>
              <w:lastRenderedPageBreak/>
              <w:t xml:space="preserve">management of long-term conditions and support with welfare benefits and financial issues. Includes one face-to-face meeting then follow-up meetings depending on progress. </w:t>
            </w:r>
          </w:p>
        </w:tc>
      </w:tr>
      <w:tr w:rsidR="001A455A" w:rsidRPr="001A455A" w14:paraId="325AE10C"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2A31F6A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lastRenderedPageBreak/>
              <w:t xml:space="preserve">McDaid et al., 2021 </w:t>
            </w:r>
          </w:p>
        </w:tc>
        <w:tc>
          <w:tcPr>
            <w:tcW w:w="1407" w:type="dxa"/>
            <w:tcBorders>
              <w:top w:val="single" w:sz="4" w:space="0" w:color="auto"/>
              <w:left w:val="nil"/>
              <w:bottom w:val="single" w:sz="4" w:space="0" w:color="auto"/>
              <w:right w:val="nil"/>
            </w:tcBorders>
            <w:shd w:val="clear" w:color="auto" w:fill="auto"/>
            <w:noWrap/>
            <w:vAlign w:val="center"/>
            <w:hideMark/>
          </w:tcPr>
          <w:p w14:paraId="59D0EEB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England</w:t>
            </w:r>
          </w:p>
        </w:tc>
        <w:tc>
          <w:tcPr>
            <w:tcW w:w="4271" w:type="dxa"/>
            <w:tcBorders>
              <w:top w:val="single" w:sz="4" w:space="0" w:color="auto"/>
              <w:left w:val="nil"/>
              <w:bottom w:val="single" w:sz="4" w:space="0" w:color="auto"/>
              <w:right w:val="nil"/>
            </w:tcBorders>
            <w:shd w:val="clear" w:color="auto" w:fill="auto"/>
            <w:noWrap/>
            <w:vAlign w:val="center"/>
            <w:hideMark/>
          </w:tcPr>
          <w:p w14:paraId="3F63A2B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n= 121 older people experiencing or at risk of experiencing social isolation and/or loneliness </w:t>
            </w:r>
          </w:p>
        </w:tc>
        <w:tc>
          <w:tcPr>
            <w:tcW w:w="6296" w:type="dxa"/>
            <w:tcBorders>
              <w:top w:val="single" w:sz="4" w:space="0" w:color="auto"/>
              <w:left w:val="nil"/>
              <w:bottom w:val="single" w:sz="4" w:space="0" w:color="auto"/>
            </w:tcBorders>
            <w:shd w:val="clear" w:color="auto" w:fill="auto"/>
            <w:noWrap/>
            <w:vAlign w:val="center"/>
            <w:hideMark/>
          </w:tcPr>
          <w:p w14:paraId="6C6679C8"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 xml:space="preserve">Personalised support delivered over 6-9 months. Volunteer matching or case worker develops personalised plan and then refers to appropriate emotional and practical support aimed at rebuilding confidence and support connections with people, places, or activities in their community. </w:t>
            </w:r>
          </w:p>
        </w:tc>
      </w:tr>
      <w:tr w:rsidR="001A455A" w:rsidRPr="001A455A" w14:paraId="6D7108AC"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637858B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Red Cross &amp; The Coop Foundation, 2019</w:t>
            </w:r>
          </w:p>
        </w:tc>
        <w:tc>
          <w:tcPr>
            <w:tcW w:w="1407" w:type="dxa"/>
            <w:tcBorders>
              <w:top w:val="single" w:sz="4" w:space="0" w:color="auto"/>
              <w:left w:val="nil"/>
              <w:bottom w:val="single" w:sz="4" w:space="0" w:color="auto"/>
              <w:right w:val="nil"/>
            </w:tcBorders>
            <w:shd w:val="clear" w:color="auto" w:fill="auto"/>
            <w:noWrap/>
            <w:vAlign w:val="center"/>
            <w:hideMark/>
          </w:tcPr>
          <w:p w14:paraId="1AEFFF4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UK</w:t>
            </w:r>
          </w:p>
        </w:tc>
        <w:tc>
          <w:tcPr>
            <w:tcW w:w="4271" w:type="dxa"/>
            <w:tcBorders>
              <w:top w:val="single" w:sz="4" w:space="0" w:color="auto"/>
              <w:left w:val="nil"/>
              <w:bottom w:val="single" w:sz="4" w:space="0" w:color="auto"/>
              <w:right w:val="nil"/>
            </w:tcBorders>
            <w:shd w:val="clear" w:color="auto" w:fill="auto"/>
            <w:noWrap/>
            <w:vAlign w:val="center"/>
            <w:hideMark/>
          </w:tcPr>
          <w:p w14:paraId="04222E3A"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Individuals experiencing or at risk of experiencing social isolation and/or loneliness; half of support recipients undergoing life transitions (largely due to physical &amp; mental health issues and mobility limitations) </w:t>
            </w:r>
          </w:p>
        </w:tc>
        <w:tc>
          <w:tcPr>
            <w:tcW w:w="6296" w:type="dxa"/>
            <w:tcBorders>
              <w:top w:val="single" w:sz="4" w:space="0" w:color="auto"/>
              <w:left w:val="nil"/>
              <w:bottom w:val="single" w:sz="4" w:space="0" w:color="auto"/>
            </w:tcBorders>
            <w:shd w:val="clear" w:color="auto" w:fill="auto"/>
            <w:noWrap/>
            <w:vAlign w:val="center"/>
            <w:hideMark/>
          </w:tcPr>
          <w:p w14:paraId="2E542736"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 xml:space="preserve">Community Connector service providing person-centered support to re-connect people feeling lonely or socially isolated back to their communities. Signposting to local groups and activities, including for emotional and practical support. Typically involved 8 support sessions for up to 3 months. </w:t>
            </w:r>
          </w:p>
        </w:tc>
      </w:tr>
      <w:tr w:rsidR="001A455A" w:rsidRPr="001A455A" w14:paraId="115412C1" w14:textId="77777777" w:rsidTr="001C3226">
        <w:trPr>
          <w:trHeight w:val="340"/>
        </w:trPr>
        <w:tc>
          <w:tcPr>
            <w:tcW w:w="13951" w:type="dxa"/>
            <w:gridSpan w:val="4"/>
            <w:tcBorders>
              <w:top w:val="single" w:sz="4" w:space="0" w:color="auto"/>
              <w:bottom w:val="single" w:sz="4" w:space="0" w:color="auto"/>
            </w:tcBorders>
            <w:shd w:val="clear" w:color="auto" w:fill="BFBFBF" w:themeFill="background1" w:themeFillShade="BF"/>
            <w:noWrap/>
            <w:vAlign w:val="center"/>
          </w:tcPr>
          <w:p w14:paraId="2466A852"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b/>
                <w:bCs/>
                <w:sz w:val="22"/>
                <w:szCs w:val="22"/>
              </w:rPr>
              <w:t>ICT training/ Equipment provision (N= 5)</w:t>
            </w:r>
          </w:p>
        </w:tc>
      </w:tr>
      <w:tr w:rsidR="001A455A" w:rsidRPr="001A455A" w14:paraId="5C21D01E" w14:textId="77777777" w:rsidTr="001C3226">
        <w:trPr>
          <w:trHeight w:val="340"/>
        </w:trPr>
        <w:tc>
          <w:tcPr>
            <w:tcW w:w="1977" w:type="dxa"/>
            <w:tcBorders>
              <w:top w:val="single" w:sz="4" w:space="0" w:color="auto"/>
              <w:bottom w:val="single" w:sz="4" w:space="0" w:color="auto"/>
              <w:right w:val="nil"/>
            </w:tcBorders>
            <w:shd w:val="clear" w:color="auto" w:fill="auto"/>
            <w:noWrap/>
            <w:vAlign w:val="center"/>
            <w:hideMark/>
          </w:tcPr>
          <w:p w14:paraId="61603C18"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﻿Antunes et al., 2022</w:t>
            </w:r>
          </w:p>
        </w:tc>
        <w:tc>
          <w:tcPr>
            <w:tcW w:w="1407" w:type="dxa"/>
            <w:tcBorders>
              <w:top w:val="single" w:sz="4" w:space="0" w:color="auto"/>
              <w:left w:val="nil"/>
              <w:bottom w:val="single" w:sz="4" w:space="0" w:color="auto"/>
              <w:right w:val="nil"/>
            </w:tcBorders>
            <w:shd w:val="clear" w:color="auto" w:fill="auto"/>
            <w:noWrap/>
            <w:vAlign w:val="center"/>
            <w:hideMark/>
          </w:tcPr>
          <w:p w14:paraId="43EE579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Brazil</w:t>
            </w:r>
          </w:p>
        </w:tc>
        <w:tc>
          <w:tcPr>
            <w:tcW w:w="4271" w:type="dxa"/>
            <w:tcBorders>
              <w:top w:val="single" w:sz="4" w:space="0" w:color="auto"/>
              <w:left w:val="nil"/>
              <w:bottom w:val="single" w:sz="4" w:space="0" w:color="auto"/>
              <w:right w:val="nil"/>
            </w:tcBorders>
            <w:shd w:val="clear" w:color="auto" w:fill="auto"/>
            <w:noWrap/>
            <w:vAlign w:val="center"/>
            <w:hideMark/>
          </w:tcPr>
          <w:p w14:paraId="29A2DA6E"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36 older adults enrolled in computer classes for beginners at an ageing care centre</w:t>
            </w:r>
          </w:p>
        </w:tc>
        <w:tc>
          <w:tcPr>
            <w:tcW w:w="6296" w:type="dxa"/>
            <w:tcBorders>
              <w:top w:val="single" w:sz="4" w:space="0" w:color="auto"/>
              <w:left w:val="nil"/>
              <w:bottom w:val="single" w:sz="4" w:space="0" w:color="auto"/>
            </w:tcBorders>
            <w:shd w:val="clear" w:color="auto" w:fill="auto"/>
            <w:noWrap/>
            <w:vAlign w:val="center"/>
            <w:hideMark/>
          </w:tcPr>
          <w:p w14:paraId="67A265A1"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2hr sessions twice a week for 4 weeks (8 computer science classes), followed by the same format programme but with 15 mins per class dedicated to digital games (16 classes total); participants arranged into six groups with maximum group size of 10</w:t>
            </w:r>
          </w:p>
        </w:tc>
      </w:tr>
      <w:tr w:rsidR="001A455A" w:rsidRPr="001A455A" w14:paraId="0593A04D"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1839E7B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Fields J. et al., 2021</w:t>
            </w:r>
          </w:p>
        </w:tc>
        <w:tc>
          <w:tcPr>
            <w:tcW w:w="1407" w:type="dxa"/>
            <w:tcBorders>
              <w:top w:val="single" w:sz="4" w:space="0" w:color="auto"/>
              <w:left w:val="nil"/>
              <w:bottom w:val="single" w:sz="4" w:space="0" w:color="auto"/>
              <w:right w:val="nil"/>
            </w:tcBorders>
            <w:shd w:val="clear" w:color="auto" w:fill="auto"/>
            <w:noWrap/>
            <w:vAlign w:val="center"/>
            <w:hideMark/>
          </w:tcPr>
          <w:p w14:paraId="007A2E2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6A4907C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57 socially isolated older adults</w:t>
            </w:r>
          </w:p>
        </w:tc>
        <w:tc>
          <w:tcPr>
            <w:tcW w:w="6296" w:type="dxa"/>
            <w:tcBorders>
              <w:top w:val="single" w:sz="4" w:space="0" w:color="auto"/>
              <w:left w:val="nil"/>
              <w:bottom w:val="single" w:sz="4" w:space="0" w:color="auto"/>
            </w:tcBorders>
            <w:shd w:val="clear" w:color="auto" w:fill="auto"/>
            <w:noWrap/>
            <w:vAlign w:val="center"/>
            <w:hideMark/>
          </w:tcPr>
          <w:p w14:paraId="0EBD0C75"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8x weekly 1-to-1 in-home lessons delivered by a volunteer covering how to use an iPad, email, applications, online communities, online safety and online fun</w:t>
            </w:r>
          </w:p>
        </w:tc>
      </w:tr>
      <w:tr w:rsidR="001A455A" w:rsidRPr="001A455A" w14:paraId="568CFEFD"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0B795B8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Gadbois et al., 2022</w:t>
            </w:r>
          </w:p>
        </w:tc>
        <w:tc>
          <w:tcPr>
            <w:tcW w:w="1407" w:type="dxa"/>
            <w:tcBorders>
              <w:top w:val="single" w:sz="4" w:space="0" w:color="auto"/>
              <w:left w:val="nil"/>
              <w:bottom w:val="single" w:sz="4" w:space="0" w:color="auto"/>
              <w:right w:val="nil"/>
            </w:tcBorders>
            <w:shd w:val="clear" w:color="auto" w:fill="auto"/>
            <w:noWrap/>
            <w:vAlign w:val="center"/>
            <w:hideMark/>
          </w:tcPr>
          <w:p w14:paraId="49B819D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36C31203"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18 homebound older adults</w:t>
            </w:r>
          </w:p>
        </w:tc>
        <w:tc>
          <w:tcPr>
            <w:tcW w:w="6296" w:type="dxa"/>
            <w:tcBorders>
              <w:top w:val="single" w:sz="4" w:space="0" w:color="auto"/>
              <w:left w:val="nil"/>
              <w:bottom w:val="single" w:sz="4" w:space="0" w:color="auto"/>
            </w:tcBorders>
            <w:shd w:val="clear" w:color="auto" w:fill="auto"/>
            <w:noWrap/>
            <w:vAlign w:val="center"/>
            <w:hideMark/>
          </w:tcPr>
          <w:p w14:paraId="7496C192"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1.5-2hr 1-to-1 technology training sessions per week for 4 weeks then 30 mins phone assistance per week for 10 weeks</w:t>
            </w:r>
          </w:p>
        </w:tc>
      </w:tr>
      <w:tr w:rsidR="001A455A" w:rsidRPr="001A455A" w14:paraId="6F5C50D5"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7A1F20F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Mullins et al., 2020</w:t>
            </w:r>
          </w:p>
        </w:tc>
        <w:tc>
          <w:tcPr>
            <w:tcW w:w="1407" w:type="dxa"/>
            <w:tcBorders>
              <w:top w:val="single" w:sz="4" w:space="0" w:color="auto"/>
              <w:left w:val="nil"/>
              <w:bottom w:val="single" w:sz="4" w:space="0" w:color="auto"/>
              <w:right w:val="nil"/>
            </w:tcBorders>
            <w:shd w:val="clear" w:color="auto" w:fill="auto"/>
            <w:noWrap/>
            <w:vAlign w:val="center"/>
            <w:hideMark/>
          </w:tcPr>
          <w:p w14:paraId="1740F45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31EA2EB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11 older adults living in US Housing and Urban Development</w:t>
            </w:r>
          </w:p>
        </w:tc>
        <w:tc>
          <w:tcPr>
            <w:tcW w:w="6296" w:type="dxa"/>
            <w:tcBorders>
              <w:top w:val="single" w:sz="4" w:space="0" w:color="auto"/>
              <w:left w:val="nil"/>
              <w:bottom w:val="single" w:sz="4" w:space="0" w:color="auto"/>
            </w:tcBorders>
            <w:shd w:val="clear" w:color="auto" w:fill="auto"/>
            <w:noWrap/>
            <w:vAlign w:val="center"/>
            <w:hideMark/>
          </w:tcPr>
          <w:p w14:paraId="000F8B36"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3x computer classes (basic computer skills, internet safety/email/social media, computer Q&amp;A) each offered at 8 different times for residents</w:t>
            </w:r>
          </w:p>
        </w:tc>
      </w:tr>
      <w:tr w:rsidR="001A455A" w:rsidRPr="001A455A" w14:paraId="035917EF"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439600C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Quinn, 2021</w:t>
            </w:r>
          </w:p>
        </w:tc>
        <w:tc>
          <w:tcPr>
            <w:tcW w:w="1407" w:type="dxa"/>
            <w:tcBorders>
              <w:top w:val="single" w:sz="4" w:space="0" w:color="auto"/>
              <w:left w:val="nil"/>
              <w:bottom w:val="single" w:sz="4" w:space="0" w:color="auto"/>
              <w:right w:val="nil"/>
            </w:tcBorders>
            <w:shd w:val="clear" w:color="auto" w:fill="auto"/>
            <w:noWrap/>
            <w:vAlign w:val="center"/>
            <w:hideMark/>
          </w:tcPr>
          <w:p w14:paraId="6CA7B9A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798A888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36 older community-dwelling adults</w:t>
            </w:r>
          </w:p>
        </w:tc>
        <w:tc>
          <w:tcPr>
            <w:tcW w:w="6296" w:type="dxa"/>
            <w:tcBorders>
              <w:top w:val="single" w:sz="4" w:space="0" w:color="auto"/>
              <w:left w:val="nil"/>
              <w:bottom w:val="single" w:sz="4" w:space="0" w:color="auto"/>
            </w:tcBorders>
            <w:shd w:val="clear" w:color="auto" w:fill="auto"/>
            <w:noWrap/>
            <w:vAlign w:val="center"/>
            <w:hideMark/>
          </w:tcPr>
          <w:p w14:paraId="52A44788"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4x 2hr weekly social media group training sessions held in a classroom (75% Facebook, 25% Twitter focusing on online security, online etiquette, messaging and photo sharing)</w:t>
            </w:r>
          </w:p>
        </w:tc>
      </w:tr>
      <w:tr w:rsidR="001A455A" w:rsidRPr="001A455A" w14:paraId="3D419589" w14:textId="77777777" w:rsidTr="001C3226">
        <w:trPr>
          <w:trHeight w:val="320"/>
        </w:trPr>
        <w:tc>
          <w:tcPr>
            <w:tcW w:w="13951" w:type="dxa"/>
            <w:gridSpan w:val="4"/>
            <w:tcBorders>
              <w:top w:val="single" w:sz="4" w:space="0" w:color="auto"/>
              <w:bottom w:val="single" w:sz="4" w:space="0" w:color="auto"/>
            </w:tcBorders>
            <w:shd w:val="clear" w:color="auto" w:fill="BFBFBF" w:themeFill="background1" w:themeFillShade="BF"/>
            <w:noWrap/>
            <w:vAlign w:val="center"/>
          </w:tcPr>
          <w:p w14:paraId="0BF7D20B"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b/>
                <w:bCs/>
                <w:sz w:val="22"/>
                <w:szCs w:val="22"/>
              </w:rPr>
              <w:t>OTHER (N= 9)</w:t>
            </w:r>
          </w:p>
        </w:tc>
      </w:tr>
      <w:tr w:rsidR="001A455A" w:rsidRPr="001A455A" w14:paraId="021E8B6E"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181282B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lastRenderedPageBreak/>
              <w:t>Broer et al., 2011</w:t>
            </w:r>
          </w:p>
        </w:tc>
        <w:tc>
          <w:tcPr>
            <w:tcW w:w="1407" w:type="dxa"/>
            <w:tcBorders>
              <w:top w:val="single" w:sz="4" w:space="0" w:color="auto"/>
              <w:left w:val="nil"/>
              <w:bottom w:val="single" w:sz="4" w:space="0" w:color="auto"/>
              <w:right w:val="nil"/>
            </w:tcBorders>
            <w:shd w:val="clear" w:color="auto" w:fill="auto"/>
            <w:noWrap/>
            <w:vAlign w:val="center"/>
            <w:hideMark/>
          </w:tcPr>
          <w:p w14:paraId="192C4C38"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Netherlands</w:t>
            </w:r>
          </w:p>
        </w:tc>
        <w:tc>
          <w:tcPr>
            <w:tcW w:w="4271" w:type="dxa"/>
            <w:tcBorders>
              <w:top w:val="single" w:sz="4" w:space="0" w:color="auto"/>
              <w:left w:val="nil"/>
              <w:bottom w:val="single" w:sz="4" w:space="0" w:color="auto"/>
              <w:right w:val="nil"/>
            </w:tcBorders>
            <w:shd w:val="clear" w:color="auto" w:fill="auto"/>
            <w:noWrap/>
            <w:vAlign w:val="center"/>
            <w:hideMark/>
          </w:tcPr>
          <w:p w14:paraId="5374AF3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186 intellectually disabled adults</w:t>
            </w:r>
          </w:p>
        </w:tc>
        <w:tc>
          <w:tcPr>
            <w:tcW w:w="6296" w:type="dxa"/>
            <w:tcBorders>
              <w:top w:val="single" w:sz="4" w:space="0" w:color="auto"/>
              <w:left w:val="nil"/>
              <w:bottom w:val="single" w:sz="4" w:space="0" w:color="auto"/>
            </w:tcBorders>
            <w:shd w:val="clear" w:color="auto" w:fill="auto"/>
            <w:noWrap/>
            <w:vAlign w:val="center"/>
            <w:hideMark/>
          </w:tcPr>
          <w:p w14:paraId="3E73F8DA"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29 teams of healthcare providers, each targeting a group of 20-30 intellectually disabled or psychiatric patients; teams and clients worked together to create individual plans to increase social networks</w:t>
            </w:r>
          </w:p>
        </w:tc>
      </w:tr>
      <w:tr w:rsidR="001A455A" w:rsidRPr="001A455A" w14:paraId="1CB583C2"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68D7B25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Jones et al., 2021</w:t>
            </w:r>
          </w:p>
        </w:tc>
        <w:tc>
          <w:tcPr>
            <w:tcW w:w="1407" w:type="dxa"/>
            <w:tcBorders>
              <w:top w:val="single" w:sz="4" w:space="0" w:color="auto"/>
              <w:left w:val="nil"/>
              <w:bottom w:val="single" w:sz="4" w:space="0" w:color="auto"/>
              <w:right w:val="nil"/>
            </w:tcBorders>
            <w:shd w:val="clear" w:color="auto" w:fill="auto"/>
            <w:noWrap/>
            <w:vAlign w:val="center"/>
            <w:hideMark/>
          </w:tcPr>
          <w:p w14:paraId="35E149A3"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1ED2CC22"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16 older community-dwelling adults living on their own</w:t>
            </w:r>
          </w:p>
        </w:tc>
        <w:tc>
          <w:tcPr>
            <w:tcW w:w="6296" w:type="dxa"/>
            <w:tcBorders>
              <w:top w:val="single" w:sz="4" w:space="0" w:color="auto"/>
              <w:left w:val="nil"/>
              <w:bottom w:val="single" w:sz="4" w:space="0" w:color="auto"/>
            </w:tcBorders>
            <w:shd w:val="clear" w:color="auto" w:fill="auto"/>
            <w:noWrap/>
            <w:vAlign w:val="center"/>
            <w:hideMark/>
          </w:tcPr>
          <w:p w14:paraId="17EDE6A2"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Participants used an Amazon Echo personal voice assistant for 4-weeks (min 5 interactions/ day), then as much as they liked for a further 4-weeks.</w:t>
            </w:r>
          </w:p>
        </w:tc>
      </w:tr>
      <w:tr w:rsidR="001A455A" w:rsidRPr="001A455A" w14:paraId="7E45C958"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7A8C7813"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Kramer et al., 2022</w:t>
            </w:r>
          </w:p>
        </w:tc>
        <w:tc>
          <w:tcPr>
            <w:tcW w:w="1407" w:type="dxa"/>
            <w:tcBorders>
              <w:top w:val="single" w:sz="4" w:space="0" w:color="auto"/>
              <w:left w:val="nil"/>
              <w:bottom w:val="single" w:sz="4" w:space="0" w:color="auto"/>
              <w:right w:val="nil"/>
            </w:tcBorders>
            <w:shd w:val="clear" w:color="auto" w:fill="auto"/>
            <w:noWrap/>
            <w:vAlign w:val="center"/>
            <w:hideMark/>
          </w:tcPr>
          <w:p w14:paraId="79E75F7E"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Netherlands</w:t>
            </w:r>
          </w:p>
        </w:tc>
        <w:tc>
          <w:tcPr>
            <w:tcW w:w="4271" w:type="dxa"/>
            <w:tcBorders>
              <w:top w:val="single" w:sz="4" w:space="0" w:color="auto"/>
              <w:left w:val="nil"/>
              <w:bottom w:val="single" w:sz="4" w:space="0" w:color="auto"/>
              <w:right w:val="nil"/>
            </w:tcBorders>
            <w:shd w:val="clear" w:color="auto" w:fill="auto"/>
            <w:noWrap/>
            <w:vAlign w:val="center"/>
            <w:hideMark/>
          </w:tcPr>
          <w:p w14:paraId="3C4768D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32 older community-dwelling adults living on their own</w:t>
            </w:r>
          </w:p>
        </w:tc>
        <w:tc>
          <w:tcPr>
            <w:tcW w:w="6296" w:type="dxa"/>
            <w:tcBorders>
              <w:top w:val="single" w:sz="4" w:space="0" w:color="auto"/>
              <w:left w:val="nil"/>
              <w:bottom w:val="single" w:sz="4" w:space="0" w:color="auto"/>
            </w:tcBorders>
            <w:shd w:val="clear" w:color="auto" w:fill="auto"/>
            <w:noWrap/>
            <w:vAlign w:val="center"/>
            <w:hideMark/>
          </w:tcPr>
          <w:p w14:paraId="1A8F15D8"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 xml:space="preserve">8-week access to an eHealth app which uses AI conversational agents to provide motivation for decreasing loneliness and improving eating behaviour </w:t>
            </w:r>
          </w:p>
        </w:tc>
      </w:tr>
      <w:tr w:rsidR="001A455A" w:rsidRPr="001A455A" w14:paraId="1884CC5A"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564A38E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Larsson et al., 2016</w:t>
            </w:r>
          </w:p>
        </w:tc>
        <w:tc>
          <w:tcPr>
            <w:tcW w:w="1407" w:type="dxa"/>
            <w:tcBorders>
              <w:top w:val="single" w:sz="4" w:space="0" w:color="auto"/>
              <w:left w:val="nil"/>
              <w:bottom w:val="single" w:sz="4" w:space="0" w:color="auto"/>
              <w:right w:val="nil"/>
            </w:tcBorders>
            <w:shd w:val="clear" w:color="auto" w:fill="auto"/>
            <w:noWrap/>
            <w:vAlign w:val="center"/>
            <w:hideMark/>
          </w:tcPr>
          <w:p w14:paraId="78766443"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Sweden</w:t>
            </w:r>
          </w:p>
        </w:tc>
        <w:tc>
          <w:tcPr>
            <w:tcW w:w="4271" w:type="dxa"/>
            <w:tcBorders>
              <w:top w:val="single" w:sz="4" w:space="0" w:color="auto"/>
              <w:left w:val="nil"/>
              <w:bottom w:val="single" w:sz="4" w:space="0" w:color="auto"/>
              <w:right w:val="nil"/>
            </w:tcBorders>
            <w:shd w:val="clear" w:color="auto" w:fill="auto"/>
            <w:noWrap/>
            <w:vAlign w:val="center"/>
            <w:hideMark/>
          </w:tcPr>
          <w:p w14:paraId="70F156D2"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28 older community-dwelling adults</w:t>
            </w:r>
          </w:p>
        </w:tc>
        <w:tc>
          <w:tcPr>
            <w:tcW w:w="6296" w:type="dxa"/>
            <w:tcBorders>
              <w:top w:val="single" w:sz="4" w:space="0" w:color="auto"/>
              <w:left w:val="nil"/>
              <w:bottom w:val="single" w:sz="4" w:space="0" w:color="auto"/>
            </w:tcBorders>
            <w:shd w:val="clear" w:color="auto" w:fill="auto"/>
            <w:noWrap/>
            <w:vAlign w:val="center"/>
            <w:hideMark/>
          </w:tcPr>
          <w:p w14:paraId="759CB97C"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4-month multi-tier intervention consisting of 1) 1.5hr biweekly educational group meetings and 2)1.5hr weekly individual meetings with an occupational therapist. Aim of meetings was to assist participants with goal-orientated social internet-based activities and attain goals (e.g., make a new friend or learn to participate in debates)</w:t>
            </w:r>
          </w:p>
        </w:tc>
      </w:tr>
      <w:tr w:rsidR="001A455A" w:rsidRPr="001A455A" w14:paraId="470A0FBA"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39A0476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Nguyen et al., 2022</w:t>
            </w:r>
          </w:p>
        </w:tc>
        <w:tc>
          <w:tcPr>
            <w:tcW w:w="1407" w:type="dxa"/>
            <w:tcBorders>
              <w:top w:val="single" w:sz="4" w:space="0" w:color="auto"/>
              <w:left w:val="nil"/>
              <w:bottom w:val="single" w:sz="4" w:space="0" w:color="auto"/>
              <w:right w:val="nil"/>
            </w:tcBorders>
            <w:shd w:val="clear" w:color="auto" w:fill="auto"/>
            <w:noWrap/>
            <w:vAlign w:val="center"/>
            <w:hideMark/>
          </w:tcPr>
          <w:p w14:paraId="54DF0DE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USA</w:t>
            </w:r>
          </w:p>
        </w:tc>
        <w:tc>
          <w:tcPr>
            <w:tcW w:w="4271" w:type="dxa"/>
            <w:tcBorders>
              <w:top w:val="single" w:sz="4" w:space="0" w:color="auto"/>
              <w:left w:val="nil"/>
              <w:bottom w:val="single" w:sz="4" w:space="0" w:color="auto"/>
              <w:right w:val="nil"/>
            </w:tcBorders>
            <w:shd w:val="clear" w:color="auto" w:fill="auto"/>
            <w:noWrap/>
            <w:vAlign w:val="center"/>
            <w:hideMark/>
          </w:tcPr>
          <w:p w14:paraId="0C265E6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124 adult caregivers of people with dementia</w:t>
            </w:r>
          </w:p>
        </w:tc>
        <w:tc>
          <w:tcPr>
            <w:tcW w:w="6296" w:type="dxa"/>
            <w:tcBorders>
              <w:top w:val="single" w:sz="4" w:space="0" w:color="auto"/>
              <w:left w:val="nil"/>
              <w:bottom w:val="single" w:sz="4" w:space="0" w:color="auto"/>
            </w:tcBorders>
            <w:shd w:val="clear" w:color="auto" w:fill="auto"/>
            <w:noWrap/>
            <w:vAlign w:val="center"/>
            <w:hideMark/>
          </w:tcPr>
          <w:p w14:paraId="37010B7C"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 xml:space="preserve">Participants were given a tablet with software designed for older adults to support cognitive, emotional, social, physical, and spiritual wellness (games, quizzes, tv shows, audiobooks, music, etc). </w:t>
            </w:r>
          </w:p>
          <w:p w14:paraId="3E225B01"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Participants received an initial group 1hr online training session, met monthly in a 1hr online support group with other participants, and received digital delivery of a newsletter (weekly for first 6-months, monthly for the last 6-months) highlighting a different tablet feature and reminding participants about local support groups.</w:t>
            </w:r>
          </w:p>
        </w:tc>
      </w:tr>
      <w:tr w:rsidR="001A455A" w:rsidRPr="001A455A" w14:paraId="08FA0C7E"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680A2EA8"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Ohta et al., 2022</w:t>
            </w:r>
          </w:p>
        </w:tc>
        <w:tc>
          <w:tcPr>
            <w:tcW w:w="1407" w:type="dxa"/>
            <w:tcBorders>
              <w:top w:val="single" w:sz="4" w:space="0" w:color="auto"/>
              <w:left w:val="nil"/>
              <w:bottom w:val="single" w:sz="4" w:space="0" w:color="auto"/>
              <w:right w:val="nil"/>
            </w:tcBorders>
            <w:shd w:val="clear" w:color="auto" w:fill="auto"/>
            <w:noWrap/>
            <w:vAlign w:val="center"/>
            <w:hideMark/>
          </w:tcPr>
          <w:p w14:paraId="69ACC5E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Japan</w:t>
            </w:r>
          </w:p>
        </w:tc>
        <w:tc>
          <w:tcPr>
            <w:tcW w:w="4271" w:type="dxa"/>
            <w:tcBorders>
              <w:top w:val="single" w:sz="4" w:space="0" w:color="auto"/>
              <w:left w:val="nil"/>
              <w:bottom w:val="single" w:sz="4" w:space="0" w:color="auto"/>
              <w:right w:val="nil"/>
            </w:tcBorders>
            <w:shd w:val="clear" w:color="auto" w:fill="auto"/>
            <w:noWrap/>
            <w:vAlign w:val="center"/>
            <w:hideMark/>
          </w:tcPr>
          <w:p w14:paraId="2432590A"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77 community-dwelling adults</w:t>
            </w:r>
          </w:p>
        </w:tc>
        <w:tc>
          <w:tcPr>
            <w:tcW w:w="6296" w:type="dxa"/>
            <w:tcBorders>
              <w:top w:val="single" w:sz="4" w:space="0" w:color="auto"/>
              <w:left w:val="nil"/>
              <w:bottom w:val="single" w:sz="4" w:space="0" w:color="auto"/>
            </w:tcBorders>
            <w:shd w:val="clear" w:color="auto" w:fill="auto"/>
            <w:noWrap/>
            <w:vAlign w:val="center"/>
            <w:hideMark/>
          </w:tcPr>
          <w:p w14:paraId="3A8E87BC"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16x meetings (i.e. Osekkai conferences) held at care centres to discuss community problems and organise voluntary resolutions held across a one-year period; Osekkai is a traditional Japanese behaviour in which people do what they think is good for others, which can increase people’s social participation.</w:t>
            </w:r>
          </w:p>
        </w:tc>
      </w:tr>
      <w:tr w:rsidR="001A455A" w:rsidRPr="001A455A" w14:paraId="3FBFBC19"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7BBE0567"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Taube et al., 2018</w:t>
            </w:r>
          </w:p>
        </w:tc>
        <w:tc>
          <w:tcPr>
            <w:tcW w:w="1407" w:type="dxa"/>
            <w:tcBorders>
              <w:top w:val="single" w:sz="4" w:space="0" w:color="auto"/>
              <w:left w:val="nil"/>
              <w:bottom w:val="single" w:sz="4" w:space="0" w:color="auto"/>
              <w:right w:val="nil"/>
            </w:tcBorders>
            <w:shd w:val="clear" w:color="auto" w:fill="auto"/>
            <w:noWrap/>
            <w:vAlign w:val="center"/>
            <w:hideMark/>
          </w:tcPr>
          <w:p w14:paraId="43E23322"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Sweden</w:t>
            </w:r>
          </w:p>
        </w:tc>
        <w:tc>
          <w:tcPr>
            <w:tcW w:w="4271" w:type="dxa"/>
            <w:tcBorders>
              <w:top w:val="single" w:sz="4" w:space="0" w:color="auto"/>
              <w:left w:val="nil"/>
              <w:bottom w:val="single" w:sz="4" w:space="0" w:color="auto"/>
              <w:right w:val="nil"/>
            </w:tcBorders>
            <w:shd w:val="clear" w:color="auto" w:fill="auto"/>
            <w:noWrap/>
            <w:vAlign w:val="center"/>
            <w:hideMark/>
          </w:tcPr>
          <w:p w14:paraId="57D07CC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108 older community-dwelling adults receiving care</w:t>
            </w:r>
          </w:p>
        </w:tc>
        <w:tc>
          <w:tcPr>
            <w:tcW w:w="6296" w:type="dxa"/>
            <w:tcBorders>
              <w:top w:val="single" w:sz="4" w:space="0" w:color="auto"/>
              <w:left w:val="nil"/>
              <w:bottom w:val="single" w:sz="4" w:space="0" w:color="auto"/>
            </w:tcBorders>
            <w:shd w:val="clear" w:color="auto" w:fill="auto"/>
            <w:noWrap/>
            <w:vAlign w:val="center"/>
            <w:hideMark/>
          </w:tcPr>
          <w:p w14:paraId="74501843"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 xml:space="preserve">Out-patient case management intervention involved each patient having two case managers (a nurse and a physiotherapist) which made monthly visits (sometimes together), or more as required, over </w:t>
            </w:r>
            <w:r w:rsidRPr="001A455A">
              <w:rPr>
                <w:rFonts w:asciiTheme="minorHAnsi" w:hAnsiTheme="minorHAnsi" w:cstheme="minorHAnsi"/>
                <w:sz w:val="22"/>
                <w:szCs w:val="22"/>
              </w:rPr>
              <w:lastRenderedPageBreak/>
              <w:t>12-months. Case managers were available to call for assistance at any time, and shared information with participants about the consequences of ageing and local activities as well as individually tailored information regarding disease and recovery management.</w:t>
            </w:r>
          </w:p>
        </w:tc>
      </w:tr>
      <w:tr w:rsidR="001A455A" w:rsidRPr="001A455A" w14:paraId="6E81811A" w14:textId="77777777" w:rsidTr="001C3226">
        <w:trPr>
          <w:trHeight w:val="680"/>
        </w:trPr>
        <w:tc>
          <w:tcPr>
            <w:tcW w:w="1977" w:type="dxa"/>
            <w:tcBorders>
              <w:top w:val="single" w:sz="4" w:space="0" w:color="auto"/>
              <w:bottom w:val="single" w:sz="4" w:space="0" w:color="auto"/>
              <w:right w:val="nil"/>
            </w:tcBorders>
            <w:shd w:val="clear" w:color="auto" w:fill="auto"/>
            <w:noWrap/>
            <w:vAlign w:val="center"/>
            <w:hideMark/>
          </w:tcPr>
          <w:p w14:paraId="399FEB5E"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lastRenderedPageBreak/>
              <w:t>The Mental Health Foundation, 2018</w:t>
            </w:r>
          </w:p>
        </w:tc>
        <w:tc>
          <w:tcPr>
            <w:tcW w:w="1407" w:type="dxa"/>
            <w:tcBorders>
              <w:top w:val="single" w:sz="4" w:space="0" w:color="auto"/>
              <w:left w:val="nil"/>
              <w:bottom w:val="single" w:sz="4" w:space="0" w:color="auto"/>
              <w:right w:val="nil"/>
            </w:tcBorders>
            <w:shd w:val="clear" w:color="auto" w:fill="auto"/>
            <w:noWrap/>
            <w:vAlign w:val="center"/>
            <w:hideMark/>
          </w:tcPr>
          <w:p w14:paraId="4715384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UK</w:t>
            </w:r>
          </w:p>
        </w:tc>
        <w:tc>
          <w:tcPr>
            <w:tcW w:w="4271" w:type="dxa"/>
            <w:tcBorders>
              <w:top w:val="single" w:sz="4" w:space="0" w:color="auto"/>
              <w:left w:val="nil"/>
              <w:bottom w:val="single" w:sz="4" w:space="0" w:color="auto"/>
              <w:right w:val="nil"/>
            </w:tcBorders>
            <w:shd w:val="clear" w:color="auto" w:fill="auto"/>
            <w:vAlign w:val="center"/>
            <w:hideMark/>
          </w:tcPr>
          <w:p w14:paraId="141D18C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n= 13 older people living in support housing </w:t>
            </w:r>
          </w:p>
        </w:tc>
        <w:tc>
          <w:tcPr>
            <w:tcW w:w="6296" w:type="dxa"/>
            <w:tcBorders>
              <w:top w:val="single" w:sz="4" w:space="0" w:color="auto"/>
              <w:left w:val="nil"/>
              <w:bottom w:val="single" w:sz="4" w:space="0" w:color="auto"/>
            </w:tcBorders>
            <w:shd w:val="clear" w:color="auto" w:fill="auto"/>
            <w:noWrap/>
            <w:vAlign w:val="center"/>
            <w:hideMark/>
          </w:tcPr>
          <w:p w14:paraId="3B4C05A6"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Self-management initiative with peer support groups. Weekly sessions for 6 months facilitate and provide peer support to people living in housing schemes. Included activities designed to increase meaningful participation and aid cognitive stimulation, focusing on the participants’ identity and their passions</w:t>
            </w:r>
          </w:p>
        </w:tc>
      </w:tr>
      <w:tr w:rsidR="001A455A" w:rsidRPr="001A455A" w14:paraId="4E5E56B0" w14:textId="77777777" w:rsidTr="001C3226">
        <w:trPr>
          <w:trHeight w:val="320"/>
        </w:trPr>
        <w:tc>
          <w:tcPr>
            <w:tcW w:w="1977" w:type="dxa"/>
            <w:tcBorders>
              <w:top w:val="single" w:sz="4" w:space="0" w:color="auto"/>
              <w:bottom w:val="single" w:sz="4" w:space="0" w:color="auto"/>
              <w:right w:val="nil"/>
            </w:tcBorders>
            <w:shd w:val="clear" w:color="auto" w:fill="auto"/>
            <w:noWrap/>
            <w:vAlign w:val="center"/>
            <w:hideMark/>
          </w:tcPr>
          <w:p w14:paraId="7942AD7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Traverse, 2018</w:t>
            </w:r>
          </w:p>
        </w:tc>
        <w:tc>
          <w:tcPr>
            <w:tcW w:w="1407" w:type="dxa"/>
            <w:tcBorders>
              <w:top w:val="single" w:sz="4" w:space="0" w:color="auto"/>
              <w:left w:val="nil"/>
              <w:bottom w:val="single" w:sz="4" w:space="0" w:color="auto"/>
              <w:right w:val="nil"/>
            </w:tcBorders>
            <w:shd w:val="clear" w:color="auto" w:fill="auto"/>
            <w:noWrap/>
            <w:vAlign w:val="center"/>
            <w:hideMark/>
          </w:tcPr>
          <w:p w14:paraId="0E04B094"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UK</w:t>
            </w:r>
          </w:p>
        </w:tc>
        <w:tc>
          <w:tcPr>
            <w:tcW w:w="4271" w:type="dxa"/>
            <w:tcBorders>
              <w:top w:val="single" w:sz="4" w:space="0" w:color="auto"/>
              <w:left w:val="nil"/>
              <w:bottom w:val="single" w:sz="4" w:space="0" w:color="auto"/>
              <w:right w:val="nil"/>
            </w:tcBorders>
            <w:shd w:val="clear" w:color="auto" w:fill="auto"/>
            <w:noWrap/>
            <w:vAlign w:val="center"/>
            <w:hideMark/>
          </w:tcPr>
          <w:p w14:paraId="64F6E03A"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n= 14 home sharers - older people and others who need support to stay in their homes (e.g. divorcees, long-distance commuters); homeholders - young professionals </w:t>
            </w:r>
          </w:p>
        </w:tc>
        <w:tc>
          <w:tcPr>
            <w:tcW w:w="6296" w:type="dxa"/>
            <w:tcBorders>
              <w:top w:val="single" w:sz="4" w:space="0" w:color="auto"/>
              <w:left w:val="nil"/>
              <w:bottom w:val="single" w:sz="4" w:space="0" w:color="auto"/>
            </w:tcBorders>
            <w:shd w:val="clear" w:color="auto" w:fill="auto"/>
            <w:noWrap/>
            <w:vAlign w:val="center"/>
            <w:hideMark/>
          </w:tcPr>
          <w:p w14:paraId="6E04EF54" w14:textId="77777777" w:rsidR="00CB457E" w:rsidRPr="001A455A" w:rsidRDefault="00CB457E" w:rsidP="001C3226">
            <w:pPr>
              <w:spacing w:after="100" w:afterAutospacing="1"/>
              <w:jc w:val="both"/>
              <w:rPr>
                <w:rFonts w:asciiTheme="minorHAnsi" w:hAnsiTheme="minorHAnsi" w:cstheme="minorHAnsi"/>
                <w:sz w:val="22"/>
                <w:szCs w:val="22"/>
              </w:rPr>
            </w:pPr>
            <w:r w:rsidRPr="001A455A">
              <w:rPr>
                <w:rFonts w:asciiTheme="minorHAnsi" w:hAnsiTheme="minorHAnsi" w:cstheme="minorHAnsi"/>
                <w:sz w:val="22"/>
                <w:szCs w:val="22"/>
              </w:rPr>
              <w:t>Homeshare scheme in eight pilot sites allowing two people to share a home for mutual benefit.  More commonly brings together older people with young people who provide companionship and 10 hr per/week of low-level practical support in return for an affordable place to live.</w:t>
            </w:r>
          </w:p>
        </w:tc>
      </w:tr>
    </w:tbl>
    <w:p w14:paraId="3D7FACCB" w14:textId="3F079162" w:rsidR="00CB457E" w:rsidRPr="001A455A" w:rsidRDefault="00CB457E">
      <w:pPr>
        <w:rPr>
          <w:rFonts w:ascii="Arial" w:hAnsi="Arial" w:cs="Arial"/>
          <w:b/>
          <w:bCs/>
        </w:rPr>
      </w:pPr>
    </w:p>
    <w:p w14:paraId="37FB3391" w14:textId="6975433B" w:rsidR="00CB457E" w:rsidRPr="001A455A" w:rsidRDefault="00AA0656" w:rsidP="00AA0656">
      <w:pPr>
        <w:spacing w:after="100" w:afterAutospacing="1" w:line="276" w:lineRule="auto"/>
        <w:jc w:val="both"/>
        <w:rPr>
          <w:rFonts w:asciiTheme="minorHAnsi" w:hAnsiTheme="minorHAnsi" w:cstheme="minorHAnsi"/>
          <w:sz w:val="22"/>
          <w:szCs w:val="22"/>
        </w:rPr>
      </w:pPr>
      <w:r w:rsidRPr="001A455A">
        <w:rPr>
          <w:rFonts w:asciiTheme="minorHAnsi" w:hAnsiTheme="minorHAnsi" w:cstheme="minorHAnsi"/>
          <w:sz w:val="22"/>
          <w:szCs w:val="22"/>
          <w:vertAlign w:val="superscript"/>
        </w:rPr>
        <w:t xml:space="preserve">a </w:t>
      </w:r>
      <w:r w:rsidRPr="001A455A">
        <w:rPr>
          <w:rFonts w:asciiTheme="minorHAnsi" w:hAnsiTheme="minorHAnsi" w:cstheme="minorHAnsi"/>
          <w:sz w:val="22"/>
          <w:szCs w:val="22"/>
        </w:rPr>
        <w:t>Sample size represents number of participants who responded to post intervention loneliness measures across intervention and control groups</w:t>
      </w:r>
    </w:p>
    <w:p w14:paraId="55A0ABB5" w14:textId="77777777" w:rsidR="00CB457E" w:rsidRPr="001A455A" w:rsidRDefault="00CB457E">
      <w:pPr>
        <w:rPr>
          <w:rFonts w:ascii="Arial" w:hAnsi="Arial" w:cs="Arial"/>
          <w:b/>
          <w:bCs/>
        </w:rPr>
      </w:pPr>
      <w:r w:rsidRPr="001A455A">
        <w:rPr>
          <w:rFonts w:ascii="Arial" w:hAnsi="Arial" w:cs="Arial"/>
          <w:b/>
          <w:bCs/>
        </w:rPr>
        <w:br w:type="page"/>
      </w:r>
    </w:p>
    <w:p w14:paraId="1317B1CB" w14:textId="4E626552" w:rsidR="00CB457E" w:rsidRPr="001A455A" w:rsidRDefault="009213AB" w:rsidP="00CB457E">
      <w:pPr>
        <w:spacing w:after="100" w:afterAutospacing="1"/>
        <w:rPr>
          <w:rFonts w:asciiTheme="minorHAnsi" w:hAnsiTheme="minorHAnsi" w:cstheme="minorHAnsi"/>
          <w:b/>
          <w:bCs/>
          <w:sz w:val="22"/>
          <w:szCs w:val="22"/>
        </w:rPr>
      </w:pPr>
      <w:r w:rsidRPr="001A455A">
        <w:rPr>
          <w:rFonts w:asciiTheme="minorHAnsi" w:hAnsiTheme="minorHAnsi" w:cstheme="minorHAnsi"/>
          <w:b/>
          <w:bCs/>
          <w:sz w:val="22"/>
          <w:szCs w:val="22"/>
        </w:rPr>
        <w:lastRenderedPageBreak/>
        <w:t xml:space="preserve">Supplementary </w:t>
      </w:r>
      <w:r w:rsidR="00CB457E" w:rsidRPr="001A455A">
        <w:rPr>
          <w:rFonts w:asciiTheme="minorHAnsi" w:hAnsiTheme="minorHAnsi" w:cstheme="minorHAnsi"/>
          <w:b/>
          <w:bCs/>
          <w:sz w:val="22"/>
          <w:szCs w:val="22"/>
        </w:rPr>
        <w:t xml:space="preserve">Table </w:t>
      </w:r>
      <w:r w:rsidRPr="001A455A">
        <w:rPr>
          <w:rFonts w:asciiTheme="minorHAnsi" w:hAnsiTheme="minorHAnsi" w:cstheme="minorHAnsi"/>
          <w:b/>
          <w:bCs/>
          <w:sz w:val="22"/>
          <w:szCs w:val="22"/>
        </w:rPr>
        <w:t>S7</w:t>
      </w:r>
      <w:r w:rsidR="00CB457E" w:rsidRPr="001A455A">
        <w:rPr>
          <w:rFonts w:asciiTheme="minorHAnsi" w:hAnsiTheme="minorHAnsi" w:cstheme="minorHAnsi"/>
          <w:b/>
          <w:bCs/>
          <w:sz w:val="22"/>
          <w:szCs w:val="22"/>
        </w:rPr>
        <w:t>. Characteristics of each intervention in ‘Multiple themes’ (n=9)</w:t>
      </w:r>
    </w:p>
    <w:tbl>
      <w:tblPr>
        <w:tblW w:w="13960" w:type="dxa"/>
        <w:tblBorders>
          <w:top w:val="single" w:sz="4" w:space="0" w:color="auto"/>
          <w:bottom w:val="single" w:sz="4" w:space="0" w:color="auto"/>
          <w:insideH w:val="single" w:sz="4" w:space="0" w:color="auto"/>
        </w:tblBorders>
        <w:tblLook w:val="04A0" w:firstRow="1" w:lastRow="0" w:firstColumn="1" w:lastColumn="0" w:noHBand="0" w:noVBand="1"/>
      </w:tblPr>
      <w:tblGrid>
        <w:gridCol w:w="1879"/>
        <w:gridCol w:w="1665"/>
        <w:gridCol w:w="4394"/>
        <w:gridCol w:w="6022"/>
      </w:tblGrid>
      <w:tr w:rsidR="001A455A" w:rsidRPr="001A455A" w14:paraId="0DB81EEB" w14:textId="77777777" w:rsidTr="001C3226">
        <w:trPr>
          <w:trHeight w:val="699"/>
          <w:tblHeader/>
        </w:trPr>
        <w:tc>
          <w:tcPr>
            <w:tcW w:w="1879" w:type="dxa"/>
            <w:shd w:val="clear" w:color="auto" w:fill="auto"/>
            <w:hideMark/>
          </w:tcPr>
          <w:p w14:paraId="1FCCD02B" w14:textId="77777777" w:rsidR="00CB457E" w:rsidRPr="001A455A" w:rsidRDefault="00CB457E" w:rsidP="001C3226">
            <w:pPr>
              <w:spacing w:after="100" w:afterAutospacing="1"/>
              <w:jc w:val="center"/>
              <w:rPr>
                <w:rFonts w:asciiTheme="minorHAnsi" w:hAnsiTheme="minorHAnsi" w:cstheme="minorHAnsi"/>
                <w:sz w:val="22"/>
                <w:szCs w:val="22"/>
              </w:rPr>
            </w:pPr>
            <w:r w:rsidRPr="001A455A">
              <w:rPr>
                <w:rFonts w:asciiTheme="minorHAnsi" w:hAnsiTheme="minorHAnsi" w:cstheme="minorHAnsi"/>
                <w:b/>
                <w:bCs/>
                <w:sz w:val="22"/>
                <w:szCs w:val="22"/>
              </w:rPr>
              <w:lastRenderedPageBreak/>
              <w:t>Authors</w:t>
            </w:r>
          </w:p>
        </w:tc>
        <w:tc>
          <w:tcPr>
            <w:tcW w:w="1665" w:type="dxa"/>
            <w:shd w:val="clear" w:color="auto" w:fill="auto"/>
            <w:hideMark/>
          </w:tcPr>
          <w:p w14:paraId="0F5AB5C6" w14:textId="77777777" w:rsidR="00CB457E" w:rsidRPr="001A455A" w:rsidRDefault="00CB457E" w:rsidP="001C3226">
            <w:pPr>
              <w:spacing w:after="100" w:afterAutospacing="1"/>
              <w:jc w:val="center"/>
              <w:rPr>
                <w:rFonts w:asciiTheme="minorHAnsi" w:hAnsiTheme="minorHAnsi" w:cstheme="minorHAnsi"/>
                <w:sz w:val="22"/>
                <w:szCs w:val="22"/>
              </w:rPr>
            </w:pPr>
            <w:r w:rsidRPr="001A455A">
              <w:rPr>
                <w:rFonts w:asciiTheme="minorHAnsi" w:hAnsiTheme="minorHAnsi" w:cstheme="minorHAnsi"/>
                <w:b/>
                <w:bCs/>
                <w:sz w:val="22"/>
                <w:szCs w:val="22"/>
              </w:rPr>
              <w:t>Country</w:t>
            </w:r>
          </w:p>
        </w:tc>
        <w:tc>
          <w:tcPr>
            <w:tcW w:w="4394" w:type="dxa"/>
            <w:shd w:val="clear" w:color="auto" w:fill="auto"/>
            <w:noWrap/>
            <w:hideMark/>
          </w:tcPr>
          <w:p w14:paraId="25FC3098"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b/>
                <w:bCs/>
                <w:sz w:val="22"/>
                <w:szCs w:val="22"/>
              </w:rPr>
              <w:t xml:space="preserve">Sample size </w:t>
            </w:r>
            <w:r w:rsidRPr="001A455A">
              <w:rPr>
                <w:rFonts w:asciiTheme="minorHAnsi" w:hAnsiTheme="minorHAnsi" w:cstheme="minorHAnsi"/>
                <w:b/>
                <w:bCs/>
                <w:sz w:val="22"/>
                <w:szCs w:val="22"/>
                <w:vertAlign w:val="superscript"/>
              </w:rPr>
              <w:t>a</w:t>
            </w:r>
            <w:r w:rsidRPr="001A455A">
              <w:rPr>
                <w:rFonts w:asciiTheme="minorHAnsi" w:hAnsiTheme="minorHAnsi" w:cstheme="minorHAnsi"/>
                <w:b/>
                <w:bCs/>
                <w:sz w:val="22"/>
                <w:szCs w:val="22"/>
              </w:rPr>
              <w:t xml:space="preserve"> and description</w:t>
            </w:r>
          </w:p>
        </w:tc>
        <w:tc>
          <w:tcPr>
            <w:tcW w:w="6022" w:type="dxa"/>
            <w:shd w:val="clear" w:color="auto" w:fill="auto"/>
            <w:hideMark/>
          </w:tcPr>
          <w:p w14:paraId="56E0EB85" w14:textId="77777777" w:rsidR="00CB457E" w:rsidRPr="001A455A" w:rsidRDefault="00CB457E" w:rsidP="001C3226">
            <w:pPr>
              <w:spacing w:after="100" w:afterAutospacing="1"/>
              <w:jc w:val="center"/>
              <w:rPr>
                <w:rFonts w:asciiTheme="minorHAnsi" w:hAnsiTheme="minorHAnsi" w:cstheme="minorHAnsi"/>
                <w:sz w:val="22"/>
                <w:szCs w:val="22"/>
              </w:rPr>
            </w:pPr>
            <w:r w:rsidRPr="001A455A">
              <w:rPr>
                <w:rFonts w:asciiTheme="minorHAnsi" w:hAnsiTheme="minorHAnsi" w:cstheme="minorHAnsi"/>
                <w:b/>
                <w:bCs/>
                <w:sz w:val="22"/>
                <w:szCs w:val="22"/>
              </w:rPr>
              <w:t>Intervention description</w:t>
            </w:r>
          </w:p>
        </w:tc>
      </w:tr>
      <w:tr w:rsidR="001A455A" w:rsidRPr="001A455A" w14:paraId="651F3F37" w14:textId="77777777" w:rsidTr="001C3226">
        <w:trPr>
          <w:trHeight w:val="320"/>
          <w:tblHeader/>
        </w:trPr>
        <w:tc>
          <w:tcPr>
            <w:tcW w:w="1879" w:type="dxa"/>
            <w:shd w:val="clear" w:color="auto" w:fill="auto"/>
            <w:noWrap/>
            <w:hideMark/>
          </w:tcPr>
          <w:p w14:paraId="6B86C96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Honigh-de Vlaming et al., 2013</w:t>
            </w:r>
          </w:p>
        </w:tc>
        <w:tc>
          <w:tcPr>
            <w:tcW w:w="1665" w:type="dxa"/>
            <w:shd w:val="clear" w:color="auto" w:fill="auto"/>
            <w:noWrap/>
            <w:hideMark/>
          </w:tcPr>
          <w:p w14:paraId="2CEA534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Netherlands</w:t>
            </w:r>
          </w:p>
        </w:tc>
        <w:tc>
          <w:tcPr>
            <w:tcW w:w="4394" w:type="dxa"/>
            <w:shd w:val="clear" w:color="auto" w:fill="auto"/>
            <w:noWrap/>
            <w:hideMark/>
          </w:tcPr>
          <w:p w14:paraId="348AC927"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858 older community-dwelling adults</w:t>
            </w:r>
          </w:p>
        </w:tc>
        <w:tc>
          <w:tcPr>
            <w:tcW w:w="6022" w:type="dxa"/>
            <w:shd w:val="clear" w:color="auto" w:fill="auto"/>
            <w:noWrap/>
            <w:hideMark/>
          </w:tcPr>
          <w:p w14:paraId="4B53B3A3"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Five intervention components: a mass media campaign, information meetings for local elderly people, psychosocial group courses for persons with mental health problems or chronic diseases, social activation by the community-based Neighbours Connected intervention, and training of intermediaries (homecare nurses, municipal advisors, and volunteers)</w:t>
            </w:r>
          </w:p>
        </w:tc>
      </w:tr>
      <w:tr w:rsidR="001A455A" w:rsidRPr="001A455A" w14:paraId="035C2A63" w14:textId="77777777" w:rsidTr="001C3226">
        <w:trPr>
          <w:trHeight w:val="320"/>
          <w:tblHeader/>
        </w:trPr>
        <w:tc>
          <w:tcPr>
            <w:tcW w:w="1879" w:type="dxa"/>
            <w:shd w:val="clear" w:color="auto" w:fill="auto"/>
            <w:noWrap/>
            <w:hideMark/>
          </w:tcPr>
          <w:p w14:paraId="7AC91A5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Pynnönen et al., 2017</w:t>
            </w:r>
          </w:p>
        </w:tc>
        <w:tc>
          <w:tcPr>
            <w:tcW w:w="1665" w:type="dxa"/>
            <w:shd w:val="clear" w:color="auto" w:fill="auto"/>
            <w:noWrap/>
            <w:hideMark/>
          </w:tcPr>
          <w:p w14:paraId="1005458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Finland</w:t>
            </w:r>
          </w:p>
        </w:tc>
        <w:tc>
          <w:tcPr>
            <w:tcW w:w="4394" w:type="dxa"/>
            <w:shd w:val="clear" w:color="auto" w:fill="auto"/>
            <w:noWrap/>
            <w:hideMark/>
          </w:tcPr>
          <w:p w14:paraId="3548A9C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n= 222 older community-dwelling adults</w:t>
            </w:r>
          </w:p>
        </w:tc>
        <w:tc>
          <w:tcPr>
            <w:tcW w:w="6022" w:type="dxa"/>
            <w:shd w:val="clear" w:color="auto" w:fill="auto"/>
            <w:noWrap/>
            <w:hideMark/>
          </w:tcPr>
          <w:p w14:paraId="3FA6F6F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6-month social intervention of choice (weekly group supervised exercise, weekly group social activity, or personal counselling every 3rd week) vs. self-directed control group (single counselling session).  </w:t>
            </w:r>
          </w:p>
        </w:tc>
      </w:tr>
      <w:tr w:rsidR="001A455A" w:rsidRPr="001A455A" w14:paraId="64AC8A92" w14:textId="77777777" w:rsidTr="001C3226">
        <w:trPr>
          <w:trHeight w:val="320"/>
          <w:tblHeader/>
        </w:trPr>
        <w:tc>
          <w:tcPr>
            <w:tcW w:w="1879" w:type="dxa"/>
            <w:shd w:val="clear" w:color="auto" w:fill="auto"/>
            <w:noWrap/>
            <w:hideMark/>
          </w:tcPr>
          <w:p w14:paraId="01D2B93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Dayson et al., 2021 </w:t>
            </w:r>
          </w:p>
        </w:tc>
        <w:tc>
          <w:tcPr>
            <w:tcW w:w="1665" w:type="dxa"/>
            <w:shd w:val="clear" w:color="auto" w:fill="auto"/>
            <w:noWrap/>
            <w:hideMark/>
          </w:tcPr>
          <w:p w14:paraId="0C18FF27"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England</w:t>
            </w:r>
          </w:p>
        </w:tc>
        <w:tc>
          <w:tcPr>
            <w:tcW w:w="4394" w:type="dxa"/>
            <w:shd w:val="clear" w:color="auto" w:fill="auto"/>
            <w:noWrap/>
            <w:hideMark/>
          </w:tcPr>
          <w:p w14:paraId="3601322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n= 608 older people at risk of loneliness and/or social isolation </w:t>
            </w:r>
          </w:p>
        </w:tc>
        <w:tc>
          <w:tcPr>
            <w:tcW w:w="6022" w:type="dxa"/>
            <w:shd w:val="clear" w:color="auto" w:fill="auto"/>
            <w:noWrap/>
            <w:hideMark/>
          </w:tcPr>
          <w:p w14:paraId="66EE7287"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Group-based and one-to-one therapeutic and befriending activities based on the ‘Five Ways to Wellbeing'. Evaluation cohort attended activities that included practical advice and guidance, and social activities. </w:t>
            </w:r>
          </w:p>
        </w:tc>
      </w:tr>
      <w:tr w:rsidR="001A455A" w:rsidRPr="001A455A" w14:paraId="7C2840A3" w14:textId="77777777" w:rsidTr="001C3226">
        <w:trPr>
          <w:trHeight w:val="320"/>
          <w:tblHeader/>
        </w:trPr>
        <w:tc>
          <w:tcPr>
            <w:tcW w:w="1879" w:type="dxa"/>
            <w:shd w:val="clear" w:color="auto" w:fill="auto"/>
            <w:noWrap/>
            <w:hideMark/>
          </w:tcPr>
          <w:p w14:paraId="4A4CE19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Leyland et al., 2022 </w:t>
            </w:r>
          </w:p>
        </w:tc>
        <w:tc>
          <w:tcPr>
            <w:tcW w:w="1665" w:type="dxa"/>
            <w:shd w:val="clear" w:color="auto" w:fill="auto"/>
            <w:noWrap/>
            <w:hideMark/>
          </w:tcPr>
          <w:p w14:paraId="02778D44"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England</w:t>
            </w:r>
          </w:p>
        </w:tc>
        <w:tc>
          <w:tcPr>
            <w:tcW w:w="4394" w:type="dxa"/>
            <w:shd w:val="clear" w:color="auto" w:fill="auto"/>
            <w:noWrap/>
            <w:hideMark/>
          </w:tcPr>
          <w:p w14:paraId="3F7325A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n= 771 older people at risk of loneliness and/or social isolation </w:t>
            </w:r>
          </w:p>
        </w:tc>
        <w:tc>
          <w:tcPr>
            <w:tcW w:w="6022" w:type="dxa"/>
            <w:shd w:val="clear" w:color="auto" w:fill="auto"/>
            <w:noWrap/>
            <w:hideMark/>
          </w:tcPr>
          <w:p w14:paraId="3F7810C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Part of BL Ageing Better programme (Citywide-Leeds). 19 projects included, all worked with local community, co-produced projects, recruited volunteers, and sometimes, linked with other organisations. Projects include community-based development approaches. Evaluation cohort activities include: meal-sharing activities; cultural appropriate group activities; walking/outdoor interventions &amp; arts/theatre/dance activities.  </w:t>
            </w:r>
          </w:p>
        </w:tc>
      </w:tr>
      <w:tr w:rsidR="001A455A" w:rsidRPr="001A455A" w14:paraId="7DF61481" w14:textId="77777777" w:rsidTr="001C3226">
        <w:trPr>
          <w:trHeight w:val="320"/>
          <w:tblHeader/>
        </w:trPr>
        <w:tc>
          <w:tcPr>
            <w:tcW w:w="1879" w:type="dxa"/>
            <w:shd w:val="clear" w:color="auto" w:fill="auto"/>
            <w:noWrap/>
            <w:hideMark/>
          </w:tcPr>
          <w:p w14:paraId="2F449CB6"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Moreton et al., 2019 </w:t>
            </w:r>
          </w:p>
        </w:tc>
        <w:tc>
          <w:tcPr>
            <w:tcW w:w="1665" w:type="dxa"/>
            <w:shd w:val="clear" w:color="auto" w:fill="auto"/>
            <w:noWrap/>
            <w:hideMark/>
          </w:tcPr>
          <w:p w14:paraId="763CB06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England</w:t>
            </w:r>
          </w:p>
        </w:tc>
        <w:tc>
          <w:tcPr>
            <w:tcW w:w="4394" w:type="dxa"/>
            <w:shd w:val="clear" w:color="auto" w:fill="auto"/>
            <w:noWrap/>
            <w:hideMark/>
          </w:tcPr>
          <w:p w14:paraId="11477745"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n= 450 older people at risk of loneliness and/or social isolation </w:t>
            </w:r>
          </w:p>
        </w:tc>
        <w:tc>
          <w:tcPr>
            <w:tcW w:w="6022" w:type="dxa"/>
            <w:shd w:val="clear" w:color="auto" w:fill="auto"/>
            <w:noWrap/>
            <w:hideMark/>
          </w:tcPr>
          <w:p w14:paraId="7DB7599F"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Part of wider Ageing Better programme - Voluntary sector-led partnerships in 14 areas across England aimed at promoting community action on ageing and isolation.  City-wide programme composed of networks providing a range of group activities: including Exercise (42 Networks), Arts, Food-related, trips (27 Networks) and skills workshops (24 Networks). </w:t>
            </w:r>
          </w:p>
        </w:tc>
      </w:tr>
      <w:tr w:rsidR="001A455A" w:rsidRPr="001A455A" w14:paraId="2AB7EB28" w14:textId="77777777" w:rsidTr="001C3226">
        <w:trPr>
          <w:trHeight w:val="320"/>
          <w:tblHeader/>
        </w:trPr>
        <w:tc>
          <w:tcPr>
            <w:tcW w:w="1879" w:type="dxa"/>
            <w:shd w:val="clear" w:color="auto" w:fill="auto"/>
            <w:noWrap/>
            <w:hideMark/>
          </w:tcPr>
          <w:p w14:paraId="647DA0D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lastRenderedPageBreak/>
              <w:t>Ecorys, 2021</w:t>
            </w:r>
          </w:p>
        </w:tc>
        <w:tc>
          <w:tcPr>
            <w:tcW w:w="1665" w:type="dxa"/>
            <w:shd w:val="clear" w:color="auto" w:fill="auto"/>
            <w:noWrap/>
            <w:hideMark/>
          </w:tcPr>
          <w:p w14:paraId="4290E57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England</w:t>
            </w:r>
          </w:p>
        </w:tc>
        <w:tc>
          <w:tcPr>
            <w:tcW w:w="4394" w:type="dxa"/>
            <w:shd w:val="clear" w:color="auto" w:fill="auto"/>
            <w:noWrap/>
            <w:hideMark/>
          </w:tcPr>
          <w:p w14:paraId="4BC02CB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n= 1498 older people experiencing or at risk of experiencing social isolation and/or loneliness </w:t>
            </w:r>
          </w:p>
        </w:tc>
        <w:tc>
          <w:tcPr>
            <w:tcW w:w="6022" w:type="dxa"/>
            <w:shd w:val="clear" w:color="auto" w:fill="auto"/>
            <w:noWrap/>
            <w:hideMark/>
          </w:tcPr>
          <w:p w14:paraId="26807FEA"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Ageing better. Strategic programme delivered by 14 VCSE sector-led partnerships. Develops/delivers plans to create new and enjoyable ways for people over 50 to be actively involved in their communities to combat social isolation and loneliness. Intervention types include ICT intervention Asset-based community development (ABCD), Creative activities, Social interventions, Culture change, Knowledge sharing/building, Social prescribing, Mental health, Physical health and Transport.</w:t>
            </w:r>
          </w:p>
        </w:tc>
      </w:tr>
      <w:tr w:rsidR="001A455A" w:rsidRPr="001A455A" w14:paraId="0203F501" w14:textId="77777777" w:rsidTr="001C3226">
        <w:trPr>
          <w:trHeight w:val="320"/>
          <w:tblHeader/>
        </w:trPr>
        <w:tc>
          <w:tcPr>
            <w:tcW w:w="1879" w:type="dxa"/>
            <w:shd w:val="clear" w:color="auto" w:fill="auto"/>
            <w:noWrap/>
            <w:hideMark/>
          </w:tcPr>
          <w:p w14:paraId="6CC52B61"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Jones et al., 2021</w:t>
            </w:r>
          </w:p>
        </w:tc>
        <w:tc>
          <w:tcPr>
            <w:tcW w:w="1665" w:type="dxa"/>
            <w:shd w:val="clear" w:color="auto" w:fill="auto"/>
            <w:noWrap/>
            <w:hideMark/>
          </w:tcPr>
          <w:p w14:paraId="631E1DE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England</w:t>
            </w:r>
          </w:p>
        </w:tc>
        <w:tc>
          <w:tcPr>
            <w:tcW w:w="4394" w:type="dxa"/>
            <w:shd w:val="clear" w:color="auto" w:fill="auto"/>
            <w:noWrap/>
            <w:hideMark/>
          </w:tcPr>
          <w:p w14:paraId="156CFB1C"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n= 897 older people experiencing or at risk of experiencing social isolation and/or loneliness </w:t>
            </w:r>
          </w:p>
        </w:tc>
        <w:tc>
          <w:tcPr>
            <w:tcW w:w="6022" w:type="dxa"/>
            <w:shd w:val="clear" w:color="auto" w:fill="auto"/>
            <w:noWrap/>
            <w:hideMark/>
          </w:tcPr>
          <w:p w14:paraId="10EA27C2"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Part of wider Ageing Better programme - voluntary sector-led partnerships in 14 areas across England aimed at promoting community action on ageing and isolation.  City-wide programme included projects providing 121 and group support: Intergenerational Activity, Creativity and Arts, Peer Support, Food and Nutrition and Talking therapies. </w:t>
            </w:r>
          </w:p>
        </w:tc>
      </w:tr>
      <w:tr w:rsidR="001A455A" w:rsidRPr="001A455A" w14:paraId="5DD05046" w14:textId="77777777" w:rsidTr="001C3226">
        <w:trPr>
          <w:trHeight w:val="320"/>
          <w:tblHeader/>
        </w:trPr>
        <w:tc>
          <w:tcPr>
            <w:tcW w:w="1879" w:type="dxa"/>
            <w:shd w:val="clear" w:color="auto" w:fill="auto"/>
            <w:noWrap/>
            <w:hideMark/>
          </w:tcPr>
          <w:p w14:paraId="6CDACB54"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Rose et al., 2021 </w:t>
            </w:r>
          </w:p>
        </w:tc>
        <w:tc>
          <w:tcPr>
            <w:tcW w:w="1665" w:type="dxa"/>
            <w:shd w:val="clear" w:color="auto" w:fill="auto"/>
            <w:noWrap/>
            <w:hideMark/>
          </w:tcPr>
          <w:p w14:paraId="20B7368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England</w:t>
            </w:r>
          </w:p>
        </w:tc>
        <w:tc>
          <w:tcPr>
            <w:tcW w:w="4394" w:type="dxa"/>
            <w:shd w:val="clear" w:color="auto" w:fill="auto"/>
            <w:noWrap/>
            <w:hideMark/>
          </w:tcPr>
          <w:p w14:paraId="2FB49252"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n= 0 individuals across the lifespan experiencing or at risk of experiencing social isolation and/or loneliness </w:t>
            </w:r>
          </w:p>
        </w:tc>
        <w:tc>
          <w:tcPr>
            <w:tcW w:w="6022" w:type="dxa"/>
            <w:shd w:val="clear" w:color="auto" w:fill="auto"/>
            <w:noWrap/>
            <w:hideMark/>
          </w:tcPr>
          <w:p w14:paraId="3D5E1820"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Cross-govt fund that gave 126 VCSE sector orgs grants to deliver 121 &amp; group service delivery, as well as system-level campaigning/change. Cohort of 23 grant holders whose activities largely focused on: Befriending/peer-to-peer support, advice, signposting &amp; outreach, Group activities - arts and leisure, educational approaches, physical leisure activities and therapeutic support.   Average engagement in cohort was 1-9 hours p/m for 3-12 months p/y. </w:t>
            </w:r>
          </w:p>
        </w:tc>
      </w:tr>
      <w:tr w:rsidR="001A455A" w:rsidRPr="001A455A" w14:paraId="3379E0A4" w14:textId="77777777" w:rsidTr="001C3226">
        <w:trPr>
          <w:trHeight w:val="320"/>
          <w:tblHeader/>
        </w:trPr>
        <w:tc>
          <w:tcPr>
            <w:tcW w:w="1879" w:type="dxa"/>
            <w:shd w:val="clear" w:color="auto" w:fill="auto"/>
            <w:noWrap/>
            <w:hideMark/>
          </w:tcPr>
          <w:p w14:paraId="1BA486AB"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Martin et al., 2021 </w:t>
            </w:r>
          </w:p>
        </w:tc>
        <w:tc>
          <w:tcPr>
            <w:tcW w:w="1665" w:type="dxa"/>
            <w:shd w:val="clear" w:color="auto" w:fill="auto"/>
            <w:noWrap/>
            <w:hideMark/>
          </w:tcPr>
          <w:p w14:paraId="11CEFD8E"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England</w:t>
            </w:r>
          </w:p>
        </w:tc>
        <w:tc>
          <w:tcPr>
            <w:tcW w:w="4394" w:type="dxa"/>
            <w:shd w:val="clear" w:color="auto" w:fill="auto"/>
            <w:noWrap/>
            <w:hideMark/>
          </w:tcPr>
          <w:p w14:paraId="4CE1E33D"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 xml:space="preserve">n= 2171 adults at risk of loneliness during covid-19 restrictions; multiple groups of vulnerable adults and their families (vulnerabilities include: physical &amp; mental health-related, carer-status-related, financial difficulties, immigration-related) new mothers;  adults at risk of loneliness during covid-19 restrictions) </w:t>
            </w:r>
          </w:p>
        </w:tc>
        <w:tc>
          <w:tcPr>
            <w:tcW w:w="6022" w:type="dxa"/>
            <w:shd w:val="clear" w:color="auto" w:fill="auto"/>
            <w:noWrap/>
            <w:hideMark/>
          </w:tcPr>
          <w:p w14:paraId="10D76CE9" w14:textId="77777777" w:rsidR="00CB457E" w:rsidRPr="001A455A" w:rsidRDefault="00CB457E" w:rsidP="001C3226">
            <w:pPr>
              <w:spacing w:after="100" w:afterAutospacing="1"/>
              <w:rPr>
                <w:rFonts w:asciiTheme="minorHAnsi" w:hAnsiTheme="minorHAnsi" w:cstheme="minorHAnsi"/>
                <w:sz w:val="22"/>
                <w:szCs w:val="22"/>
              </w:rPr>
            </w:pPr>
            <w:r w:rsidRPr="001A455A">
              <w:rPr>
                <w:rFonts w:asciiTheme="minorHAnsi" w:hAnsiTheme="minorHAnsi" w:cstheme="minorHAnsi"/>
                <w:sz w:val="22"/>
                <w:szCs w:val="22"/>
              </w:rPr>
              <w:t>Fund aimed at supporting delivery of services aimed at addressing loneliness and to help organisations adapt services during Covid-19 restrictions. Evaluation cohort composed of 8 VCSE sector orgs delivering following primary types of activity: Befriending, technological support (eg. Using ICT equipment)</w:t>
            </w:r>
          </w:p>
        </w:tc>
      </w:tr>
    </w:tbl>
    <w:p w14:paraId="32EFF774" w14:textId="77777777" w:rsidR="00AA0656" w:rsidRPr="001A455A" w:rsidRDefault="00AA0656" w:rsidP="00AA0656">
      <w:pPr>
        <w:spacing w:after="100" w:afterAutospacing="1" w:line="276" w:lineRule="auto"/>
        <w:jc w:val="both"/>
        <w:rPr>
          <w:rFonts w:asciiTheme="minorHAnsi" w:hAnsiTheme="minorHAnsi" w:cstheme="minorHAnsi"/>
          <w:sz w:val="22"/>
          <w:szCs w:val="22"/>
        </w:rPr>
      </w:pPr>
      <w:r w:rsidRPr="001A455A">
        <w:rPr>
          <w:rFonts w:asciiTheme="minorHAnsi" w:hAnsiTheme="minorHAnsi" w:cstheme="minorHAnsi"/>
          <w:sz w:val="22"/>
          <w:szCs w:val="22"/>
          <w:vertAlign w:val="superscript"/>
        </w:rPr>
        <w:t xml:space="preserve">a </w:t>
      </w:r>
      <w:r w:rsidRPr="001A455A">
        <w:rPr>
          <w:rFonts w:asciiTheme="minorHAnsi" w:hAnsiTheme="minorHAnsi" w:cstheme="minorHAnsi"/>
          <w:sz w:val="22"/>
          <w:szCs w:val="22"/>
        </w:rPr>
        <w:t>Sample size represents number of participants who responded to post intervention loneliness measures across intervention and control groups</w:t>
      </w:r>
    </w:p>
    <w:p w14:paraId="20C943B7" w14:textId="77777777" w:rsidR="00CB457E" w:rsidRPr="001A455A" w:rsidRDefault="00CB457E">
      <w:pPr>
        <w:rPr>
          <w:rFonts w:ascii="Arial" w:hAnsi="Arial" w:cs="Arial"/>
        </w:rPr>
        <w:sectPr w:rsidR="00CB457E" w:rsidRPr="001A455A" w:rsidSect="001A455A">
          <w:type w:val="continuous"/>
          <w:pgSz w:w="16838" w:h="11906" w:orient="landscape"/>
          <w:pgMar w:top="1440" w:right="1440" w:bottom="1440" w:left="1440" w:header="708" w:footer="708" w:gutter="0"/>
          <w:cols w:space="708"/>
          <w:docGrid w:linePitch="360"/>
        </w:sectPr>
      </w:pPr>
    </w:p>
    <w:p w14:paraId="42013E00" w14:textId="1B809870" w:rsidR="002105D6" w:rsidRPr="001A455A" w:rsidRDefault="002105D6" w:rsidP="002105D6">
      <w:pPr>
        <w:tabs>
          <w:tab w:val="left" w:pos="5115"/>
        </w:tabs>
        <w:spacing w:after="100" w:afterAutospacing="1" w:line="276" w:lineRule="auto"/>
        <w:jc w:val="both"/>
        <w:rPr>
          <w:rFonts w:asciiTheme="minorHAnsi" w:hAnsiTheme="minorHAnsi" w:cstheme="minorHAnsi"/>
          <w:b/>
          <w:bCs/>
          <w:sz w:val="22"/>
          <w:szCs w:val="22"/>
        </w:rPr>
      </w:pPr>
    </w:p>
    <w:p w14:paraId="44B45FD7" w14:textId="53581A3E" w:rsidR="00581C63" w:rsidRPr="001A455A" w:rsidRDefault="009213AB" w:rsidP="009213AB">
      <w:pPr>
        <w:spacing w:after="100" w:afterAutospacing="1" w:line="276" w:lineRule="auto"/>
        <w:rPr>
          <w:rFonts w:asciiTheme="minorHAnsi" w:eastAsia="Arial" w:hAnsiTheme="minorHAnsi" w:cstheme="minorHAnsi"/>
          <w:b/>
          <w:bCs/>
          <w:sz w:val="22"/>
          <w:szCs w:val="22"/>
        </w:rPr>
      </w:pPr>
      <w:r w:rsidRPr="001A455A">
        <w:rPr>
          <w:rFonts w:asciiTheme="minorHAnsi" w:hAnsiTheme="minorHAnsi" w:cstheme="minorHAnsi"/>
          <w:b/>
          <w:bCs/>
          <w:sz w:val="22"/>
          <w:szCs w:val="22"/>
        </w:rPr>
        <w:t xml:space="preserve">Supplementary </w:t>
      </w:r>
      <w:r w:rsidRPr="001A455A">
        <w:rPr>
          <w:rFonts w:asciiTheme="minorHAnsi" w:eastAsia="Arial" w:hAnsiTheme="minorHAnsi" w:cstheme="minorHAnsi"/>
          <w:b/>
          <w:bCs/>
          <w:sz w:val="22"/>
          <w:szCs w:val="22"/>
        </w:rPr>
        <w:t>Figure S1</w:t>
      </w:r>
      <w:r w:rsidR="002105D6" w:rsidRPr="001A455A">
        <w:rPr>
          <w:rFonts w:asciiTheme="minorHAnsi" w:eastAsia="Arial" w:hAnsiTheme="minorHAnsi" w:cstheme="minorHAnsi"/>
          <w:b/>
          <w:bCs/>
          <w:sz w:val="22"/>
          <w:szCs w:val="22"/>
        </w:rPr>
        <w:t>. Funnel plot to assess publication bias in included studies from a) pre- and post-intervention changes in intervention group and b) differences in pre- and post-intervention loneliness scores</w:t>
      </w:r>
      <w:r w:rsidRPr="001A455A">
        <w:rPr>
          <w:rFonts w:asciiTheme="minorHAnsi" w:eastAsia="Arial" w:hAnsiTheme="minorHAnsi" w:cstheme="minorHAnsi"/>
          <w:b/>
          <w:bCs/>
          <w:sz w:val="22"/>
          <w:szCs w:val="22"/>
        </w:rPr>
        <w:t xml:space="preserve"> </w:t>
      </w:r>
      <w:r w:rsidR="002105D6" w:rsidRPr="001A455A">
        <w:rPr>
          <w:rFonts w:asciiTheme="minorHAnsi" w:eastAsia="Arial" w:hAnsiTheme="minorHAnsi" w:cstheme="minorHAnsi"/>
          <w:b/>
          <w:bCs/>
          <w:sz w:val="22"/>
          <w:szCs w:val="22"/>
        </w:rPr>
        <w:t>between control and intervention groups.</w:t>
      </w:r>
      <w:r w:rsidRPr="001A455A">
        <w:rPr>
          <w:rFonts w:asciiTheme="minorHAnsi" w:hAnsiTheme="minorHAnsi" w:cstheme="minorHAnsi"/>
          <w:b/>
          <w:noProof/>
          <w:sz w:val="22"/>
          <w:szCs w:val="22"/>
        </w:rPr>
        <w:t xml:space="preserve"> </w:t>
      </w:r>
      <w:r w:rsidRPr="001A455A">
        <w:rPr>
          <w:rFonts w:asciiTheme="minorHAnsi" w:hAnsiTheme="minorHAnsi" w:cstheme="minorHAnsi"/>
          <w:b/>
          <w:noProof/>
          <w:sz w:val="22"/>
          <w:szCs w:val="22"/>
          <w:lang w:val="en-US" w:eastAsia="en-US"/>
        </w:rPr>
        <w:drawing>
          <wp:inline distT="0" distB="0" distL="0" distR="0" wp14:anchorId="0040EF2F" wp14:editId="56248A81">
            <wp:extent cx="5477347" cy="72930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489983" cy="7309834"/>
                    </a:xfrm>
                    <a:prstGeom prst="rect">
                      <a:avLst/>
                    </a:prstGeom>
                    <a:noFill/>
                    <a:ln>
                      <a:noFill/>
                    </a:ln>
                  </pic:spPr>
                </pic:pic>
              </a:graphicData>
            </a:graphic>
          </wp:inline>
        </w:drawing>
      </w:r>
    </w:p>
    <w:p w14:paraId="3E1EB3B4" w14:textId="77777777" w:rsidR="00BC0DBD" w:rsidRPr="001A455A" w:rsidRDefault="00BC0DBD" w:rsidP="002105D6">
      <w:pPr>
        <w:spacing w:after="100" w:afterAutospacing="1" w:line="276" w:lineRule="auto"/>
        <w:jc w:val="both"/>
        <w:rPr>
          <w:rFonts w:asciiTheme="minorHAnsi" w:eastAsia="Arial" w:hAnsiTheme="minorHAnsi" w:cstheme="minorHAnsi"/>
          <w:sz w:val="22"/>
          <w:szCs w:val="22"/>
        </w:rPr>
      </w:pPr>
    </w:p>
    <w:p w14:paraId="226D2AEE" w14:textId="1015EDA8" w:rsidR="00BC0DBD" w:rsidRPr="001A455A" w:rsidRDefault="009213AB" w:rsidP="00BC0DBD">
      <w:pPr>
        <w:spacing w:after="100" w:afterAutospacing="1" w:line="276" w:lineRule="auto"/>
        <w:rPr>
          <w:rFonts w:ascii="Aptos" w:eastAsia="Arial" w:hAnsi="Aptos" w:cs="Calibri"/>
          <w:b/>
          <w:bCs/>
          <w:sz w:val="22"/>
          <w:szCs w:val="22"/>
        </w:rPr>
      </w:pPr>
      <w:r w:rsidRPr="001A455A">
        <w:rPr>
          <w:rFonts w:asciiTheme="minorHAnsi" w:hAnsiTheme="minorHAnsi" w:cstheme="minorHAnsi"/>
          <w:b/>
          <w:bCs/>
          <w:sz w:val="22"/>
          <w:szCs w:val="22"/>
        </w:rPr>
        <w:lastRenderedPageBreak/>
        <w:t xml:space="preserve">Supplementary </w:t>
      </w:r>
      <w:r w:rsidRPr="001A455A">
        <w:rPr>
          <w:rFonts w:asciiTheme="minorHAnsi" w:eastAsia="Arial" w:hAnsiTheme="minorHAnsi" w:cstheme="minorHAnsi"/>
          <w:b/>
          <w:bCs/>
          <w:sz w:val="22"/>
          <w:szCs w:val="22"/>
        </w:rPr>
        <w:t xml:space="preserve">Figure S2. </w:t>
      </w:r>
      <w:r w:rsidR="00BC0DBD" w:rsidRPr="001A455A">
        <w:rPr>
          <w:rFonts w:ascii="Aptos" w:eastAsia="Arial" w:hAnsi="Aptos" w:cs="Calibri"/>
          <w:b/>
          <w:bCs/>
          <w:sz w:val="22"/>
          <w:szCs w:val="22"/>
        </w:rPr>
        <w:t>Subgroup meta-analysis of age differences in social interaction interventions (n=15 studies)</w:t>
      </w:r>
    </w:p>
    <w:p w14:paraId="164E5C2C" w14:textId="5732CC24" w:rsidR="00BC0DBD" w:rsidRPr="001A455A" w:rsidRDefault="00BC0DBD" w:rsidP="00BC0DBD">
      <w:pPr>
        <w:spacing w:after="100" w:afterAutospacing="1" w:line="276" w:lineRule="auto"/>
        <w:rPr>
          <w:rFonts w:ascii="Aptos" w:hAnsi="Aptos" w:cs="Calibri"/>
          <w:sz w:val="22"/>
          <w:szCs w:val="22"/>
          <w:shd w:val="clear" w:color="auto" w:fill="FFFFFF"/>
        </w:rPr>
      </w:pPr>
      <w:r w:rsidRPr="001A455A">
        <w:rPr>
          <w:noProof/>
          <w:lang w:val="en-US" w:eastAsia="en-US"/>
        </w:rPr>
        <w:drawing>
          <wp:inline distT="0" distB="0" distL="0" distR="0" wp14:anchorId="52CE57D8" wp14:editId="3694E8EC">
            <wp:extent cx="5727700" cy="3429635"/>
            <wp:effectExtent l="0" t="0" r="0" b="0"/>
            <wp:docPr id="1966524687" name="Picture 2" descr="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24687" name="Picture 2" descr="A graph with numbers and a lin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3429635"/>
                    </a:xfrm>
                    <a:prstGeom prst="rect">
                      <a:avLst/>
                    </a:prstGeom>
                  </pic:spPr>
                </pic:pic>
              </a:graphicData>
            </a:graphic>
          </wp:inline>
        </w:drawing>
      </w:r>
    </w:p>
    <w:p w14:paraId="5D690EE4" w14:textId="77777777" w:rsidR="00BC0DBD" w:rsidRPr="001A455A" w:rsidRDefault="00BC0DBD" w:rsidP="002105D6">
      <w:pPr>
        <w:spacing w:after="100" w:afterAutospacing="1" w:line="276" w:lineRule="auto"/>
        <w:jc w:val="both"/>
        <w:rPr>
          <w:rFonts w:asciiTheme="minorHAnsi" w:eastAsia="Arial" w:hAnsiTheme="minorHAnsi" w:cstheme="minorHAnsi"/>
          <w:sz w:val="22"/>
          <w:szCs w:val="22"/>
        </w:rPr>
      </w:pPr>
    </w:p>
    <w:p w14:paraId="27F53730" w14:textId="7ABF3F70" w:rsidR="00A066FB" w:rsidRPr="001A455A" w:rsidRDefault="00A066FB" w:rsidP="00A066FB">
      <w:pPr>
        <w:spacing w:after="100" w:afterAutospacing="1" w:line="276" w:lineRule="auto"/>
        <w:rPr>
          <w:rFonts w:ascii="Calibri" w:hAnsi="Calibri" w:cs="Calibri"/>
          <w:b/>
          <w:bCs/>
          <w:sz w:val="22"/>
          <w:szCs w:val="22"/>
          <w:shd w:val="clear" w:color="auto" w:fill="FFFFFF"/>
        </w:rPr>
      </w:pPr>
      <w:r w:rsidRPr="001A455A">
        <w:rPr>
          <w:rFonts w:ascii="Calibri" w:hAnsi="Calibri" w:cs="Calibri"/>
          <w:b/>
          <w:bCs/>
          <w:sz w:val="22"/>
          <w:szCs w:val="22"/>
          <w:shd w:val="clear" w:color="auto" w:fill="FFFFFF"/>
        </w:rPr>
        <w:br w:type="column"/>
      </w:r>
      <w:r w:rsidR="009213AB" w:rsidRPr="001A455A">
        <w:rPr>
          <w:rFonts w:ascii="Calibri" w:hAnsi="Calibri" w:cs="Calibri"/>
          <w:b/>
          <w:bCs/>
          <w:sz w:val="22"/>
          <w:szCs w:val="22"/>
          <w:shd w:val="clear" w:color="auto" w:fill="FFFFFF"/>
        </w:rPr>
        <w:lastRenderedPageBreak/>
        <w:t xml:space="preserve">Supplementary Text S2. </w:t>
      </w:r>
      <w:r w:rsidRPr="001A455A">
        <w:rPr>
          <w:rFonts w:ascii="Calibri" w:hAnsi="Calibri" w:cs="Calibri"/>
          <w:b/>
          <w:bCs/>
          <w:sz w:val="22"/>
          <w:szCs w:val="22"/>
          <w:shd w:val="clear" w:color="auto" w:fill="FFFFFF"/>
        </w:rPr>
        <w:t>Reference list of studies included in review</w:t>
      </w:r>
    </w:p>
    <w:p w14:paraId="09890085" w14:textId="77777777" w:rsidR="00093739" w:rsidRPr="001A455A" w:rsidRDefault="00093739" w:rsidP="0086059B">
      <w:pPr>
        <w:rPr>
          <w:rFonts w:ascii="Calibri" w:hAnsi="Calibri" w:cs="Calibri"/>
          <w:sz w:val="22"/>
          <w:szCs w:val="22"/>
        </w:rPr>
      </w:pPr>
    </w:p>
    <w:p w14:paraId="2205B4F1" w14:textId="77777777" w:rsidR="00ED13CC" w:rsidRPr="001A455A" w:rsidRDefault="00093739" w:rsidP="00ED13CC">
      <w:pPr>
        <w:pStyle w:val="EndNoteBibliography"/>
        <w:ind w:left="720" w:hanging="720"/>
        <w:rPr>
          <w:rFonts w:ascii="Calibri" w:hAnsi="Calibri" w:cs="Calibri"/>
          <w:noProof/>
          <w:sz w:val="22"/>
          <w:szCs w:val="22"/>
        </w:rPr>
      </w:pPr>
      <w:r w:rsidRPr="001A455A">
        <w:rPr>
          <w:rFonts w:ascii="Calibri" w:hAnsi="Calibri" w:cs="Calibri"/>
          <w:sz w:val="22"/>
          <w:szCs w:val="22"/>
        </w:rPr>
        <w:fldChar w:fldCharType="begin"/>
      </w:r>
      <w:r w:rsidRPr="001A455A">
        <w:rPr>
          <w:rFonts w:ascii="Calibri" w:hAnsi="Calibri" w:cs="Calibri"/>
          <w:sz w:val="22"/>
          <w:szCs w:val="22"/>
        </w:rPr>
        <w:instrText xml:space="preserve"> ADDIN EN.REFLIST </w:instrText>
      </w:r>
      <w:r w:rsidRPr="001A455A">
        <w:rPr>
          <w:rFonts w:ascii="Calibri" w:hAnsi="Calibri" w:cs="Calibri"/>
          <w:sz w:val="22"/>
          <w:szCs w:val="22"/>
        </w:rPr>
        <w:fldChar w:fldCharType="separate"/>
      </w:r>
      <w:r w:rsidR="00ED13CC" w:rsidRPr="001A455A">
        <w:rPr>
          <w:rFonts w:ascii="Calibri" w:hAnsi="Calibri" w:cs="Calibri"/>
          <w:noProof/>
          <w:sz w:val="22"/>
          <w:szCs w:val="22"/>
        </w:rPr>
        <w:t xml:space="preserve">Adery, L. H., &amp; Park, S. (2022). A pilot choral intervention in individuals with schizophrenia-spectrum conditions; Singing away loneliness. </w:t>
      </w:r>
      <w:r w:rsidR="00ED13CC" w:rsidRPr="001A455A">
        <w:rPr>
          <w:rFonts w:ascii="Calibri" w:hAnsi="Calibri" w:cs="Calibri"/>
          <w:i/>
          <w:noProof/>
          <w:sz w:val="22"/>
          <w:szCs w:val="22"/>
        </w:rPr>
        <w:t>PsyCh journal</w:t>
      </w:r>
      <w:r w:rsidR="00ED13CC" w:rsidRPr="001A455A">
        <w:rPr>
          <w:rFonts w:ascii="Calibri" w:hAnsi="Calibri" w:cs="Calibri"/>
          <w:noProof/>
          <w:sz w:val="22"/>
          <w:szCs w:val="22"/>
        </w:rPr>
        <w:t>,</w:t>
      </w:r>
      <w:r w:rsidR="00ED13CC" w:rsidRPr="001A455A">
        <w:rPr>
          <w:rFonts w:ascii="Calibri" w:hAnsi="Calibri" w:cs="Calibri"/>
          <w:i/>
          <w:noProof/>
          <w:sz w:val="22"/>
          <w:szCs w:val="22"/>
        </w:rPr>
        <w:t xml:space="preserve"> 11</w:t>
      </w:r>
      <w:r w:rsidR="00ED13CC" w:rsidRPr="001A455A">
        <w:rPr>
          <w:rFonts w:ascii="Calibri" w:hAnsi="Calibri" w:cs="Calibri"/>
          <w:noProof/>
          <w:sz w:val="22"/>
          <w:szCs w:val="22"/>
        </w:rPr>
        <w:t xml:space="preserve">(2), 227-231.  </w:t>
      </w:r>
    </w:p>
    <w:p w14:paraId="4CF9E71D"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Antunes, T. P. C., de Mello Monteiro, C. B., eira, Crocetta, T. B., de Lima Antao, J. Y. F., Leitao, F. N. C., . . . de Abreu, L. C. (2022). Digital games in the computer classes to reduce loneliness of individuals during aging. </w:t>
      </w:r>
      <w:r w:rsidRPr="001A455A">
        <w:rPr>
          <w:rFonts w:ascii="Calibri" w:hAnsi="Calibri" w:cs="Calibri"/>
          <w:i/>
          <w:noProof/>
          <w:sz w:val="22"/>
          <w:szCs w:val="22"/>
        </w:rPr>
        <w:t>Current Psychology: A Journal for Diverse Perspectives on Diverse Psychological Issues</w:t>
      </w:r>
      <w:r w:rsidRPr="001A455A">
        <w:rPr>
          <w:rFonts w:ascii="Calibri" w:hAnsi="Calibri" w:cs="Calibri"/>
          <w:noProof/>
          <w:sz w:val="22"/>
          <w:szCs w:val="22"/>
        </w:rPr>
        <w:t xml:space="preserve">, No-Specified.  </w:t>
      </w:r>
    </w:p>
    <w:p w14:paraId="09E58FE0" w14:textId="6E9ACF08"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Apteligen Ltd. (2021). </w:t>
      </w:r>
      <w:r w:rsidRPr="001A455A">
        <w:rPr>
          <w:rFonts w:ascii="Calibri" w:hAnsi="Calibri" w:cs="Calibri"/>
          <w:i/>
          <w:noProof/>
          <w:sz w:val="22"/>
          <w:szCs w:val="22"/>
        </w:rPr>
        <w:t xml:space="preserve">Evaluation of the Carers’ Music Fund: Final report </w:t>
      </w:r>
      <w:hyperlink r:id="rId8" w:history="1">
        <w:r w:rsidRPr="001A455A">
          <w:rPr>
            <w:rStyle w:val="Hyperlink"/>
            <w:rFonts w:ascii="Calibri" w:hAnsi="Calibri" w:cs="Calibri"/>
            <w:noProof/>
            <w:color w:val="auto"/>
            <w:sz w:val="22"/>
            <w:szCs w:val="22"/>
          </w:rPr>
          <w:t>https://spiritof2012.org.uk/wp-content/uploads/2021/12/2021-06-23-Carers-Music-Fund-evaluation-1.pdf</w:t>
        </w:r>
      </w:hyperlink>
    </w:p>
    <w:p w14:paraId="7407611F"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Aydin, M., &amp; Kutlu, F. Y. (2021). The Effect of Group Art Therapy on Loneliness and Hopelessness Levels of Older Adults Living Alone: A Randomized Controlled Study. </w:t>
      </w:r>
      <w:r w:rsidRPr="001A455A">
        <w:rPr>
          <w:rFonts w:ascii="Calibri" w:hAnsi="Calibri" w:cs="Calibri"/>
          <w:i/>
          <w:noProof/>
          <w:sz w:val="22"/>
          <w:szCs w:val="22"/>
        </w:rPr>
        <w:t>Florence Nightingale journal of nursing</w:t>
      </w:r>
      <w:r w:rsidRPr="001A455A">
        <w:rPr>
          <w:rFonts w:ascii="Calibri" w:hAnsi="Calibri" w:cs="Calibri"/>
          <w:noProof/>
          <w:sz w:val="22"/>
          <w:szCs w:val="22"/>
        </w:rPr>
        <w:t>,</w:t>
      </w:r>
      <w:r w:rsidRPr="001A455A">
        <w:rPr>
          <w:rFonts w:ascii="Calibri" w:hAnsi="Calibri" w:cs="Calibri"/>
          <w:i/>
          <w:noProof/>
          <w:sz w:val="22"/>
          <w:szCs w:val="22"/>
        </w:rPr>
        <w:t xml:space="preserve"> 29</w:t>
      </w:r>
      <w:r w:rsidRPr="001A455A">
        <w:rPr>
          <w:rFonts w:ascii="Calibri" w:hAnsi="Calibri" w:cs="Calibri"/>
          <w:noProof/>
          <w:sz w:val="22"/>
          <w:szCs w:val="22"/>
        </w:rPr>
        <w:t xml:space="preserve">(3), 271-284.  </w:t>
      </w:r>
    </w:p>
    <w:p w14:paraId="75379285"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Bartlett, H., Warburton, J., Lui, C.-W., Peach, L., &amp; Carroll, M. (2013). Preventing social isolation in later life: Findings and insights from a pilot Queensland intervention study. </w:t>
      </w:r>
      <w:r w:rsidRPr="001A455A">
        <w:rPr>
          <w:rFonts w:ascii="Calibri" w:hAnsi="Calibri" w:cs="Calibri"/>
          <w:i/>
          <w:noProof/>
          <w:sz w:val="22"/>
          <w:szCs w:val="22"/>
        </w:rPr>
        <w:t>Ageing &amp; Society</w:t>
      </w:r>
      <w:r w:rsidRPr="001A455A">
        <w:rPr>
          <w:rFonts w:ascii="Calibri" w:hAnsi="Calibri" w:cs="Calibri"/>
          <w:noProof/>
          <w:sz w:val="22"/>
          <w:szCs w:val="22"/>
        </w:rPr>
        <w:t>,</w:t>
      </w:r>
      <w:r w:rsidRPr="001A455A">
        <w:rPr>
          <w:rFonts w:ascii="Calibri" w:hAnsi="Calibri" w:cs="Calibri"/>
          <w:i/>
          <w:noProof/>
          <w:sz w:val="22"/>
          <w:szCs w:val="22"/>
        </w:rPr>
        <w:t xml:space="preserve"> 33</w:t>
      </w:r>
      <w:r w:rsidRPr="001A455A">
        <w:rPr>
          <w:rFonts w:ascii="Calibri" w:hAnsi="Calibri" w:cs="Calibri"/>
          <w:noProof/>
          <w:sz w:val="22"/>
          <w:szCs w:val="22"/>
        </w:rPr>
        <w:t xml:space="preserve">(7), 1167-1189.  </w:t>
      </w:r>
    </w:p>
    <w:p w14:paraId="01A949EE"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Basaran, Z. (2016). The Effect of Recreational Activities on the Self-Esteem and Loneliness Level of the Prisoners as an Alternative Education. </w:t>
      </w:r>
      <w:r w:rsidRPr="001A455A">
        <w:rPr>
          <w:rFonts w:ascii="Calibri" w:hAnsi="Calibri" w:cs="Calibri"/>
          <w:i/>
          <w:noProof/>
          <w:sz w:val="22"/>
          <w:szCs w:val="22"/>
        </w:rPr>
        <w:t>Universal Journal of Educational Research</w:t>
      </w:r>
      <w:r w:rsidRPr="001A455A">
        <w:rPr>
          <w:rFonts w:ascii="Calibri" w:hAnsi="Calibri" w:cs="Calibri"/>
          <w:noProof/>
          <w:sz w:val="22"/>
          <w:szCs w:val="22"/>
        </w:rPr>
        <w:t>,</w:t>
      </w:r>
      <w:r w:rsidRPr="001A455A">
        <w:rPr>
          <w:rFonts w:ascii="Calibri" w:hAnsi="Calibri" w:cs="Calibri"/>
          <w:i/>
          <w:noProof/>
          <w:sz w:val="22"/>
          <w:szCs w:val="22"/>
        </w:rPr>
        <w:t xml:space="preserve"> 4</w:t>
      </w:r>
      <w:r w:rsidRPr="001A455A">
        <w:rPr>
          <w:rFonts w:ascii="Calibri" w:hAnsi="Calibri" w:cs="Calibri"/>
          <w:noProof/>
          <w:sz w:val="22"/>
          <w:szCs w:val="22"/>
        </w:rPr>
        <w:t xml:space="preserve">(5), 1080-1088.  </w:t>
      </w:r>
    </w:p>
    <w:p w14:paraId="227BDC03"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Blevins, D. (2023). A Faith-Based Intervention to Address Social Isolation and Loneliness in Older Adults. </w:t>
      </w:r>
      <w:r w:rsidRPr="001A455A">
        <w:rPr>
          <w:rFonts w:ascii="Calibri" w:hAnsi="Calibri" w:cs="Calibri"/>
          <w:i/>
          <w:noProof/>
          <w:sz w:val="22"/>
          <w:szCs w:val="22"/>
        </w:rPr>
        <w:t>Journal of Christian nursing : a quarterly publication of Nurses Christian Fellowship</w:t>
      </w:r>
      <w:r w:rsidRPr="001A455A">
        <w:rPr>
          <w:rFonts w:ascii="Calibri" w:hAnsi="Calibri" w:cs="Calibri"/>
          <w:noProof/>
          <w:sz w:val="22"/>
          <w:szCs w:val="22"/>
        </w:rPr>
        <w:t>,</w:t>
      </w:r>
      <w:r w:rsidRPr="001A455A">
        <w:rPr>
          <w:rFonts w:ascii="Calibri" w:hAnsi="Calibri" w:cs="Calibri"/>
          <w:i/>
          <w:noProof/>
          <w:sz w:val="22"/>
          <w:szCs w:val="22"/>
        </w:rPr>
        <w:t xml:space="preserve"> 40</w:t>
      </w:r>
      <w:r w:rsidRPr="001A455A">
        <w:rPr>
          <w:rFonts w:ascii="Calibri" w:hAnsi="Calibri" w:cs="Calibri"/>
          <w:noProof/>
          <w:sz w:val="22"/>
          <w:szCs w:val="22"/>
        </w:rPr>
        <w:t xml:space="preserve">(1), 28-35.  </w:t>
      </w:r>
    </w:p>
    <w:p w14:paraId="0E6C517E"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Bostick, D., &amp; Anderson, R. (2009). Evaluating a small-group counseling program-A model for program planning and improvement in the elementary setting. </w:t>
      </w:r>
      <w:r w:rsidRPr="001A455A">
        <w:rPr>
          <w:rFonts w:ascii="Calibri" w:hAnsi="Calibri" w:cs="Calibri"/>
          <w:i/>
          <w:noProof/>
          <w:sz w:val="22"/>
          <w:szCs w:val="22"/>
        </w:rPr>
        <w:t>Special Issue: Action research in school counseling.</w:t>
      </w:r>
      <w:r w:rsidRPr="001A455A">
        <w:rPr>
          <w:rFonts w:ascii="Calibri" w:hAnsi="Calibri" w:cs="Calibri"/>
          <w:noProof/>
          <w:sz w:val="22"/>
          <w:szCs w:val="22"/>
        </w:rPr>
        <w:t>,</w:t>
      </w:r>
      <w:r w:rsidRPr="001A455A">
        <w:rPr>
          <w:rFonts w:ascii="Calibri" w:hAnsi="Calibri" w:cs="Calibri"/>
          <w:i/>
          <w:noProof/>
          <w:sz w:val="22"/>
          <w:szCs w:val="22"/>
        </w:rPr>
        <w:t xml:space="preserve"> 12</w:t>
      </w:r>
      <w:r w:rsidRPr="001A455A">
        <w:rPr>
          <w:rFonts w:ascii="Calibri" w:hAnsi="Calibri" w:cs="Calibri"/>
          <w:noProof/>
          <w:sz w:val="22"/>
          <w:szCs w:val="22"/>
        </w:rPr>
        <w:t xml:space="preserve">(6), 428-433.  </w:t>
      </w:r>
    </w:p>
    <w:p w14:paraId="7E7F9250"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Bouwman, T. E., Aartsen, M. J., van Tilburg, T. G., &amp; Stevens, N. L. (2017). Does stimulating various coping strategies alleviate loneliness? Results from an online friendship enrichment program. </w:t>
      </w:r>
      <w:r w:rsidRPr="001A455A">
        <w:rPr>
          <w:rFonts w:ascii="Calibri" w:hAnsi="Calibri" w:cs="Calibri"/>
          <w:i/>
          <w:noProof/>
          <w:sz w:val="22"/>
          <w:szCs w:val="22"/>
        </w:rPr>
        <w:t>Journal of social and personal relationships</w:t>
      </w:r>
      <w:r w:rsidRPr="001A455A">
        <w:rPr>
          <w:rFonts w:ascii="Calibri" w:hAnsi="Calibri" w:cs="Calibri"/>
          <w:noProof/>
          <w:sz w:val="22"/>
          <w:szCs w:val="22"/>
        </w:rPr>
        <w:t>,</w:t>
      </w:r>
      <w:r w:rsidRPr="001A455A">
        <w:rPr>
          <w:rFonts w:ascii="Calibri" w:hAnsi="Calibri" w:cs="Calibri"/>
          <w:i/>
          <w:noProof/>
          <w:sz w:val="22"/>
          <w:szCs w:val="22"/>
        </w:rPr>
        <w:t xml:space="preserve"> 34</w:t>
      </w:r>
      <w:r w:rsidRPr="001A455A">
        <w:rPr>
          <w:rFonts w:ascii="Calibri" w:hAnsi="Calibri" w:cs="Calibri"/>
          <w:noProof/>
          <w:sz w:val="22"/>
          <w:szCs w:val="22"/>
        </w:rPr>
        <w:t xml:space="preserve">(6), 793-811.  </w:t>
      </w:r>
    </w:p>
    <w:p w14:paraId="7C6D553C"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Broer, T., Nieboer, A. P., Strating, M. M. H., Michon, H. W. C., &amp; Bal, R. A. (2011). Constructing the social: An evaluation study of the outcomes and processes of a 'social participation' improvement project. </w:t>
      </w:r>
      <w:r w:rsidRPr="001A455A">
        <w:rPr>
          <w:rFonts w:ascii="Calibri" w:hAnsi="Calibri" w:cs="Calibri"/>
          <w:i/>
          <w:noProof/>
          <w:sz w:val="22"/>
          <w:szCs w:val="22"/>
        </w:rPr>
        <w:t>Journal of Psychiatric and Mental Health Nursing</w:t>
      </w:r>
      <w:r w:rsidRPr="001A455A">
        <w:rPr>
          <w:rFonts w:ascii="Calibri" w:hAnsi="Calibri" w:cs="Calibri"/>
          <w:noProof/>
          <w:sz w:val="22"/>
          <w:szCs w:val="22"/>
        </w:rPr>
        <w:t>,</w:t>
      </w:r>
      <w:r w:rsidRPr="001A455A">
        <w:rPr>
          <w:rFonts w:ascii="Calibri" w:hAnsi="Calibri" w:cs="Calibri"/>
          <w:i/>
          <w:noProof/>
          <w:sz w:val="22"/>
          <w:szCs w:val="22"/>
        </w:rPr>
        <w:t xml:space="preserve"> 18</w:t>
      </w:r>
      <w:r w:rsidRPr="001A455A">
        <w:rPr>
          <w:rFonts w:ascii="Calibri" w:hAnsi="Calibri" w:cs="Calibri"/>
          <w:noProof/>
          <w:sz w:val="22"/>
          <w:szCs w:val="22"/>
        </w:rPr>
        <w:t xml:space="preserve">(4), 323-332.  </w:t>
      </w:r>
    </w:p>
    <w:p w14:paraId="07C1B27F" w14:textId="77777777" w:rsidR="00ED13CC" w:rsidRPr="001A455A" w:rsidRDefault="00ED13CC" w:rsidP="00ED13CC">
      <w:pPr>
        <w:pStyle w:val="EndNoteBibliography"/>
        <w:ind w:left="720" w:hanging="720"/>
        <w:rPr>
          <w:rFonts w:ascii="Calibri" w:hAnsi="Calibri" w:cs="Calibri"/>
          <w:i/>
          <w:noProof/>
          <w:sz w:val="22"/>
          <w:szCs w:val="22"/>
        </w:rPr>
      </w:pPr>
      <w:r w:rsidRPr="001A455A">
        <w:rPr>
          <w:rFonts w:ascii="Calibri" w:hAnsi="Calibri" w:cs="Calibri"/>
          <w:noProof/>
          <w:sz w:val="22"/>
          <w:szCs w:val="22"/>
        </w:rPr>
        <w:t xml:space="preserve">Brown, J., Brown, K., Clayton, D., Mcgill, G., Padley, W., &amp; Vries, K. D. (2019). </w:t>
      </w:r>
      <w:r w:rsidRPr="001A455A">
        <w:rPr>
          <w:rFonts w:ascii="Calibri" w:hAnsi="Calibri" w:cs="Calibri"/>
          <w:i/>
          <w:noProof/>
          <w:sz w:val="22"/>
          <w:szCs w:val="22"/>
        </w:rPr>
        <w:t xml:space="preserve">Local History Cafes: An Evaluation of the Initial Programme. Museum Development East Midlands </w:t>
      </w:r>
    </w:p>
    <w:p w14:paraId="26E92F09"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Bruehlman-Senecal, E., Hook, C. J., Pfeifer, J. H., Fitzgerald, C., Davis, B., Delucchi, K. L., . . . Ramo, D. E. (2020). Smartphone App to Address Loneliness Among College Students: Pilot Randomized Controlled Trial. </w:t>
      </w:r>
      <w:r w:rsidRPr="001A455A">
        <w:rPr>
          <w:rFonts w:ascii="Calibri" w:hAnsi="Calibri" w:cs="Calibri"/>
          <w:i/>
          <w:noProof/>
          <w:sz w:val="22"/>
          <w:szCs w:val="22"/>
        </w:rPr>
        <w:t>JMIR Mental Health</w:t>
      </w:r>
      <w:r w:rsidRPr="001A455A">
        <w:rPr>
          <w:rFonts w:ascii="Calibri" w:hAnsi="Calibri" w:cs="Calibri"/>
          <w:noProof/>
          <w:sz w:val="22"/>
          <w:szCs w:val="22"/>
        </w:rPr>
        <w:t>,</w:t>
      </w:r>
      <w:r w:rsidRPr="001A455A">
        <w:rPr>
          <w:rFonts w:ascii="Calibri" w:hAnsi="Calibri" w:cs="Calibri"/>
          <w:i/>
          <w:noProof/>
          <w:sz w:val="22"/>
          <w:szCs w:val="22"/>
        </w:rPr>
        <w:t xml:space="preserve"> 7</w:t>
      </w:r>
      <w:r w:rsidRPr="001A455A">
        <w:rPr>
          <w:rFonts w:ascii="Calibri" w:hAnsi="Calibri" w:cs="Calibri"/>
          <w:noProof/>
          <w:sz w:val="22"/>
          <w:szCs w:val="22"/>
        </w:rPr>
        <w:t xml:space="preserve">(10), e21496.  </w:t>
      </w:r>
    </w:p>
    <w:p w14:paraId="7499DC3E"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Burchett, N., Elford, R., &amp; Robinson, E. (2022). </w:t>
      </w:r>
      <w:r w:rsidRPr="001A455A">
        <w:rPr>
          <w:rFonts w:ascii="Calibri" w:hAnsi="Calibri" w:cs="Calibri"/>
          <w:i/>
          <w:noProof/>
          <w:sz w:val="22"/>
          <w:szCs w:val="22"/>
        </w:rPr>
        <w:t>Standing Together Cymru</w:t>
      </w:r>
      <w:r w:rsidRPr="001A455A">
        <w:rPr>
          <w:rFonts w:ascii="Calibri" w:hAnsi="Calibri" w:cs="Calibri"/>
          <w:noProof/>
          <w:sz w:val="22"/>
          <w:szCs w:val="22"/>
        </w:rPr>
        <w:t xml:space="preserve">. </w:t>
      </w:r>
    </w:p>
    <w:p w14:paraId="0A156848"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Caputi, M., Cugnata, F., &amp; Brombin, C. (2021). Theory of mind and loneliness: Effects of a conversation-based training at school. </w:t>
      </w:r>
      <w:r w:rsidRPr="001A455A">
        <w:rPr>
          <w:rFonts w:ascii="Calibri" w:hAnsi="Calibri" w:cs="Calibri"/>
          <w:i/>
          <w:noProof/>
          <w:sz w:val="22"/>
          <w:szCs w:val="22"/>
        </w:rPr>
        <w:t>International journal of psychology : Journal international de psychologie</w:t>
      </w:r>
      <w:r w:rsidRPr="001A455A">
        <w:rPr>
          <w:rFonts w:ascii="Calibri" w:hAnsi="Calibri" w:cs="Calibri"/>
          <w:noProof/>
          <w:sz w:val="22"/>
          <w:szCs w:val="22"/>
        </w:rPr>
        <w:t>,</w:t>
      </w:r>
      <w:r w:rsidRPr="001A455A">
        <w:rPr>
          <w:rFonts w:ascii="Calibri" w:hAnsi="Calibri" w:cs="Calibri"/>
          <w:i/>
          <w:noProof/>
          <w:sz w:val="22"/>
          <w:szCs w:val="22"/>
        </w:rPr>
        <w:t xml:space="preserve"> 56</w:t>
      </w:r>
      <w:r w:rsidRPr="001A455A">
        <w:rPr>
          <w:rFonts w:ascii="Calibri" w:hAnsi="Calibri" w:cs="Calibri"/>
          <w:noProof/>
          <w:sz w:val="22"/>
          <w:szCs w:val="22"/>
        </w:rPr>
        <w:t xml:space="preserve">(2), 257-265.  </w:t>
      </w:r>
    </w:p>
    <w:p w14:paraId="44FFB853"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Chan, A. W., Yu, D. S., &amp; Choi, K. C. (2017). Effects of tai chi qigong on psychosocial well-being among hidden elderly, using elderly neighborhood volunteer approach: a pilot randomized controlled trial. </w:t>
      </w:r>
      <w:r w:rsidRPr="001A455A">
        <w:rPr>
          <w:rFonts w:ascii="Calibri" w:hAnsi="Calibri" w:cs="Calibri"/>
          <w:i/>
          <w:noProof/>
          <w:sz w:val="22"/>
          <w:szCs w:val="22"/>
        </w:rPr>
        <w:t>Clinical interventions in aging</w:t>
      </w:r>
      <w:r w:rsidRPr="001A455A">
        <w:rPr>
          <w:rFonts w:ascii="Calibri" w:hAnsi="Calibri" w:cs="Calibri"/>
          <w:noProof/>
          <w:sz w:val="22"/>
          <w:szCs w:val="22"/>
        </w:rPr>
        <w:t>,</w:t>
      </w:r>
      <w:r w:rsidRPr="001A455A">
        <w:rPr>
          <w:rFonts w:ascii="Calibri" w:hAnsi="Calibri" w:cs="Calibri"/>
          <w:i/>
          <w:noProof/>
          <w:sz w:val="22"/>
          <w:szCs w:val="22"/>
        </w:rPr>
        <w:t xml:space="preserve"> 12</w:t>
      </w:r>
      <w:r w:rsidRPr="001A455A">
        <w:rPr>
          <w:rFonts w:ascii="Calibri" w:hAnsi="Calibri" w:cs="Calibri"/>
          <w:noProof/>
          <w:sz w:val="22"/>
          <w:szCs w:val="22"/>
        </w:rPr>
        <w:t xml:space="preserve">, 85-96.  </w:t>
      </w:r>
    </w:p>
    <w:p w14:paraId="570B07F2"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Cohen-Mansfield, J., Hazan, H., Lerman, Y., Shalom, V., Birkenfeld, S., &amp; Cohen, R. (2018). Efficacy of the I-SOCIAL intervention for loneliness in old age: Lessons from a randomized controlled trial. </w:t>
      </w:r>
      <w:r w:rsidRPr="001A455A">
        <w:rPr>
          <w:rFonts w:ascii="Calibri" w:hAnsi="Calibri" w:cs="Calibri"/>
          <w:i/>
          <w:noProof/>
          <w:sz w:val="22"/>
          <w:szCs w:val="22"/>
        </w:rPr>
        <w:t>Journal of psychiatric research</w:t>
      </w:r>
      <w:r w:rsidRPr="001A455A">
        <w:rPr>
          <w:rFonts w:ascii="Calibri" w:hAnsi="Calibri" w:cs="Calibri"/>
          <w:noProof/>
          <w:sz w:val="22"/>
          <w:szCs w:val="22"/>
        </w:rPr>
        <w:t>,</w:t>
      </w:r>
      <w:r w:rsidRPr="001A455A">
        <w:rPr>
          <w:rFonts w:ascii="Calibri" w:hAnsi="Calibri" w:cs="Calibri"/>
          <w:i/>
          <w:noProof/>
          <w:sz w:val="22"/>
          <w:szCs w:val="22"/>
        </w:rPr>
        <w:t xml:space="preserve"> 99</w:t>
      </w:r>
      <w:r w:rsidRPr="001A455A">
        <w:rPr>
          <w:rFonts w:ascii="Calibri" w:hAnsi="Calibri" w:cs="Calibri"/>
          <w:noProof/>
          <w:sz w:val="22"/>
          <w:szCs w:val="22"/>
        </w:rPr>
        <w:t xml:space="preserve">, 69-75.  </w:t>
      </w:r>
    </w:p>
    <w:p w14:paraId="2158975A"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Coll-Planas, L., Del Valle Gomez, G., Bonilla, P., Masat, T., Puig, T., &amp; Monteserin, R. (2017). Promoting social capital to alleviate loneliness and improve health among older people in Spain. </w:t>
      </w:r>
      <w:r w:rsidRPr="001A455A">
        <w:rPr>
          <w:rFonts w:ascii="Calibri" w:hAnsi="Calibri" w:cs="Calibri"/>
          <w:i/>
          <w:noProof/>
          <w:sz w:val="22"/>
          <w:szCs w:val="22"/>
        </w:rPr>
        <w:t>Health &amp; social care in the community</w:t>
      </w:r>
      <w:r w:rsidRPr="001A455A">
        <w:rPr>
          <w:rFonts w:ascii="Calibri" w:hAnsi="Calibri" w:cs="Calibri"/>
          <w:noProof/>
          <w:sz w:val="22"/>
          <w:szCs w:val="22"/>
        </w:rPr>
        <w:t>,</w:t>
      </w:r>
      <w:r w:rsidRPr="001A455A">
        <w:rPr>
          <w:rFonts w:ascii="Calibri" w:hAnsi="Calibri" w:cs="Calibri"/>
          <w:i/>
          <w:noProof/>
          <w:sz w:val="22"/>
          <w:szCs w:val="22"/>
        </w:rPr>
        <w:t xml:space="preserve"> 25</w:t>
      </w:r>
      <w:r w:rsidRPr="001A455A">
        <w:rPr>
          <w:rFonts w:ascii="Calibri" w:hAnsi="Calibri" w:cs="Calibri"/>
          <w:noProof/>
          <w:sz w:val="22"/>
          <w:szCs w:val="22"/>
        </w:rPr>
        <w:t xml:space="preserve">(1), 145-157.  </w:t>
      </w:r>
    </w:p>
    <w:p w14:paraId="61A660F6"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lastRenderedPageBreak/>
        <w:t xml:space="preserve">Costello, M. A., Nagel, A. G., Hunt, G. L., Rivens, A. J., Hazelwood, O. A., Pettit, C., &amp; Allen, J. P. (2022). Facilitating connection to enhance college student well-being: Evaluation of an experiential group program. </w:t>
      </w:r>
      <w:r w:rsidRPr="001A455A">
        <w:rPr>
          <w:rFonts w:ascii="Calibri" w:hAnsi="Calibri" w:cs="Calibri"/>
          <w:i/>
          <w:noProof/>
          <w:sz w:val="22"/>
          <w:szCs w:val="22"/>
        </w:rPr>
        <w:t>American journal of community psychology</w:t>
      </w:r>
      <w:r w:rsidRPr="001A455A">
        <w:rPr>
          <w:rFonts w:ascii="Calibri" w:hAnsi="Calibri" w:cs="Calibri"/>
          <w:noProof/>
          <w:sz w:val="22"/>
          <w:szCs w:val="22"/>
        </w:rPr>
        <w:t>,</w:t>
      </w:r>
      <w:r w:rsidRPr="001A455A">
        <w:rPr>
          <w:rFonts w:ascii="Calibri" w:hAnsi="Calibri" w:cs="Calibri"/>
          <w:i/>
          <w:noProof/>
          <w:sz w:val="22"/>
          <w:szCs w:val="22"/>
        </w:rPr>
        <w:t xml:space="preserve"> 70</w:t>
      </w:r>
      <w:r w:rsidRPr="001A455A">
        <w:rPr>
          <w:rFonts w:ascii="Calibri" w:hAnsi="Calibri" w:cs="Calibri"/>
          <w:noProof/>
          <w:sz w:val="22"/>
          <w:szCs w:val="22"/>
        </w:rPr>
        <w:t xml:space="preserve">(3), 314-326.  </w:t>
      </w:r>
    </w:p>
    <w:p w14:paraId="610C8ECF"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Creswell, J. D., Irwin, M. R., Burklund, L. J., Lieberman, M. D., Arevalo, J. M. G., Ma, J., . . . Cole, S. W. (2012). Mindfulness-Based Stress Reduction training reduces loneliness and pro-inflammatory gene expression in older adults: a small randomized controlled trial. </w:t>
      </w:r>
      <w:r w:rsidRPr="001A455A">
        <w:rPr>
          <w:rFonts w:ascii="Calibri" w:hAnsi="Calibri" w:cs="Calibri"/>
          <w:i/>
          <w:noProof/>
          <w:sz w:val="22"/>
          <w:szCs w:val="22"/>
        </w:rPr>
        <w:t>Brain, behavior, and immunity</w:t>
      </w:r>
      <w:r w:rsidRPr="001A455A">
        <w:rPr>
          <w:rFonts w:ascii="Calibri" w:hAnsi="Calibri" w:cs="Calibri"/>
          <w:noProof/>
          <w:sz w:val="22"/>
          <w:szCs w:val="22"/>
        </w:rPr>
        <w:t>,</w:t>
      </w:r>
      <w:r w:rsidRPr="001A455A">
        <w:rPr>
          <w:rFonts w:ascii="Calibri" w:hAnsi="Calibri" w:cs="Calibri"/>
          <w:i/>
          <w:noProof/>
          <w:sz w:val="22"/>
          <w:szCs w:val="22"/>
        </w:rPr>
        <w:t xml:space="preserve"> 26</w:t>
      </w:r>
      <w:r w:rsidRPr="001A455A">
        <w:rPr>
          <w:rFonts w:ascii="Calibri" w:hAnsi="Calibri" w:cs="Calibri"/>
          <w:noProof/>
          <w:sz w:val="22"/>
          <w:szCs w:val="22"/>
        </w:rPr>
        <w:t xml:space="preserve">(7), 1095-1101.  </w:t>
      </w:r>
    </w:p>
    <w:p w14:paraId="7D3C4F11"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Cruwys, T., Haslam, C., Rathbone, J. A., Williams, E., Haslam, S. A., &amp; Walter, Z. C. (2022). Groups 4 Health versus cognitive-behavioural therapy for depression and loneliness in young people: randomised phase 3 non-inferiority trial with 12-month follow-up. </w:t>
      </w:r>
      <w:r w:rsidRPr="001A455A">
        <w:rPr>
          <w:rFonts w:ascii="Calibri" w:hAnsi="Calibri" w:cs="Calibri"/>
          <w:i/>
          <w:noProof/>
          <w:sz w:val="22"/>
          <w:szCs w:val="22"/>
        </w:rPr>
        <w:t>The British journal of psychiatry : the journal of mental science</w:t>
      </w:r>
      <w:r w:rsidRPr="001A455A">
        <w:rPr>
          <w:rFonts w:ascii="Calibri" w:hAnsi="Calibri" w:cs="Calibri"/>
          <w:noProof/>
          <w:sz w:val="22"/>
          <w:szCs w:val="22"/>
        </w:rPr>
        <w:t>,</w:t>
      </w:r>
      <w:r w:rsidRPr="001A455A">
        <w:rPr>
          <w:rFonts w:ascii="Calibri" w:hAnsi="Calibri" w:cs="Calibri"/>
          <w:i/>
          <w:noProof/>
          <w:sz w:val="22"/>
          <w:szCs w:val="22"/>
        </w:rPr>
        <w:t xml:space="preserve"> 220</w:t>
      </w:r>
      <w:r w:rsidRPr="001A455A">
        <w:rPr>
          <w:rFonts w:ascii="Calibri" w:hAnsi="Calibri" w:cs="Calibri"/>
          <w:noProof/>
          <w:sz w:val="22"/>
          <w:szCs w:val="22"/>
        </w:rPr>
        <w:t xml:space="preserve">(3), 140-147.  </w:t>
      </w:r>
    </w:p>
    <w:p w14:paraId="0595F872"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Dayson, C., Harris, C., Bashir, N., Bennett, E., &amp; Woodward, A. (2022). </w:t>
      </w:r>
      <w:r w:rsidRPr="001A455A">
        <w:rPr>
          <w:rFonts w:ascii="Calibri" w:hAnsi="Calibri" w:cs="Calibri"/>
          <w:i/>
          <w:noProof/>
          <w:sz w:val="22"/>
          <w:szCs w:val="22"/>
        </w:rPr>
        <w:t>Evaluation of Age Better in Sheffield; The Impact on Social Isolation and Loneliness (2015-21)</w:t>
      </w:r>
      <w:r w:rsidRPr="001A455A">
        <w:rPr>
          <w:rFonts w:ascii="Calibri" w:hAnsi="Calibri" w:cs="Calibri"/>
          <w:noProof/>
          <w:sz w:val="22"/>
          <w:szCs w:val="22"/>
        </w:rPr>
        <w:t xml:space="preserve">. </w:t>
      </w:r>
    </w:p>
    <w:p w14:paraId="5A2CE13D" w14:textId="13B067DB"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DCMS, &amp; Liverpool 5g Consortium. (2019 ). </w:t>
      </w:r>
      <w:r w:rsidRPr="001A455A">
        <w:rPr>
          <w:rFonts w:ascii="Calibri" w:hAnsi="Calibri" w:cs="Calibri"/>
          <w:i/>
          <w:noProof/>
          <w:sz w:val="22"/>
          <w:szCs w:val="22"/>
        </w:rPr>
        <w:t>Liverpool 5G Health and Social Care Testbed: Benefits, Outcomes and Impact</w:t>
      </w:r>
      <w:r w:rsidRPr="001A455A">
        <w:rPr>
          <w:rFonts w:ascii="Calibri" w:hAnsi="Calibri" w:cs="Calibri"/>
          <w:noProof/>
          <w:sz w:val="22"/>
          <w:szCs w:val="22"/>
        </w:rPr>
        <w:t xml:space="preserve">. </w:t>
      </w:r>
      <w:hyperlink r:id="rId9" w:history="1">
        <w:r w:rsidRPr="001A455A">
          <w:rPr>
            <w:rStyle w:val="Hyperlink"/>
            <w:rFonts w:ascii="Calibri" w:hAnsi="Calibri" w:cs="Calibri"/>
            <w:noProof/>
            <w:color w:val="auto"/>
            <w:sz w:val="22"/>
            <w:szCs w:val="22"/>
          </w:rPr>
          <w:t>https://liverpool5g.org.uk/wp-content/uploads/2020/04/Liverpool-5G-Testbed-Benefits-Outcomes-Impact.pdf</w:t>
        </w:r>
      </w:hyperlink>
    </w:p>
    <w:p w14:paraId="0420604A"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Ecorys, Campbell-Jack, D., Humphreys, A., Whitley, J., Williams, J., &amp; Cox, K. (2021). </w:t>
      </w:r>
      <w:r w:rsidRPr="001A455A">
        <w:rPr>
          <w:rFonts w:ascii="Calibri" w:hAnsi="Calibri" w:cs="Calibri"/>
          <w:i/>
          <w:noProof/>
          <w:sz w:val="22"/>
          <w:szCs w:val="22"/>
        </w:rPr>
        <w:t xml:space="preserve">Ageing Better: Impact Evaluation Report. </w:t>
      </w:r>
      <w:r w:rsidRPr="001A455A">
        <w:rPr>
          <w:rFonts w:ascii="Calibri" w:hAnsi="Calibri" w:cs="Calibri"/>
          <w:noProof/>
          <w:sz w:val="22"/>
          <w:szCs w:val="22"/>
        </w:rPr>
        <w:t xml:space="preserve">. </w:t>
      </w:r>
    </w:p>
    <w:p w14:paraId="49257FCE"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Fields, J., Cemballi, A. G., Michalec, C., Uchida, D., Griffiths, K., Cardes, H., . . . Lyles, C. R. (2021). In-Home Technology Training Among Socially Isolated Older Adults: Findings From the Tech Allies Program. </w:t>
      </w:r>
      <w:r w:rsidRPr="001A455A">
        <w:rPr>
          <w:rFonts w:ascii="Calibri" w:hAnsi="Calibri" w:cs="Calibri"/>
          <w:i/>
          <w:noProof/>
          <w:sz w:val="22"/>
          <w:szCs w:val="22"/>
        </w:rPr>
        <w:t>Journal of applied gerontology : the official journal of the Southern Gerontological Society</w:t>
      </w:r>
      <w:r w:rsidRPr="001A455A">
        <w:rPr>
          <w:rFonts w:ascii="Calibri" w:hAnsi="Calibri" w:cs="Calibri"/>
          <w:noProof/>
          <w:sz w:val="22"/>
          <w:szCs w:val="22"/>
        </w:rPr>
        <w:t>,</w:t>
      </w:r>
      <w:r w:rsidRPr="001A455A">
        <w:rPr>
          <w:rFonts w:ascii="Calibri" w:hAnsi="Calibri" w:cs="Calibri"/>
          <w:i/>
          <w:noProof/>
          <w:sz w:val="22"/>
          <w:szCs w:val="22"/>
        </w:rPr>
        <w:t xml:space="preserve"> 40</w:t>
      </w:r>
      <w:r w:rsidRPr="001A455A">
        <w:rPr>
          <w:rFonts w:ascii="Calibri" w:hAnsi="Calibri" w:cs="Calibri"/>
          <w:noProof/>
          <w:sz w:val="22"/>
          <w:szCs w:val="22"/>
        </w:rPr>
        <w:t xml:space="preserve">(5), 489-499.  </w:t>
      </w:r>
    </w:p>
    <w:p w14:paraId="0A608B2E"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Fields, N., Xu, L., Greer, J., &amp; Murphy, E. (2021). Shall I compare thee...to a robot? An exploratory pilot study using participatory arts and social robotics to improve psychological well-being in later life. </w:t>
      </w:r>
      <w:r w:rsidRPr="001A455A">
        <w:rPr>
          <w:rFonts w:ascii="Calibri" w:hAnsi="Calibri" w:cs="Calibri"/>
          <w:i/>
          <w:noProof/>
          <w:sz w:val="22"/>
          <w:szCs w:val="22"/>
        </w:rPr>
        <w:t>Aging &amp; mental health</w:t>
      </w:r>
      <w:r w:rsidRPr="001A455A">
        <w:rPr>
          <w:rFonts w:ascii="Calibri" w:hAnsi="Calibri" w:cs="Calibri"/>
          <w:noProof/>
          <w:sz w:val="22"/>
          <w:szCs w:val="22"/>
        </w:rPr>
        <w:t>,</w:t>
      </w:r>
      <w:r w:rsidRPr="001A455A">
        <w:rPr>
          <w:rFonts w:ascii="Calibri" w:hAnsi="Calibri" w:cs="Calibri"/>
          <w:i/>
          <w:noProof/>
          <w:sz w:val="22"/>
          <w:szCs w:val="22"/>
        </w:rPr>
        <w:t xml:space="preserve"> 25</w:t>
      </w:r>
      <w:r w:rsidRPr="001A455A">
        <w:rPr>
          <w:rFonts w:ascii="Calibri" w:hAnsi="Calibri" w:cs="Calibri"/>
          <w:noProof/>
          <w:sz w:val="22"/>
          <w:szCs w:val="22"/>
        </w:rPr>
        <w:t xml:space="preserve">(3), 575-584.  </w:t>
      </w:r>
    </w:p>
    <w:p w14:paraId="1F7C08DB"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Foster, A., Thompson, J., Holding, E., Ariss, S., Mukuria, C., Jacques, R., . . . Haywood, A. (2021). Impact of social prescribing to address loneliness: A mixed methods evaluation of a national social prescribing programme. </w:t>
      </w:r>
      <w:r w:rsidRPr="001A455A">
        <w:rPr>
          <w:rFonts w:ascii="Calibri" w:hAnsi="Calibri" w:cs="Calibri"/>
          <w:i/>
          <w:noProof/>
          <w:sz w:val="22"/>
          <w:szCs w:val="22"/>
        </w:rPr>
        <w:t>Health &amp; social care in the community</w:t>
      </w:r>
      <w:r w:rsidRPr="001A455A">
        <w:rPr>
          <w:rFonts w:ascii="Calibri" w:hAnsi="Calibri" w:cs="Calibri"/>
          <w:noProof/>
          <w:sz w:val="22"/>
          <w:szCs w:val="22"/>
        </w:rPr>
        <w:t>,</w:t>
      </w:r>
      <w:r w:rsidRPr="001A455A">
        <w:rPr>
          <w:rFonts w:ascii="Calibri" w:hAnsi="Calibri" w:cs="Calibri"/>
          <w:i/>
          <w:noProof/>
          <w:sz w:val="22"/>
          <w:szCs w:val="22"/>
        </w:rPr>
        <w:t xml:space="preserve"> 29</w:t>
      </w:r>
      <w:r w:rsidRPr="001A455A">
        <w:rPr>
          <w:rFonts w:ascii="Calibri" w:hAnsi="Calibri" w:cs="Calibri"/>
          <w:noProof/>
          <w:sz w:val="22"/>
          <w:szCs w:val="22"/>
        </w:rPr>
        <w:t xml:space="preserve">(5), 1439-1449.  </w:t>
      </w:r>
    </w:p>
    <w:p w14:paraId="54463E8B"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Gadbois, E. A., Jimenez, F., Brazier, J. F., Davoodi, N. M., Nunn, A. S., Mills, W. L., . . . Thomas, K. S. (2022). Findings From Talking Tech: A Technology Training Pilot Intervention to Reduce Loneliness and Social Isolation Among Homebound Older Adults. </w:t>
      </w:r>
      <w:r w:rsidRPr="001A455A">
        <w:rPr>
          <w:rFonts w:ascii="Calibri" w:hAnsi="Calibri" w:cs="Calibri"/>
          <w:i/>
          <w:noProof/>
          <w:sz w:val="22"/>
          <w:szCs w:val="22"/>
        </w:rPr>
        <w:t>Innovation in aging</w:t>
      </w:r>
      <w:r w:rsidRPr="001A455A">
        <w:rPr>
          <w:rFonts w:ascii="Calibri" w:hAnsi="Calibri" w:cs="Calibri"/>
          <w:noProof/>
          <w:sz w:val="22"/>
          <w:szCs w:val="22"/>
        </w:rPr>
        <w:t>,</w:t>
      </w:r>
      <w:r w:rsidRPr="001A455A">
        <w:rPr>
          <w:rFonts w:ascii="Calibri" w:hAnsi="Calibri" w:cs="Calibri"/>
          <w:i/>
          <w:noProof/>
          <w:sz w:val="22"/>
          <w:szCs w:val="22"/>
        </w:rPr>
        <w:t xml:space="preserve"> 6</w:t>
      </w:r>
      <w:r w:rsidRPr="001A455A">
        <w:rPr>
          <w:rFonts w:ascii="Calibri" w:hAnsi="Calibri" w:cs="Calibri"/>
          <w:noProof/>
          <w:sz w:val="22"/>
          <w:szCs w:val="22"/>
        </w:rPr>
        <w:t xml:space="preserve">(5), igac040.  </w:t>
      </w:r>
    </w:p>
    <w:p w14:paraId="42E22D34"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Gurgan, U. (2013). The Effect of Psychological Counselling in Group on Life Orientation and Loneliness Levels of the University Students. </w:t>
      </w:r>
      <w:r w:rsidRPr="001A455A">
        <w:rPr>
          <w:rFonts w:ascii="Calibri" w:hAnsi="Calibri" w:cs="Calibri"/>
          <w:i/>
          <w:noProof/>
          <w:sz w:val="22"/>
          <w:szCs w:val="22"/>
        </w:rPr>
        <w:t>Educational Research and Reviews</w:t>
      </w:r>
      <w:r w:rsidRPr="001A455A">
        <w:rPr>
          <w:rFonts w:ascii="Calibri" w:hAnsi="Calibri" w:cs="Calibri"/>
          <w:noProof/>
          <w:sz w:val="22"/>
          <w:szCs w:val="22"/>
        </w:rPr>
        <w:t>,</w:t>
      </w:r>
      <w:r w:rsidRPr="001A455A">
        <w:rPr>
          <w:rFonts w:ascii="Calibri" w:hAnsi="Calibri" w:cs="Calibri"/>
          <w:i/>
          <w:noProof/>
          <w:sz w:val="22"/>
          <w:szCs w:val="22"/>
        </w:rPr>
        <w:t xml:space="preserve"> 8</w:t>
      </w:r>
      <w:r w:rsidRPr="001A455A">
        <w:rPr>
          <w:rFonts w:ascii="Calibri" w:hAnsi="Calibri" w:cs="Calibri"/>
          <w:noProof/>
          <w:sz w:val="22"/>
          <w:szCs w:val="22"/>
        </w:rPr>
        <w:t xml:space="preserve">(24), 2303-2312.  </w:t>
      </w:r>
    </w:p>
    <w:p w14:paraId="58A3FDC7"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Hansen, P., Main, C., &amp; Hartling, L. (2021). Dance Intervention Affects Social Connections and Body Appreciation Among Older Adults in the Long Term Despite COVID-19 Social Isolation: A Mixed Methods Pilot Study. </w:t>
      </w:r>
      <w:r w:rsidRPr="001A455A">
        <w:rPr>
          <w:rFonts w:ascii="Calibri" w:hAnsi="Calibri" w:cs="Calibri"/>
          <w:i/>
          <w:noProof/>
          <w:sz w:val="22"/>
          <w:szCs w:val="22"/>
        </w:rPr>
        <w:t>Frontiers in psychology</w:t>
      </w:r>
      <w:r w:rsidRPr="001A455A">
        <w:rPr>
          <w:rFonts w:ascii="Calibri" w:hAnsi="Calibri" w:cs="Calibri"/>
          <w:noProof/>
          <w:sz w:val="22"/>
          <w:szCs w:val="22"/>
        </w:rPr>
        <w:t>,</w:t>
      </w:r>
      <w:r w:rsidRPr="001A455A">
        <w:rPr>
          <w:rFonts w:ascii="Calibri" w:hAnsi="Calibri" w:cs="Calibri"/>
          <w:i/>
          <w:noProof/>
          <w:sz w:val="22"/>
          <w:szCs w:val="22"/>
        </w:rPr>
        <w:t xml:space="preserve"> 12</w:t>
      </w:r>
      <w:r w:rsidRPr="001A455A">
        <w:rPr>
          <w:rFonts w:ascii="Calibri" w:hAnsi="Calibri" w:cs="Calibri"/>
          <w:noProof/>
          <w:sz w:val="22"/>
          <w:szCs w:val="22"/>
        </w:rPr>
        <w:t xml:space="preserve">, 635938.  </w:t>
      </w:r>
    </w:p>
    <w:p w14:paraId="2C3D54EA"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Haslam, C., Cruwys, T., Chang, M. X. L., Bentley, S. V., Haslam, S. A., Dingle, G. A., &amp; Jetten, J. (2019). GROUPS 4 HEALTH reduces loneliness and social anxiety in adults with psychological distress: Findings from a randomized controlled trial. </w:t>
      </w:r>
      <w:r w:rsidRPr="001A455A">
        <w:rPr>
          <w:rFonts w:ascii="Calibri" w:hAnsi="Calibri" w:cs="Calibri"/>
          <w:i/>
          <w:noProof/>
          <w:sz w:val="22"/>
          <w:szCs w:val="22"/>
        </w:rPr>
        <w:t>Journal of consulting and clinical psychology</w:t>
      </w:r>
      <w:r w:rsidRPr="001A455A">
        <w:rPr>
          <w:rFonts w:ascii="Calibri" w:hAnsi="Calibri" w:cs="Calibri"/>
          <w:noProof/>
          <w:sz w:val="22"/>
          <w:szCs w:val="22"/>
        </w:rPr>
        <w:t>,</w:t>
      </w:r>
      <w:r w:rsidRPr="001A455A">
        <w:rPr>
          <w:rFonts w:ascii="Calibri" w:hAnsi="Calibri" w:cs="Calibri"/>
          <w:i/>
          <w:noProof/>
          <w:sz w:val="22"/>
          <w:szCs w:val="22"/>
        </w:rPr>
        <w:t xml:space="preserve"> 87</w:t>
      </w:r>
      <w:r w:rsidRPr="001A455A">
        <w:rPr>
          <w:rFonts w:ascii="Calibri" w:hAnsi="Calibri" w:cs="Calibri"/>
          <w:noProof/>
          <w:sz w:val="22"/>
          <w:szCs w:val="22"/>
        </w:rPr>
        <w:t xml:space="preserve">(9), 787-801.  </w:t>
      </w:r>
    </w:p>
    <w:p w14:paraId="61169CDD"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Hernandez-Ascanio, J., Perula-de Torres, L. A., Rich-Ruiz, M., Gonzalez-Santos, J., Mielgo-Ayuso, J., Gonzalez-Bernal, J., &amp; Group, A. S. S. C. (2023). Effectiveness of a multicomponent intervention to reduce social isolation and loneliness in community-dwelling elders: A randomized clinical trial. </w:t>
      </w:r>
      <w:r w:rsidRPr="001A455A">
        <w:rPr>
          <w:rFonts w:ascii="Calibri" w:hAnsi="Calibri" w:cs="Calibri"/>
          <w:i/>
          <w:noProof/>
          <w:sz w:val="22"/>
          <w:szCs w:val="22"/>
        </w:rPr>
        <w:t>Nursing open</w:t>
      </w:r>
      <w:r w:rsidRPr="001A455A">
        <w:rPr>
          <w:rFonts w:ascii="Calibri" w:hAnsi="Calibri" w:cs="Calibri"/>
          <w:noProof/>
          <w:sz w:val="22"/>
          <w:szCs w:val="22"/>
        </w:rPr>
        <w:t>,</w:t>
      </w:r>
      <w:r w:rsidRPr="001A455A">
        <w:rPr>
          <w:rFonts w:ascii="Calibri" w:hAnsi="Calibri" w:cs="Calibri"/>
          <w:i/>
          <w:noProof/>
          <w:sz w:val="22"/>
          <w:szCs w:val="22"/>
        </w:rPr>
        <w:t xml:space="preserve"> 10</w:t>
      </w:r>
      <w:r w:rsidRPr="001A455A">
        <w:rPr>
          <w:rFonts w:ascii="Calibri" w:hAnsi="Calibri" w:cs="Calibri"/>
          <w:noProof/>
          <w:sz w:val="22"/>
          <w:szCs w:val="22"/>
        </w:rPr>
        <w:t xml:space="preserve">(1), 48-60.  </w:t>
      </w:r>
    </w:p>
    <w:p w14:paraId="004D0A01"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Honigh-de Vlaming, R., Haveman-Nies, A., Heinrich, J., van't Veer, P., &amp; de Groot, L. C. P. G. M. (2013). Effect evaluation of a two-year complex intervention to reduce loneliness in non-institutionalised elderly Dutch people. </w:t>
      </w:r>
      <w:r w:rsidRPr="001A455A">
        <w:rPr>
          <w:rFonts w:ascii="Calibri" w:hAnsi="Calibri" w:cs="Calibri"/>
          <w:i/>
          <w:noProof/>
          <w:sz w:val="22"/>
          <w:szCs w:val="22"/>
        </w:rPr>
        <w:t>BMC public health</w:t>
      </w:r>
      <w:r w:rsidRPr="001A455A">
        <w:rPr>
          <w:rFonts w:ascii="Calibri" w:hAnsi="Calibri" w:cs="Calibri"/>
          <w:noProof/>
          <w:sz w:val="22"/>
          <w:szCs w:val="22"/>
        </w:rPr>
        <w:t>,</w:t>
      </w:r>
      <w:r w:rsidRPr="001A455A">
        <w:rPr>
          <w:rFonts w:ascii="Calibri" w:hAnsi="Calibri" w:cs="Calibri"/>
          <w:i/>
          <w:noProof/>
          <w:sz w:val="22"/>
          <w:szCs w:val="22"/>
        </w:rPr>
        <w:t xml:space="preserve"> 13</w:t>
      </w:r>
      <w:r w:rsidRPr="001A455A">
        <w:rPr>
          <w:rFonts w:ascii="Calibri" w:hAnsi="Calibri" w:cs="Calibri"/>
          <w:noProof/>
          <w:sz w:val="22"/>
          <w:szCs w:val="22"/>
        </w:rPr>
        <w:t xml:space="preserve">, 984.  </w:t>
      </w:r>
    </w:p>
    <w:p w14:paraId="74D77503"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lastRenderedPageBreak/>
        <w:t xml:space="preserve">Iyer, R. B., Vadlapudi, S., Iyer, L., Kumar, V., Iyer, L., Sriram, P., . . . Iyer, P. (2022). Impact of the Heartfulness program on loneliness in high schoolers: Randomized survey study. </w:t>
      </w:r>
      <w:r w:rsidRPr="001A455A">
        <w:rPr>
          <w:rFonts w:ascii="Calibri" w:hAnsi="Calibri" w:cs="Calibri"/>
          <w:i/>
          <w:noProof/>
          <w:sz w:val="22"/>
          <w:szCs w:val="22"/>
        </w:rPr>
        <w:t>Applied psychology. Health and well-being</w:t>
      </w:r>
      <w:r w:rsidRPr="001A455A">
        <w:rPr>
          <w:rFonts w:ascii="Calibri" w:hAnsi="Calibri" w:cs="Calibri"/>
          <w:noProof/>
          <w:sz w:val="22"/>
          <w:szCs w:val="22"/>
        </w:rPr>
        <w:t xml:space="preserve">.  </w:t>
      </w:r>
    </w:p>
    <w:p w14:paraId="74580359"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Jang, M., &amp; Kim, Y. (2012). The effect of group sandplay therapy on the social anxiety, loneliness and self-expression of migrant women in international marriages in South Korea. </w:t>
      </w:r>
      <w:r w:rsidRPr="001A455A">
        <w:rPr>
          <w:rFonts w:ascii="Calibri" w:hAnsi="Calibri" w:cs="Calibri"/>
          <w:i/>
          <w:noProof/>
          <w:sz w:val="22"/>
          <w:szCs w:val="22"/>
        </w:rPr>
        <w:t>The Arts in Psychotherapy</w:t>
      </w:r>
      <w:r w:rsidRPr="001A455A">
        <w:rPr>
          <w:rFonts w:ascii="Calibri" w:hAnsi="Calibri" w:cs="Calibri"/>
          <w:noProof/>
          <w:sz w:val="22"/>
          <w:szCs w:val="22"/>
        </w:rPr>
        <w:t>,</w:t>
      </w:r>
      <w:r w:rsidRPr="001A455A">
        <w:rPr>
          <w:rFonts w:ascii="Calibri" w:hAnsi="Calibri" w:cs="Calibri"/>
          <w:i/>
          <w:noProof/>
          <w:sz w:val="22"/>
          <w:szCs w:val="22"/>
        </w:rPr>
        <w:t xml:space="preserve"> 39</w:t>
      </w:r>
      <w:r w:rsidRPr="001A455A">
        <w:rPr>
          <w:rFonts w:ascii="Calibri" w:hAnsi="Calibri" w:cs="Calibri"/>
          <w:noProof/>
          <w:sz w:val="22"/>
          <w:szCs w:val="22"/>
        </w:rPr>
        <w:t xml:space="preserve">(1), 38-41.  </w:t>
      </w:r>
    </w:p>
    <w:p w14:paraId="752EC0F1" w14:textId="42D58DDA"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Jones, M., Beardmore, A., &amp; White, J. (March 2021). </w:t>
      </w:r>
      <w:r w:rsidRPr="001A455A">
        <w:rPr>
          <w:rFonts w:ascii="Calibri" w:hAnsi="Calibri" w:cs="Calibri"/>
          <w:i/>
          <w:noProof/>
          <w:sz w:val="22"/>
          <w:szCs w:val="22"/>
        </w:rPr>
        <w:t>Effects of Bristol Ageing Better Projects for Older People: Evaluation of the impacts of the programme on loneliness, isolation and a range of associated outcomes</w:t>
      </w:r>
      <w:r w:rsidRPr="001A455A">
        <w:rPr>
          <w:rFonts w:ascii="Calibri" w:hAnsi="Calibri" w:cs="Calibri"/>
          <w:noProof/>
          <w:sz w:val="22"/>
          <w:szCs w:val="22"/>
        </w:rPr>
        <w:t xml:space="preserve">. </w:t>
      </w:r>
      <w:hyperlink r:id="rId10" w:history="1">
        <w:r w:rsidRPr="001A455A">
          <w:rPr>
            <w:rStyle w:val="Hyperlink"/>
            <w:rFonts w:ascii="Calibri" w:hAnsi="Calibri" w:cs="Calibri"/>
            <w:noProof/>
            <w:color w:val="auto"/>
            <w:sz w:val="22"/>
            <w:szCs w:val="22"/>
          </w:rPr>
          <w:t>https://uwe-repository.worktribe.com/output/7490342</w:t>
        </w:r>
      </w:hyperlink>
    </w:p>
    <w:p w14:paraId="54AFBBC8"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Jones, V. K., Hanus, M., Yan, C., Shade, M. Y., Blaskewicz Boron, J., &amp; Maschieri Bicudo, R. (2021). Reducing Loneliness Among Aging Adults: The Roles of Personal Voice Assistants and Anthropomorphic Interactions. </w:t>
      </w:r>
      <w:r w:rsidRPr="001A455A">
        <w:rPr>
          <w:rFonts w:ascii="Calibri" w:hAnsi="Calibri" w:cs="Calibri"/>
          <w:i/>
          <w:noProof/>
          <w:sz w:val="22"/>
          <w:szCs w:val="22"/>
        </w:rPr>
        <w:t>Frontiers in public health</w:t>
      </w:r>
      <w:r w:rsidRPr="001A455A">
        <w:rPr>
          <w:rFonts w:ascii="Calibri" w:hAnsi="Calibri" w:cs="Calibri"/>
          <w:noProof/>
          <w:sz w:val="22"/>
          <w:szCs w:val="22"/>
        </w:rPr>
        <w:t>,</w:t>
      </w:r>
      <w:r w:rsidRPr="001A455A">
        <w:rPr>
          <w:rFonts w:ascii="Calibri" w:hAnsi="Calibri" w:cs="Calibri"/>
          <w:i/>
          <w:noProof/>
          <w:sz w:val="22"/>
          <w:szCs w:val="22"/>
        </w:rPr>
        <w:t xml:space="preserve"> 9</w:t>
      </w:r>
      <w:r w:rsidRPr="001A455A">
        <w:rPr>
          <w:rFonts w:ascii="Calibri" w:hAnsi="Calibri" w:cs="Calibri"/>
          <w:noProof/>
          <w:sz w:val="22"/>
          <w:szCs w:val="22"/>
        </w:rPr>
        <w:t xml:space="preserve">, 750736.  </w:t>
      </w:r>
    </w:p>
    <w:p w14:paraId="3066EB12"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Juris, J. J., Bouldin, E. D., Uva, K., Cardwell, C. D., Schulhoff, A., &amp; Hiegl, N. (2022). Virtual Intergenerational Reverse-Mentoring Program Reduces Loneliness among Older Adults: Results from a Pilot Evaluation. </w:t>
      </w:r>
      <w:r w:rsidRPr="001A455A">
        <w:rPr>
          <w:rFonts w:ascii="Calibri" w:hAnsi="Calibri" w:cs="Calibri"/>
          <w:i/>
          <w:noProof/>
          <w:sz w:val="22"/>
          <w:szCs w:val="22"/>
        </w:rPr>
        <w:t>International journal of environmental research and public health</w:t>
      </w:r>
      <w:r w:rsidRPr="001A455A">
        <w:rPr>
          <w:rFonts w:ascii="Calibri" w:hAnsi="Calibri" w:cs="Calibri"/>
          <w:noProof/>
          <w:sz w:val="22"/>
          <w:szCs w:val="22"/>
        </w:rPr>
        <w:t>,</w:t>
      </w:r>
      <w:r w:rsidRPr="001A455A">
        <w:rPr>
          <w:rFonts w:ascii="Calibri" w:hAnsi="Calibri" w:cs="Calibri"/>
          <w:i/>
          <w:noProof/>
          <w:sz w:val="22"/>
          <w:szCs w:val="22"/>
        </w:rPr>
        <w:t xml:space="preserve"> 19</w:t>
      </w:r>
      <w:r w:rsidRPr="001A455A">
        <w:rPr>
          <w:rFonts w:ascii="Calibri" w:hAnsi="Calibri" w:cs="Calibri"/>
          <w:noProof/>
          <w:sz w:val="22"/>
          <w:szCs w:val="22"/>
        </w:rPr>
        <w:t xml:space="preserve">(12).  </w:t>
      </w:r>
    </w:p>
    <w:p w14:paraId="57DBEC64"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Kahlon, M. K., Aksan, N., Aubrey, R., Clark, N., Cowley-Morillo, M., Jacobs, E. A., . . . Tomlinson, S. (2021). Effect of Layperson-Delivered, Empathy-Focused Program of Telephone Calls on Loneliness, Depression, and Anxiety Among Adults During the COVID-19 Pandemic: A Randomized Clinical Trial. </w:t>
      </w:r>
      <w:r w:rsidRPr="001A455A">
        <w:rPr>
          <w:rFonts w:ascii="Calibri" w:hAnsi="Calibri" w:cs="Calibri"/>
          <w:i/>
          <w:noProof/>
          <w:sz w:val="22"/>
          <w:szCs w:val="22"/>
        </w:rPr>
        <w:t>JAMA psychiatry</w:t>
      </w:r>
      <w:r w:rsidRPr="001A455A">
        <w:rPr>
          <w:rFonts w:ascii="Calibri" w:hAnsi="Calibri" w:cs="Calibri"/>
          <w:noProof/>
          <w:sz w:val="22"/>
          <w:szCs w:val="22"/>
        </w:rPr>
        <w:t>,</w:t>
      </w:r>
      <w:r w:rsidRPr="001A455A">
        <w:rPr>
          <w:rFonts w:ascii="Calibri" w:hAnsi="Calibri" w:cs="Calibri"/>
          <w:i/>
          <w:noProof/>
          <w:sz w:val="22"/>
          <w:szCs w:val="22"/>
        </w:rPr>
        <w:t xml:space="preserve"> 78</w:t>
      </w:r>
      <w:r w:rsidRPr="001A455A">
        <w:rPr>
          <w:rFonts w:ascii="Calibri" w:hAnsi="Calibri" w:cs="Calibri"/>
          <w:noProof/>
          <w:sz w:val="22"/>
          <w:szCs w:val="22"/>
        </w:rPr>
        <w:t xml:space="preserve">(6), 616-622.  </w:t>
      </w:r>
    </w:p>
    <w:p w14:paraId="63D84AE9"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Kall, A., Back, M., Welin, C., Aman, H., Bjerker, R., Wanman, M., . . . Andersson, G. (2021). Therapist-Guided Internet-Based Treatments for Loneliness: A Randomized Controlled Three-Arm Trial Comparing Cognitive Behavioral Therapy and Interpersonal Psychotherapy. </w:t>
      </w:r>
      <w:r w:rsidRPr="001A455A">
        <w:rPr>
          <w:rFonts w:ascii="Calibri" w:hAnsi="Calibri" w:cs="Calibri"/>
          <w:i/>
          <w:noProof/>
          <w:sz w:val="22"/>
          <w:szCs w:val="22"/>
        </w:rPr>
        <w:t>Psychotherapy and psychosomatics</w:t>
      </w:r>
      <w:r w:rsidRPr="001A455A">
        <w:rPr>
          <w:rFonts w:ascii="Calibri" w:hAnsi="Calibri" w:cs="Calibri"/>
          <w:noProof/>
          <w:sz w:val="22"/>
          <w:szCs w:val="22"/>
        </w:rPr>
        <w:t>,</w:t>
      </w:r>
      <w:r w:rsidRPr="001A455A">
        <w:rPr>
          <w:rFonts w:ascii="Calibri" w:hAnsi="Calibri" w:cs="Calibri"/>
          <w:i/>
          <w:noProof/>
          <w:sz w:val="22"/>
          <w:szCs w:val="22"/>
        </w:rPr>
        <w:t xml:space="preserve"> 90</w:t>
      </w:r>
      <w:r w:rsidRPr="001A455A">
        <w:rPr>
          <w:rFonts w:ascii="Calibri" w:hAnsi="Calibri" w:cs="Calibri"/>
          <w:noProof/>
          <w:sz w:val="22"/>
          <w:szCs w:val="22"/>
        </w:rPr>
        <w:t xml:space="preserve">(5), 351-358.  </w:t>
      </w:r>
    </w:p>
    <w:p w14:paraId="3C1C4B86"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Kall, A., Jagholm, S., Hesser, H., Andersson, F., Mathaldi, A., Norkvist, B. T., . . . Andersson, G. (2020). Internet-Based Cognitive Behavior Therapy for Loneliness: A Pilot Randomized Controlled Trial. </w:t>
      </w:r>
      <w:r w:rsidRPr="001A455A">
        <w:rPr>
          <w:rFonts w:ascii="Calibri" w:hAnsi="Calibri" w:cs="Calibri"/>
          <w:i/>
          <w:noProof/>
          <w:sz w:val="22"/>
          <w:szCs w:val="22"/>
        </w:rPr>
        <w:t>Behavior therapy</w:t>
      </w:r>
      <w:r w:rsidRPr="001A455A">
        <w:rPr>
          <w:rFonts w:ascii="Calibri" w:hAnsi="Calibri" w:cs="Calibri"/>
          <w:noProof/>
          <w:sz w:val="22"/>
          <w:szCs w:val="22"/>
        </w:rPr>
        <w:t>,</w:t>
      </w:r>
      <w:r w:rsidRPr="001A455A">
        <w:rPr>
          <w:rFonts w:ascii="Calibri" w:hAnsi="Calibri" w:cs="Calibri"/>
          <w:i/>
          <w:noProof/>
          <w:sz w:val="22"/>
          <w:szCs w:val="22"/>
        </w:rPr>
        <w:t xml:space="preserve"> 51</w:t>
      </w:r>
      <w:r w:rsidRPr="001A455A">
        <w:rPr>
          <w:rFonts w:ascii="Calibri" w:hAnsi="Calibri" w:cs="Calibri"/>
          <w:noProof/>
          <w:sz w:val="22"/>
          <w:szCs w:val="22"/>
        </w:rPr>
        <w:t xml:space="preserve">(1), 54-68.  </w:t>
      </w:r>
    </w:p>
    <w:p w14:paraId="7DAE36A7"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Kellezi, B., Wakefield, J. R. H., Stevenson, C., McNamara, N., Mair, E., Bowe, M., . . . Halder, M. M. (2019). The social cure of social prescribing: a mixed-methods study on the benefits of social connectedness on quality and effectiveness of care provision. </w:t>
      </w:r>
      <w:r w:rsidRPr="001A455A">
        <w:rPr>
          <w:rFonts w:ascii="Calibri" w:hAnsi="Calibri" w:cs="Calibri"/>
          <w:i/>
          <w:noProof/>
          <w:sz w:val="22"/>
          <w:szCs w:val="22"/>
        </w:rPr>
        <w:t>BMJ Open</w:t>
      </w:r>
      <w:r w:rsidRPr="001A455A">
        <w:rPr>
          <w:rFonts w:ascii="Calibri" w:hAnsi="Calibri" w:cs="Calibri"/>
          <w:noProof/>
          <w:sz w:val="22"/>
          <w:szCs w:val="22"/>
        </w:rPr>
        <w:t>,</w:t>
      </w:r>
      <w:r w:rsidRPr="001A455A">
        <w:rPr>
          <w:rFonts w:ascii="Calibri" w:hAnsi="Calibri" w:cs="Calibri"/>
          <w:i/>
          <w:noProof/>
          <w:sz w:val="22"/>
          <w:szCs w:val="22"/>
        </w:rPr>
        <w:t xml:space="preserve"> 9</w:t>
      </w:r>
      <w:r w:rsidRPr="001A455A">
        <w:rPr>
          <w:rFonts w:ascii="Calibri" w:hAnsi="Calibri" w:cs="Calibri"/>
          <w:noProof/>
          <w:sz w:val="22"/>
          <w:szCs w:val="22"/>
        </w:rPr>
        <w:t xml:space="preserve">(11), e033137.  </w:t>
      </w:r>
    </w:p>
    <w:p w14:paraId="03B42C8F"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Kramer, L. L., van Velsen, L., Clark, J. L., Mulder, B. C., &amp; de Vet, E. (2022). Use and Effect of Embodied Conversational Agents for Improving Eating Behavior and Decreasing Loneliness Among Community-Dwelling Older Adults: Randomized Controlled Trial. </w:t>
      </w:r>
      <w:r w:rsidRPr="001A455A">
        <w:rPr>
          <w:rFonts w:ascii="Calibri" w:hAnsi="Calibri" w:cs="Calibri"/>
          <w:i/>
          <w:noProof/>
          <w:sz w:val="22"/>
          <w:szCs w:val="22"/>
        </w:rPr>
        <w:t>JMIR formative research</w:t>
      </w:r>
      <w:r w:rsidRPr="001A455A">
        <w:rPr>
          <w:rFonts w:ascii="Calibri" w:hAnsi="Calibri" w:cs="Calibri"/>
          <w:noProof/>
          <w:sz w:val="22"/>
          <w:szCs w:val="22"/>
        </w:rPr>
        <w:t>,</w:t>
      </w:r>
      <w:r w:rsidRPr="001A455A">
        <w:rPr>
          <w:rFonts w:ascii="Calibri" w:hAnsi="Calibri" w:cs="Calibri"/>
          <w:i/>
          <w:noProof/>
          <w:sz w:val="22"/>
          <w:szCs w:val="22"/>
        </w:rPr>
        <w:t xml:space="preserve"> 6</w:t>
      </w:r>
      <w:r w:rsidRPr="001A455A">
        <w:rPr>
          <w:rFonts w:ascii="Calibri" w:hAnsi="Calibri" w:cs="Calibri"/>
          <w:noProof/>
          <w:sz w:val="22"/>
          <w:szCs w:val="22"/>
        </w:rPr>
        <w:t xml:space="preserve">(4), e33974.  </w:t>
      </w:r>
    </w:p>
    <w:p w14:paraId="3168A63B"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Lai, D. W. L., Li, J., Ou, X., &amp; Li, C. Y. P. (2020). Effectiveness of a peer-based intervention on loneliness and social isolation of older Chinese immigrants in Canada: a randomized controlled trial. </w:t>
      </w:r>
      <w:r w:rsidRPr="001A455A">
        <w:rPr>
          <w:rFonts w:ascii="Calibri" w:hAnsi="Calibri" w:cs="Calibri"/>
          <w:i/>
          <w:noProof/>
          <w:sz w:val="22"/>
          <w:szCs w:val="22"/>
        </w:rPr>
        <w:t>BMC geriatrics</w:t>
      </w:r>
      <w:r w:rsidRPr="001A455A">
        <w:rPr>
          <w:rFonts w:ascii="Calibri" w:hAnsi="Calibri" w:cs="Calibri"/>
          <w:noProof/>
          <w:sz w:val="22"/>
          <w:szCs w:val="22"/>
        </w:rPr>
        <w:t>,</w:t>
      </w:r>
      <w:r w:rsidRPr="001A455A">
        <w:rPr>
          <w:rFonts w:ascii="Calibri" w:hAnsi="Calibri" w:cs="Calibri"/>
          <w:i/>
          <w:noProof/>
          <w:sz w:val="22"/>
          <w:szCs w:val="22"/>
        </w:rPr>
        <w:t xml:space="preserve"> 20</w:t>
      </w:r>
      <w:r w:rsidRPr="001A455A">
        <w:rPr>
          <w:rFonts w:ascii="Calibri" w:hAnsi="Calibri" w:cs="Calibri"/>
          <w:noProof/>
          <w:sz w:val="22"/>
          <w:szCs w:val="22"/>
        </w:rPr>
        <w:t xml:space="preserve">(1), 356.  </w:t>
      </w:r>
    </w:p>
    <w:p w14:paraId="5FD5989B"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Larsen, T. B., Urke, H., Tobro, M., Ardal, E., Waldahl, R. H., Djupedal, I., &amp; Holsen, I. (2021). Promoting mental health and preventing loneliness in upper secondary school in Norway: Effects of a randomized controlled trial. </w:t>
      </w:r>
      <w:r w:rsidRPr="001A455A">
        <w:rPr>
          <w:rFonts w:ascii="Calibri" w:hAnsi="Calibri" w:cs="Calibri"/>
          <w:i/>
          <w:noProof/>
          <w:sz w:val="22"/>
          <w:szCs w:val="22"/>
        </w:rPr>
        <w:t>Scandinavian Journal of Educational Research</w:t>
      </w:r>
      <w:r w:rsidRPr="001A455A">
        <w:rPr>
          <w:rFonts w:ascii="Calibri" w:hAnsi="Calibri" w:cs="Calibri"/>
          <w:noProof/>
          <w:sz w:val="22"/>
          <w:szCs w:val="22"/>
        </w:rPr>
        <w:t>,</w:t>
      </w:r>
      <w:r w:rsidRPr="001A455A">
        <w:rPr>
          <w:rFonts w:ascii="Calibri" w:hAnsi="Calibri" w:cs="Calibri"/>
          <w:i/>
          <w:noProof/>
          <w:sz w:val="22"/>
          <w:szCs w:val="22"/>
        </w:rPr>
        <w:t xml:space="preserve"> 65</w:t>
      </w:r>
      <w:r w:rsidRPr="001A455A">
        <w:rPr>
          <w:rFonts w:ascii="Calibri" w:hAnsi="Calibri" w:cs="Calibri"/>
          <w:noProof/>
          <w:sz w:val="22"/>
          <w:szCs w:val="22"/>
        </w:rPr>
        <w:t xml:space="preserve">(2), 181-194.  </w:t>
      </w:r>
    </w:p>
    <w:p w14:paraId="64D64E92"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Larsson, E., Padyab, M., Larsson-Lund, M., &amp; Nilsson, I. (2016). Effects of a social internet-based intervention programme for older adults: An explorative randomised crossover study. </w:t>
      </w:r>
      <w:r w:rsidRPr="001A455A">
        <w:rPr>
          <w:rFonts w:ascii="Calibri" w:hAnsi="Calibri" w:cs="Calibri"/>
          <w:i/>
          <w:noProof/>
          <w:sz w:val="22"/>
          <w:szCs w:val="22"/>
        </w:rPr>
        <w:t>The British Journal of Occupational Therapy</w:t>
      </w:r>
      <w:r w:rsidRPr="001A455A">
        <w:rPr>
          <w:rFonts w:ascii="Calibri" w:hAnsi="Calibri" w:cs="Calibri"/>
          <w:noProof/>
          <w:sz w:val="22"/>
          <w:szCs w:val="22"/>
        </w:rPr>
        <w:t>,</w:t>
      </w:r>
      <w:r w:rsidRPr="001A455A">
        <w:rPr>
          <w:rFonts w:ascii="Calibri" w:hAnsi="Calibri" w:cs="Calibri"/>
          <w:i/>
          <w:noProof/>
          <w:sz w:val="22"/>
          <w:szCs w:val="22"/>
        </w:rPr>
        <w:t xml:space="preserve"> 79</w:t>
      </w:r>
      <w:r w:rsidRPr="001A455A">
        <w:rPr>
          <w:rFonts w:ascii="Calibri" w:hAnsi="Calibri" w:cs="Calibri"/>
          <w:noProof/>
          <w:sz w:val="22"/>
          <w:szCs w:val="22"/>
        </w:rPr>
        <w:t xml:space="preserve">(10), 629-636.  </w:t>
      </w:r>
    </w:p>
    <w:p w14:paraId="18155ECD" w14:textId="4202C3B3"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Leyland, A., Naughton-Doe, R., Wigfield, A., &amp; Martin, C. (2022). </w:t>
      </w:r>
      <w:r w:rsidRPr="001A455A">
        <w:rPr>
          <w:rFonts w:ascii="Calibri" w:hAnsi="Calibri" w:cs="Calibri"/>
          <w:i/>
          <w:noProof/>
          <w:sz w:val="22"/>
          <w:szCs w:val="22"/>
        </w:rPr>
        <w:t xml:space="preserve">Time to Shine local evaluation, Report 6: participation, engagement and outcomes for older people </w:t>
      </w:r>
      <w:hyperlink r:id="rId11" w:history="1">
        <w:r w:rsidRPr="001A455A">
          <w:rPr>
            <w:rStyle w:val="Hyperlink"/>
            <w:rFonts w:ascii="Calibri" w:hAnsi="Calibri" w:cs="Calibri"/>
            <w:noProof/>
            <w:color w:val="auto"/>
            <w:sz w:val="22"/>
            <w:szCs w:val="22"/>
          </w:rPr>
          <w:t>https://www.opforum.org.uk/wp-content/uploads/2022/07/Report-6_TTS-Local-evaluation_June-2022.pdf</w:t>
        </w:r>
      </w:hyperlink>
    </w:p>
    <w:p w14:paraId="41C45BE2"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Lim, M. H., Gleeson, J. F. M., Rodebaugh, T. L., Eres, R., Long, K. M., Casey, K., . . . Penn, D. L. (2020). A pilot digital intervention targeting loneliness in young people with psychosis. </w:t>
      </w:r>
      <w:r w:rsidRPr="001A455A">
        <w:rPr>
          <w:rFonts w:ascii="Calibri" w:hAnsi="Calibri" w:cs="Calibri"/>
          <w:i/>
          <w:noProof/>
          <w:sz w:val="22"/>
          <w:szCs w:val="22"/>
        </w:rPr>
        <w:t>Social psychiatry and psychiatric epidemiology</w:t>
      </w:r>
      <w:r w:rsidRPr="001A455A">
        <w:rPr>
          <w:rFonts w:ascii="Calibri" w:hAnsi="Calibri" w:cs="Calibri"/>
          <w:noProof/>
          <w:sz w:val="22"/>
          <w:szCs w:val="22"/>
        </w:rPr>
        <w:t>,</w:t>
      </w:r>
      <w:r w:rsidRPr="001A455A">
        <w:rPr>
          <w:rFonts w:ascii="Calibri" w:hAnsi="Calibri" w:cs="Calibri"/>
          <w:i/>
          <w:noProof/>
          <w:sz w:val="22"/>
          <w:szCs w:val="22"/>
        </w:rPr>
        <w:t xml:space="preserve"> 55</w:t>
      </w:r>
      <w:r w:rsidRPr="001A455A">
        <w:rPr>
          <w:rFonts w:ascii="Calibri" w:hAnsi="Calibri" w:cs="Calibri"/>
          <w:noProof/>
          <w:sz w:val="22"/>
          <w:szCs w:val="22"/>
        </w:rPr>
        <w:t xml:space="preserve">(7), 877-889.  </w:t>
      </w:r>
    </w:p>
    <w:p w14:paraId="69E4490F" w14:textId="149A76EC"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lastRenderedPageBreak/>
        <w:t xml:space="preserve">Llewellyn, M., Wallace, S., Wallace, C., Elliott, M., Williams, M., &amp; Ganesh, S. (December 2020). </w:t>
      </w:r>
      <w:r w:rsidRPr="001A455A">
        <w:rPr>
          <w:rFonts w:ascii="Calibri" w:hAnsi="Calibri" w:cs="Calibri"/>
          <w:i/>
          <w:noProof/>
          <w:sz w:val="22"/>
          <w:szCs w:val="22"/>
        </w:rPr>
        <w:t>Evaluation of the pilot mental health social prescribing programme, Final Report for Mind Cymru</w:t>
      </w:r>
      <w:r w:rsidRPr="001A455A">
        <w:rPr>
          <w:rFonts w:ascii="Calibri" w:hAnsi="Calibri" w:cs="Calibri"/>
          <w:noProof/>
          <w:sz w:val="22"/>
          <w:szCs w:val="22"/>
        </w:rPr>
        <w:t xml:space="preserve">. </w:t>
      </w:r>
      <w:hyperlink r:id="rId12" w:history="1">
        <w:r w:rsidRPr="001A455A">
          <w:rPr>
            <w:rStyle w:val="Hyperlink"/>
            <w:rFonts w:ascii="Calibri" w:hAnsi="Calibri" w:cs="Calibri"/>
            <w:noProof/>
            <w:color w:val="auto"/>
            <w:sz w:val="22"/>
            <w:szCs w:val="22"/>
          </w:rPr>
          <w:t>https://www.mind.org.uk/media/7603/mind-social-prescribing-final-report-141220-whisc.pdf</w:t>
        </w:r>
      </w:hyperlink>
    </w:p>
    <w:p w14:paraId="0049F5DB"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Lorente-Martinez, R., Brotons-Rodes, P., &amp; Sitges-Macia, E. (2022). Benefits of a psychosocial intervention programme using volunteers for the prevention of loneliness among older women living alone in Spain. </w:t>
      </w:r>
      <w:r w:rsidRPr="001A455A">
        <w:rPr>
          <w:rFonts w:ascii="Calibri" w:hAnsi="Calibri" w:cs="Calibri"/>
          <w:i/>
          <w:noProof/>
          <w:sz w:val="22"/>
          <w:szCs w:val="22"/>
        </w:rPr>
        <w:t>Health &amp; social care in the community</w:t>
      </w:r>
      <w:r w:rsidRPr="001A455A">
        <w:rPr>
          <w:rFonts w:ascii="Calibri" w:hAnsi="Calibri" w:cs="Calibri"/>
          <w:noProof/>
          <w:sz w:val="22"/>
          <w:szCs w:val="22"/>
        </w:rPr>
        <w:t>,</w:t>
      </w:r>
      <w:r w:rsidRPr="001A455A">
        <w:rPr>
          <w:rFonts w:ascii="Calibri" w:hAnsi="Calibri" w:cs="Calibri"/>
          <w:i/>
          <w:noProof/>
          <w:sz w:val="22"/>
          <w:szCs w:val="22"/>
        </w:rPr>
        <w:t xml:space="preserve"> 30</w:t>
      </w:r>
      <w:r w:rsidRPr="001A455A">
        <w:rPr>
          <w:rFonts w:ascii="Calibri" w:hAnsi="Calibri" w:cs="Calibri"/>
          <w:noProof/>
          <w:sz w:val="22"/>
          <w:szCs w:val="22"/>
        </w:rPr>
        <w:t xml:space="preserve">(5), 2000-2012.  </w:t>
      </w:r>
    </w:p>
    <w:p w14:paraId="0DA28A1A"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Lowthian, J. A., Lennox, A., Curtis, A., Wilson, G., Rosewarne, C., Smit, D. V., . . . Dale, J. (2018). HOspitals and patients WoRking in Unity (HOW R U?): telephone peer support to improve older patients' quality of life after emergency department discharge in Melbourne, Australia-a multicentre prospective feasibility study. </w:t>
      </w:r>
      <w:r w:rsidRPr="001A455A">
        <w:rPr>
          <w:rFonts w:ascii="Calibri" w:hAnsi="Calibri" w:cs="Calibri"/>
          <w:i/>
          <w:noProof/>
          <w:sz w:val="22"/>
          <w:szCs w:val="22"/>
        </w:rPr>
        <w:t>BMJ Open</w:t>
      </w:r>
      <w:r w:rsidRPr="001A455A">
        <w:rPr>
          <w:rFonts w:ascii="Calibri" w:hAnsi="Calibri" w:cs="Calibri"/>
          <w:noProof/>
          <w:sz w:val="22"/>
          <w:szCs w:val="22"/>
        </w:rPr>
        <w:t>,</w:t>
      </w:r>
      <w:r w:rsidRPr="001A455A">
        <w:rPr>
          <w:rFonts w:ascii="Calibri" w:hAnsi="Calibri" w:cs="Calibri"/>
          <w:i/>
          <w:noProof/>
          <w:sz w:val="22"/>
          <w:szCs w:val="22"/>
        </w:rPr>
        <w:t xml:space="preserve"> 8</w:t>
      </w:r>
      <w:r w:rsidRPr="001A455A">
        <w:rPr>
          <w:rFonts w:ascii="Calibri" w:hAnsi="Calibri" w:cs="Calibri"/>
          <w:noProof/>
          <w:sz w:val="22"/>
          <w:szCs w:val="22"/>
        </w:rPr>
        <w:t xml:space="preserve">(6), e020321.  </w:t>
      </w:r>
    </w:p>
    <w:p w14:paraId="422B6DF3" w14:textId="5D0D7786"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Macmillan, T., Ronca, M., Bidey, T., &amp; Rembiszewsk, P. (March 2018 ). </w:t>
      </w:r>
      <w:r w:rsidRPr="001A455A">
        <w:rPr>
          <w:rFonts w:ascii="Calibri" w:hAnsi="Calibri" w:cs="Calibri"/>
          <w:i/>
          <w:noProof/>
          <w:sz w:val="22"/>
          <w:szCs w:val="22"/>
        </w:rPr>
        <w:t>Evaluation of the Homeshare pilots, Final report</w:t>
      </w:r>
      <w:r w:rsidRPr="001A455A">
        <w:rPr>
          <w:rFonts w:ascii="Calibri" w:hAnsi="Calibri" w:cs="Calibri"/>
          <w:noProof/>
          <w:sz w:val="22"/>
          <w:szCs w:val="22"/>
        </w:rPr>
        <w:t xml:space="preserve">. </w:t>
      </w:r>
      <w:hyperlink r:id="rId13" w:history="1">
        <w:r w:rsidRPr="001A455A">
          <w:rPr>
            <w:rStyle w:val="Hyperlink"/>
            <w:rFonts w:ascii="Calibri" w:hAnsi="Calibri" w:cs="Calibri"/>
            <w:noProof/>
            <w:color w:val="auto"/>
            <w:sz w:val="22"/>
            <w:szCs w:val="22"/>
          </w:rPr>
          <w:t>https://www.housinglin.org.uk/_assets/Resources/Housing/OtherOrganisation/Homeshare-Evaluation-Report.pdf</w:t>
        </w:r>
      </w:hyperlink>
    </w:p>
    <w:p w14:paraId="6D196346" w14:textId="7C9FA6F6"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Martin, A., Crowley, J., Pinto, C., Shipsey, F., Martin, I., Windle, K., &amp; Dinos, S. (2021). </w:t>
      </w:r>
      <w:r w:rsidRPr="001A455A">
        <w:rPr>
          <w:rFonts w:ascii="Calibri" w:hAnsi="Calibri" w:cs="Calibri"/>
          <w:i/>
          <w:noProof/>
          <w:sz w:val="22"/>
          <w:szCs w:val="22"/>
        </w:rPr>
        <w:t>Covid-19 Loneliness Fund: A process evaluation</w:t>
      </w:r>
      <w:r w:rsidRPr="001A455A">
        <w:rPr>
          <w:rFonts w:ascii="Calibri" w:hAnsi="Calibri" w:cs="Calibri"/>
          <w:noProof/>
          <w:sz w:val="22"/>
          <w:szCs w:val="22"/>
        </w:rPr>
        <w:t xml:space="preserve">. </w:t>
      </w:r>
      <w:hyperlink r:id="rId14" w:history="1">
        <w:r w:rsidRPr="001A455A">
          <w:rPr>
            <w:rStyle w:val="Hyperlink"/>
            <w:rFonts w:ascii="Calibri" w:hAnsi="Calibri" w:cs="Calibri"/>
            <w:noProof/>
            <w:color w:val="auto"/>
            <w:sz w:val="22"/>
            <w:szCs w:val="22"/>
          </w:rPr>
          <w:t>https://assets.publishing.service.gov.uk/government/uploads/system/uploads/attachment_data/file/1010052/Covid-19_Loneliness_Fund_Evaluation__accessible_version_.pdf</w:t>
        </w:r>
      </w:hyperlink>
    </w:p>
    <w:p w14:paraId="4D253831"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Massie, R., &amp; Ahmad, N. (2019 ). </w:t>
      </w:r>
      <w:r w:rsidRPr="001A455A">
        <w:rPr>
          <w:rFonts w:ascii="Calibri" w:hAnsi="Calibri" w:cs="Calibri"/>
          <w:i/>
          <w:noProof/>
          <w:sz w:val="22"/>
          <w:szCs w:val="22"/>
        </w:rPr>
        <w:t>An evaluation of Wolverhampton’s Social Prescribing Service: A New Route to Wellbeing</w:t>
      </w:r>
      <w:r w:rsidRPr="001A455A">
        <w:rPr>
          <w:rFonts w:ascii="Calibri" w:hAnsi="Calibri" w:cs="Calibri"/>
          <w:noProof/>
          <w:sz w:val="22"/>
          <w:szCs w:val="22"/>
        </w:rPr>
        <w:t xml:space="preserve">. </w:t>
      </w:r>
    </w:p>
    <w:p w14:paraId="3ADAE94A"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Mattanah, J. F., Ayers, J. F., Brand, B. L., Brooks, L. J., Quimby, J. L., &amp; McNary, S. W. (2010). A social support intervention to ease the college transition: Exploring main effects and moderators. </w:t>
      </w:r>
      <w:r w:rsidRPr="001A455A">
        <w:rPr>
          <w:rFonts w:ascii="Calibri" w:hAnsi="Calibri" w:cs="Calibri"/>
          <w:i/>
          <w:noProof/>
          <w:sz w:val="22"/>
          <w:szCs w:val="22"/>
        </w:rPr>
        <w:t>Journal of College Student Development</w:t>
      </w:r>
      <w:r w:rsidRPr="001A455A">
        <w:rPr>
          <w:rFonts w:ascii="Calibri" w:hAnsi="Calibri" w:cs="Calibri"/>
          <w:noProof/>
          <w:sz w:val="22"/>
          <w:szCs w:val="22"/>
        </w:rPr>
        <w:t>,</w:t>
      </w:r>
      <w:r w:rsidRPr="001A455A">
        <w:rPr>
          <w:rFonts w:ascii="Calibri" w:hAnsi="Calibri" w:cs="Calibri"/>
          <w:i/>
          <w:noProof/>
          <w:sz w:val="22"/>
          <w:szCs w:val="22"/>
        </w:rPr>
        <w:t xml:space="preserve"> 51</w:t>
      </w:r>
      <w:r w:rsidRPr="001A455A">
        <w:rPr>
          <w:rFonts w:ascii="Calibri" w:hAnsi="Calibri" w:cs="Calibri"/>
          <w:noProof/>
          <w:sz w:val="22"/>
          <w:szCs w:val="22"/>
        </w:rPr>
        <w:t xml:space="preserve">(1), 93-108.  </w:t>
      </w:r>
    </w:p>
    <w:p w14:paraId="281391E7" w14:textId="1F71B67E"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McDaid, D., Park, A., &amp; Fernandez, J. (2021). </w:t>
      </w:r>
      <w:r w:rsidRPr="001A455A">
        <w:rPr>
          <w:rFonts w:ascii="Calibri" w:hAnsi="Calibri" w:cs="Calibri"/>
          <w:i/>
          <w:noProof/>
          <w:sz w:val="22"/>
          <w:szCs w:val="22"/>
        </w:rPr>
        <w:t xml:space="preserve">Reconnections: Impact evaluation report </w:t>
      </w:r>
      <w:hyperlink r:id="rId15" w:history="1">
        <w:r w:rsidRPr="001A455A">
          <w:rPr>
            <w:rStyle w:val="Hyperlink"/>
            <w:rFonts w:ascii="Calibri" w:hAnsi="Calibri" w:cs="Calibri"/>
            <w:noProof/>
            <w:color w:val="auto"/>
            <w:sz w:val="22"/>
            <w:szCs w:val="22"/>
          </w:rPr>
          <w:t>https://www.lse.ac.uk/cpec/assets/documents/Reconnections.pdf</w:t>
        </w:r>
      </w:hyperlink>
    </w:p>
    <w:p w14:paraId="2D68A340"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Moonen, G., Perrier, L., Meiyappan, S., Akhtar, S., &amp; Crampton, N. (2022). COVID-19 pandemic partnership between medical students and isolated elders improves student understanding of older adults' lived experience. </w:t>
      </w:r>
      <w:r w:rsidRPr="001A455A">
        <w:rPr>
          <w:rFonts w:ascii="Calibri" w:hAnsi="Calibri" w:cs="Calibri"/>
          <w:i/>
          <w:noProof/>
          <w:sz w:val="22"/>
          <w:szCs w:val="22"/>
        </w:rPr>
        <w:t>BMC geriatrics</w:t>
      </w:r>
      <w:r w:rsidRPr="001A455A">
        <w:rPr>
          <w:rFonts w:ascii="Calibri" w:hAnsi="Calibri" w:cs="Calibri"/>
          <w:noProof/>
          <w:sz w:val="22"/>
          <w:szCs w:val="22"/>
        </w:rPr>
        <w:t>,</w:t>
      </w:r>
      <w:r w:rsidRPr="001A455A">
        <w:rPr>
          <w:rFonts w:ascii="Calibri" w:hAnsi="Calibri" w:cs="Calibri"/>
          <w:i/>
          <w:noProof/>
          <w:sz w:val="22"/>
          <w:szCs w:val="22"/>
        </w:rPr>
        <w:t xml:space="preserve"> 22</w:t>
      </w:r>
      <w:r w:rsidRPr="001A455A">
        <w:rPr>
          <w:rFonts w:ascii="Calibri" w:hAnsi="Calibri" w:cs="Calibri"/>
          <w:noProof/>
          <w:sz w:val="22"/>
          <w:szCs w:val="22"/>
        </w:rPr>
        <w:t xml:space="preserve">(1), 636.  </w:t>
      </w:r>
    </w:p>
    <w:p w14:paraId="78F3F530"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Moore, S., &amp; Preston, C. (2015). </w:t>
      </w:r>
      <w:r w:rsidRPr="001A455A">
        <w:rPr>
          <w:rFonts w:ascii="Calibri" w:hAnsi="Calibri" w:cs="Calibri"/>
          <w:i/>
          <w:noProof/>
          <w:sz w:val="22"/>
          <w:szCs w:val="22"/>
        </w:rPr>
        <w:t>The Silver Line: Tackling Loneliness in Older People</w:t>
      </w:r>
      <w:r w:rsidRPr="001A455A">
        <w:rPr>
          <w:rFonts w:ascii="Calibri" w:hAnsi="Calibri" w:cs="Calibri"/>
          <w:noProof/>
          <w:sz w:val="22"/>
          <w:szCs w:val="22"/>
        </w:rPr>
        <w:t xml:space="preserve">. </w:t>
      </w:r>
    </w:p>
    <w:p w14:paraId="6F35F6C7" w14:textId="61EAFEB3"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Moreton, R., Stutz, A., Richards, S., Choudhoury, A., &amp; Daly, G. (2019). </w:t>
      </w:r>
      <w:r w:rsidRPr="001A455A">
        <w:rPr>
          <w:rFonts w:ascii="Calibri" w:hAnsi="Calibri" w:cs="Calibri"/>
          <w:i/>
          <w:noProof/>
          <w:sz w:val="22"/>
          <w:szCs w:val="22"/>
        </w:rPr>
        <w:t xml:space="preserve">Evaluation of Ageing Better in Birmingham - Year 2 report </w:t>
      </w:r>
      <w:hyperlink r:id="rId16" w:history="1">
        <w:r w:rsidRPr="001A455A">
          <w:rPr>
            <w:rStyle w:val="Hyperlink"/>
            <w:rFonts w:ascii="Calibri" w:hAnsi="Calibri" w:cs="Calibri"/>
            <w:noProof/>
            <w:color w:val="auto"/>
            <w:sz w:val="22"/>
            <w:szCs w:val="22"/>
          </w:rPr>
          <w:t>https://www.bvsc.org/Handlers/Download.ashx?IDMF=baa5c034-f8eb-4dc2-a748-d22e439cbc0a</w:t>
        </w:r>
      </w:hyperlink>
    </w:p>
    <w:p w14:paraId="05AB5756"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Mueller, N. E., &amp; Cougle, J. R. (2023). Building Closer Friendships in social anxiety disorder: A randomized control trial of an internet-based intervention. </w:t>
      </w:r>
      <w:r w:rsidRPr="001A455A">
        <w:rPr>
          <w:rFonts w:ascii="Calibri" w:hAnsi="Calibri" w:cs="Calibri"/>
          <w:i/>
          <w:noProof/>
          <w:sz w:val="22"/>
          <w:szCs w:val="22"/>
        </w:rPr>
        <w:t>Journal of behavior therapy and experimental psychiatry</w:t>
      </w:r>
      <w:r w:rsidRPr="001A455A">
        <w:rPr>
          <w:rFonts w:ascii="Calibri" w:hAnsi="Calibri" w:cs="Calibri"/>
          <w:noProof/>
          <w:sz w:val="22"/>
          <w:szCs w:val="22"/>
        </w:rPr>
        <w:t>,</w:t>
      </w:r>
      <w:r w:rsidRPr="001A455A">
        <w:rPr>
          <w:rFonts w:ascii="Calibri" w:hAnsi="Calibri" w:cs="Calibri"/>
          <w:i/>
          <w:noProof/>
          <w:sz w:val="22"/>
          <w:szCs w:val="22"/>
        </w:rPr>
        <w:t xml:space="preserve"> 78</w:t>
      </w:r>
      <w:r w:rsidRPr="001A455A">
        <w:rPr>
          <w:rFonts w:ascii="Calibri" w:hAnsi="Calibri" w:cs="Calibri"/>
          <w:noProof/>
          <w:sz w:val="22"/>
          <w:szCs w:val="22"/>
        </w:rPr>
        <w:t xml:space="preserve">, 101799.  </w:t>
      </w:r>
    </w:p>
    <w:p w14:paraId="1BECD136"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Mullins, L. B., Skemp, L., Reed, D., &amp; Emerson, M. (2020). Internet Programming to Reduce Loneliness and Social Isolation in Aging. </w:t>
      </w:r>
      <w:r w:rsidRPr="001A455A">
        <w:rPr>
          <w:rFonts w:ascii="Calibri" w:hAnsi="Calibri" w:cs="Calibri"/>
          <w:i/>
          <w:noProof/>
          <w:sz w:val="22"/>
          <w:szCs w:val="22"/>
        </w:rPr>
        <w:t>Research in gerontological nursing</w:t>
      </w:r>
      <w:r w:rsidRPr="001A455A">
        <w:rPr>
          <w:rFonts w:ascii="Calibri" w:hAnsi="Calibri" w:cs="Calibri"/>
          <w:noProof/>
          <w:sz w:val="22"/>
          <w:szCs w:val="22"/>
        </w:rPr>
        <w:t>,</w:t>
      </w:r>
      <w:r w:rsidRPr="001A455A">
        <w:rPr>
          <w:rFonts w:ascii="Calibri" w:hAnsi="Calibri" w:cs="Calibri"/>
          <w:i/>
          <w:noProof/>
          <w:sz w:val="22"/>
          <w:szCs w:val="22"/>
        </w:rPr>
        <w:t xml:space="preserve"> 13</w:t>
      </w:r>
      <w:r w:rsidRPr="001A455A">
        <w:rPr>
          <w:rFonts w:ascii="Calibri" w:hAnsi="Calibri" w:cs="Calibri"/>
          <w:noProof/>
          <w:sz w:val="22"/>
          <w:szCs w:val="22"/>
        </w:rPr>
        <w:t xml:space="preserve">(5), 233-242.  </w:t>
      </w:r>
    </w:p>
    <w:p w14:paraId="5D1ED8F9"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Nguyen, L. T., Prophater, L. E., Fazio, S., Hulur, G., Tate, R., Sherwin, K., . . . Haley, W. E. (2022). Project VITAL at Home: Impact of Technology on Loneliness and Well-Being of Family Caregivers of People with Dementia. </w:t>
      </w:r>
      <w:r w:rsidRPr="001A455A">
        <w:rPr>
          <w:rFonts w:ascii="Calibri" w:hAnsi="Calibri" w:cs="Calibri"/>
          <w:i/>
          <w:noProof/>
          <w:sz w:val="22"/>
          <w:szCs w:val="22"/>
        </w:rPr>
        <w:t>Clinical gerontologist</w:t>
      </w:r>
      <w:r w:rsidRPr="001A455A">
        <w:rPr>
          <w:rFonts w:ascii="Calibri" w:hAnsi="Calibri" w:cs="Calibri"/>
          <w:noProof/>
          <w:sz w:val="22"/>
          <w:szCs w:val="22"/>
        </w:rPr>
        <w:t xml:space="preserve">, 1-12.  </w:t>
      </w:r>
    </w:p>
    <w:p w14:paraId="63185FC3"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Ohta, R., Maiguma, K., Yata, A., &amp; Sano, C. (2022). A Solution for Loneliness in Rural Populations: The Effects of Osekkai Conferences during the COVID-19 Pandemic. </w:t>
      </w:r>
      <w:r w:rsidRPr="001A455A">
        <w:rPr>
          <w:rFonts w:ascii="Calibri" w:hAnsi="Calibri" w:cs="Calibri"/>
          <w:i/>
          <w:noProof/>
          <w:sz w:val="22"/>
          <w:szCs w:val="22"/>
        </w:rPr>
        <w:t>International journal of environmental research and public health</w:t>
      </w:r>
      <w:r w:rsidRPr="001A455A">
        <w:rPr>
          <w:rFonts w:ascii="Calibri" w:hAnsi="Calibri" w:cs="Calibri"/>
          <w:noProof/>
          <w:sz w:val="22"/>
          <w:szCs w:val="22"/>
        </w:rPr>
        <w:t>,</w:t>
      </w:r>
      <w:r w:rsidRPr="001A455A">
        <w:rPr>
          <w:rFonts w:ascii="Calibri" w:hAnsi="Calibri" w:cs="Calibri"/>
          <w:i/>
          <w:noProof/>
          <w:sz w:val="22"/>
          <w:szCs w:val="22"/>
        </w:rPr>
        <w:t xml:space="preserve"> 19</w:t>
      </w:r>
      <w:r w:rsidRPr="001A455A">
        <w:rPr>
          <w:rFonts w:ascii="Calibri" w:hAnsi="Calibri" w:cs="Calibri"/>
          <w:noProof/>
          <w:sz w:val="22"/>
          <w:szCs w:val="22"/>
        </w:rPr>
        <w:t xml:space="preserve">(9).  </w:t>
      </w:r>
    </w:p>
    <w:p w14:paraId="26945540"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Ozturk, F. O., &amp; Tekkas-Kerman, K. (2022). The effect of online laughter therapy on depression, anxiety, stress, and loneliness among nursing students during the Covid-19 pandemic. </w:t>
      </w:r>
      <w:r w:rsidRPr="001A455A">
        <w:rPr>
          <w:rFonts w:ascii="Calibri" w:hAnsi="Calibri" w:cs="Calibri"/>
          <w:i/>
          <w:noProof/>
          <w:sz w:val="22"/>
          <w:szCs w:val="22"/>
        </w:rPr>
        <w:t>Archives of psychiatric nursing</w:t>
      </w:r>
      <w:r w:rsidRPr="001A455A">
        <w:rPr>
          <w:rFonts w:ascii="Calibri" w:hAnsi="Calibri" w:cs="Calibri"/>
          <w:noProof/>
          <w:sz w:val="22"/>
          <w:szCs w:val="22"/>
        </w:rPr>
        <w:t>,</w:t>
      </w:r>
      <w:r w:rsidRPr="001A455A">
        <w:rPr>
          <w:rFonts w:ascii="Calibri" w:hAnsi="Calibri" w:cs="Calibri"/>
          <w:i/>
          <w:noProof/>
          <w:sz w:val="22"/>
          <w:szCs w:val="22"/>
        </w:rPr>
        <w:t xml:space="preserve"> 41</w:t>
      </w:r>
      <w:r w:rsidRPr="001A455A">
        <w:rPr>
          <w:rFonts w:ascii="Calibri" w:hAnsi="Calibri" w:cs="Calibri"/>
          <w:noProof/>
          <w:sz w:val="22"/>
          <w:szCs w:val="22"/>
        </w:rPr>
        <w:t xml:space="preserve">, 271-276.  </w:t>
      </w:r>
    </w:p>
    <w:p w14:paraId="652A4E9F"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Pynnonen, K., Rantanen, T., Kokko, K., Tiikkainen, P., Kallinen, M., &amp; Tormakangas, T. (2018). Associations between the dimensions of perceived togetherness, loneliness, and depressive symptoms among older Finnish people. </w:t>
      </w:r>
      <w:r w:rsidRPr="001A455A">
        <w:rPr>
          <w:rFonts w:ascii="Calibri" w:hAnsi="Calibri" w:cs="Calibri"/>
          <w:i/>
          <w:noProof/>
          <w:sz w:val="22"/>
          <w:szCs w:val="22"/>
        </w:rPr>
        <w:t>Aging &amp; mental health</w:t>
      </w:r>
      <w:r w:rsidRPr="001A455A">
        <w:rPr>
          <w:rFonts w:ascii="Calibri" w:hAnsi="Calibri" w:cs="Calibri"/>
          <w:noProof/>
          <w:sz w:val="22"/>
          <w:szCs w:val="22"/>
        </w:rPr>
        <w:t>,</w:t>
      </w:r>
      <w:r w:rsidRPr="001A455A">
        <w:rPr>
          <w:rFonts w:ascii="Calibri" w:hAnsi="Calibri" w:cs="Calibri"/>
          <w:i/>
          <w:noProof/>
          <w:sz w:val="22"/>
          <w:szCs w:val="22"/>
        </w:rPr>
        <w:t xml:space="preserve"> 22</w:t>
      </w:r>
      <w:r w:rsidRPr="001A455A">
        <w:rPr>
          <w:rFonts w:ascii="Calibri" w:hAnsi="Calibri" w:cs="Calibri"/>
          <w:noProof/>
          <w:sz w:val="22"/>
          <w:szCs w:val="22"/>
        </w:rPr>
        <w:t xml:space="preserve">(10), 1329-1337.  </w:t>
      </w:r>
    </w:p>
    <w:p w14:paraId="607A870D"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lastRenderedPageBreak/>
        <w:t xml:space="preserve">Quinn, K. (2021). Social media and social wellbeing in later life. </w:t>
      </w:r>
      <w:r w:rsidRPr="001A455A">
        <w:rPr>
          <w:rFonts w:ascii="Calibri" w:hAnsi="Calibri" w:cs="Calibri"/>
          <w:i/>
          <w:noProof/>
          <w:sz w:val="22"/>
          <w:szCs w:val="22"/>
        </w:rPr>
        <w:t>Special Issue: New frontiers in international retirement migration</w:t>
      </w:r>
      <w:r w:rsidRPr="001A455A">
        <w:rPr>
          <w:rFonts w:ascii="Calibri" w:hAnsi="Calibri" w:cs="Calibri"/>
          <w:noProof/>
          <w:sz w:val="22"/>
          <w:szCs w:val="22"/>
        </w:rPr>
        <w:t>,</w:t>
      </w:r>
      <w:r w:rsidRPr="001A455A">
        <w:rPr>
          <w:rFonts w:ascii="Calibri" w:hAnsi="Calibri" w:cs="Calibri"/>
          <w:i/>
          <w:noProof/>
          <w:sz w:val="22"/>
          <w:szCs w:val="22"/>
        </w:rPr>
        <w:t xml:space="preserve"> 41</w:t>
      </w:r>
      <w:r w:rsidRPr="001A455A">
        <w:rPr>
          <w:rFonts w:ascii="Calibri" w:hAnsi="Calibri" w:cs="Calibri"/>
          <w:noProof/>
          <w:sz w:val="22"/>
          <w:szCs w:val="22"/>
        </w:rPr>
        <w:t xml:space="preserve">(6), 1349-1370.  </w:t>
      </w:r>
    </w:p>
    <w:p w14:paraId="6CC3ED26"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Ramamonjiarivelo, Z., Osborne, R., Renick, O., &amp; Sen, K. (2022). Assessing the Effectiveness of Intergenerational Virtual Service-Learning Intervention on Loneliness and Ageism: A Pre-Post Study. </w:t>
      </w:r>
      <w:r w:rsidRPr="001A455A">
        <w:rPr>
          <w:rFonts w:ascii="Calibri" w:hAnsi="Calibri" w:cs="Calibri"/>
          <w:i/>
          <w:noProof/>
          <w:sz w:val="22"/>
          <w:szCs w:val="22"/>
        </w:rPr>
        <w:t>Healthcare (Basel, Switzerland)</w:t>
      </w:r>
      <w:r w:rsidRPr="001A455A">
        <w:rPr>
          <w:rFonts w:ascii="Calibri" w:hAnsi="Calibri" w:cs="Calibri"/>
          <w:noProof/>
          <w:sz w:val="22"/>
          <w:szCs w:val="22"/>
        </w:rPr>
        <w:t>,</w:t>
      </w:r>
      <w:r w:rsidRPr="001A455A">
        <w:rPr>
          <w:rFonts w:ascii="Calibri" w:hAnsi="Calibri" w:cs="Calibri"/>
          <w:i/>
          <w:noProof/>
          <w:sz w:val="22"/>
          <w:szCs w:val="22"/>
        </w:rPr>
        <w:t xml:space="preserve"> 10</w:t>
      </w:r>
      <w:r w:rsidRPr="001A455A">
        <w:rPr>
          <w:rFonts w:ascii="Calibri" w:hAnsi="Calibri" w:cs="Calibri"/>
          <w:noProof/>
          <w:sz w:val="22"/>
          <w:szCs w:val="22"/>
        </w:rPr>
        <w:t xml:space="preserve">(5).  </w:t>
      </w:r>
    </w:p>
    <w:p w14:paraId="146E305C"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Red Cross &amp; The Coop Foundation. (2019 ). </w:t>
      </w:r>
      <w:r w:rsidRPr="001A455A">
        <w:rPr>
          <w:rFonts w:ascii="Calibri" w:hAnsi="Calibri" w:cs="Calibri"/>
          <w:i/>
          <w:noProof/>
          <w:sz w:val="22"/>
          <w:szCs w:val="22"/>
        </w:rPr>
        <w:t>Tackling Loneliness and Isolation: Findings from the evaluation of our Connecting Communities service</w:t>
      </w:r>
      <w:r w:rsidRPr="001A455A">
        <w:rPr>
          <w:rFonts w:ascii="Calibri" w:hAnsi="Calibri" w:cs="Calibri"/>
          <w:noProof/>
          <w:sz w:val="22"/>
          <w:szCs w:val="22"/>
        </w:rPr>
        <w:t xml:space="preserve">. </w:t>
      </w:r>
    </w:p>
    <w:p w14:paraId="167655AA" w14:textId="1AD327AF"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Renaisi. (2016). </w:t>
      </w:r>
      <w:r w:rsidRPr="001A455A">
        <w:rPr>
          <w:rFonts w:ascii="Calibri" w:hAnsi="Calibri" w:cs="Calibri"/>
          <w:i/>
          <w:noProof/>
          <w:sz w:val="22"/>
          <w:szCs w:val="22"/>
        </w:rPr>
        <w:t>North and South London Cares: Evaluation and Development through the Centre for Social Action Innovation Fund</w:t>
      </w:r>
      <w:r w:rsidRPr="001A455A">
        <w:rPr>
          <w:rFonts w:ascii="Calibri" w:hAnsi="Calibri" w:cs="Calibri"/>
          <w:noProof/>
          <w:sz w:val="22"/>
          <w:szCs w:val="22"/>
        </w:rPr>
        <w:t xml:space="preserve">. </w:t>
      </w:r>
      <w:hyperlink r:id="rId17" w:history="1">
        <w:r w:rsidRPr="001A455A">
          <w:rPr>
            <w:rStyle w:val="Hyperlink"/>
            <w:rFonts w:ascii="Calibri" w:hAnsi="Calibri" w:cs="Calibri"/>
            <w:noProof/>
            <w:color w:val="auto"/>
            <w:sz w:val="22"/>
            <w:szCs w:val="22"/>
          </w:rPr>
          <w:t>https://media.nesta.org.uk/documents/north_and_south_london_cares_-_final_report_csaif_evaluation_support.pdf</w:t>
        </w:r>
      </w:hyperlink>
    </w:p>
    <w:p w14:paraId="72BB93F3"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Richmond-Cullen, C. (2018). The effect of an artist in residence program on self-reported loneliness in senior citizens. </w:t>
      </w:r>
      <w:r w:rsidRPr="001A455A">
        <w:rPr>
          <w:rFonts w:ascii="Calibri" w:hAnsi="Calibri" w:cs="Calibri"/>
          <w:i/>
          <w:noProof/>
          <w:sz w:val="22"/>
          <w:szCs w:val="22"/>
        </w:rPr>
        <w:t>Educational Gerontology</w:t>
      </w:r>
      <w:r w:rsidRPr="001A455A">
        <w:rPr>
          <w:rFonts w:ascii="Calibri" w:hAnsi="Calibri" w:cs="Calibri"/>
          <w:noProof/>
          <w:sz w:val="22"/>
          <w:szCs w:val="22"/>
        </w:rPr>
        <w:t>,</w:t>
      </w:r>
      <w:r w:rsidRPr="001A455A">
        <w:rPr>
          <w:rFonts w:ascii="Calibri" w:hAnsi="Calibri" w:cs="Calibri"/>
          <w:i/>
          <w:noProof/>
          <w:sz w:val="22"/>
          <w:szCs w:val="22"/>
        </w:rPr>
        <w:t xml:space="preserve"> 44</w:t>
      </w:r>
      <w:r w:rsidRPr="001A455A">
        <w:rPr>
          <w:rFonts w:ascii="Calibri" w:hAnsi="Calibri" w:cs="Calibri"/>
          <w:noProof/>
          <w:sz w:val="22"/>
          <w:szCs w:val="22"/>
        </w:rPr>
        <w:t xml:space="preserve">(7), 425-432.  </w:t>
      </w:r>
    </w:p>
    <w:p w14:paraId="6C273DF9"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Roberts, J. R., &amp; Windle, G. (2020). Evaluation of an intervention targeting loneliness and isolation for older people in North Wales. </w:t>
      </w:r>
      <w:r w:rsidRPr="001A455A">
        <w:rPr>
          <w:rFonts w:ascii="Calibri" w:hAnsi="Calibri" w:cs="Calibri"/>
          <w:i/>
          <w:noProof/>
          <w:sz w:val="22"/>
          <w:szCs w:val="22"/>
        </w:rPr>
        <w:t>Perspectives in public health</w:t>
      </w:r>
      <w:r w:rsidRPr="001A455A">
        <w:rPr>
          <w:rFonts w:ascii="Calibri" w:hAnsi="Calibri" w:cs="Calibri"/>
          <w:noProof/>
          <w:sz w:val="22"/>
          <w:szCs w:val="22"/>
        </w:rPr>
        <w:t>,</w:t>
      </w:r>
      <w:r w:rsidRPr="001A455A">
        <w:rPr>
          <w:rFonts w:ascii="Calibri" w:hAnsi="Calibri" w:cs="Calibri"/>
          <w:i/>
          <w:noProof/>
          <w:sz w:val="22"/>
          <w:szCs w:val="22"/>
        </w:rPr>
        <w:t xml:space="preserve"> 140</w:t>
      </w:r>
      <w:r w:rsidRPr="001A455A">
        <w:rPr>
          <w:rFonts w:ascii="Calibri" w:hAnsi="Calibri" w:cs="Calibri"/>
          <w:noProof/>
          <w:sz w:val="22"/>
          <w:szCs w:val="22"/>
        </w:rPr>
        <w:t xml:space="preserve">(3), 153-161.  </w:t>
      </w:r>
    </w:p>
    <w:p w14:paraId="5AA95431"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Robinson, H., Macdonald, B., Kerse, N., &amp; Broadbent, E. (2013). The psychosocial effects of a companion robot: a randomized controlled trial. </w:t>
      </w:r>
      <w:r w:rsidRPr="001A455A">
        <w:rPr>
          <w:rFonts w:ascii="Calibri" w:hAnsi="Calibri" w:cs="Calibri"/>
          <w:i/>
          <w:noProof/>
          <w:sz w:val="22"/>
          <w:szCs w:val="22"/>
        </w:rPr>
        <w:t>Journal of the American Medical Directors Association</w:t>
      </w:r>
      <w:r w:rsidRPr="001A455A">
        <w:rPr>
          <w:rFonts w:ascii="Calibri" w:hAnsi="Calibri" w:cs="Calibri"/>
          <w:noProof/>
          <w:sz w:val="22"/>
          <w:szCs w:val="22"/>
        </w:rPr>
        <w:t>,</w:t>
      </w:r>
      <w:r w:rsidRPr="001A455A">
        <w:rPr>
          <w:rFonts w:ascii="Calibri" w:hAnsi="Calibri" w:cs="Calibri"/>
          <w:i/>
          <w:noProof/>
          <w:sz w:val="22"/>
          <w:szCs w:val="22"/>
        </w:rPr>
        <w:t xml:space="preserve"> 14</w:t>
      </w:r>
      <w:r w:rsidRPr="001A455A">
        <w:rPr>
          <w:rFonts w:ascii="Calibri" w:hAnsi="Calibri" w:cs="Calibri"/>
          <w:noProof/>
          <w:sz w:val="22"/>
          <w:szCs w:val="22"/>
        </w:rPr>
        <w:t xml:space="preserve">(9), 661-667.  </w:t>
      </w:r>
    </w:p>
    <w:p w14:paraId="6FCEA3D8"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Rodriguez-Romero, R., Herranz-Rodriguez, C., Kostov, B., Gene-Badia, J., &amp; Siso-Almirall, A. (2021). Intervention to reduce perceived loneliness in community-dwelling older people. </w:t>
      </w:r>
      <w:r w:rsidRPr="001A455A">
        <w:rPr>
          <w:rFonts w:ascii="Calibri" w:hAnsi="Calibri" w:cs="Calibri"/>
          <w:i/>
          <w:noProof/>
          <w:sz w:val="22"/>
          <w:szCs w:val="22"/>
        </w:rPr>
        <w:t>Scandinavian journal of caring sciences</w:t>
      </w:r>
      <w:r w:rsidRPr="001A455A">
        <w:rPr>
          <w:rFonts w:ascii="Calibri" w:hAnsi="Calibri" w:cs="Calibri"/>
          <w:noProof/>
          <w:sz w:val="22"/>
          <w:szCs w:val="22"/>
        </w:rPr>
        <w:t>,</w:t>
      </w:r>
      <w:r w:rsidRPr="001A455A">
        <w:rPr>
          <w:rFonts w:ascii="Calibri" w:hAnsi="Calibri" w:cs="Calibri"/>
          <w:i/>
          <w:noProof/>
          <w:sz w:val="22"/>
          <w:szCs w:val="22"/>
        </w:rPr>
        <w:t xml:space="preserve"> 35</w:t>
      </w:r>
      <w:r w:rsidRPr="001A455A">
        <w:rPr>
          <w:rFonts w:ascii="Calibri" w:hAnsi="Calibri" w:cs="Calibri"/>
          <w:noProof/>
          <w:sz w:val="22"/>
          <w:szCs w:val="22"/>
        </w:rPr>
        <w:t xml:space="preserve">(2), 366-374.  </w:t>
      </w:r>
    </w:p>
    <w:p w14:paraId="4E8301C2"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Roland, H., Ilin Shpilkerman, Y., Schaub, J., &amp; Comeau, A.-C. (2021). Connection Through Calls: The Impact of a Seniors Center Without Walls on Older Adults' Social Isolation and Loneliness. </w:t>
      </w:r>
      <w:r w:rsidRPr="001A455A">
        <w:rPr>
          <w:rFonts w:ascii="Calibri" w:hAnsi="Calibri" w:cs="Calibri"/>
          <w:i/>
          <w:noProof/>
          <w:sz w:val="22"/>
          <w:szCs w:val="22"/>
        </w:rPr>
        <w:t>Gerontology &amp; geriatric medicine</w:t>
      </w:r>
      <w:r w:rsidRPr="001A455A">
        <w:rPr>
          <w:rFonts w:ascii="Calibri" w:hAnsi="Calibri" w:cs="Calibri"/>
          <w:noProof/>
          <w:sz w:val="22"/>
          <w:szCs w:val="22"/>
        </w:rPr>
        <w:t>,</w:t>
      </w:r>
      <w:r w:rsidRPr="001A455A">
        <w:rPr>
          <w:rFonts w:ascii="Calibri" w:hAnsi="Calibri" w:cs="Calibri"/>
          <w:i/>
          <w:noProof/>
          <w:sz w:val="22"/>
          <w:szCs w:val="22"/>
        </w:rPr>
        <w:t xml:space="preserve"> 7</w:t>
      </w:r>
      <w:r w:rsidRPr="001A455A">
        <w:rPr>
          <w:rFonts w:ascii="Calibri" w:hAnsi="Calibri" w:cs="Calibri"/>
          <w:noProof/>
          <w:sz w:val="22"/>
          <w:szCs w:val="22"/>
        </w:rPr>
        <w:t xml:space="preserve">.  </w:t>
      </w:r>
    </w:p>
    <w:p w14:paraId="31483E48" w14:textId="6D2D1E6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Rose, A., Abrams, T., Parker, E., &amp; Todres, G. (2021). </w:t>
      </w:r>
      <w:r w:rsidRPr="001A455A">
        <w:rPr>
          <w:rFonts w:ascii="Calibri" w:hAnsi="Calibri" w:cs="Calibri"/>
          <w:i/>
          <w:noProof/>
          <w:sz w:val="22"/>
          <w:szCs w:val="22"/>
        </w:rPr>
        <w:t>The Building Connections Fund  Part one: Evaluation of the Building Connections Fund prior to the Covid-19 pandemic</w:t>
      </w:r>
      <w:r w:rsidRPr="001A455A">
        <w:rPr>
          <w:rFonts w:ascii="Calibri" w:hAnsi="Calibri" w:cs="Calibri"/>
          <w:noProof/>
          <w:sz w:val="22"/>
          <w:szCs w:val="22"/>
        </w:rPr>
        <w:t xml:space="preserve">. </w:t>
      </w:r>
      <w:hyperlink r:id="rId18" w:history="1">
        <w:r w:rsidRPr="001A455A">
          <w:rPr>
            <w:rStyle w:val="Hyperlink"/>
            <w:rFonts w:ascii="Calibri" w:hAnsi="Calibri" w:cs="Calibri"/>
            <w:noProof/>
            <w:color w:val="auto"/>
            <w:sz w:val="22"/>
            <w:szCs w:val="22"/>
          </w:rPr>
          <w:t>https://assets.publishing.service.gov.uk/government/uploads/system/uploads/attachment_data/file/1010470/BCF_Part_1_evaluation_report_May_2021.pdf</w:t>
        </w:r>
      </w:hyperlink>
    </w:p>
    <w:p w14:paraId="123C171A"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Routasalo, P. E., Tilvis, R. S., Kautiainen, H., &amp; Pitkala, K. H. (2009). Effects of psychosocial group rehabilitation on social functioning, loneliness and well-being of lonely, older people: randomized controlled trial. </w:t>
      </w:r>
      <w:r w:rsidRPr="001A455A">
        <w:rPr>
          <w:rFonts w:ascii="Calibri" w:hAnsi="Calibri" w:cs="Calibri"/>
          <w:i/>
          <w:noProof/>
          <w:sz w:val="22"/>
          <w:szCs w:val="22"/>
        </w:rPr>
        <w:t>Journal of advanced nursing</w:t>
      </w:r>
      <w:r w:rsidRPr="001A455A">
        <w:rPr>
          <w:rFonts w:ascii="Calibri" w:hAnsi="Calibri" w:cs="Calibri"/>
          <w:noProof/>
          <w:sz w:val="22"/>
          <w:szCs w:val="22"/>
        </w:rPr>
        <w:t>,</w:t>
      </w:r>
      <w:r w:rsidRPr="001A455A">
        <w:rPr>
          <w:rFonts w:ascii="Calibri" w:hAnsi="Calibri" w:cs="Calibri"/>
          <w:i/>
          <w:noProof/>
          <w:sz w:val="22"/>
          <w:szCs w:val="22"/>
        </w:rPr>
        <w:t xml:space="preserve"> 65</w:t>
      </w:r>
      <w:r w:rsidRPr="001A455A">
        <w:rPr>
          <w:rFonts w:ascii="Calibri" w:hAnsi="Calibri" w:cs="Calibri"/>
          <w:noProof/>
          <w:sz w:val="22"/>
          <w:szCs w:val="22"/>
        </w:rPr>
        <w:t xml:space="preserve">(2), 297-305.  </w:t>
      </w:r>
    </w:p>
    <w:p w14:paraId="3D6C3C5B"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Sandu, S., Sreedhar, S., Chang, L., Cohen, L., Cruz, A., Olson, H. R., . . . Carrion, A. (2021). 21st Century Good Neighbor Program: An Easily Generalizable Program to Reduce Social Isolation in Older Adults. </w:t>
      </w:r>
      <w:r w:rsidRPr="001A455A">
        <w:rPr>
          <w:rFonts w:ascii="Calibri" w:hAnsi="Calibri" w:cs="Calibri"/>
          <w:i/>
          <w:noProof/>
          <w:sz w:val="22"/>
          <w:szCs w:val="22"/>
        </w:rPr>
        <w:t>Frontiers in public health</w:t>
      </w:r>
      <w:r w:rsidRPr="001A455A">
        <w:rPr>
          <w:rFonts w:ascii="Calibri" w:hAnsi="Calibri" w:cs="Calibri"/>
          <w:noProof/>
          <w:sz w:val="22"/>
          <w:szCs w:val="22"/>
        </w:rPr>
        <w:t>,</w:t>
      </w:r>
      <w:r w:rsidRPr="001A455A">
        <w:rPr>
          <w:rFonts w:ascii="Calibri" w:hAnsi="Calibri" w:cs="Calibri"/>
          <w:i/>
          <w:noProof/>
          <w:sz w:val="22"/>
          <w:szCs w:val="22"/>
        </w:rPr>
        <w:t xml:space="preserve"> 9</w:t>
      </w:r>
      <w:r w:rsidRPr="001A455A">
        <w:rPr>
          <w:rFonts w:ascii="Calibri" w:hAnsi="Calibri" w:cs="Calibri"/>
          <w:noProof/>
          <w:sz w:val="22"/>
          <w:szCs w:val="22"/>
        </w:rPr>
        <w:t xml:space="preserve">, 766706.  </w:t>
      </w:r>
    </w:p>
    <w:p w14:paraId="03A2D08A"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Shapira, S., Cohn-Schwartz, E., Yeshua-Katz, D., Aharonson-Daniel, L., Clarfield, A. M., &amp; Sarid, O. (2021). Teaching and Practicing Cognitive-Behavioral and Mindfulness Skills in a Web-Based Platform among Older Adults through the COVID-19 Pandemic: A Pilot Randomized Controlled Trial. </w:t>
      </w:r>
      <w:r w:rsidRPr="001A455A">
        <w:rPr>
          <w:rFonts w:ascii="Calibri" w:hAnsi="Calibri" w:cs="Calibri"/>
          <w:i/>
          <w:noProof/>
          <w:sz w:val="22"/>
          <w:szCs w:val="22"/>
        </w:rPr>
        <w:t>International journal of environmental research and public health</w:t>
      </w:r>
      <w:r w:rsidRPr="001A455A">
        <w:rPr>
          <w:rFonts w:ascii="Calibri" w:hAnsi="Calibri" w:cs="Calibri"/>
          <w:noProof/>
          <w:sz w:val="22"/>
          <w:szCs w:val="22"/>
        </w:rPr>
        <w:t>,</w:t>
      </w:r>
      <w:r w:rsidRPr="001A455A">
        <w:rPr>
          <w:rFonts w:ascii="Calibri" w:hAnsi="Calibri" w:cs="Calibri"/>
          <w:i/>
          <w:noProof/>
          <w:sz w:val="22"/>
          <w:szCs w:val="22"/>
        </w:rPr>
        <w:t xml:space="preserve"> 18</w:t>
      </w:r>
      <w:r w:rsidRPr="001A455A">
        <w:rPr>
          <w:rFonts w:ascii="Calibri" w:hAnsi="Calibri" w:cs="Calibri"/>
          <w:noProof/>
          <w:sz w:val="22"/>
          <w:szCs w:val="22"/>
        </w:rPr>
        <w:t xml:space="preserve">(20).  </w:t>
      </w:r>
    </w:p>
    <w:p w14:paraId="311DAFE3"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Simpson, A., Flood, C., Rowe, J., Quigley, J., Henry, S., Hall, C., . . . Bowers, L. (2014). Results of a pilot randomised controlled trial to measure the clinical and cost effectiveness of peer support in increasing hope and quality of life in mental health patients discharged from hospital in the UK. </w:t>
      </w:r>
      <w:r w:rsidRPr="001A455A">
        <w:rPr>
          <w:rFonts w:ascii="Calibri" w:hAnsi="Calibri" w:cs="Calibri"/>
          <w:i/>
          <w:noProof/>
          <w:sz w:val="22"/>
          <w:szCs w:val="22"/>
        </w:rPr>
        <w:t>BMC psychiatry</w:t>
      </w:r>
      <w:r w:rsidRPr="001A455A">
        <w:rPr>
          <w:rFonts w:ascii="Calibri" w:hAnsi="Calibri" w:cs="Calibri"/>
          <w:noProof/>
          <w:sz w:val="22"/>
          <w:szCs w:val="22"/>
        </w:rPr>
        <w:t>,</w:t>
      </w:r>
      <w:r w:rsidRPr="001A455A">
        <w:rPr>
          <w:rFonts w:ascii="Calibri" w:hAnsi="Calibri" w:cs="Calibri"/>
          <w:i/>
          <w:noProof/>
          <w:sz w:val="22"/>
          <w:szCs w:val="22"/>
        </w:rPr>
        <w:t xml:space="preserve"> 14</w:t>
      </w:r>
      <w:r w:rsidRPr="001A455A">
        <w:rPr>
          <w:rFonts w:ascii="Calibri" w:hAnsi="Calibri" w:cs="Calibri"/>
          <w:noProof/>
          <w:sz w:val="22"/>
          <w:szCs w:val="22"/>
        </w:rPr>
        <w:t xml:space="preserve">, 30.  </w:t>
      </w:r>
    </w:p>
    <w:p w14:paraId="7E2715B5"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Stacey, J., &amp; Edwards, A. (2013). Resisting loneliness' dark pit: a narrative therapy approach. </w:t>
      </w:r>
      <w:r w:rsidRPr="001A455A">
        <w:rPr>
          <w:rFonts w:ascii="Calibri" w:hAnsi="Calibri" w:cs="Calibri"/>
          <w:i/>
          <w:noProof/>
          <w:sz w:val="22"/>
          <w:szCs w:val="22"/>
        </w:rPr>
        <w:t>Tizard Learning Disability Review</w:t>
      </w:r>
      <w:r w:rsidRPr="001A455A">
        <w:rPr>
          <w:rFonts w:ascii="Calibri" w:hAnsi="Calibri" w:cs="Calibri"/>
          <w:noProof/>
          <w:sz w:val="22"/>
          <w:szCs w:val="22"/>
        </w:rPr>
        <w:t>,</w:t>
      </w:r>
      <w:r w:rsidRPr="001A455A">
        <w:rPr>
          <w:rFonts w:ascii="Calibri" w:hAnsi="Calibri" w:cs="Calibri"/>
          <w:i/>
          <w:noProof/>
          <w:sz w:val="22"/>
          <w:szCs w:val="22"/>
        </w:rPr>
        <w:t xml:space="preserve"> 18</w:t>
      </w:r>
      <w:r w:rsidRPr="001A455A">
        <w:rPr>
          <w:rFonts w:ascii="Calibri" w:hAnsi="Calibri" w:cs="Calibri"/>
          <w:noProof/>
          <w:sz w:val="22"/>
          <w:szCs w:val="22"/>
        </w:rPr>
        <w:t xml:space="preserve">(1), 20-27.  </w:t>
      </w:r>
    </w:p>
    <w:p w14:paraId="00FF3833"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Starks, L. (2023). </w:t>
      </w:r>
      <w:r w:rsidRPr="001A455A">
        <w:rPr>
          <w:rFonts w:ascii="Calibri" w:hAnsi="Calibri" w:cs="Calibri"/>
          <w:i/>
          <w:noProof/>
          <w:sz w:val="22"/>
          <w:szCs w:val="22"/>
        </w:rPr>
        <w:t xml:space="preserve">Researching the benefits and impact of Men's Sheds on their members </w:t>
      </w:r>
      <w:r w:rsidRPr="001A455A">
        <w:rPr>
          <w:rFonts w:ascii="Calibri" w:hAnsi="Calibri" w:cs="Calibri"/>
          <w:noProof/>
          <w:sz w:val="22"/>
          <w:szCs w:val="22"/>
        </w:rPr>
        <w:t xml:space="preserve">UK Men's Sheds Association </w:t>
      </w:r>
    </w:p>
    <w:p w14:paraId="7964749D"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Stewart, L. A., Dispenza, F., Parker, L., Chang, C. Y., &amp; Cunnien, T. (2014). A pilot study assessing the effectiveness of an animal-assisted outreach program. </w:t>
      </w:r>
      <w:r w:rsidRPr="001A455A">
        <w:rPr>
          <w:rFonts w:ascii="Calibri" w:hAnsi="Calibri" w:cs="Calibri"/>
          <w:i/>
          <w:noProof/>
          <w:sz w:val="22"/>
          <w:szCs w:val="22"/>
        </w:rPr>
        <w:t>Journal of Creativity in Mental Health</w:t>
      </w:r>
      <w:r w:rsidRPr="001A455A">
        <w:rPr>
          <w:rFonts w:ascii="Calibri" w:hAnsi="Calibri" w:cs="Calibri"/>
          <w:noProof/>
          <w:sz w:val="22"/>
          <w:szCs w:val="22"/>
        </w:rPr>
        <w:t>,</w:t>
      </w:r>
      <w:r w:rsidRPr="001A455A">
        <w:rPr>
          <w:rFonts w:ascii="Calibri" w:hAnsi="Calibri" w:cs="Calibri"/>
          <w:i/>
          <w:noProof/>
          <w:sz w:val="22"/>
          <w:szCs w:val="22"/>
        </w:rPr>
        <w:t xml:space="preserve"> 9</w:t>
      </w:r>
      <w:r w:rsidRPr="001A455A">
        <w:rPr>
          <w:rFonts w:ascii="Calibri" w:hAnsi="Calibri" w:cs="Calibri"/>
          <w:noProof/>
          <w:sz w:val="22"/>
          <w:szCs w:val="22"/>
        </w:rPr>
        <w:t xml:space="preserve">(3), 332-345.  </w:t>
      </w:r>
    </w:p>
    <w:p w14:paraId="34B40B9A"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lastRenderedPageBreak/>
        <w:t xml:space="preserve">Stewart, M., Simich, L., Beiser, M., Makumbe, K., Makwarimba, E., &amp; Shizha, E. (2011). Impacts of a social support intervention for Somali and Sudanese refugees in Canada. </w:t>
      </w:r>
      <w:r w:rsidRPr="001A455A">
        <w:rPr>
          <w:rFonts w:ascii="Calibri" w:hAnsi="Calibri" w:cs="Calibri"/>
          <w:i/>
          <w:noProof/>
          <w:sz w:val="22"/>
          <w:szCs w:val="22"/>
        </w:rPr>
        <w:t>Ethnicity and Inequalities in Health and Social Care</w:t>
      </w:r>
      <w:r w:rsidRPr="001A455A">
        <w:rPr>
          <w:rFonts w:ascii="Calibri" w:hAnsi="Calibri" w:cs="Calibri"/>
          <w:noProof/>
          <w:sz w:val="22"/>
          <w:szCs w:val="22"/>
        </w:rPr>
        <w:t>,</w:t>
      </w:r>
      <w:r w:rsidRPr="001A455A">
        <w:rPr>
          <w:rFonts w:ascii="Calibri" w:hAnsi="Calibri" w:cs="Calibri"/>
          <w:i/>
          <w:noProof/>
          <w:sz w:val="22"/>
          <w:szCs w:val="22"/>
        </w:rPr>
        <w:t xml:space="preserve"> 4</w:t>
      </w:r>
      <w:r w:rsidRPr="001A455A">
        <w:rPr>
          <w:rFonts w:ascii="Calibri" w:hAnsi="Calibri" w:cs="Calibri"/>
          <w:noProof/>
          <w:sz w:val="22"/>
          <w:szCs w:val="22"/>
        </w:rPr>
        <w:t xml:space="preserve">(4), 186-199.  </w:t>
      </w:r>
    </w:p>
    <w:p w14:paraId="19C13DA5"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Tatlilioglu, K. (2013). The Effect of Cognitive Behavioral Oriented Psycho Education Program on Dealing with Loneliness: An Online Psychological Counseling Approach. </w:t>
      </w:r>
      <w:r w:rsidRPr="001A455A">
        <w:rPr>
          <w:rFonts w:ascii="Calibri" w:hAnsi="Calibri" w:cs="Calibri"/>
          <w:i/>
          <w:noProof/>
          <w:sz w:val="22"/>
          <w:szCs w:val="22"/>
        </w:rPr>
        <w:t>Education</w:t>
      </w:r>
      <w:r w:rsidRPr="001A455A">
        <w:rPr>
          <w:rFonts w:ascii="Calibri" w:hAnsi="Calibri" w:cs="Calibri"/>
          <w:noProof/>
          <w:sz w:val="22"/>
          <w:szCs w:val="22"/>
        </w:rPr>
        <w:t>,</w:t>
      </w:r>
      <w:r w:rsidRPr="001A455A">
        <w:rPr>
          <w:rFonts w:ascii="Calibri" w:hAnsi="Calibri" w:cs="Calibri"/>
          <w:i/>
          <w:noProof/>
          <w:sz w:val="22"/>
          <w:szCs w:val="22"/>
        </w:rPr>
        <w:t xml:space="preserve"> 134</w:t>
      </w:r>
      <w:r w:rsidRPr="001A455A">
        <w:rPr>
          <w:rFonts w:ascii="Calibri" w:hAnsi="Calibri" w:cs="Calibri"/>
          <w:noProof/>
          <w:sz w:val="22"/>
          <w:szCs w:val="22"/>
        </w:rPr>
        <w:t xml:space="preserve">(1), 101-109.  </w:t>
      </w:r>
    </w:p>
    <w:p w14:paraId="75B4B992"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Taube, E., Kristensson, J., Midlov, P., &amp; Jakobsson, U. (2018). The use of case management for community-dwelling older people: the effects on loneliness, symptoms of depression and life satisfaction in a randomised controlled trial. </w:t>
      </w:r>
      <w:r w:rsidRPr="001A455A">
        <w:rPr>
          <w:rFonts w:ascii="Calibri" w:hAnsi="Calibri" w:cs="Calibri"/>
          <w:i/>
          <w:noProof/>
          <w:sz w:val="22"/>
          <w:szCs w:val="22"/>
        </w:rPr>
        <w:t>Scandinavian journal of caring sciences</w:t>
      </w:r>
      <w:r w:rsidRPr="001A455A">
        <w:rPr>
          <w:rFonts w:ascii="Calibri" w:hAnsi="Calibri" w:cs="Calibri"/>
          <w:noProof/>
          <w:sz w:val="22"/>
          <w:szCs w:val="22"/>
        </w:rPr>
        <w:t>,</w:t>
      </w:r>
      <w:r w:rsidRPr="001A455A">
        <w:rPr>
          <w:rFonts w:ascii="Calibri" w:hAnsi="Calibri" w:cs="Calibri"/>
          <w:i/>
          <w:noProof/>
          <w:sz w:val="22"/>
          <w:szCs w:val="22"/>
        </w:rPr>
        <w:t xml:space="preserve"> 32</w:t>
      </w:r>
      <w:r w:rsidRPr="001A455A">
        <w:rPr>
          <w:rFonts w:ascii="Calibri" w:hAnsi="Calibri" w:cs="Calibri"/>
          <w:noProof/>
          <w:sz w:val="22"/>
          <w:szCs w:val="22"/>
        </w:rPr>
        <w:t xml:space="preserve">(2), 889-901.  </w:t>
      </w:r>
    </w:p>
    <w:p w14:paraId="2E1FCEBA" w14:textId="20450A6C"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The Mental Health Foundation. (2018). </w:t>
      </w:r>
      <w:r w:rsidRPr="001A455A">
        <w:rPr>
          <w:rFonts w:ascii="Calibri" w:hAnsi="Calibri" w:cs="Calibri"/>
          <w:i/>
          <w:noProof/>
          <w:sz w:val="22"/>
          <w:szCs w:val="22"/>
        </w:rPr>
        <w:t xml:space="preserve">An Evaluation of the Standing Together project </w:t>
      </w:r>
      <w:hyperlink r:id="rId19" w:history="1">
        <w:r w:rsidRPr="001A455A">
          <w:rPr>
            <w:rStyle w:val="Hyperlink"/>
            <w:rFonts w:ascii="Calibri" w:hAnsi="Calibri" w:cs="Calibri"/>
            <w:noProof/>
            <w:color w:val="auto"/>
            <w:sz w:val="22"/>
            <w:szCs w:val="22"/>
          </w:rPr>
          <w:t>https://www.mentalhealth.org.uk/sites/default/files/2022-09/standing-together-evaluation-WEB.pdf</w:t>
        </w:r>
      </w:hyperlink>
    </w:p>
    <w:p w14:paraId="7A49B4A0"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Theeke, L. A., Mallow, J. A., Moore, J., McBurney, A., Rellick, S., &amp; VanGilder, R. (2016). Effectiveness of LISTEN on loneliness, neuroimmunological stress response, psychosocial functioning, quality of life, and physical health measures of chronic illness. </w:t>
      </w:r>
      <w:r w:rsidRPr="001A455A">
        <w:rPr>
          <w:rFonts w:ascii="Calibri" w:hAnsi="Calibri" w:cs="Calibri"/>
          <w:i/>
          <w:noProof/>
          <w:sz w:val="22"/>
          <w:szCs w:val="22"/>
        </w:rPr>
        <w:t>International journal of nursing sciences</w:t>
      </w:r>
      <w:r w:rsidRPr="001A455A">
        <w:rPr>
          <w:rFonts w:ascii="Calibri" w:hAnsi="Calibri" w:cs="Calibri"/>
          <w:noProof/>
          <w:sz w:val="22"/>
          <w:szCs w:val="22"/>
        </w:rPr>
        <w:t>,</w:t>
      </w:r>
      <w:r w:rsidRPr="001A455A">
        <w:rPr>
          <w:rFonts w:ascii="Calibri" w:hAnsi="Calibri" w:cs="Calibri"/>
          <w:i/>
          <w:noProof/>
          <w:sz w:val="22"/>
          <w:szCs w:val="22"/>
        </w:rPr>
        <w:t xml:space="preserve"> 3</w:t>
      </w:r>
      <w:r w:rsidRPr="001A455A">
        <w:rPr>
          <w:rFonts w:ascii="Calibri" w:hAnsi="Calibri" w:cs="Calibri"/>
          <w:noProof/>
          <w:sz w:val="22"/>
          <w:szCs w:val="22"/>
        </w:rPr>
        <w:t xml:space="preserve">(3), 242-251.  </w:t>
      </w:r>
    </w:p>
    <w:p w14:paraId="1246B26A"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Theeke, L. A., Mallow, J. A., &amp; Theeke, E. (2021). A Pilot One Group Feasibility, Acceptability, and Initial Efficacy Trial of LISTEN for Loneliness in Lonely Stroke Survivors. </w:t>
      </w:r>
      <w:r w:rsidRPr="001A455A">
        <w:rPr>
          <w:rFonts w:ascii="Calibri" w:hAnsi="Calibri" w:cs="Calibri"/>
          <w:i/>
          <w:noProof/>
          <w:sz w:val="22"/>
          <w:szCs w:val="22"/>
        </w:rPr>
        <w:t>SAGE open nursing</w:t>
      </w:r>
      <w:r w:rsidRPr="001A455A">
        <w:rPr>
          <w:rFonts w:ascii="Calibri" w:hAnsi="Calibri" w:cs="Calibri"/>
          <w:noProof/>
          <w:sz w:val="22"/>
          <w:szCs w:val="22"/>
        </w:rPr>
        <w:t>,</w:t>
      </w:r>
      <w:r w:rsidRPr="001A455A">
        <w:rPr>
          <w:rFonts w:ascii="Calibri" w:hAnsi="Calibri" w:cs="Calibri"/>
          <w:i/>
          <w:noProof/>
          <w:sz w:val="22"/>
          <w:szCs w:val="22"/>
        </w:rPr>
        <w:t xml:space="preserve"> 7</w:t>
      </w:r>
      <w:r w:rsidRPr="001A455A">
        <w:rPr>
          <w:rFonts w:ascii="Calibri" w:hAnsi="Calibri" w:cs="Calibri"/>
          <w:noProof/>
          <w:sz w:val="22"/>
          <w:szCs w:val="22"/>
        </w:rPr>
        <w:t xml:space="preserve">, 23779608211015154.  </w:t>
      </w:r>
    </w:p>
    <w:p w14:paraId="2C621817"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Theurer, K. A., Stone, R. I., Suto, M. J., Timonen, V., Brown, S. G., &amp; Mortenson, W. B. (2021a). The Impact of Peer Mentoring on Loneliness, Depression, and Social Engagement in Long-Term Care. </w:t>
      </w:r>
      <w:r w:rsidRPr="001A455A">
        <w:rPr>
          <w:rFonts w:ascii="Calibri" w:hAnsi="Calibri" w:cs="Calibri"/>
          <w:i/>
          <w:noProof/>
          <w:sz w:val="22"/>
          <w:szCs w:val="22"/>
        </w:rPr>
        <w:t>Journal of applied gerontology : the official journal of the Southern Gerontological Society</w:t>
      </w:r>
      <w:r w:rsidRPr="001A455A">
        <w:rPr>
          <w:rFonts w:ascii="Calibri" w:hAnsi="Calibri" w:cs="Calibri"/>
          <w:noProof/>
          <w:sz w:val="22"/>
          <w:szCs w:val="22"/>
        </w:rPr>
        <w:t>,</w:t>
      </w:r>
      <w:r w:rsidRPr="001A455A">
        <w:rPr>
          <w:rFonts w:ascii="Calibri" w:hAnsi="Calibri" w:cs="Calibri"/>
          <w:i/>
          <w:noProof/>
          <w:sz w:val="22"/>
          <w:szCs w:val="22"/>
        </w:rPr>
        <w:t xml:space="preserve"> 40</w:t>
      </w:r>
      <w:r w:rsidRPr="001A455A">
        <w:rPr>
          <w:rFonts w:ascii="Calibri" w:hAnsi="Calibri" w:cs="Calibri"/>
          <w:noProof/>
          <w:sz w:val="22"/>
          <w:szCs w:val="22"/>
        </w:rPr>
        <w:t xml:space="preserve">(9), 1144-1152.  </w:t>
      </w:r>
    </w:p>
    <w:p w14:paraId="20A3B8E0"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Theurer, K. A., Stone, R. I., Suto, M. J., Timonen, V., Brown, S. G., &amp; Mortenson, W. B. (2021b). 'It makes life worthwhile!' Peer mentoring in long-term care-a feasibility study. </w:t>
      </w:r>
      <w:r w:rsidRPr="001A455A">
        <w:rPr>
          <w:rFonts w:ascii="Calibri" w:hAnsi="Calibri" w:cs="Calibri"/>
          <w:i/>
          <w:noProof/>
          <w:sz w:val="22"/>
          <w:szCs w:val="22"/>
        </w:rPr>
        <w:t>Aging &amp; mental health</w:t>
      </w:r>
      <w:r w:rsidRPr="001A455A">
        <w:rPr>
          <w:rFonts w:ascii="Calibri" w:hAnsi="Calibri" w:cs="Calibri"/>
          <w:noProof/>
          <w:sz w:val="22"/>
          <w:szCs w:val="22"/>
        </w:rPr>
        <w:t>,</w:t>
      </w:r>
      <w:r w:rsidRPr="001A455A">
        <w:rPr>
          <w:rFonts w:ascii="Calibri" w:hAnsi="Calibri" w:cs="Calibri"/>
          <w:i/>
          <w:noProof/>
          <w:sz w:val="22"/>
          <w:szCs w:val="22"/>
        </w:rPr>
        <w:t xml:space="preserve"> 25</w:t>
      </w:r>
      <w:r w:rsidRPr="001A455A">
        <w:rPr>
          <w:rFonts w:ascii="Calibri" w:hAnsi="Calibri" w:cs="Calibri"/>
          <w:noProof/>
          <w:sz w:val="22"/>
          <w:szCs w:val="22"/>
        </w:rPr>
        <w:t xml:space="preserve">(10), 1887-1896.  </w:t>
      </w:r>
    </w:p>
    <w:p w14:paraId="0D6132C2"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Thimmapuram, J., Pargament, R., Bell, T., Schurk, H., &amp; Madhusudhan, D. K. (2021). Heartfulness meditation improves loneliness and sleep in physicians and advance practice providers during COVID-19 pandemic. </w:t>
      </w:r>
      <w:r w:rsidRPr="001A455A">
        <w:rPr>
          <w:rFonts w:ascii="Calibri" w:hAnsi="Calibri" w:cs="Calibri"/>
          <w:i/>
          <w:noProof/>
          <w:sz w:val="22"/>
          <w:szCs w:val="22"/>
        </w:rPr>
        <w:t>Hospital practice (1995)</w:t>
      </w:r>
      <w:r w:rsidRPr="001A455A">
        <w:rPr>
          <w:rFonts w:ascii="Calibri" w:hAnsi="Calibri" w:cs="Calibri"/>
          <w:noProof/>
          <w:sz w:val="22"/>
          <w:szCs w:val="22"/>
        </w:rPr>
        <w:t>,</w:t>
      </w:r>
      <w:r w:rsidRPr="001A455A">
        <w:rPr>
          <w:rFonts w:ascii="Calibri" w:hAnsi="Calibri" w:cs="Calibri"/>
          <w:i/>
          <w:noProof/>
          <w:sz w:val="22"/>
          <w:szCs w:val="22"/>
        </w:rPr>
        <w:t xml:space="preserve"> 49</w:t>
      </w:r>
      <w:r w:rsidRPr="001A455A">
        <w:rPr>
          <w:rFonts w:ascii="Calibri" w:hAnsi="Calibri" w:cs="Calibri"/>
          <w:noProof/>
          <w:sz w:val="22"/>
          <w:szCs w:val="22"/>
        </w:rPr>
        <w:t xml:space="preserve">(3), 194-202.  </w:t>
      </w:r>
    </w:p>
    <w:p w14:paraId="65A1E1EB"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Thomas, K. S., Akobundu, U., &amp; Dosa, D. (2016). More Than A Meal? A Randomized Control Trial Comparing the Effects of Home-Delivered Meals Programs on Participants' Feelings of Loneliness. </w:t>
      </w:r>
      <w:r w:rsidRPr="001A455A">
        <w:rPr>
          <w:rFonts w:ascii="Calibri" w:hAnsi="Calibri" w:cs="Calibri"/>
          <w:i/>
          <w:noProof/>
          <w:sz w:val="22"/>
          <w:szCs w:val="22"/>
        </w:rPr>
        <w:t>The journals of gerontology. Series B, Psychological sciences and social sciences</w:t>
      </w:r>
      <w:r w:rsidRPr="001A455A">
        <w:rPr>
          <w:rFonts w:ascii="Calibri" w:hAnsi="Calibri" w:cs="Calibri"/>
          <w:noProof/>
          <w:sz w:val="22"/>
          <w:szCs w:val="22"/>
        </w:rPr>
        <w:t>,</w:t>
      </w:r>
      <w:r w:rsidRPr="001A455A">
        <w:rPr>
          <w:rFonts w:ascii="Calibri" w:hAnsi="Calibri" w:cs="Calibri"/>
          <w:i/>
          <w:noProof/>
          <w:sz w:val="22"/>
          <w:szCs w:val="22"/>
        </w:rPr>
        <w:t xml:space="preserve"> 71</w:t>
      </w:r>
      <w:r w:rsidRPr="001A455A">
        <w:rPr>
          <w:rFonts w:ascii="Calibri" w:hAnsi="Calibri" w:cs="Calibri"/>
          <w:noProof/>
          <w:sz w:val="22"/>
          <w:szCs w:val="22"/>
        </w:rPr>
        <w:t xml:space="preserve">(6), 1049-1058.  </w:t>
      </w:r>
    </w:p>
    <w:p w14:paraId="66F4F295"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Tkatch, R., Wu, L., MacLeod, S., Ungar, R., Albright, L., Russell, D., . . . Yeh, C. S. (2021). Reducing loneliness and improving well-being among older adults with animatronic pets. </w:t>
      </w:r>
      <w:r w:rsidRPr="001A455A">
        <w:rPr>
          <w:rFonts w:ascii="Calibri" w:hAnsi="Calibri" w:cs="Calibri"/>
          <w:i/>
          <w:noProof/>
          <w:sz w:val="22"/>
          <w:szCs w:val="22"/>
        </w:rPr>
        <w:t>Aging &amp; mental health</w:t>
      </w:r>
      <w:r w:rsidRPr="001A455A">
        <w:rPr>
          <w:rFonts w:ascii="Calibri" w:hAnsi="Calibri" w:cs="Calibri"/>
          <w:noProof/>
          <w:sz w:val="22"/>
          <w:szCs w:val="22"/>
        </w:rPr>
        <w:t>,</w:t>
      </w:r>
      <w:r w:rsidRPr="001A455A">
        <w:rPr>
          <w:rFonts w:ascii="Calibri" w:hAnsi="Calibri" w:cs="Calibri"/>
          <w:i/>
          <w:noProof/>
          <w:sz w:val="22"/>
          <w:szCs w:val="22"/>
        </w:rPr>
        <w:t xml:space="preserve"> 25</w:t>
      </w:r>
      <w:r w:rsidRPr="001A455A">
        <w:rPr>
          <w:rFonts w:ascii="Calibri" w:hAnsi="Calibri" w:cs="Calibri"/>
          <w:noProof/>
          <w:sz w:val="22"/>
          <w:szCs w:val="22"/>
        </w:rPr>
        <w:t xml:space="preserve">(7), 1239-1245.  </w:t>
      </w:r>
    </w:p>
    <w:p w14:paraId="59641E0C"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Travers, C., &amp; Bartlett, H. P. (2011). Silver Memories: implementation and evaluation of a unique radio program for older people. </w:t>
      </w:r>
      <w:r w:rsidRPr="001A455A">
        <w:rPr>
          <w:rFonts w:ascii="Calibri" w:hAnsi="Calibri" w:cs="Calibri"/>
          <w:i/>
          <w:noProof/>
          <w:sz w:val="22"/>
          <w:szCs w:val="22"/>
        </w:rPr>
        <w:t>Aging &amp; mental health</w:t>
      </w:r>
      <w:r w:rsidRPr="001A455A">
        <w:rPr>
          <w:rFonts w:ascii="Calibri" w:hAnsi="Calibri" w:cs="Calibri"/>
          <w:noProof/>
          <w:sz w:val="22"/>
          <w:szCs w:val="22"/>
        </w:rPr>
        <w:t>,</w:t>
      </w:r>
      <w:r w:rsidRPr="001A455A">
        <w:rPr>
          <w:rFonts w:ascii="Calibri" w:hAnsi="Calibri" w:cs="Calibri"/>
          <w:i/>
          <w:noProof/>
          <w:sz w:val="22"/>
          <w:szCs w:val="22"/>
        </w:rPr>
        <w:t xml:space="preserve"> 15</w:t>
      </w:r>
      <w:r w:rsidRPr="001A455A">
        <w:rPr>
          <w:rFonts w:ascii="Calibri" w:hAnsi="Calibri" w:cs="Calibri"/>
          <w:noProof/>
          <w:sz w:val="22"/>
          <w:szCs w:val="22"/>
        </w:rPr>
        <w:t xml:space="preserve">(2), 169-177.  </w:t>
      </w:r>
    </w:p>
    <w:p w14:paraId="556DB9F3"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Vassilopoulos, S. P., Diakogiorgi, K., Brouzos, A., Moberly, N. J., &amp; Chasioti, M. (2018). A problem-oriented group approach to reduce children's fears and concerns about the secondary school transition. </w:t>
      </w:r>
      <w:r w:rsidRPr="001A455A">
        <w:rPr>
          <w:rFonts w:ascii="Calibri" w:hAnsi="Calibri" w:cs="Calibri"/>
          <w:i/>
          <w:noProof/>
          <w:sz w:val="22"/>
          <w:szCs w:val="22"/>
        </w:rPr>
        <w:t>Journal of Psychologists and Counsellors in Schools</w:t>
      </w:r>
      <w:r w:rsidRPr="001A455A">
        <w:rPr>
          <w:rFonts w:ascii="Calibri" w:hAnsi="Calibri" w:cs="Calibri"/>
          <w:noProof/>
          <w:sz w:val="22"/>
          <w:szCs w:val="22"/>
        </w:rPr>
        <w:t>,</w:t>
      </w:r>
      <w:r w:rsidRPr="001A455A">
        <w:rPr>
          <w:rFonts w:ascii="Calibri" w:hAnsi="Calibri" w:cs="Calibri"/>
          <w:i/>
          <w:noProof/>
          <w:sz w:val="22"/>
          <w:szCs w:val="22"/>
        </w:rPr>
        <w:t xml:space="preserve"> 28</w:t>
      </w:r>
      <w:r w:rsidRPr="001A455A">
        <w:rPr>
          <w:rFonts w:ascii="Calibri" w:hAnsi="Calibri" w:cs="Calibri"/>
          <w:noProof/>
          <w:sz w:val="22"/>
          <w:szCs w:val="22"/>
        </w:rPr>
        <w:t xml:space="preserve">(1), 84-101.  </w:t>
      </w:r>
    </w:p>
    <w:p w14:paraId="670F6DF9" w14:textId="77777777" w:rsidR="00ED13CC" w:rsidRPr="001A455A" w:rsidRDefault="00ED13CC" w:rsidP="00ED13CC">
      <w:pPr>
        <w:pStyle w:val="EndNoteBibliography"/>
        <w:ind w:left="720" w:hanging="720"/>
        <w:rPr>
          <w:rFonts w:ascii="Calibri" w:hAnsi="Calibri" w:cs="Calibri"/>
          <w:noProof/>
          <w:sz w:val="22"/>
          <w:szCs w:val="22"/>
        </w:rPr>
      </w:pPr>
      <w:r w:rsidRPr="001A455A">
        <w:rPr>
          <w:rFonts w:ascii="Calibri" w:hAnsi="Calibri" w:cs="Calibri"/>
          <w:noProof/>
          <w:sz w:val="22"/>
          <w:szCs w:val="22"/>
        </w:rPr>
        <w:t xml:space="preserve">Yarnoz, S., Plazaola, M., &amp; Etxeberria, J. (2008). Adaptation to divorce: An attachment-based intervention with long-term divorced parents. </w:t>
      </w:r>
      <w:r w:rsidRPr="001A455A">
        <w:rPr>
          <w:rFonts w:ascii="Calibri" w:hAnsi="Calibri" w:cs="Calibri"/>
          <w:i/>
          <w:noProof/>
          <w:sz w:val="22"/>
          <w:szCs w:val="22"/>
        </w:rPr>
        <w:t>Journal of Divorce &amp; Remarriage</w:t>
      </w:r>
      <w:r w:rsidRPr="001A455A">
        <w:rPr>
          <w:rFonts w:ascii="Calibri" w:hAnsi="Calibri" w:cs="Calibri"/>
          <w:noProof/>
          <w:sz w:val="22"/>
          <w:szCs w:val="22"/>
        </w:rPr>
        <w:t>,</w:t>
      </w:r>
      <w:r w:rsidRPr="001A455A">
        <w:rPr>
          <w:rFonts w:ascii="Calibri" w:hAnsi="Calibri" w:cs="Calibri"/>
          <w:i/>
          <w:noProof/>
          <w:sz w:val="22"/>
          <w:szCs w:val="22"/>
        </w:rPr>
        <w:t xml:space="preserve"> 49</w:t>
      </w:r>
      <w:r w:rsidRPr="001A455A">
        <w:rPr>
          <w:rFonts w:ascii="Calibri" w:hAnsi="Calibri" w:cs="Calibri"/>
          <w:noProof/>
          <w:sz w:val="22"/>
          <w:szCs w:val="22"/>
        </w:rPr>
        <w:t xml:space="preserve">(3), 291-307.  </w:t>
      </w:r>
    </w:p>
    <w:p w14:paraId="2A6438A9" w14:textId="6D83743E" w:rsidR="003D7B7A" w:rsidRPr="001A455A" w:rsidRDefault="00093739" w:rsidP="0086059B">
      <w:pPr>
        <w:rPr>
          <w:rFonts w:ascii="Calibri" w:hAnsi="Calibri" w:cs="Calibri"/>
          <w:sz w:val="22"/>
          <w:szCs w:val="22"/>
        </w:rPr>
      </w:pPr>
      <w:r w:rsidRPr="001A455A">
        <w:rPr>
          <w:rFonts w:ascii="Calibri" w:hAnsi="Calibri" w:cs="Calibri"/>
          <w:sz w:val="22"/>
          <w:szCs w:val="22"/>
        </w:rPr>
        <w:fldChar w:fldCharType="end"/>
      </w:r>
      <w:bookmarkEnd w:id="0"/>
    </w:p>
    <w:sectPr w:rsidR="003D7B7A" w:rsidRPr="001A455A" w:rsidSect="001A455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85BAA" w14:textId="77777777" w:rsidR="00555209" w:rsidRDefault="00555209" w:rsidP="00CB457E">
      <w:r>
        <w:separator/>
      </w:r>
    </w:p>
  </w:endnote>
  <w:endnote w:type="continuationSeparator" w:id="0">
    <w:p w14:paraId="48557301" w14:textId="77777777" w:rsidR="00555209" w:rsidRDefault="00555209" w:rsidP="00CB4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3D60F" w14:textId="77777777" w:rsidR="00555209" w:rsidRDefault="00555209" w:rsidP="00CB457E">
      <w:r>
        <w:separator/>
      </w:r>
    </w:p>
  </w:footnote>
  <w:footnote w:type="continuationSeparator" w:id="0">
    <w:p w14:paraId="23081D89" w14:textId="77777777" w:rsidR="00555209" w:rsidRDefault="00555209" w:rsidP="00CB45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B2B26"/>
    <w:multiLevelType w:val="hybridMultilevel"/>
    <w:tmpl w:val="13060D1C"/>
    <w:lvl w:ilvl="0" w:tplc="486CAE52">
      <w:start w:val="1"/>
      <w:numFmt w:val="bullet"/>
      <w:lvlText w:val="•"/>
      <w:lvlJc w:val="left"/>
      <w:pPr>
        <w:ind w:left="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B84C85C">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164616">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88757A">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887A78">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1CCF42">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EC5094">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18BFFE">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5A479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84D57A6"/>
    <w:multiLevelType w:val="hybridMultilevel"/>
    <w:tmpl w:val="91B451DE"/>
    <w:lvl w:ilvl="0" w:tplc="2D405BBA">
      <w:start w:val="1"/>
      <w:numFmt w:val="bullet"/>
      <w:lvlText w:val="•"/>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626E18">
      <w:start w:val="1"/>
      <w:numFmt w:val="bullet"/>
      <w:lvlText w:val="o"/>
      <w:lvlJc w:val="left"/>
      <w:pPr>
        <w:ind w:left="15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34F27E">
      <w:start w:val="1"/>
      <w:numFmt w:val="bullet"/>
      <w:lvlText w:val="▪"/>
      <w:lvlJc w:val="left"/>
      <w:pPr>
        <w:ind w:left="2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B450DA">
      <w:start w:val="1"/>
      <w:numFmt w:val="bullet"/>
      <w:lvlText w:val="•"/>
      <w:lvlJc w:val="left"/>
      <w:pPr>
        <w:ind w:left="2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847D70">
      <w:start w:val="1"/>
      <w:numFmt w:val="bullet"/>
      <w:lvlText w:val="o"/>
      <w:lvlJc w:val="left"/>
      <w:pPr>
        <w:ind w:left="3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5E2898">
      <w:start w:val="1"/>
      <w:numFmt w:val="bullet"/>
      <w:lvlText w:val="▪"/>
      <w:lvlJc w:val="left"/>
      <w:pPr>
        <w:ind w:left="4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42F504">
      <w:start w:val="1"/>
      <w:numFmt w:val="bullet"/>
      <w:lvlText w:val="•"/>
      <w:lvlJc w:val="left"/>
      <w:pPr>
        <w:ind w:left="5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1C1C84">
      <w:start w:val="1"/>
      <w:numFmt w:val="bullet"/>
      <w:lvlText w:val="o"/>
      <w:lvlJc w:val="left"/>
      <w:pPr>
        <w:ind w:left="5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F4EEDC">
      <w:start w:val="1"/>
      <w:numFmt w:val="bullet"/>
      <w:lvlText w:val="▪"/>
      <w:lvlJc w:val="left"/>
      <w:pPr>
        <w:ind w:left="6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B5A68FD"/>
    <w:multiLevelType w:val="hybridMultilevel"/>
    <w:tmpl w:val="E96ECFB0"/>
    <w:lvl w:ilvl="0" w:tplc="417A57B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2EE3E0">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D83CF6">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E0AF30">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BEB8B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80ECC34">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E63496">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B8CE98">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9E47282">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B6554AD"/>
    <w:multiLevelType w:val="hybridMultilevel"/>
    <w:tmpl w:val="4F00077A"/>
    <w:lvl w:ilvl="0" w:tplc="0D00148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82A0C0">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92626C4">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8DC3FD4">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E2AA96">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BCF06E">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702862E">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1EDB1C">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9C7338">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56B6078"/>
    <w:multiLevelType w:val="hybridMultilevel"/>
    <w:tmpl w:val="2E0C0CDC"/>
    <w:lvl w:ilvl="0" w:tplc="ABB49F4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903424">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28A61BA">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8E8B7E4">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7EB3F8">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31A397E">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F44CD2E">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A6A876">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AE85E0">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9976C22"/>
    <w:multiLevelType w:val="hybridMultilevel"/>
    <w:tmpl w:val="749033AE"/>
    <w:lvl w:ilvl="0" w:tplc="AA784E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F710D5"/>
    <w:multiLevelType w:val="hybridMultilevel"/>
    <w:tmpl w:val="A8123E7C"/>
    <w:lvl w:ilvl="0" w:tplc="BF8616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213AF4"/>
    <w:multiLevelType w:val="hybridMultilevel"/>
    <w:tmpl w:val="AB069438"/>
    <w:lvl w:ilvl="0" w:tplc="B42E017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B4155C">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B0F128">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0D444">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00D76A">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625678">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A6F1B8">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6600B6">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109B4A">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6"/>
  </w:num>
  <w:num w:numId="3">
    <w:abstractNumId w:val="1"/>
  </w:num>
  <w:num w:numId="4">
    <w:abstractNumId w:val="7"/>
  </w:num>
  <w:num w:numId="5">
    <w:abstractNumId w:val="4"/>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PA 7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etz9trjpv9rper5za5vw0txz9exsavrarf&quot;&gt;05Loneliness_includedreferences_May2023&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7&lt;/item&gt;&lt;item&gt;28&lt;/item&gt;&lt;item&gt;29&lt;/item&gt;&lt;item&gt;30&lt;/item&gt;&lt;item&gt;31&lt;/item&gt;&lt;item&gt;32&lt;/item&gt;&lt;item&gt;33&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1&lt;/item&gt;&lt;item&gt;63&lt;/item&gt;&lt;item&gt;64&lt;/item&gt;&lt;item&gt;65&lt;/item&gt;&lt;item&gt;66&lt;/item&gt;&lt;item&gt;67&lt;/item&gt;&lt;item&gt;68&lt;/item&gt;&lt;item&gt;70&lt;/item&gt;&lt;item&gt;71&lt;/item&gt;&lt;item&gt;72&lt;/item&gt;&lt;item&gt;73&lt;/item&gt;&lt;item&gt;74&lt;/item&gt;&lt;item&gt;75&lt;/item&gt;&lt;item&gt;76&lt;/item&gt;&lt;item&gt;77&lt;/item&gt;&lt;item&gt;78&lt;/item&gt;&lt;item&gt;79&lt;/item&gt;&lt;item&gt;80&lt;/item&gt;&lt;item&gt;90&lt;/item&gt;&lt;item&gt;91&lt;/item&gt;&lt;item&gt;92&lt;/item&gt;&lt;item&gt;94&lt;/item&gt;&lt;item&gt;95&lt;/item&gt;&lt;item&gt;96&lt;/item&gt;&lt;item&gt;99&lt;/item&gt;&lt;item&gt;101&lt;/item&gt;&lt;item&gt;102&lt;/item&gt;&lt;item&gt;103&lt;/item&gt;&lt;item&gt;104&lt;/item&gt;&lt;item&gt;105&lt;/item&gt;&lt;item&gt;106&lt;/item&gt;&lt;item&gt;107&lt;/item&gt;&lt;item&gt;108&lt;/item&gt;&lt;item&gt;109&lt;/item&gt;&lt;item&gt;111&lt;/item&gt;&lt;item&gt;112&lt;/item&gt;&lt;item&gt;113&lt;/item&gt;&lt;/record-ids&gt;&lt;/item&gt;&lt;/Libraries&gt;"/>
  </w:docVars>
  <w:rsids>
    <w:rsidRoot w:val="005C5D1D"/>
    <w:rsid w:val="000618BB"/>
    <w:rsid w:val="00093739"/>
    <w:rsid w:val="001A455A"/>
    <w:rsid w:val="002105D6"/>
    <w:rsid w:val="00217D60"/>
    <w:rsid w:val="0028665E"/>
    <w:rsid w:val="003D7B7A"/>
    <w:rsid w:val="003E3724"/>
    <w:rsid w:val="00412EF3"/>
    <w:rsid w:val="004A225F"/>
    <w:rsid w:val="004D56E0"/>
    <w:rsid w:val="004F4CC2"/>
    <w:rsid w:val="0052190B"/>
    <w:rsid w:val="00524F0E"/>
    <w:rsid w:val="00555209"/>
    <w:rsid w:val="00580698"/>
    <w:rsid w:val="00581C63"/>
    <w:rsid w:val="005C5D1D"/>
    <w:rsid w:val="006168D8"/>
    <w:rsid w:val="006C1FD3"/>
    <w:rsid w:val="006D5F4E"/>
    <w:rsid w:val="0070302D"/>
    <w:rsid w:val="00723FFA"/>
    <w:rsid w:val="00742787"/>
    <w:rsid w:val="007A12B5"/>
    <w:rsid w:val="007B7C69"/>
    <w:rsid w:val="00817487"/>
    <w:rsid w:val="0086059B"/>
    <w:rsid w:val="00890B3E"/>
    <w:rsid w:val="008A4016"/>
    <w:rsid w:val="008D13D9"/>
    <w:rsid w:val="008E4CBC"/>
    <w:rsid w:val="009213AB"/>
    <w:rsid w:val="009B04FD"/>
    <w:rsid w:val="00A05B51"/>
    <w:rsid w:val="00A066FB"/>
    <w:rsid w:val="00AA0656"/>
    <w:rsid w:val="00B523AF"/>
    <w:rsid w:val="00BC0DBD"/>
    <w:rsid w:val="00CB457E"/>
    <w:rsid w:val="00CC4D5B"/>
    <w:rsid w:val="00CC60B8"/>
    <w:rsid w:val="00D1598F"/>
    <w:rsid w:val="00D51080"/>
    <w:rsid w:val="00DF381E"/>
    <w:rsid w:val="00E503CF"/>
    <w:rsid w:val="00E6719A"/>
    <w:rsid w:val="00ED1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1034"/>
  <w15:chartTrackingRefBased/>
  <w15:docId w15:val="{76C9D9D0-0CC5-4A49-AED3-BAACC16A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3AF"/>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3AF"/>
    <w:pPr>
      <w:ind w:left="720"/>
      <w:contextualSpacing/>
    </w:pPr>
  </w:style>
  <w:style w:type="table" w:styleId="TableGrid">
    <w:name w:val="Table Grid"/>
    <w:basedOn w:val="TableNormal"/>
    <w:uiPriority w:val="39"/>
    <w:rsid w:val="00B523AF"/>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6059B"/>
    <w:rPr>
      <w:rFonts w:eastAsiaTheme="minorEastAsia"/>
      <w:sz w:val="22"/>
      <w:szCs w:val="22"/>
      <w:lang w:eastAsia="en-GB"/>
      <w14:ligatures w14:val="none"/>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B457E"/>
    <w:rPr>
      <w:sz w:val="16"/>
      <w:szCs w:val="16"/>
    </w:rPr>
  </w:style>
  <w:style w:type="paragraph" w:styleId="Header">
    <w:name w:val="header"/>
    <w:basedOn w:val="Normal"/>
    <w:link w:val="HeaderChar"/>
    <w:uiPriority w:val="99"/>
    <w:unhideWhenUsed/>
    <w:rsid w:val="00CB457E"/>
    <w:pPr>
      <w:tabs>
        <w:tab w:val="center" w:pos="4513"/>
        <w:tab w:val="right" w:pos="9026"/>
      </w:tabs>
    </w:pPr>
  </w:style>
  <w:style w:type="character" w:customStyle="1" w:styleId="HeaderChar">
    <w:name w:val="Header Char"/>
    <w:basedOn w:val="DefaultParagraphFont"/>
    <w:link w:val="Header"/>
    <w:uiPriority w:val="99"/>
    <w:rsid w:val="00CB457E"/>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B457E"/>
    <w:pPr>
      <w:tabs>
        <w:tab w:val="center" w:pos="4513"/>
        <w:tab w:val="right" w:pos="9026"/>
      </w:tabs>
    </w:pPr>
  </w:style>
  <w:style w:type="character" w:customStyle="1" w:styleId="FooterChar">
    <w:name w:val="Footer Char"/>
    <w:basedOn w:val="DefaultParagraphFont"/>
    <w:link w:val="Footer"/>
    <w:uiPriority w:val="99"/>
    <w:rsid w:val="00CB457E"/>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8D13D9"/>
    <w:pPr>
      <w:spacing w:before="100" w:beforeAutospacing="1" w:after="100" w:afterAutospacing="1"/>
    </w:pPr>
  </w:style>
  <w:style w:type="paragraph" w:styleId="CommentText">
    <w:name w:val="annotation text"/>
    <w:basedOn w:val="Normal"/>
    <w:link w:val="CommentTextChar"/>
    <w:uiPriority w:val="99"/>
    <w:unhideWhenUsed/>
    <w:rsid w:val="002105D6"/>
    <w:rPr>
      <w:sz w:val="20"/>
      <w:szCs w:val="20"/>
    </w:rPr>
  </w:style>
  <w:style w:type="character" w:customStyle="1" w:styleId="CommentTextChar">
    <w:name w:val="Comment Text Char"/>
    <w:basedOn w:val="DefaultParagraphFont"/>
    <w:link w:val="CommentText"/>
    <w:uiPriority w:val="99"/>
    <w:rsid w:val="002105D6"/>
    <w:rPr>
      <w:rFonts w:ascii="Times New Roman" w:eastAsia="Times New Roman" w:hAnsi="Times New Roman" w:cs="Times New Roman"/>
      <w:kern w:val="0"/>
      <w:sz w:val="20"/>
      <w:szCs w:val="20"/>
      <w:lang w:eastAsia="en-GB"/>
      <w14:ligatures w14:val="none"/>
    </w:rPr>
  </w:style>
  <w:style w:type="paragraph" w:customStyle="1" w:styleId="EndNoteBibliographyTitle">
    <w:name w:val="EndNote Bibliography Title"/>
    <w:basedOn w:val="Normal"/>
    <w:link w:val="EndNoteBibliographyTitleChar"/>
    <w:rsid w:val="00093739"/>
    <w:pPr>
      <w:jc w:val="center"/>
    </w:pPr>
  </w:style>
  <w:style w:type="character" w:customStyle="1" w:styleId="EndNoteBibliographyTitleChar">
    <w:name w:val="EndNote Bibliography Title Char"/>
    <w:basedOn w:val="DefaultParagraphFont"/>
    <w:link w:val="EndNoteBibliographyTitle"/>
    <w:rsid w:val="00093739"/>
    <w:rPr>
      <w:rFonts w:ascii="Times New Roman" w:eastAsia="Times New Roman" w:hAnsi="Times New Roman" w:cs="Times New Roman"/>
      <w:kern w:val="0"/>
      <w:lang w:eastAsia="en-GB"/>
      <w14:ligatures w14:val="none"/>
    </w:rPr>
  </w:style>
  <w:style w:type="paragraph" w:customStyle="1" w:styleId="EndNoteBibliography">
    <w:name w:val="EndNote Bibliography"/>
    <w:basedOn w:val="Normal"/>
    <w:link w:val="EndNoteBibliographyChar"/>
    <w:rsid w:val="00093739"/>
  </w:style>
  <w:style w:type="character" w:customStyle="1" w:styleId="EndNoteBibliographyChar">
    <w:name w:val="EndNote Bibliography Char"/>
    <w:basedOn w:val="DefaultParagraphFont"/>
    <w:link w:val="EndNoteBibliography"/>
    <w:rsid w:val="00093739"/>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093739"/>
    <w:rPr>
      <w:color w:val="0563C1" w:themeColor="hyperlink"/>
      <w:u w:val="single"/>
    </w:rPr>
  </w:style>
  <w:style w:type="character" w:customStyle="1" w:styleId="UnresolvedMention">
    <w:name w:val="Unresolved Mention"/>
    <w:basedOn w:val="DefaultParagraphFont"/>
    <w:uiPriority w:val="99"/>
    <w:semiHidden/>
    <w:unhideWhenUsed/>
    <w:rsid w:val="00093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04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iritof2012.org.uk/wp-content/uploads/2021/12/2021-06-23-Carers-Music-Fund-evaluation-1.pdf" TargetMode="External"/><Relationship Id="rId13" Type="http://schemas.openxmlformats.org/officeDocument/2006/relationships/hyperlink" Target="https://www.housinglin.org.uk/_assets/Resources/Housing/OtherOrganisation/Homeshare-Evaluation-Report.pdf" TargetMode="External"/><Relationship Id="rId18" Type="http://schemas.openxmlformats.org/officeDocument/2006/relationships/hyperlink" Target="https://assets.publishing.service.gov.uk/government/uploads/system/uploads/attachment_data/file/1010470/BCF_Part_1_evaluation_report_May_2021.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mind.org.uk/media/7603/mind-social-prescribing-final-report-141220-whisc.pdf" TargetMode="External"/><Relationship Id="rId17" Type="http://schemas.openxmlformats.org/officeDocument/2006/relationships/hyperlink" Target="https://media.nesta.org.uk/documents/north_and_south_london_cares_-_final_report_csaif_evaluation_support.pdf" TargetMode="External"/><Relationship Id="rId2" Type="http://schemas.openxmlformats.org/officeDocument/2006/relationships/styles" Target="styles.xml"/><Relationship Id="rId16" Type="http://schemas.openxmlformats.org/officeDocument/2006/relationships/hyperlink" Target="https://www.bvsc.org/Handlers/Download.ashx?IDMF=baa5c034-f8eb-4dc2-a748-d22e439cbc0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forum.org.uk/wp-content/uploads/2022/07/Report-6_TTS-Local-evaluation_June-2022.pdf" TargetMode="External"/><Relationship Id="rId5" Type="http://schemas.openxmlformats.org/officeDocument/2006/relationships/footnotes" Target="footnotes.xml"/><Relationship Id="rId15" Type="http://schemas.openxmlformats.org/officeDocument/2006/relationships/hyperlink" Target="https://www.lse.ac.uk/cpec/assets/documents/Reconnections.pdf" TargetMode="External"/><Relationship Id="rId10" Type="http://schemas.openxmlformats.org/officeDocument/2006/relationships/hyperlink" Target="https://uwe-repository.worktribe.com/output/7490342" TargetMode="External"/><Relationship Id="rId19" Type="http://schemas.openxmlformats.org/officeDocument/2006/relationships/hyperlink" Target="https://www.mentalhealth.org.uk/sites/default/files/2022-09/standing-together-evaluation-WEB.pdf" TargetMode="External"/><Relationship Id="rId4" Type="http://schemas.openxmlformats.org/officeDocument/2006/relationships/webSettings" Target="webSettings.xml"/><Relationship Id="rId9" Type="http://schemas.openxmlformats.org/officeDocument/2006/relationships/hyperlink" Target="https://liverpool5g.org.uk/wp-content/uploads/2020/04/Liverpool-5G-Testbed-Benefits-Outcomes-Impact.pdf" TargetMode="External"/><Relationship Id="rId14" Type="http://schemas.openxmlformats.org/officeDocument/2006/relationships/hyperlink" Target="https://assets.publishing.service.gov.uk/government/uploads/system/uploads/attachment_data/file/1010052/Covid-19_Loneliness_Fund_Evaluation__accessible_version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10356</Words>
  <Characters>59032</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Tiley</dc:creator>
  <cp:keywords/>
  <dc:description/>
  <cp:lastModifiedBy>Geetha S P Iyyanar</cp:lastModifiedBy>
  <cp:revision>5</cp:revision>
  <dcterms:created xsi:type="dcterms:W3CDTF">2025-01-02T13:36:00Z</dcterms:created>
  <dcterms:modified xsi:type="dcterms:W3CDTF">2025-02-16T19:52:00Z</dcterms:modified>
</cp:coreProperties>
</file>