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E9DD1" w14:textId="7A28A7E5" w:rsidR="00C16667" w:rsidRPr="00EE5310" w:rsidRDefault="00F652D2" w:rsidP="001A24B9">
      <w:pPr>
        <w:spacing w:line="240" w:lineRule="auto"/>
        <w:rPr>
          <w:rFonts w:ascii="Times New Roman" w:hAnsi="Times New Roman" w:cs="Times New Roman"/>
          <w:b/>
          <w:bCs/>
          <w:sz w:val="24"/>
          <w:szCs w:val="24"/>
        </w:rPr>
      </w:pPr>
      <w:r w:rsidRPr="00EE5310">
        <w:rPr>
          <w:rFonts w:ascii="Times New Roman" w:hAnsi="Times New Roman" w:cs="Times New Roman"/>
          <w:b/>
          <w:bCs/>
          <w:sz w:val="24"/>
          <w:szCs w:val="24"/>
        </w:rPr>
        <w:t>P</w:t>
      </w:r>
      <w:r w:rsidR="001A24B9" w:rsidRPr="00EE5310">
        <w:rPr>
          <w:rFonts w:ascii="Times New Roman" w:hAnsi="Times New Roman" w:cs="Times New Roman"/>
          <w:b/>
          <w:bCs/>
          <w:sz w:val="24"/>
          <w:szCs w:val="24"/>
        </w:rPr>
        <w:t>art</w:t>
      </w:r>
      <w:r w:rsidRPr="00EE5310">
        <w:rPr>
          <w:rFonts w:ascii="Times New Roman" w:hAnsi="Times New Roman" w:cs="Times New Roman"/>
          <w:b/>
          <w:bCs/>
          <w:sz w:val="24"/>
          <w:szCs w:val="24"/>
        </w:rPr>
        <w:t xml:space="preserve"> I</w:t>
      </w:r>
    </w:p>
    <w:p w14:paraId="52B59875" w14:textId="77777777" w:rsidR="001A24B9" w:rsidRPr="00EE5310" w:rsidRDefault="001A24B9" w:rsidP="006C42F2">
      <w:pPr>
        <w:spacing w:line="240" w:lineRule="auto"/>
        <w:jc w:val="center"/>
        <w:rPr>
          <w:rFonts w:ascii="Times New Roman" w:hAnsi="Times New Roman" w:cs="Times New Roman"/>
          <w:b/>
          <w:bCs/>
          <w:sz w:val="24"/>
          <w:szCs w:val="24"/>
        </w:rPr>
      </w:pPr>
    </w:p>
    <w:p w14:paraId="464931FE" w14:textId="1BA698FF" w:rsidR="00F652D2" w:rsidRPr="00EE5310" w:rsidRDefault="006C42F2" w:rsidP="006C42F2">
      <w:pPr>
        <w:spacing w:line="240" w:lineRule="auto"/>
        <w:rPr>
          <w:rFonts w:ascii="Times New Roman" w:hAnsi="Times New Roman" w:cs="Times New Roman"/>
          <w:i/>
          <w:iCs/>
          <w:sz w:val="24"/>
          <w:szCs w:val="24"/>
        </w:rPr>
      </w:pPr>
      <w:r w:rsidRPr="00EE5310">
        <w:rPr>
          <w:rFonts w:ascii="Times New Roman" w:hAnsi="Times New Roman" w:cs="Times New Roman"/>
          <w:i/>
          <w:iCs/>
          <w:sz w:val="24"/>
          <w:szCs w:val="24"/>
        </w:rPr>
        <w:t xml:space="preserve">Summary of </w:t>
      </w:r>
      <w:r w:rsidR="000D1E30" w:rsidRPr="00EE5310">
        <w:rPr>
          <w:rFonts w:ascii="Times New Roman" w:hAnsi="Times New Roman" w:cs="Times New Roman"/>
          <w:i/>
          <w:iCs/>
          <w:sz w:val="24"/>
          <w:szCs w:val="24"/>
        </w:rPr>
        <w:t>Title IX Guidance/Regulation</w:t>
      </w:r>
      <w:r w:rsidRPr="00EE5310">
        <w:rPr>
          <w:rFonts w:ascii="Times New Roman" w:hAnsi="Times New Roman" w:cs="Times New Roman"/>
          <w:i/>
          <w:iCs/>
          <w:sz w:val="24"/>
          <w:szCs w:val="24"/>
        </w:rPr>
        <w:t>, 2011-2020</w:t>
      </w:r>
    </w:p>
    <w:p w14:paraId="64C2180F" w14:textId="77777777" w:rsidR="001A24B9" w:rsidRPr="00EE5310" w:rsidRDefault="001A24B9" w:rsidP="001A24B9">
      <w:pPr>
        <w:spacing w:line="240" w:lineRule="auto"/>
        <w:rPr>
          <w:rFonts w:ascii="Times New Roman" w:hAnsi="Times New Roman" w:cs="Times New Roman"/>
          <w:b/>
          <w:bCs/>
          <w:sz w:val="24"/>
          <w:szCs w:val="24"/>
        </w:rPr>
      </w:pPr>
    </w:p>
    <w:p w14:paraId="784955C6" w14:textId="760CE62B" w:rsidR="008354D6" w:rsidRPr="00EE5310" w:rsidRDefault="008354D6" w:rsidP="001A24B9">
      <w:pPr>
        <w:spacing w:line="240" w:lineRule="auto"/>
        <w:rPr>
          <w:rFonts w:ascii="Times New Roman" w:hAnsi="Times New Roman" w:cs="Times New Roman"/>
          <w:sz w:val="24"/>
          <w:szCs w:val="24"/>
          <w:vertAlign w:val="superscript"/>
        </w:rPr>
      </w:pPr>
      <w:r w:rsidRPr="00EE5310">
        <w:rPr>
          <w:rFonts w:ascii="Times New Roman" w:hAnsi="Times New Roman" w:cs="Times New Roman"/>
          <w:sz w:val="24"/>
          <w:szCs w:val="24"/>
        </w:rPr>
        <w:t>On April 4, 2011, the U.S. Department of Education (DOE) Office for Civil Rights (OCR) issued the 2011 Dear Colleague Letter (DCL) addressing Title IX enforcement</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{"citationID":"OMsD4Hwi","properties":{"formattedCitation":"(1)","plainCitation":"(1)","noteIndex":0},"citationItems":[{"id":80,"uris":["http://zotero.org/users/9479928/items/SEP3IBHZ"],"itemData":{"id":80,"type":"article-journal","container-title":"University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w:t>
      </w:r>
      <w:r w:rsidRPr="00EE5310">
        <w:rPr>
          <w:rStyle w:val="EndnoteReference"/>
          <w:rFonts w:ascii="Times New Roman" w:eastAsia="Times New Roman" w:hAnsi="Times New Roman" w:cs="Times New Roman"/>
          <w:sz w:val="24"/>
          <w:szCs w:val="24"/>
        </w:rPr>
        <w:t xml:space="preserve"> </w:t>
      </w:r>
      <w:r w:rsidRPr="00EE5310">
        <w:rPr>
          <w:rFonts w:ascii="Times New Roman" w:hAnsi="Times New Roman" w:cs="Times New Roman"/>
          <w:sz w:val="24"/>
          <w:szCs w:val="24"/>
        </w:rPr>
        <w:t>and synthesiz</w:t>
      </w:r>
      <w:r w:rsidR="00D9676A" w:rsidRPr="00EE5310">
        <w:rPr>
          <w:rFonts w:ascii="Times New Roman" w:hAnsi="Times New Roman" w:cs="Times New Roman"/>
          <w:sz w:val="24"/>
          <w:szCs w:val="24"/>
        </w:rPr>
        <w:t>ing</w:t>
      </w:r>
      <w:r w:rsidRPr="00EE5310">
        <w:rPr>
          <w:rFonts w:ascii="Times New Roman" w:hAnsi="Times New Roman" w:cs="Times New Roman"/>
          <w:sz w:val="24"/>
          <w:szCs w:val="24"/>
        </w:rPr>
        <w:t xml:space="preserve"> previous guidance into a single, comprehensive document</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{"citationID":"q44WMFru","properties":{"formattedCitation":"(1)","plainCitation":"(1)","noteIndex":0},"citationItems":[{"id":80,"uris":["http://zotero.org/users/9479928/items/SEP3IBHZ"],"itemData":{"id":80,"type":"article-journal","container-title":"University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w:t>
      </w:r>
      <w:r w:rsidRPr="00EE5310">
        <w:rPr>
          <w:rStyle w:val="EndnoteReference"/>
          <w:rFonts w:ascii="Times New Roman" w:eastAsia="Times New Roman" w:hAnsi="Times New Roman" w:cs="Times New Roman"/>
          <w:sz w:val="24"/>
          <w:szCs w:val="24"/>
        </w:rPr>
        <w:t xml:space="preserve"> </w:t>
      </w:r>
      <w:r w:rsidRPr="00EE5310">
        <w:rPr>
          <w:rFonts w:ascii="Times New Roman" w:hAnsi="Times New Roman" w:cs="Times New Roman"/>
          <w:sz w:val="24"/>
          <w:szCs w:val="24"/>
        </w:rPr>
        <w:t>The letter discussed Title IX requirements for responding to student-on-student sexual harassment, named college and universi</w:t>
      </w:r>
      <w:r w:rsidR="00D9676A" w:rsidRPr="00EE5310">
        <w:rPr>
          <w:rFonts w:ascii="Times New Roman" w:hAnsi="Times New Roman" w:cs="Times New Roman"/>
          <w:sz w:val="24"/>
          <w:szCs w:val="24"/>
        </w:rPr>
        <w:t>ty</w:t>
      </w:r>
      <w:r w:rsidRPr="00EE5310">
        <w:rPr>
          <w:rFonts w:ascii="Times New Roman" w:hAnsi="Times New Roman" w:cs="Times New Roman"/>
          <w:sz w:val="24"/>
          <w:szCs w:val="24"/>
        </w:rPr>
        <w:t xml:space="preserve"> responsibilit</w:t>
      </w:r>
      <w:r w:rsidR="00D9676A" w:rsidRPr="00EE5310">
        <w:rPr>
          <w:rFonts w:ascii="Times New Roman" w:hAnsi="Times New Roman" w:cs="Times New Roman"/>
          <w:sz w:val="24"/>
          <w:szCs w:val="24"/>
        </w:rPr>
        <w:t xml:space="preserve">ies in taking </w:t>
      </w:r>
      <w:r w:rsidRPr="00EE5310">
        <w:rPr>
          <w:rFonts w:ascii="Times New Roman" w:hAnsi="Times New Roman" w:cs="Times New Roman"/>
          <w:sz w:val="24"/>
          <w:szCs w:val="24"/>
        </w:rPr>
        <w:t>immediate and effective</w:t>
      </w:r>
      <w:r w:rsidRPr="00EE5310">
        <w:rPr>
          <w:rFonts w:ascii="Times New Roman" w:hAnsi="Times New Roman" w:cs="Times New Roman"/>
          <w:sz w:val="24"/>
          <w:szCs w:val="24"/>
          <w:vertAlign w:val="superscript"/>
        </w:rPr>
        <w:t xml:space="preserve"> </w:t>
      </w:r>
      <w:r w:rsidRPr="00EE5310">
        <w:rPr>
          <w:rFonts w:ascii="Times New Roman" w:hAnsi="Times New Roman" w:cs="Times New Roman"/>
          <w:sz w:val="24"/>
          <w:szCs w:val="24"/>
        </w:rPr>
        <w:t>steps to end sexual harassment and sexual violence on college campuses</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{"citationID":"62LKSN4f","properties":{"formattedCitation":"(1)","plainCitation":"(1)","noteIndex":0},"citationItems":[{"id":80,"uris":["http://zotero.org/users/9479928/items/SEP3IBHZ"],"itemData":{"id":80,"type":"article-journal","container-title":"University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w:t>
      </w:r>
      <w:r w:rsidRPr="00EE5310">
        <w:rPr>
          <w:rStyle w:val="EndnoteReference"/>
          <w:rFonts w:ascii="Times New Roman" w:eastAsia="Times New Roman" w:hAnsi="Times New Roman" w:cs="Times New Roman"/>
          <w:sz w:val="24"/>
          <w:szCs w:val="24"/>
        </w:rPr>
        <w:t xml:space="preserve"> </w:t>
      </w:r>
      <w:r w:rsidRPr="00EE5310">
        <w:rPr>
          <w:rFonts w:ascii="Times New Roman" w:hAnsi="Times New Roman" w:cs="Times New Roman"/>
          <w:sz w:val="24"/>
          <w:szCs w:val="24"/>
        </w:rPr>
        <w:t>and provided examples of remedies that schools may use to prevent sexual harassment, and address its effects</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{"citationID":"xaKLPaSa","properties":{"formattedCitation":"(1)","plainCitation":"(1)","noteIndex":0},"citationItems":[{"id":80,"uris":["http://zotero.org/users/9479928/items/SEP3IBHZ"],"itemData":{"id":80,"type":"article-journal","container-title":"University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006A5C8B" w:rsidRPr="00EE5310">
        <w:rPr>
          <w:rFonts w:ascii="Times New Roman" w:hAnsi="Times New Roman" w:cs="Times New Roman"/>
          <w:sz w:val="24"/>
          <w:szCs w:val="24"/>
        </w:rPr>
        <w:t xml:space="preserve">. </w:t>
      </w:r>
      <w:r w:rsidRPr="00EE5310">
        <w:rPr>
          <w:rFonts w:ascii="Times New Roman" w:hAnsi="Times New Roman" w:cs="Times New Roman"/>
          <w:sz w:val="24"/>
          <w:szCs w:val="24"/>
        </w:rPr>
        <w:t xml:space="preserve">The letter also established the requirement for </w:t>
      </w:r>
      <w:r w:rsidR="00D9676A" w:rsidRPr="00EE5310">
        <w:rPr>
          <w:rFonts w:ascii="Times New Roman" w:hAnsi="Times New Roman" w:cs="Times New Roman"/>
          <w:sz w:val="24"/>
          <w:szCs w:val="24"/>
        </w:rPr>
        <w:t xml:space="preserve">universities and colleges </w:t>
      </w:r>
      <w:r w:rsidRPr="00EE5310">
        <w:rPr>
          <w:rFonts w:ascii="Times New Roman" w:hAnsi="Times New Roman" w:cs="Times New Roman"/>
          <w:sz w:val="24"/>
          <w:szCs w:val="24"/>
        </w:rPr>
        <w:t>to use the preponderance of the evidence as the standard of proof, requiring a showing that an event is more likely to have occurred than not, when determining whether sexual misconduct had occurred</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{"citationID":"IHOlETJJ","properties":{"formattedCitation":"(1)","plainCitation":"(1)","noteIndex":0},"citationItems":[{"id":80,"uris":["http://zotero.org/users/9479928/items/SEP3IBHZ"],"itemData":{"id":80,"type":"article-journal","container-title":"University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 which was significant given previous OCR guidance had not designated a standard evidentiary standard</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{"citationID":"DlI2IDom","properties":{"formattedCitation":"(1)","plainCitation":"(1)","noteIndex":0},"citationItems":[{"id":80,"uris":["http://zotero.org/users/9479928/items/SEP3IBHZ"],"itemData":{"id":80,"type":"article-journal","container-title":"University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w:t>
      </w:r>
    </w:p>
    <w:p w14:paraId="7E1ECD46" w14:textId="77777777" w:rsidR="001A24B9" w:rsidRPr="00EE5310" w:rsidRDefault="001A24B9" w:rsidP="001A24B9">
      <w:pPr>
        <w:spacing w:line="240" w:lineRule="auto"/>
        <w:rPr>
          <w:rFonts w:ascii="Times New Roman" w:hAnsi="Times New Roman" w:cs="Times New Roman"/>
          <w:sz w:val="24"/>
          <w:szCs w:val="24"/>
        </w:rPr>
      </w:pPr>
    </w:p>
    <w:p w14:paraId="306C869D" w14:textId="6893887B" w:rsidR="008354D6" w:rsidRPr="00EE5310" w:rsidRDefault="008354D6" w:rsidP="001A24B9">
      <w:pPr>
        <w:spacing w:line="240" w:lineRule="auto"/>
        <w:rPr>
          <w:rFonts w:ascii="Times New Roman" w:hAnsi="Times New Roman" w:cs="Times New Roman"/>
          <w:sz w:val="24"/>
          <w:szCs w:val="24"/>
        </w:rPr>
      </w:pPr>
      <w:r w:rsidRPr="00EE5310">
        <w:rPr>
          <w:rFonts w:ascii="Times New Roman" w:hAnsi="Times New Roman" w:cs="Times New Roman"/>
          <w:sz w:val="24"/>
          <w:szCs w:val="24"/>
        </w:rPr>
        <w:t xml:space="preserve">Responding to the need for additional guidance, the OCR issued the 2014 Questions &amp; Answers (Q &amp; A) document to provide more </w:t>
      </w:r>
      <w:r w:rsidR="00D9676A" w:rsidRPr="00EE5310">
        <w:rPr>
          <w:rFonts w:ascii="Times New Roman" w:hAnsi="Times New Roman" w:cs="Times New Roman"/>
          <w:sz w:val="24"/>
          <w:szCs w:val="24"/>
        </w:rPr>
        <w:t xml:space="preserve">information </w:t>
      </w:r>
      <w:r w:rsidRPr="00EE5310">
        <w:rPr>
          <w:rFonts w:ascii="Times New Roman" w:hAnsi="Times New Roman" w:cs="Times New Roman"/>
          <w:sz w:val="24"/>
          <w:szCs w:val="24"/>
        </w:rPr>
        <w:t>regarding educational institution</w:t>
      </w:r>
      <w:r w:rsidR="00D9676A" w:rsidRPr="00EE5310">
        <w:rPr>
          <w:rFonts w:ascii="Times New Roman" w:hAnsi="Times New Roman" w:cs="Times New Roman"/>
          <w:sz w:val="24"/>
          <w:szCs w:val="24"/>
        </w:rPr>
        <w:t>al</w:t>
      </w:r>
      <w:r w:rsidRPr="00EE5310">
        <w:rPr>
          <w:rFonts w:ascii="Times New Roman" w:hAnsi="Times New Roman" w:cs="Times New Roman"/>
          <w:sz w:val="24"/>
          <w:szCs w:val="24"/>
        </w:rPr>
        <w:t xml:space="preserve"> responsibilities under Title IX. The guidance outlined three key procedural requirements: (1) disseminate a notice of nondiscrimination</w:t>
      </w:r>
      <w:r w:rsidR="00D9676A" w:rsidRPr="00EE5310">
        <w:rPr>
          <w:rFonts w:ascii="Times New Roman" w:hAnsi="Times New Roman" w:cs="Times New Roman"/>
          <w:sz w:val="24"/>
          <w:szCs w:val="24"/>
        </w:rPr>
        <w:t>,</w:t>
      </w:r>
      <w:r w:rsidRPr="00EE5310">
        <w:rPr>
          <w:rFonts w:ascii="Times New Roman" w:hAnsi="Times New Roman" w:cs="Times New Roman"/>
          <w:sz w:val="24"/>
          <w:szCs w:val="24"/>
        </w:rPr>
        <w:t xml:space="preserve"> (2) establish the essential duties </w:t>
      </w:r>
      <w:r w:rsidR="00D9676A" w:rsidRPr="00EE5310">
        <w:rPr>
          <w:rFonts w:ascii="Times New Roman" w:hAnsi="Times New Roman" w:cs="Times New Roman"/>
          <w:sz w:val="24"/>
          <w:szCs w:val="24"/>
        </w:rPr>
        <w:t xml:space="preserve">of </w:t>
      </w:r>
      <w:r w:rsidRPr="00EE5310">
        <w:rPr>
          <w:rFonts w:ascii="Times New Roman" w:hAnsi="Times New Roman" w:cs="Times New Roman"/>
          <w:sz w:val="24"/>
          <w:szCs w:val="24"/>
        </w:rPr>
        <w:t>a Title IX coordinator</w:t>
      </w:r>
      <w:r w:rsidR="00D9676A" w:rsidRPr="00EE5310">
        <w:rPr>
          <w:rFonts w:ascii="Times New Roman" w:hAnsi="Times New Roman" w:cs="Times New Roman"/>
          <w:sz w:val="24"/>
          <w:szCs w:val="24"/>
        </w:rPr>
        <w:t>,</w:t>
      </w:r>
      <w:r w:rsidRPr="00EE5310">
        <w:rPr>
          <w:rFonts w:ascii="Times New Roman" w:hAnsi="Times New Roman" w:cs="Times New Roman"/>
          <w:sz w:val="24"/>
          <w:szCs w:val="24"/>
        </w:rPr>
        <w:t xml:space="preserve"> and (3) mandate the adoption and publication of grievance procedures </w:t>
      </w:r>
      <w:r w:rsidR="00D9676A" w:rsidRPr="00EE5310">
        <w:rPr>
          <w:rFonts w:ascii="Times New Roman" w:hAnsi="Times New Roman" w:cs="Times New Roman"/>
          <w:sz w:val="24"/>
          <w:szCs w:val="24"/>
        </w:rPr>
        <w:t xml:space="preserve">that </w:t>
      </w:r>
      <w:r w:rsidRPr="00EE5310">
        <w:rPr>
          <w:rFonts w:ascii="Times New Roman" w:hAnsi="Times New Roman" w:cs="Times New Roman"/>
          <w:sz w:val="24"/>
          <w:szCs w:val="24"/>
        </w:rPr>
        <w:t>provid</w:t>
      </w:r>
      <w:r w:rsidR="00D9676A" w:rsidRPr="00EE5310">
        <w:rPr>
          <w:rFonts w:ascii="Times New Roman" w:hAnsi="Times New Roman" w:cs="Times New Roman"/>
          <w:sz w:val="24"/>
          <w:szCs w:val="24"/>
        </w:rPr>
        <w:t>e</w:t>
      </w:r>
      <w:r w:rsidRPr="00EE5310">
        <w:rPr>
          <w:rFonts w:ascii="Times New Roman" w:hAnsi="Times New Roman" w:cs="Times New Roman"/>
          <w:sz w:val="24"/>
          <w:szCs w:val="24"/>
        </w:rPr>
        <w:t xml:space="preserve"> for the prompt and equitable resolution of student sexual misconduct complaints</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{"citationID":"cNtJsgNC","properties":{"formattedCitation":"(1)","plainCitation":"(1)","noteIndex":0},"citationItems":[{"id":80,"uris":["http://zotero.org/users/9479928/items/SEP3IBHZ"],"itemData":{"id":80,"type":"article-journal","container-title":"University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w:t>
      </w:r>
      <w:r w:rsidR="006A5C8B" w:rsidRPr="00EE5310">
        <w:rPr>
          <w:rStyle w:val="EndnoteReference"/>
          <w:rFonts w:ascii="Times New Roman" w:eastAsia="Times New Roman" w:hAnsi="Times New Roman" w:cs="Times New Roman"/>
          <w:sz w:val="24"/>
          <w:szCs w:val="24"/>
        </w:rPr>
        <w:t xml:space="preserve"> </w:t>
      </w:r>
      <w:r w:rsidRPr="00EE5310">
        <w:rPr>
          <w:rFonts w:ascii="Times New Roman" w:hAnsi="Times New Roman" w:cs="Times New Roman"/>
          <w:sz w:val="24"/>
          <w:szCs w:val="24"/>
        </w:rPr>
        <w:t xml:space="preserve">With respect to the latter, the OCR specified that grievance procedures include: (1) an adequate, reliable, and impartial investigation of complaints, with opportunities for the respondent and complainant </w:t>
      </w:r>
      <w:r w:rsidR="00D9676A" w:rsidRPr="00EE5310">
        <w:rPr>
          <w:rFonts w:ascii="Times New Roman" w:hAnsi="Times New Roman" w:cs="Times New Roman"/>
          <w:sz w:val="24"/>
          <w:szCs w:val="24"/>
        </w:rPr>
        <w:t xml:space="preserve">to </w:t>
      </w:r>
      <w:r w:rsidRPr="00EE5310">
        <w:rPr>
          <w:rFonts w:ascii="Times New Roman" w:hAnsi="Times New Roman" w:cs="Times New Roman"/>
          <w:sz w:val="24"/>
          <w:szCs w:val="24"/>
        </w:rPr>
        <w:t>present evidence</w:t>
      </w:r>
      <w:r w:rsidR="00D9676A" w:rsidRPr="00EE5310">
        <w:rPr>
          <w:rFonts w:ascii="Times New Roman" w:hAnsi="Times New Roman" w:cs="Times New Roman"/>
          <w:sz w:val="24"/>
          <w:szCs w:val="24"/>
        </w:rPr>
        <w:t xml:space="preserve"> and </w:t>
      </w:r>
      <w:r w:rsidRPr="00EE5310">
        <w:rPr>
          <w:rFonts w:ascii="Times New Roman" w:hAnsi="Times New Roman" w:cs="Times New Roman"/>
          <w:sz w:val="24"/>
          <w:szCs w:val="24"/>
        </w:rPr>
        <w:t>witnesses</w:t>
      </w:r>
      <w:r w:rsidR="00D9676A" w:rsidRPr="00EE5310">
        <w:rPr>
          <w:rFonts w:ascii="Times New Roman" w:hAnsi="Times New Roman" w:cs="Times New Roman"/>
          <w:sz w:val="24"/>
          <w:szCs w:val="24"/>
        </w:rPr>
        <w:t>,</w:t>
      </w:r>
      <w:r w:rsidRPr="00EE5310">
        <w:rPr>
          <w:rFonts w:ascii="Times New Roman" w:hAnsi="Times New Roman" w:cs="Times New Roman"/>
          <w:sz w:val="24"/>
          <w:szCs w:val="24"/>
        </w:rPr>
        <w:t xml:space="preserve"> (2) specified, reasonably prompt time frames for major stages in the complaint process</w:t>
      </w:r>
      <w:r w:rsidR="00D9676A" w:rsidRPr="00EE5310">
        <w:rPr>
          <w:rFonts w:ascii="Times New Roman" w:hAnsi="Times New Roman" w:cs="Times New Roman"/>
          <w:sz w:val="24"/>
          <w:szCs w:val="24"/>
        </w:rPr>
        <w:t>,</w:t>
      </w:r>
      <w:r w:rsidRPr="00EE5310">
        <w:rPr>
          <w:rFonts w:ascii="Times New Roman" w:hAnsi="Times New Roman" w:cs="Times New Roman"/>
          <w:sz w:val="24"/>
          <w:szCs w:val="24"/>
        </w:rPr>
        <w:t xml:space="preserve"> (3) written notice </w:t>
      </w:r>
      <w:r w:rsidR="00D9676A" w:rsidRPr="00EE5310">
        <w:rPr>
          <w:rFonts w:ascii="Times New Roman" w:hAnsi="Times New Roman" w:cs="Times New Roman"/>
          <w:sz w:val="24"/>
          <w:szCs w:val="24"/>
        </w:rPr>
        <w:t xml:space="preserve">of </w:t>
      </w:r>
      <w:r w:rsidRPr="00EE5310">
        <w:rPr>
          <w:rFonts w:ascii="Times New Roman" w:hAnsi="Times New Roman" w:cs="Times New Roman"/>
          <w:sz w:val="24"/>
          <w:szCs w:val="24"/>
        </w:rPr>
        <w:t>the complaint outcome to the complainant and respondent</w:t>
      </w:r>
      <w:r w:rsidR="00D9676A" w:rsidRPr="00EE5310">
        <w:rPr>
          <w:rFonts w:ascii="Times New Roman" w:hAnsi="Times New Roman" w:cs="Times New Roman"/>
          <w:sz w:val="24"/>
          <w:szCs w:val="24"/>
        </w:rPr>
        <w:t>,</w:t>
      </w:r>
      <w:r w:rsidRPr="00EE5310">
        <w:rPr>
          <w:rFonts w:ascii="Times New Roman" w:hAnsi="Times New Roman" w:cs="Times New Roman"/>
          <w:sz w:val="24"/>
          <w:szCs w:val="24"/>
        </w:rPr>
        <w:t xml:space="preserve"> and (4) assurance that the school would take preventive steps to avoid the recurrence of any sexual misconduct and remedy any discriminatory effects on involved parties if appropriate</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{"citationID":"wkqNiGL9","properties":{"formattedCitation":"(1)","plainCitation":"(1)","noteIndex":0},"citationItems":[{"id":80,"uris":["http://zotero.org/users/9479928/items/SEP3IBHZ"],"itemData":{"id":80,"type":"article-journal","container-title":"University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w:t>
      </w:r>
      <w:r w:rsidRPr="00EE5310">
        <w:rPr>
          <w:rStyle w:val="EndnoteReference"/>
          <w:rFonts w:ascii="Times New Roman" w:eastAsia="Times New Roman" w:hAnsi="Times New Roman" w:cs="Times New Roman"/>
          <w:sz w:val="24"/>
          <w:szCs w:val="24"/>
        </w:rPr>
        <w:t xml:space="preserve"> </w:t>
      </w:r>
      <w:r w:rsidRPr="00EE5310">
        <w:rPr>
          <w:rFonts w:ascii="Times New Roman" w:hAnsi="Times New Roman" w:cs="Times New Roman"/>
          <w:sz w:val="24"/>
          <w:szCs w:val="24"/>
        </w:rPr>
        <w:t>The aim of this guidance was to establish a more equitable adjudication process</w:t>
      </w:r>
      <w:r w:rsidR="00D9676A" w:rsidRPr="00EE5310">
        <w:rPr>
          <w:rFonts w:ascii="Times New Roman" w:hAnsi="Times New Roman" w:cs="Times New Roman"/>
          <w:sz w:val="24"/>
          <w:szCs w:val="24"/>
        </w:rPr>
        <w:t xml:space="preserve"> that</w:t>
      </w:r>
      <w:r w:rsidRPr="00EE5310">
        <w:rPr>
          <w:rFonts w:ascii="Times New Roman" w:hAnsi="Times New Roman" w:cs="Times New Roman"/>
          <w:sz w:val="24"/>
          <w:szCs w:val="24"/>
        </w:rPr>
        <w:t xml:space="preserve"> </w:t>
      </w:r>
      <w:r w:rsidR="00D9676A" w:rsidRPr="00EE5310">
        <w:rPr>
          <w:rFonts w:ascii="Times New Roman" w:hAnsi="Times New Roman" w:cs="Times New Roman"/>
          <w:sz w:val="24"/>
          <w:szCs w:val="24"/>
        </w:rPr>
        <w:t xml:space="preserve">did not require live hearings </w:t>
      </w:r>
      <w:r w:rsidRPr="00EE5310">
        <w:rPr>
          <w:rFonts w:ascii="Times New Roman" w:hAnsi="Times New Roman" w:cs="Times New Roman"/>
          <w:sz w:val="24"/>
          <w:szCs w:val="24"/>
        </w:rPr>
        <w:t>while ensuring that survivors of sexual misconduct could report and navigate the adjudication process without enduring additional trauma. In lieu of cross-examination, the DOE recommended indirect questioning, in which parties submit questions to a trained hearing panel to determine the relevance of and ask these questions</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{"citationID":"NLHQRUcj","properties":{"formattedCitation":"(2)","plainCitation":"(2)","noteIndex":0},"citationItems":[{"id":218,"uris":["http://zotero.org/users/9479928/items/TVP4S252"],"itemData":{"id":218,"type":"article-journal","container-title":"Analyses of Social Issues and Public Policy","issue":"1","page":"584-612","title":"The Selective Shield of Due Process: Analysis of the U.S. Department of Education’s 2020 Title IX Regulations on Live Cross-Examination","volume":"20","author":[{"family":"Holland","given":"Kathryn"},{"family":"Bedera","given":"Nicole"},{"family":"Webermann","given":"Aliya"}],"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(2)</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 This guidance also permitted single</w:t>
      </w:r>
      <w:r w:rsidR="00D9676A" w:rsidRPr="00EE5310">
        <w:rPr>
          <w:rFonts w:ascii="Times New Roman" w:hAnsi="Times New Roman" w:cs="Times New Roman"/>
          <w:sz w:val="24"/>
          <w:szCs w:val="24"/>
        </w:rPr>
        <w:t xml:space="preserve"> i</w:t>
      </w:r>
      <w:r w:rsidRPr="00EE5310">
        <w:rPr>
          <w:rFonts w:ascii="Times New Roman" w:hAnsi="Times New Roman" w:cs="Times New Roman"/>
          <w:sz w:val="24"/>
          <w:szCs w:val="24"/>
        </w:rPr>
        <w:t>nvestigator models in which complainants and respondents would entirely forego a hearing and adjudication would be completed using written exchanges</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{"citationID":"vivhkJHk","properties":{"formattedCitation":"(1)","plainCitation":"(1)","noteIndex":0},"citationItems":[{"id":80,"uris":["http://zotero.org/users/9479928/items/SEP3IBHZ"],"itemData":{"id":80,"type":"article-journal","container-title":"University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w:t>
      </w:r>
    </w:p>
    <w:p w14:paraId="266A2F19" w14:textId="77777777" w:rsidR="001A24B9" w:rsidRPr="00EE5310" w:rsidRDefault="001A24B9" w:rsidP="001A24B9">
      <w:pPr>
        <w:spacing w:line="240" w:lineRule="auto"/>
        <w:rPr>
          <w:rFonts w:ascii="Times New Roman" w:hAnsi="Times New Roman" w:cs="Times New Roman"/>
          <w:sz w:val="24"/>
          <w:szCs w:val="24"/>
        </w:rPr>
      </w:pPr>
    </w:p>
    <w:p w14:paraId="28DD1259" w14:textId="3B6AD753" w:rsidR="001A24B9" w:rsidRPr="00EE5310" w:rsidRDefault="008354D6" w:rsidP="006C42F2">
      <w:pPr>
        <w:spacing w:line="240" w:lineRule="auto"/>
        <w:rPr>
          <w:rFonts w:ascii="Times New Roman" w:eastAsia="Times New Roman" w:hAnsi="Times New Roman" w:cs="Times New Roman"/>
          <w:sz w:val="24"/>
          <w:szCs w:val="24"/>
        </w:rPr>
      </w:pPr>
      <w:r w:rsidRPr="00EE5310">
        <w:rPr>
          <w:rFonts w:ascii="Times New Roman" w:hAnsi="Times New Roman" w:cs="Times New Roman"/>
          <w:sz w:val="24"/>
          <w:szCs w:val="24"/>
        </w:rPr>
        <w:t xml:space="preserve">The OCR then issued the 2017 Dear Colleague Letter to explicitly rescind the 2011 DCL and the 2014 Q &amp; A guidance, and the 2017 Questions &amp; Answers document to provide interim guidance on September 22, 2017. The 2017 DCL </w:t>
      </w:r>
      <w:r w:rsidR="005B3B26" w:rsidRPr="00EE5310">
        <w:rPr>
          <w:rFonts w:ascii="Times New Roman" w:hAnsi="Times New Roman" w:cs="Times New Roman"/>
          <w:sz w:val="24"/>
          <w:szCs w:val="24"/>
        </w:rPr>
        <w:t>stated that the</w:t>
      </w:r>
      <w:r w:rsidRPr="00EE5310">
        <w:rPr>
          <w:rFonts w:ascii="Times New Roman" w:hAnsi="Times New Roman" w:cs="Times New Roman"/>
          <w:sz w:val="24"/>
          <w:szCs w:val="24"/>
        </w:rPr>
        <w:t xml:space="preserve"> procedures for resolving allegations of sexual misconduct formed under previous guidance lacked “the most basic elements of fairness and due process, are overwhelmingly stacked against the accused, and are in no way required by Title IX law or regulation.”</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{"citationID":"92tKovMH","properties":{"formattedCitation":"(1)","plainCitation":"(1)","noteIndex":0},"citationItems":[{"id":80,"uris":["http://zotero.org/users/9479928/items/SEP3IBHZ"],"itemData":{"id":80,"type":"article-journal","container-title":"University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 xml:space="preserve"> Interim guidance required institutions to apply an evidence standard or a clear and convincing evidence standard to reach findings, make any opportunities</w:t>
      </w:r>
      <w:r w:rsidR="005B3B26" w:rsidRPr="00EE5310">
        <w:rPr>
          <w:rFonts w:ascii="Times New Roman" w:hAnsi="Times New Roman" w:cs="Times New Roman"/>
          <w:sz w:val="24"/>
          <w:szCs w:val="24"/>
        </w:rPr>
        <w:t xml:space="preserve"> and </w:t>
      </w:r>
      <w:r w:rsidRPr="00EE5310">
        <w:rPr>
          <w:rFonts w:ascii="Times New Roman" w:hAnsi="Times New Roman" w:cs="Times New Roman"/>
          <w:sz w:val="24"/>
          <w:szCs w:val="24"/>
        </w:rPr>
        <w:t>rights available to one party in an investigation equally available to the other party</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{"citationID":"QR9qcHaz","properties":{"formattedCitation":"(1)","plainCitation":"(1)","noteIndex":0},"citationItems":[{"id":80,"uris":["http://zotero.org/users/9479928/items/SEP3IBHZ"],"itemData":{"id":80,"type":"article-journal","container-title":"University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Pr="00EE5310">
        <w:rPr>
          <w:rFonts w:ascii="Times New Roman" w:hAnsi="Times New Roman" w:cs="Times New Roman"/>
          <w:sz w:val="24"/>
          <w:szCs w:val="24"/>
        </w:rPr>
        <w:t>,</w:t>
      </w:r>
      <w:r w:rsidRPr="00EE5310">
        <w:rPr>
          <w:rFonts w:ascii="Times New Roman" w:hAnsi="Times New Roman" w:cs="Times New Roman"/>
          <w:sz w:val="24"/>
          <w:szCs w:val="24"/>
          <w:vertAlign w:val="superscript"/>
        </w:rPr>
        <w:t xml:space="preserve"> </w:t>
      </w:r>
      <w:r w:rsidRPr="00EE5310">
        <w:rPr>
          <w:rFonts w:ascii="Times New Roman" w:hAnsi="Times New Roman" w:cs="Times New Roman"/>
          <w:sz w:val="24"/>
          <w:szCs w:val="24"/>
        </w:rPr>
        <w:t xml:space="preserve">and issue written notice </w:t>
      </w:r>
      <w:r w:rsidR="005B3B26" w:rsidRPr="00EE5310">
        <w:rPr>
          <w:rFonts w:ascii="Times New Roman" w:hAnsi="Times New Roman" w:cs="Times New Roman"/>
          <w:sz w:val="24"/>
          <w:szCs w:val="24"/>
        </w:rPr>
        <w:t xml:space="preserve">to </w:t>
      </w:r>
      <w:r w:rsidRPr="00EE5310">
        <w:rPr>
          <w:rFonts w:ascii="Times New Roman" w:hAnsi="Times New Roman" w:cs="Times New Roman"/>
          <w:sz w:val="24"/>
          <w:szCs w:val="24"/>
        </w:rPr>
        <w:t xml:space="preserve">the responding party of the allegations constituting a </w:t>
      </w:r>
      <w:r w:rsidRPr="00EE5310">
        <w:rPr>
          <w:rFonts w:ascii="Times New Roman" w:hAnsi="Times New Roman" w:cs="Times New Roman"/>
          <w:sz w:val="24"/>
          <w:szCs w:val="24"/>
        </w:rPr>
        <w:lastRenderedPageBreak/>
        <w:t xml:space="preserve">potential violation of </w:t>
      </w:r>
      <w:r w:rsidR="005B3B26" w:rsidRPr="00EE5310">
        <w:rPr>
          <w:rFonts w:ascii="Times New Roman" w:hAnsi="Times New Roman" w:cs="Times New Roman"/>
          <w:sz w:val="24"/>
          <w:szCs w:val="24"/>
        </w:rPr>
        <w:t>the prevailing institutional</w:t>
      </w:r>
      <w:r w:rsidRPr="00EE5310">
        <w:rPr>
          <w:rFonts w:ascii="Times New Roman" w:hAnsi="Times New Roman" w:cs="Times New Roman"/>
          <w:sz w:val="24"/>
          <w:szCs w:val="24"/>
        </w:rPr>
        <w:t xml:space="preserve"> sexual misconduct policy, including sufficient details and with sufficient time to prepare a response before any initial interview. Despite the dissemination of interim guidance, higher education institutions found themselves in a state of limbo as to how to formulate their Title IX policies and procedures due in part to the rescission of previous guidance documents and due to imminent new proposed regulations by the Department of Education (DOE)</w:t>
      </w:r>
      <w:r w:rsidR="006A5C8B" w:rsidRPr="00EE5310">
        <w:rPr>
          <w:rFonts w:ascii="Times New Roman" w:hAnsi="Times New Roman" w:cs="Times New Roman"/>
          <w:sz w:val="24"/>
          <w:szCs w:val="24"/>
        </w:rPr>
        <w:t xml:space="preserve"> </w:t>
      </w:r>
      <w:r w:rsidR="006A5C8B" w:rsidRPr="00EE5310">
        <w:rPr>
          <w:rFonts w:ascii="Times New Roman" w:hAnsi="Times New Roman" w:cs="Times New Roman"/>
          <w:sz w:val="24"/>
          <w:szCs w:val="24"/>
        </w:rPr>
        <w:fldChar w:fldCharType="begin"/>
      </w:r>
      <w:r w:rsidR="006E4710" w:rsidRPr="00EE5310">
        <w:rPr>
          <w:rFonts w:ascii="Times New Roman" w:hAnsi="Times New Roman" w:cs="Times New Roman"/>
          <w:sz w:val="24"/>
          <w:szCs w:val="24"/>
        </w:rPr>
        <w:instrText xml:space="preserve"> ADDIN ZOTERO_ITEM CSL_CITATION {"citationID":"zFKkRIfZ","properties":{"formattedCitation":"(1)","plainCitation":"(1)","noteIndex":0},"citationItems":[{"id":80,"uris":["http://zotero.org/users/9479928/items/SEP3IBHZ"],"itemData":{"id":80,"type":"article-journal","container-title":"University of Louisville Law Review","issue":"1","language":"en","page":"125-168","source":"Zotero","title":"RE-TOOLING TITLE IX: HOW ADOPTING INTERMEDIARY CROSS-EXAMINATION IN TITLE IX SEXUAL MISCONDUCT ADJUDICATION CAN PROVIDE FAIRNESS AND DUE PROCESS FOR ALL","volume":"59","author":[{"family":"Wiseman","given":"Seth"}],"issued":{"date-parts":[["2020"]]}}}],"schema":"https://github.com/citation-style-language/schema/raw/master/csl-citation.json"} </w:instrText>
      </w:r>
      <w:r w:rsidR="006A5C8B" w:rsidRPr="00EE5310">
        <w:rPr>
          <w:rFonts w:ascii="Times New Roman" w:hAnsi="Times New Roman" w:cs="Times New Roman"/>
          <w:sz w:val="24"/>
          <w:szCs w:val="24"/>
        </w:rPr>
        <w:fldChar w:fldCharType="separate"/>
      </w:r>
      <w:r w:rsidR="006E4710" w:rsidRPr="00EE5310">
        <w:rPr>
          <w:rFonts w:ascii="Times New Roman" w:hAnsi="Times New Roman" w:cs="Times New Roman"/>
          <w:noProof/>
          <w:sz w:val="24"/>
          <w:szCs w:val="24"/>
        </w:rPr>
        <w:t>(1)</w:t>
      </w:r>
      <w:r w:rsidR="006A5C8B" w:rsidRPr="00EE5310">
        <w:rPr>
          <w:rFonts w:ascii="Times New Roman" w:hAnsi="Times New Roman" w:cs="Times New Roman"/>
          <w:sz w:val="24"/>
          <w:szCs w:val="24"/>
        </w:rPr>
        <w:fldChar w:fldCharType="end"/>
      </w:r>
      <w:r w:rsidR="006A5C8B" w:rsidRPr="00EE5310">
        <w:rPr>
          <w:rStyle w:val="EndnoteReference"/>
          <w:rFonts w:ascii="Times New Roman" w:eastAsia="Times New Roman" w:hAnsi="Times New Roman" w:cs="Times New Roman"/>
          <w:sz w:val="24"/>
          <w:szCs w:val="24"/>
          <w:vertAlign w:val="baseline"/>
        </w:rPr>
        <w:t>.</w:t>
      </w:r>
    </w:p>
    <w:p w14:paraId="0C7DAABC" w14:textId="77777777" w:rsidR="001A24B9" w:rsidRPr="00EE5310" w:rsidRDefault="001A24B9" w:rsidP="006C42F2">
      <w:pPr>
        <w:spacing w:line="240" w:lineRule="auto"/>
        <w:rPr>
          <w:rFonts w:ascii="Times New Roman" w:eastAsia="Times New Roman" w:hAnsi="Times New Roman" w:cs="Times New Roman"/>
          <w:sz w:val="24"/>
          <w:szCs w:val="24"/>
        </w:rPr>
      </w:pPr>
    </w:p>
    <w:p w14:paraId="5A7ED17C" w14:textId="77777777" w:rsidR="00BE755D" w:rsidRPr="00EE5310" w:rsidRDefault="00BE755D" w:rsidP="00BE755D">
      <w:pPr>
        <w:jc w:val="both"/>
        <w:rPr>
          <w:rFonts w:ascii="Times New Roman" w:hAnsi="Times New Roman" w:cs="Times New Roman"/>
          <w:i/>
          <w:iCs/>
        </w:rPr>
        <w:sectPr w:rsidR="00BE755D" w:rsidRPr="00EE5310" w:rsidSect="00EE531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00BEE761" w14:textId="1BBA709C" w:rsidR="00BE755D" w:rsidRPr="00EE5310" w:rsidRDefault="00BE755D" w:rsidP="00BE755D">
      <w:pPr>
        <w:jc w:val="both"/>
        <w:rPr>
          <w:rFonts w:ascii="Times New Roman" w:hAnsi="Times New Roman" w:cs="Times New Roman"/>
        </w:rPr>
      </w:pPr>
      <w:r w:rsidRPr="00EE5310">
        <w:rPr>
          <w:rFonts w:ascii="Times New Roman" w:hAnsi="Times New Roman" w:cs="Times New Roman"/>
          <w:b/>
          <w:bCs/>
        </w:rPr>
        <w:lastRenderedPageBreak/>
        <w:t>Figure S1.</w:t>
      </w:r>
      <w:r w:rsidRPr="00EE5310">
        <w:rPr>
          <w:rFonts w:ascii="Times New Roman" w:hAnsi="Times New Roman" w:cs="Times New Roman"/>
        </w:rPr>
        <w:t xml:space="preserve"> Flow Chart of Title IX Office Data Acquisition </w:t>
      </w:r>
    </w:p>
    <w:p w14:paraId="36BF2445" w14:textId="77777777" w:rsidR="00BE755D" w:rsidRPr="00EE5310" w:rsidRDefault="00BE755D" w:rsidP="00BE755D">
      <w:pPr>
        <w:jc w:val="both"/>
      </w:pPr>
      <w:r w:rsidRPr="00EE5310">
        <w:rPr>
          <w:noProof/>
          <w:lang w:val="en-IN" w:eastAsia="en-IN"/>
        </w:rPr>
        <w:drawing>
          <wp:inline distT="0" distB="0" distL="0" distR="0" wp14:anchorId="5DDF3A99" wp14:editId="57D7F4C5">
            <wp:extent cx="5916532" cy="3231483"/>
            <wp:effectExtent l="0" t="0" r="1905"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61436" cy="3256009"/>
                    </a:xfrm>
                    <a:prstGeom prst="rect">
                      <a:avLst/>
                    </a:prstGeom>
                  </pic:spPr>
                </pic:pic>
              </a:graphicData>
            </a:graphic>
          </wp:inline>
        </w:drawing>
      </w:r>
    </w:p>
    <w:p w14:paraId="00D183EE" w14:textId="77777777" w:rsidR="00BE755D" w:rsidRPr="00EE5310" w:rsidRDefault="00BE755D" w:rsidP="006C42F2">
      <w:pPr>
        <w:spacing w:line="240" w:lineRule="auto"/>
        <w:rPr>
          <w:rFonts w:ascii="Times New Roman" w:eastAsia="Times New Roman" w:hAnsi="Times New Roman" w:cs="Times New Roman"/>
          <w:i/>
          <w:sz w:val="24"/>
          <w:szCs w:val="24"/>
        </w:rPr>
      </w:pPr>
    </w:p>
    <w:p w14:paraId="4E376075" w14:textId="77777777" w:rsidR="00BE755D" w:rsidRPr="00EE5310" w:rsidRDefault="00BE755D" w:rsidP="006C42F2">
      <w:pPr>
        <w:spacing w:line="240" w:lineRule="auto"/>
        <w:rPr>
          <w:rFonts w:ascii="Times New Roman" w:eastAsia="Times New Roman" w:hAnsi="Times New Roman" w:cs="Times New Roman"/>
          <w:i/>
          <w:sz w:val="24"/>
          <w:szCs w:val="24"/>
        </w:rPr>
        <w:sectPr w:rsidR="00BE755D" w:rsidRPr="00EE5310" w:rsidSect="00EE5310">
          <w:pgSz w:w="12240" w:h="15840"/>
          <w:pgMar w:top="1440" w:right="1440" w:bottom="1440" w:left="1440" w:header="720" w:footer="720" w:gutter="0"/>
          <w:cols w:space="720"/>
          <w:docGrid w:linePitch="360"/>
        </w:sectPr>
      </w:pPr>
    </w:p>
    <w:p w14:paraId="55825822" w14:textId="679601D7" w:rsidR="00F652D2" w:rsidRPr="00EE5310" w:rsidRDefault="00F652D2" w:rsidP="006C42F2">
      <w:pPr>
        <w:spacing w:line="240" w:lineRule="auto"/>
        <w:rPr>
          <w:rFonts w:ascii="Times New Roman" w:eastAsia="Times New Roman" w:hAnsi="Times New Roman" w:cs="Times New Roman"/>
          <w:i/>
          <w:sz w:val="24"/>
          <w:szCs w:val="24"/>
        </w:rPr>
      </w:pPr>
      <w:r w:rsidRPr="00EE5310">
        <w:rPr>
          <w:rFonts w:ascii="Times New Roman" w:eastAsia="Times New Roman" w:hAnsi="Times New Roman" w:cs="Times New Roman"/>
          <w:i/>
          <w:sz w:val="24"/>
          <w:szCs w:val="24"/>
        </w:rPr>
        <w:lastRenderedPageBreak/>
        <w:t xml:space="preserve">Imputed Outcome Data </w:t>
      </w:r>
    </w:p>
    <w:p w14:paraId="4E181EC8" w14:textId="77777777" w:rsidR="001A24B9" w:rsidRPr="00EE5310" w:rsidRDefault="001A24B9" w:rsidP="001A24B9">
      <w:pPr>
        <w:spacing w:line="240" w:lineRule="auto"/>
        <w:rPr>
          <w:rFonts w:ascii="Times New Roman" w:eastAsia="Times New Roman" w:hAnsi="Times New Roman" w:cs="Times New Roman"/>
          <w:sz w:val="24"/>
          <w:szCs w:val="24"/>
        </w:rPr>
      </w:pPr>
    </w:p>
    <w:p w14:paraId="047C02FF" w14:textId="591D2D35" w:rsidR="00F652D2" w:rsidRPr="00EE5310" w:rsidRDefault="00F652D2" w:rsidP="001A24B9">
      <w:pPr>
        <w:spacing w:line="240" w:lineRule="auto"/>
        <w:rPr>
          <w:rFonts w:ascii="Times New Roman" w:eastAsia="Times New Roman" w:hAnsi="Times New Roman" w:cs="Times New Roman"/>
          <w:sz w:val="24"/>
          <w:szCs w:val="24"/>
        </w:rPr>
      </w:pPr>
      <w:r w:rsidRPr="00EE5310">
        <w:rPr>
          <w:rFonts w:ascii="Times New Roman" w:eastAsia="Times New Roman" w:hAnsi="Times New Roman" w:cs="Times New Roman"/>
          <w:b/>
          <w:i/>
          <w:iCs/>
          <w:sz w:val="24"/>
          <w:szCs w:val="24"/>
        </w:rPr>
        <w:t>Publicly Released Data</w:t>
      </w:r>
      <w:r w:rsidR="001A24B9" w:rsidRPr="00EE5310">
        <w:rPr>
          <w:rFonts w:ascii="Times New Roman" w:eastAsia="Times New Roman" w:hAnsi="Times New Roman" w:cs="Times New Roman"/>
          <w:b/>
          <w:i/>
          <w:iCs/>
          <w:sz w:val="24"/>
          <w:szCs w:val="24"/>
        </w:rPr>
        <w:t>:</w:t>
      </w:r>
      <w:r w:rsidRPr="00EE5310">
        <w:rPr>
          <w:rFonts w:ascii="Times New Roman" w:eastAsia="Times New Roman" w:hAnsi="Times New Roman" w:cs="Times New Roman"/>
          <w:b/>
          <w:sz w:val="24"/>
          <w:szCs w:val="24"/>
        </w:rPr>
        <w:t xml:space="preserve"> </w:t>
      </w:r>
      <w:r w:rsidRPr="00EE5310">
        <w:rPr>
          <w:rFonts w:ascii="Times New Roman" w:eastAsia="Times New Roman" w:hAnsi="Times New Roman" w:cs="Times New Roman"/>
          <w:sz w:val="24"/>
          <w:szCs w:val="24"/>
        </w:rPr>
        <w:t xml:space="preserve">Of the 29 institutions that released some Title IX office data publicly, 12 made available data from the full 2014-2020 period. Of the 17 institutions that did not have the full 2014-2020 period available, seven shared public Title IX office data spanning back to 2015 (requiring 1 imputation each), 4 institutions spanned back to 2016 (requiring 2 imputations each), 2 institutions spanned back to 2017 (requiring 3 imputations each), and 1 institution spanned back to 2018 (requiring 4 imputations), 3 institutions spanned back to 2019 (requiring 5 imputations each). </w:t>
      </w:r>
    </w:p>
    <w:p w14:paraId="248BA0AB" w14:textId="77777777" w:rsidR="00F652D2" w:rsidRPr="00EE5310" w:rsidRDefault="00F652D2" w:rsidP="006C42F2">
      <w:pPr>
        <w:spacing w:line="240" w:lineRule="auto"/>
        <w:ind w:firstLine="720"/>
        <w:rPr>
          <w:rFonts w:ascii="Times New Roman" w:eastAsia="Times New Roman" w:hAnsi="Times New Roman" w:cs="Times New Roman"/>
          <w:sz w:val="24"/>
          <w:szCs w:val="24"/>
        </w:rPr>
      </w:pPr>
      <w:r w:rsidRPr="00EE5310">
        <w:rPr>
          <w:rFonts w:ascii="Times New Roman" w:eastAsia="Times New Roman" w:hAnsi="Times New Roman" w:cs="Times New Roman"/>
          <w:sz w:val="24"/>
          <w:szCs w:val="24"/>
        </w:rPr>
        <w:t xml:space="preserve">Of the 203 institution-year observations within the public data sample, 40 (19.7%) were imputed using STATA’s Poisson imputation function: </w:t>
      </w:r>
    </w:p>
    <w:p w14:paraId="1B9F8429" w14:textId="77777777" w:rsidR="00F652D2" w:rsidRPr="00EE5310" w:rsidRDefault="00F652D2" w:rsidP="006C42F2">
      <w:pPr>
        <w:spacing w:line="240" w:lineRule="auto"/>
        <w:ind w:left="720"/>
        <w:rPr>
          <w:rFonts w:ascii="Times New Roman" w:eastAsia="Times New Roman" w:hAnsi="Times New Roman" w:cs="Times New Roman"/>
          <w:i/>
          <w:iCs/>
        </w:rPr>
      </w:pPr>
      <w:r w:rsidRPr="00EE5310">
        <w:rPr>
          <w:rFonts w:ascii="Times New Roman" w:eastAsia="Times New Roman" w:hAnsi="Times New Roman" w:cs="Times New Roman"/>
          <w:i/>
          <w:iCs/>
        </w:rPr>
        <w:t xml:space="preserve">mi set </w:t>
      </w:r>
      <w:proofErr w:type="spellStart"/>
      <w:r w:rsidRPr="00EE5310">
        <w:rPr>
          <w:rFonts w:ascii="Times New Roman" w:eastAsia="Times New Roman" w:hAnsi="Times New Roman" w:cs="Times New Roman"/>
          <w:i/>
          <w:iCs/>
        </w:rPr>
        <w:t>mlong</w:t>
      </w:r>
      <w:proofErr w:type="spellEnd"/>
    </w:p>
    <w:p w14:paraId="519DC9AC" w14:textId="77777777" w:rsidR="00F652D2" w:rsidRPr="00EE5310" w:rsidRDefault="00F652D2" w:rsidP="006C42F2">
      <w:pPr>
        <w:spacing w:line="240" w:lineRule="auto"/>
        <w:ind w:left="720"/>
        <w:rPr>
          <w:rFonts w:ascii="Times New Roman" w:eastAsia="Times New Roman" w:hAnsi="Times New Roman" w:cs="Times New Roman"/>
          <w:i/>
          <w:iCs/>
        </w:rPr>
      </w:pPr>
      <w:r w:rsidRPr="00EE5310">
        <w:rPr>
          <w:rFonts w:ascii="Times New Roman" w:eastAsia="Times New Roman" w:hAnsi="Times New Roman" w:cs="Times New Roman"/>
          <w:i/>
          <w:iCs/>
        </w:rPr>
        <w:t>gen IMP = 0</w:t>
      </w:r>
    </w:p>
    <w:p w14:paraId="2D4EAED7" w14:textId="77777777" w:rsidR="00F652D2" w:rsidRPr="00EE5310" w:rsidRDefault="00F652D2" w:rsidP="006C42F2">
      <w:pPr>
        <w:spacing w:line="240" w:lineRule="auto"/>
        <w:ind w:left="720"/>
        <w:rPr>
          <w:rFonts w:ascii="Times New Roman" w:eastAsia="Times New Roman" w:hAnsi="Times New Roman" w:cs="Times New Roman"/>
          <w:i/>
          <w:iCs/>
        </w:rPr>
      </w:pPr>
      <w:r w:rsidRPr="00EE5310">
        <w:rPr>
          <w:rFonts w:ascii="Times New Roman" w:eastAsia="Times New Roman" w:hAnsi="Times New Roman" w:cs="Times New Roman"/>
          <w:i/>
          <w:iCs/>
        </w:rPr>
        <w:t xml:space="preserve">replace IMP = 1 if reports  == . </w:t>
      </w:r>
    </w:p>
    <w:p w14:paraId="3E964266" w14:textId="77777777" w:rsidR="00F652D2" w:rsidRPr="00EE5310" w:rsidRDefault="00F652D2" w:rsidP="006C42F2">
      <w:pPr>
        <w:spacing w:line="240" w:lineRule="auto"/>
        <w:ind w:left="720"/>
        <w:rPr>
          <w:rFonts w:ascii="Times New Roman" w:eastAsia="Times New Roman" w:hAnsi="Times New Roman" w:cs="Times New Roman"/>
          <w:i/>
          <w:iCs/>
        </w:rPr>
      </w:pPr>
      <w:r w:rsidRPr="00EE5310">
        <w:rPr>
          <w:rFonts w:ascii="Times New Roman" w:eastAsia="Times New Roman" w:hAnsi="Times New Roman" w:cs="Times New Roman"/>
          <w:i/>
          <w:iCs/>
        </w:rPr>
        <w:t>mi register imputed reports</w:t>
      </w:r>
    </w:p>
    <w:p w14:paraId="257E2A28" w14:textId="77777777" w:rsidR="00F652D2" w:rsidRPr="00EE5310" w:rsidRDefault="00F652D2" w:rsidP="006C42F2">
      <w:pPr>
        <w:spacing w:line="240" w:lineRule="auto"/>
        <w:ind w:left="720"/>
        <w:rPr>
          <w:rFonts w:ascii="Times New Roman" w:eastAsia="Times New Roman" w:hAnsi="Times New Roman" w:cs="Times New Roman"/>
          <w:i/>
          <w:iCs/>
        </w:rPr>
      </w:pPr>
      <w:proofErr w:type="gramStart"/>
      <w:r w:rsidRPr="00EE5310">
        <w:rPr>
          <w:rFonts w:ascii="Times New Roman" w:eastAsia="Times New Roman" w:hAnsi="Times New Roman" w:cs="Times New Roman"/>
          <w:i/>
          <w:iCs/>
        </w:rPr>
        <w:t>mi</w:t>
      </w:r>
      <w:proofErr w:type="gramEnd"/>
      <w:r w:rsidRPr="00EE5310">
        <w:rPr>
          <w:rFonts w:ascii="Times New Roman" w:eastAsia="Times New Roman" w:hAnsi="Times New Roman" w:cs="Times New Roman"/>
          <w:i/>
          <w:iCs/>
        </w:rPr>
        <w:t xml:space="preserve"> impute </w:t>
      </w:r>
      <w:proofErr w:type="spellStart"/>
      <w:r w:rsidRPr="00EE5310">
        <w:rPr>
          <w:rFonts w:ascii="Times New Roman" w:eastAsia="Times New Roman" w:hAnsi="Times New Roman" w:cs="Times New Roman"/>
          <w:i/>
          <w:iCs/>
        </w:rPr>
        <w:t>poisson</w:t>
      </w:r>
      <w:proofErr w:type="spellEnd"/>
      <w:r w:rsidRPr="00EE5310">
        <w:rPr>
          <w:rFonts w:ascii="Times New Roman" w:eastAsia="Times New Roman" w:hAnsi="Times New Roman" w:cs="Times New Roman"/>
          <w:i/>
          <w:iCs/>
        </w:rPr>
        <w:t xml:space="preserve"> reports, add(1) by(</w:t>
      </w:r>
      <w:proofErr w:type="spellStart"/>
      <w:r w:rsidRPr="00EE5310">
        <w:rPr>
          <w:rFonts w:ascii="Times New Roman" w:eastAsia="Times New Roman" w:hAnsi="Times New Roman" w:cs="Times New Roman"/>
          <w:i/>
          <w:iCs/>
        </w:rPr>
        <w:t>unitid</w:t>
      </w:r>
      <w:proofErr w:type="spellEnd"/>
      <w:r w:rsidRPr="00EE5310">
        <w:rPr>
          <w:rFonts w:ascii="Times New Roman" w:eastAsia="Times New Roman" w:hAnsi="Times New Roman" w:cs="Times New Roman"/>
          <w:i/>
          <w:iCs/>
        </w:rPr>
        <w:t xml:space="preserve">) </w:t>
      </w:r>
      <w:proofErr w:type="spellStart"/>
      <w:r w:rsidRPr="00EE5310">
        <w:rPr>
          <w:rFonts w:ascii="Times New Roman" w:eastAsia="Times New Roman" w:hAnsi="Times New Roman" w:cs="Times New Roman"/>
          <w:i/>
          <w:iCs/>
        </w:rPr>
        <w:t>rseed</w:t>
      </w:r>
      <w:proofErr w:type="spellEnd"/>
      <w:r w:rsidRPr="00EE5310">
        <w:rPr>
          <w:rFonts w:ascii="Times New Roman" w:eastAsia="Times New Roman" w:hAnsi="Times New Roman" w:cs="Times New Roman"/>
          <w:i/>
          <w:iCs/>
        </w:rPr>
        <w:t>(20) force.</w:t>
      </w:r>
    </w:p>
    <w:p w14:paraId="742417F8" w14:textId="77777777" w:rsidR="00F652D2" w:rsidRPr="00EE5310" w:rsidRDefault="00F652D2" w:rsidP="006C42F2">
      <w:pPr>
        <w:spacing w:line="240" w:lineRule="auto"/>
        <w:rPr>
          <w:rFonts w:ascii="Times New Roman" w:eastAsiaTheme="minorHAnsi" w:hAnsi="Times New Roman" w:cs="Times New Roman"/>
          <w:b/>
          <w:bCs/>
          <w:sz w:val="24"/>
          <w:szCs w:val="24"/>
        </w:rPr>
      </w:pPr>
    </w:p>
    <w:p w14:paraId="27B88453" w14:textId="3EC76265" w:rsidR="00F652D2" w:rsidRPr="00EE5310" w:rsidRDefault="00F652D2" w:rsidP="006C42F2">
      <w:pPr>
        <w:spacing w:line="240" w:lineRule="auto"/>
        <w:rPr>
          <w:rFonts w:ascii="Times New Roman" w:eastAsia="Times New Roman" w:hAnsi="Times New Roman" w:cs="Times New Roman"/>
          <w:sz w:val="24"/>
          <w:szCs w:val="24"/>
        </w:rPr>
      </w:pPr>
      <w:r w:rsidRPr="00EE5310">
        <w:rPr>
          <w:rFonts w:ascii="Times New Roman" w:eastAsia="Times New Roman" w:hAnsi="Times New Roman" w:cs="Times New Roman"/>
          <w:b/>
          <w:bCs/>
          <w:sz w:val="24"/>
          <w:szCs w:val="24"/>
        </w:rPr>
        <w:t xml:space="preserve">Figure </w:t>
      </w:r>
      <w:r w:rsidR="001D2A56" w:rsidRPr="00EE5310">
        <w:rPr>
          <w:rFonts w:ascii="Times New Roman" w:eastAsia="Times New Roman" w:hAnsi="Times New Roman" w:cs="Times New Roman"/>
          <w:b/>
          <w:bCs/>
          <w:sz w:val="24"/>
          <w:szCs w:val="24"/>
        </w:rPr>
        <w:t>S2</w:t>
      </w:r>
      <w:r w:rsidRPr="00EE5310">
        <w:rPr>
          <w:rFonts w:ascii="Times New Roman" w:eastAsia="Times New Roman" w:hAnsi="Times New Roman" w:cs="Times New Roman"/>
          <w:sz w:val="24"/>
          <w:szCs w:val="24"/>
        </w:rPr>
        <w:t xml:space="preserve"> displays the proportion of data points imputed within each year included in the analysis.</w:t>
      </w:r>
    </w:p>
    <w:p w14:paraId="6CB927F6" w14:textId="77777777" w:rsidR="00F652D2" w:rsidRPr="00EE5310" w:rsidRDefault="00F652D2" w:rsidP="006C42F2">
      <w:pPr>
        <w:spacing w:line="240" w:lineRule="auto"/>
        <w:rPr>
          <w:rFonts w:ascii="Times New Roman" w:eastAsiaTheme="minorHAnsi" w:hAnsi="Times New Roman" w:cs="Times New Roman"/>
          <w:sz w:val="24"/>
          <w:szCs w:val="24"/>
        </w:rPr>
      </w:pPr>
    </w:p>
    <w:p w14:paraId="163EF0F8" w14:textId="5891F85A" w:rsidR="00F652D2" w:rsidRPr="00EE5310" w:rsidRDefault="00F652D2" w:rsidP="006C42F2">
      <w:pPr>
        <w:spacing w:line="240" w:lineRule="auto"/>
        <w:rPr>
          <w:rFonts w:ascii="Times New Roman" w:hAnsi="Times New Roman" w:cs="Times New Roman"/>
          <w:sz w:val="24"/>
          <w:szCs w:val="24"/>
        </w:rPr>
      </w:pPr>
      <w:r w:rsidRPr="00EE5310">
        <w:rPr>
          <w:rFonts w:ascii="Times New Roman" w:hAnsi="Times New Roman" w:cs="Times New Roman"/>
          <w:b/>
          <w:bCs/>
          <w:sz w:val="24"/>
          <w:szCs w:val="24"/>
        </w:rPr>
        <w:t xml:space="preserve">Figure </w:t>
      </w:r>
      <w:r w:rsidR="001D2A56" w:rsidRPr="00EE5310">
        <w:rPr>
          <w:rFonts w:ascii="Times New Roman" w:hAnsi="Times New Roman" w:cs="Times New Roman"/>
          <w:b/>
          <w:bCs/>
          <w:sz w:val="24"/>
          <w:szCs w:val="24"/>
        </w:rPr>
        <w:t>S2</w:t>
      </w:r>
      <w:r w:rsidRPr="00EE5310">
        <w:rPr>
          <w:rFonts w:ascii="Times New Roman" w:hAnsi="Times New Roman" w:cs="Times New Roman"/>
          <w:b/>
          <w:bCs/>
          <w:sz w:val="24"/>
          <w:szCs w:val="24"/>
        </w:rPr>
        <w:t>.</w:t>
      </w:r>
      <w:r w:rsidRPr="00EE5310">
        <w:rPr>
          <w:rFonts w:ascii="Times New Roman" w:hAnsi="Times New Roman" w:cs="Times New Roman"/>
          <w:sz w:val="24"/>
          <w:szCs w:val="24"/>
        </w:rPr>
        <w:t xml:space="preserve"> Proportion of Outcome Data Imputed by Year</w:t>
      </w:r>
    </w:p>
    <w:p w14:paraId="07AF2374" w14:textId="77777777" w:rsidR="00F652D2" w:rsidRPr="00EE5310" w:rsidRDefault="00F652D2" w:rsidP="006C42F2">
      <w:pPr>
        <w:spacing w:line="240" w:lineRule="auto"/>
        <w:rPr>
          <w:rFonts w:ascii="Times New Roman" w:hAnsi="Times New Roman" w:cs="Times New Roman"/>
          <w:sz w:val="24"/>
          <w:szCs w:val="24"/>
        </w:rPr>
      </w:pPr>
    </w:p>
    <w:tbl>
      <w:tblPr>
        <w:tblW w:w="9216" w:type="dxa"/>
        <w:tblLook w:val="04A0" w:firstRow="1" w:lastRow="0" w:firstColumn="1" w:lastColumn="0" w:noHBand="0" w:noVBand="1"/>
      </w:tblPr>
      <w:tblGrid>
        <w:gridCol w:w="9216"/>
      </w:tblGrid>
      <w:tr w:rsidR="00EE5310" w:rsidRPr="00EE5310" w14:paraId="5D89C694" w14:textId="77777777">
        <w:trPr>
          <w:trHeight w:val="576"/>
        </w:trPr>
        <w:tc>
          <w:tcPr>
            <w:tcW w:w="9216" w:type="dxa"/>
            <w:tcBorders>
              <w:top w:val="single" w:sz="4" w:space="0" w:color="auto"/>
              <w:left w:val="nil"/>
              <w:bottom w:val="double" w:sz="4" w:space="0" w:color="auto"/>
              <w:right w:val="nil"/>
            </w:tcBorders>
            <w:vAlign w:val="center"/>
            <w:hideMark/>
          </w:tcPr>
          <w:p w14:paraId="64EFC5F2" w14:textId="77777777" w:rsidR="00F652D2" w:rsidRPr="00EE5310" w:rsidRDefault="00F652D2" w:rsidP="006C42F2">
            <w:pPr>
              <w:spacing w:line="240" w:lineRule="auto"/>
              <w:jc w:val="center"/>
              <w:rPr>
                <w:rFonts w:ascii="Times New Roman" w:hAnsi="Times New Roman" w:cs="Times New Roman"/>
                <w:b/>
                <w:bCs/>
                <w:sz w:val="24"/>
                <w:szCs w:val="24"/>
              </w:rPr>
            </w:pPr>
            <w:r w:rsidRPr="00EE5310">
              <w:rPr>
                <w:rFonts w:ascii="Times New Roman" w:hAnsi="Times New Roman" w:cs="Times New Roman"/>
                <w:b/>
                <w:bCs/>
                <w:sz w:val="24"/>
                <w:szCs w:val="24"/>
              </w:rPr>
              <w:t xml:space="preserve">Proportion of Outcome Data Imputed by Year  </w:t>
            </w:r>
          </w:p>
        </w:tc>
      </w:tr>
      <w:tr w:rsidR="00EE5310" w:rsidRPr="00EE5310" w14:paraId="0F69C8A5" w14:textId="77777777">
        <w:trPr>
          <w:trHeight w:val="6336"/>
        </w:trPr>
        <w:tc>
          <w:tcPr>
            <w:tcW w:w="9216" w:type="dxa"/>
            <w:tcBorders>
              <w:top w:val="nil"/>
              <w:left w:val="nil"/>
              <w:bottom w:val="single" w:sz="4" w:space="0" w:color="auto"/>
              <w:right w:val="nil"/>
            </w:tcBorders>
            <w:vAlign w:val="center"/>
            <w:hideMark/>
          </w:tcPr>
          <w:p w14:paraId="09940AAA" w14:textId="4D6CB982" w:rsidR="00F652D2" w:rsidRPr="00EE5310" w:rsidRDefault="00F652D2" w:rsidP="006C42F2">
            <w:pPr>
              <w:spacing w:line="240" w:lineRule="auto"/>
              <w:jc w:val="center"/>
              <w:rPr>
                <w:rFonts w:ascii="Times New Roman" w:hAnsi="Times New Roman" w:cs="Times New Roman"/>
                <w:sz w:val="24"/>
                <w:szCs w:val="24"/>
              </w:rPr>
            </w:pPr>
            <w:r w:rsidRPr="00EE5310">
              <w:rPr>
                <w:rFonts w:ascii="Times New Roman" w:hAnsi="Times New Roman" w:cs="Times New Roman"/>
                <w:noProof/>
                <w:sz w:val="24"/>
                <w:szCs w:val="24"/>
                <w:lang w:val="en-IN" w:eastAsia="en-IN"/>
              </w:rPr>
              <w:drawing>
                <wp:inline distT="0" distB="0" distL="0" distR="0" wp14:anchorId="2179B786" wp14:editId="7A2A8CE9">
                  <wp:extent cx="5259705" cy="3699510"/>
                  <wp:effectExtent l="0" t="0" r="10795" b="8890"/>
                  <wp:docPr id="2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01001C-9968-9DAB-CC5D-697792CB88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68430DD9" w14:textId="77777777" w:rsidR="00F652D2" w:rsidRPr="00EE5310" w:rsidRDefault="00F652D2" w:rsidP="006C42F2">
      <w:pPr>
        <w:spacing w:line="240" w:lineRule="auto"/>
        <w:rPr>
          <w:rFonts w:ascii="Times New Roman" w:hAnsi="Times New Roman" w:cs="Times New Roman"/>
          <w:sz w:val="24"/>
          <w:szCs w:val="24"/>
        </w:rPr>
      </w:pPr>
    </w:p>
    <w:p w14:paraId="6F77289A" w14:textId="408CAB35" w:rsidR="00F652D2" w:rsidRPr="00EE5310" w:rsidRDefault="00F652D2" w:rsidP="006C42F2">
      <w:pPr>
        <w:spacing w:line="240" w:lineRule="auto"/>
        <w:rPr>
          <w:rFonts w:ascii="Times New Roman" w:eastAsia="Times New Roman" w:hAnsi="Times New Roman" w:cs="Times New Roman"/>
          <w:sz w:val="24"/>
          <w:szCs w:val="24"/>
        </w:rPr>
      </w:pPr>
      <w:r w:rsidRPr="00EE5310">
        <w:rPr>
          <w:rFonts w:ascii="Times New Roman" w:eastAsia="Times New Roman" w:hAnsi="Times New Roman" w:cs="Times New Roman"/>
          <w:sz w:val="24"/>
          <w:szCs w:val="24"/>
        </w:rPr>
        <w:t xml:space="preserve">As discussed in </w:t>
      </w:r>
      <w:r w:rsidRPr="00EE5310">
        <w:rPr>
          <w:rFonts w:ascii="Times New Roman" w:eastAsia="Times New Roman" w:hAnsi="Times New Roman" w:cs="Times New Roman"/>
          <w:sz w:val="24"/>
          <w:szCs w:val="24"/>
        </w:rPr>
        <w:fldChar w:fldCharType="begin"/>
      </w:r>
      <w:r w:rsidR="006E4710" w:rsidRPr="00EE5310">
        <w:rPr>
          <w:rFonts w:ascii="Times New Roman" w:eastAsia="Times New Roman" w:hAnsi="Times New Roman" w:cs="Times New Roman"/>
          <w:sz w:val="24"/>
          <w:szCs w:val="24"/>
        </w:rPr>
        <w:instrText xml:space="preserve"> ADDIN ZOTERO_ITEM CSL_CITATION {"citationID":"r5A5GOGZ","properties":{"formattedCitation":"(3)","plainCitation":"(3)","noteIndex":0},"citationItems":[{"id":8,"uris":["http://zotero.org/users/9479928/items/W762JHY4"],"itemData":{"id":8,"type":"article-journal","abstract":"This article describes and evaluates a procedure for imputing missing values for a relatively complex data structure when the data are missing at random. The imputations are obtained by fitting a sequence of regression models and drawing values from the corresponding predictive distributions. The types of regression models used are linear, logistic, Poisson, generalized logit or a mixture of these depending on the type of variable being imputed. Two additional common features in the imputation process are incorporated: restriction to a relevant subpopulation for some variables and logical bounds or constraints for the imputed values. The restrictions involve subsetting the sample individuals that satisfy certain criteria while fitting the regression models. The bounds involve drawing values from a truncated predictive distribution. The development of this method was partly motivated by the analysis of two data sets which are used as illustrations. The sequential regression procedure is applied to perform multiple imputation analysis for the two applied problems. The sampling properties of inferences from multiply imputed data sets created using the sequential regression method are evaluated through simulated data sets.","container-title":"Survey Methodology","journalAbbreviation":"Survey Methodology","source":"ResearchGate","title":"A Multivariate Technique for Multiply Imputing Missing Values Using a Sequence of Regression Models","volume":"27","author":[{"family":"Raghunathan","given":"Trivellore"},{"family":"Lepkowski","given":"James"},{"family":"Hoewyk","given":"John"},{"family":"Solenberger","given":"Peter"}],"issued":{"date-parts":[["2000",11,30]]}}}],"schema":"https://github.com/citation-style-language/schema/raw/master/csl-citation.json"} </w:instrText>
      </w:r>
      <w:r w:rsidRPr="00EE5310">
        <w:rPr>
          <w:rFonts w:ascii="Times New Roman" w:eastAsia="Times New Roman" w:hAnsi="Times New Roman" w:cs="Times New Roman"/>
          <w:sz w:val="24"/>
          <w:szCs w:val="24"/>
        </w:rPr>
        <w:fldChar w:fldCharType="separate"/>
      </w:r>
      <w:r w:rsidR="006E4710" w:rsidRPr="00EE5310">
        <w:rPr>
          <w:rFonts w:ascii="Times New Roman" w:eastAsia="Times New Roman" w:hAnsi="Times New Roman" w:cs="Times New Roman"/>
          <w:noProof/>
          <w:sz w:val="24"/>
          <w:szCs w:val="24"/>
        </w:rPr>
        <w:t>(3)</w:t>
      </w:r>
      <w:r w:rsidRPr="00EE5310">
        <w:rPr>
          <w:rFonts w:ascii="Times New Roman" w:eastAsia="Times New Roman" w:hAnsi="Times New Roman" w:cs="Times New Roman"/>
          <w:sz w:val="24"/>
          <w:szCs w:val="24"/>
        </w:rPr>
        <w:fldChar w:fldCharType="end"/>
      </w:r>
      <w:r w:rsidRPr="00EE5310">
        <w:rPr>
          <w:rFonts w:ascii="Times New Roman" w:eastAsia="Times New Roman" w:hAnsi="Times New Roman" w:cs="Times New Roman"/>
          <w:sz w:val="24"/>
          <w:szCs w:val="24"/>
        </w:rPr>
        <w:t xml:space="preserve"> and </w:t>
      </w:r>
      <w:r w:rsidRPr="00EE5310">
        <w:rPr>
          <w:rFonts w:ascii="Times New Roman" w:eastAsia="Times New Roman" w:hAnsi="Times New Roman" w:cs="Times New Roman"/>
          <w:sz w:val="24"/>
          <w:szCs w:val="24"/>
        </w:rPr>
        <w:fldChar w:fldCharType="begin"/>
      </w:r>
      <w:r w:rsidR="006E4710" w:rsidRPr="00EE5310">
        <w:rPr>
          <w:rFonts w:ascii="Times New Roman" w:eastAsia="Times New Roman" w:hAnsi="Times New Roman" w:cs="Times New Roman"/>
          <w:sz w:val="24"/>
          <w:szCs w:val="24"/>
        </w:rPr>
        <w:instrText xml:space="preserve"> ADDIN ZOTERO_ITEM CSL_CITATION {"citationID":"eR627OKV","properties":{"formattedCitation":"(4)","plainCitation":"(4)","noteIndex":0},"citationItems":[{"id":7,"uris":["http://zotero.org/users/9479928/items/SVQFA3F2"],"itemData":{"id":7,"type":"article-journal","abstract":"The goal of multiple imputation is to provide valid inferences for statistical estimates from incomplete data. To achieve that goal, imputed values should preserve the structure in the data, as well as the uncertainty about this structure, and include any knowledge about the process that generated the missing data. Two approaches for imputing multivariate data exist: joint modeling (JM) and fully conditional specification (FCS). JM is based on parametric statistical theory, and leads to imputation procedures whose statistical properties are known. JM is theoretically sound, but the joint model may lack flexibility needed to represent typical data features, potentially leading to bias. FCS is a semi-parametric and flexible alternative that specifies the multivariate model by a series of conditional models, one for each incomplete variable. FCS provides tremendous flexibility and is easy to apply, but its statistical properties are difficult to establish. Simulation work shows that FCS behaves very well in the cases studied. The present paper reviews and compares the approaches. JM and FCS were applied to pubertal development data of 3801 Dutch girls that had missing data on menarche (two categories), breast development (five categories) and pubic hair development (six stages). Imputations for these data were created under two models: a multivariate normal model with rounding and a conditionally specified discrete model. The JM approach introduced biases in the reference curves, whereas FCS did not. The paper concludes that FCS is a useful and easily applied flexible alternative to JM when no convenient and realistic joint distribution can be specified.","container-title":"Statistical Methods in Medical Research","DOI":"10.1177/0962280206074463","ISSN":"0962-2802","issue":"3","journalAbbreviation":"Stat Methods Med Res","note":"publisher: SAGE Publications Ltd STM","page":"219-242","source":"SAGE Journals","title":"Multiple imputation of discrete and continuous data by fully conditional specification","volume":"16","author":[{"family":"Buuren","given":"Stef","non-dropping-particle":"van"}],"issued":{"date-parts":[["2007",6,1]]}}}],"schema":"https://github.com/citation-style-language/schema/raw/master/csl-citation.json"} </w:instrText>
      </w:r>
      <w:r w:rsidRPr="00EE5310">
        <w:rPr>
          <w:rFonts w:ascii="Times New Roman" w:eastAsia="Times New Roman" w:hAnsi="Times New Roman" w:cs="Times New Roman"/>
          <w:sz w:val="24"/>
          <w:szCs w:val="24"/>
        </w:rPr>
        <w:fldChar w:fldCharType="separate"/>
      </w:r>
      <w:r w:rsidR="006E4710" w:rsidRPr="00EE5310">
        <w:rPr>
          <w:rFonts w:ascii="Times New Roman" w:eastAsia="Times New Roman" w:hAnsi="Times New Roman" w:cs="Times New Roman"/>
          <w:noProof/>
          <w:sz w:val="24"/>
          <w:szCs w:val="24"/>
        </w:rPr>
        <w:t>(4)</w:t>
      </w:r>
      <w:r w:rsidRPr="00EE5310">
        <w:rPr>
          <w:rFonts w:ascii="Times New Roman" w:eastAsia="Times New Roman" w:hAnsi="Times New Roman" w:cs="Times New Roman"/>
          <w:sz w:val="24"/>
          <w:szCs w:val="24"/>
        </w:rPr>
        <w:fldChar w:fldCharType="end"/>
      </w:r>
      <w:r w:rsidRPr="00EE5310">
        <w:rPr>
          <w:rFonts w:ascii="Times New Roman" w:eastAsia="Times New Roman" w:hAnsi="Times New Roman" w:cs="Times New Roman"/>
          <w:sz w:val="24"/>
          <w:szCs w:val="24"/>
        </w:rPr>
        <w:t xml:space="preserve">, this parametric imputation method assumes an underlying Poisson distribution when imputing missing values of a count variable. It is based on the asymptotic approximation of the posterior predictive distribution of the missing data, or the trend line tangent to the curve predicting the missing data’s distribution. This method is appropriate here given (1) it assumes that missingness is not at random, and (2) ensures imputations are based in part on observed data from the institution itself. </w:t>
      </w:r>
    </w:p>
    <w:p w14:paraId="6103FD14" w14:textId="77777777" w:rsidR="001A24B9" w:rsidRPr="00EE5310" w:rsidRDefault="001A24B9" w:rsidP="006C42F2">
      <w:pPr>
        <w:spacing w:line="240" w:lineRule="auto"/>
        <w:rPr>
          <w:rFonts w:ascii="Times New Roman" w:eastAsia="Times New Roman" w:hAnsi="Times New Roman" w:cs="Times New Roman"/>
          <w:b/>
          <w:sz w:val="24"/>
          <w:szCs w:val="24"/>
        </w:rPr>
      </w:pPr>
    </w:p>
    <w:p w14:paraId="495D95EE" w14:textId="2F03E8AA" w:rsidR="00F652D2" w:rsidRPr="00EE5310" w:rsidRDefault="00F652D2" w:rsidP="006C42F2">
      <w:pPr>
        <w:spacing w:line="240" w:lineRule="auto"/>
        <w:rPr>
          <w:rFonts w:ascii="Times New Roman" w:eastAsia="Times New Roman" w:hAnsi="Times New Roman" w:cs="Times New Roman"/>
          <w:sz w:val="24"/>
          <w:szCs w:val="24"/>
        </w:rPr>
      </w:pPr>
      <w:r w:rsidRPr="00EE5310">
        <w:rPr>
          <w:rFonts w:ascii="Times New Roman" w:eastAsia="Times New Roman" w:hAnsi="Times New Roman" w:cs="Times New Roman"/>
          <w:b/>
          <w:i/>
          <w:iCs/>
          <w:sz w:val="24"/>
          <w:szCs w:val="24"/>
        </w:rPr>
        <w:t>Non-Publicly Released Data</w:t>
      </w:r>
      <w:r w:rsidR="001A24B9" w:rsidRPr="00EE5310">
        <w:rPr>
          <w:rFonts w:ascii="Times New Roman" w:eastAsia="Times New Roman" w:hAnsi="Times New Roman" w:cs="Times New Roman"/>
          <w:b/>
          <w:i/>
          <w:iCs/>
          <w:sz w:val="24"/>
          <w:szCs w:val="24"/>
        </w:rPr>
        <w:t>:</w:t>
      </w:r>
      <w:r w:rsidRPr="00EE5310">
        <w:rPr>
          <w:rFonts w:ascii="Times New Roman" w:eastAsia="Times New Roman" w:hAnsi="Times New Roman" w:cs="Times New Roman"/>
          <w:b/>
          <w:sz w:val="24"/>
          <w:szCs w:val="24"/>
        </w:rPr>
        <w:t xml:space="preserve"> </w:t>
      </w:r>
      <w:r w:rsidRPr="00EE5310">
        <w:rPr>
          <w:rFonts w:ascii="Times New Roman" w:eastAsia="Times New Roman" w:hAnsi="Times New Roman" w:cs="Times New Roman"/>
          <w:sz w:val="24"/>
          <w:szCs w:val="24"/>
        </w:rPr>
        <w:t xml:space="preserve"> The four institutions that were able to contribute Title IX office data since 2015 each required 1 imputation. The two institutions that contributed Title IX office data since 2016 each required 2 imputations. The institution that contributed Title IX data from 2017 forward required 3 imputations.</w:t>
      </w:r>
    </w:p>
    <w:p w14:paraId="1A9EABE9" w14:textId="77777777" w:rsidR="003509D6" w:rsidRPr="00EE5310" w:rsidRDefault="003509D6" w:rsidP="003509D6">
      <w:pPr>
        <w:spacing w:line="240" w:lineRule="auto"/>
        <w:rPr>
          <w:rFonts w:ascii="Times New Roman" w:eastAsia="Times New Roman" w:hAnsi="Times New Roman" w:cs="Times New Roman"/>
          <w:sz w:val="24"/>
          <w:szCs w:val="24"/>
        </w:rPr>
      </w:pPr>
    </w:p>
    <w:p w14:paraId="264D9A36" w14:textId="7AAB59BD" w:rsidR="00F652D2" w:rsidRPr="00EE5310" w:rsidRDefault="00F652D2" w:rsidP="003509D6">
      <w:pPr>
        <w:spacing w:line="240" w:lineRule="auto"/>
        <w:rPr>
          <w:rFonts w:ascii="Times New Roman" w:eastAsia="Times New Roman" w:hAnsi="Times New Roman" w:cs="Times New Roman"/>
          <w:sz w:val="24"/>
          <w:szCs w:val="24"/>
        </w:rPr>
      </w:pPr>
      <w:r w:rsidRPr="00EE5310">
        <w:rPr>
          <w:rFonts w:ascii="Times New Roman" w:eastAsia="Times New Roman" w:hAnsi="Times New Roman" w:cs="Times New Roman"/>
          <w:sz w:val="24"/>
          <w:szCs w:val="24"/>
        </w:rPr>
        <w:t xml:space="preserve">Of the 77 institution-year observations within the non-public data sample, 11 (14.3%) were imputed using the same STATA 17.0’s Poisson imputation function as above. </w:t>
      </w:r>
    </w:p>
    <w:p w14:paraId="0A21DFCA" w14:textId="77777777" w:rsidR="00F652D2" w:rsidRPr="00EE5310" w:rsidRDefault="00F652D2" w:rsidP="006C42F2">
      <w:pPr>
        <w:spacing w:line="240" w:lineRule="auto"/>
        <w:rPr>
          <w:rFonts w:ascii="Times New Roman" w:eastAsia="Times New Roman" w:hAnsi="Times New Roman" w:cs="Times New Roman"/>
          <w:sz w:val="24"/>
          <w:szCs w:val="24"/>
        </w:rPr>
      </w:pPr>
    </w:p>
    <w:p w14:paraId="45A23EC4" w14:textId="77777777" w:rsidR="00F36169" w:rsidRPr="00EE5310" w:rsidRDefault="00F36169" w:rsidP="00F36169">
      <w:pPr>
        <w:spacing w:line="240" w:lineRule="auto"/>
        <w:rPr>
          <w:rFonts w:ascii="Times New Roman" w:hAnsi="Times New Roman" w:cs="Times New Roman"/>
          <w:sz w:val="24"/>
          <w:szCs w:val="24"/>
        </w:rPr>
        <w:sectPr w:rsidR="00F36169" w:rsidRPr="00EE5310" w:rsidSect="00EE5310">
          <w:pgSz w:w="12240" w:h="15840"/>
          <w:pgMar w:top="1440" w:right="1440" w:bottom="1440" w:left="1440" w:header="720" w:footer="720" w:gutter="0"/>
          <w:cols w:space="720"/>
          <w:docGrid w:linePitch="360"/>
        </w:sectPr>
      </w:pPr>
    </w:p>
    <w:p w14:paraId="530982ED" w14:textId="77777777" w:rsidR="006E4710" w:rsidRPr="00EE5310" w:rsidRDefault="006E4710" w:rsidP="006E4710">
      <w:pPr>
        <w:rPr>
          <w:rFonts w:ascii="Times New Roman" w:eastAsia="Times New Roman" w:hAnsi="Times New Roman" w:cs="Times New Roman"/>
          <w:b/>
          <w:sz w:val="24"/>
          <w:szCs w:val="24"/>
        </w:rPr>
      </w:pPr>
      <w:bookmarkStart w:id="0" w:name="_Hlk212142801"/>
      <w:r w:rsidRPr="00EE5310">
        <w:rPr>
          <w:rFonts w:ascii="Times New Roman" w:eastAsia="Times New Roman" w:hAnsi="Times New Roman" w:cs="Times New Roman"/>
          <w:b/>
          <w:sz w:val="24"/>
          <w:szCs w:val="24"/>
        </w:rPr>
        <w:lastRenderedPageBreak/>
        <w:t>References</w:t>
      </w:r>
    </w:p>
    <w:p w14:paraId="24D6FEE9" w14:textId="77777777" w:rsidR="006E4710" w:rsidRPr="00EE5310" w:rsidRDefault="006E4710" w:rsidP="006E4710">
      <w:pPr>
        <w:pStyle w:val="Bibliography"/>
        <w:rPr>
          <w:rFonts w:ascii="Times New Roman" w:hAnsi="Times New Roman" w:cs="Times New Roman"/>
          <w:sz w:val="24"/>
          <w:lang w:val="en-US"/>
        </w:rPr>
      </w:pPr>
      <w:r w:rsidRPr="00EE5310">
        <w:rPr>
          <w:rFonts w:eastAsia="Times New Roman"/>
          <w:b/>
        </w:rPr>
        <w:fldChar w:fldCharType="begin"/>
      </w:r>
      <w:r w:rsidRPr="00EE5310">
        <w:rPr>
          <w:rFonts w:eastAsia="Times New Roman"/>
          <w:b/>
        </w:rPr>
        <w:instrText xml:space="preserve"> ADDIN ZOTERO_BIBL {"uncited":[],"omitted":[],"custom":[]} CSL_BIBLIOGRAPHY </w:instrText>
      </w:r>
      <w:r w:rsidRPr="00EE5310">
        <w:rPr>
          <w:rFonts w:eastAsia="Times New Roman"/>
          <w:b/>
        </w:rPr>
        <w:fldChar w:fldCharType="separate"/>
      </w:r>
      <w:r w:rsidRPr="00EE5310">
        <w:rPr>
          <w:rFonts w:ascii="Times New Roman" w:hAnsi="Times New Roman" w:cs="Times New Roman"/>
          <w:sz w:val="24"/>
          <w:lang w:val="en-US"/>
        </w:rPr>
        <w:t>1.</w:t>
      </w:r>
      <w:r w:rsidRPr="00EE5310">
        <w:rPr>
          <w:rFonts w:ascii="Times New Roman" w:hAnsi="Times New Roman" w:cs="Times New Roman"/>
          <w:sz w:val="24"/>
          <w:lang w:val="en-US"/>
        </w:rPr>
        <w:tab/>
        <w:t xml:space="preserve">Wiseman S. RE-TOOLING TITLE IX: HOW ADOPTING INTERMEDIARY CROSS-EXAMINATION IN TITLE IX SEXUAL MISCONDUCT ADJUDICATION CAN PROVIDE FAIRNESS AND DUE PROCESS FOR ALL. Univ Louisville Law Rev. 2020;59(1):125–68. </w:t>
      </w:r>
    </w:p>
    <w:p w14:paraId="66FDE937" w14:textId="77777777" w:rsidR="006E4710" w:rsidRPr="00EE5310" w:rsidRDefault="006E4710" w:rsidP="006E4710">
      <w:pPr>
        <w:pStyle w:val="Bibliography"/>
        <w:rPr>
          <w:rFonts w:ascii="Times New Roman" w:hAnsi="Times New Roman" w:cs="Times New Roman"/>
          <w:sz w:val="24"/>
          <w:lang w:val="en-US"/>
        </w:rPr>
      </w:pPr>
      <w:r w:rsidRPr="00EE5310">
        <w:rPr>
          <w:rFonts w:ascii="Times New Roman" w:hAnsi="Times New Roman" w:cs="Times New Roman"/>
          <w:sz w:val="24"/>
          <w:lang w:val="en-US"/>
        </w:rPr>
        <w:t>2.</w:t>
      </w:r>
      <w:r w:rsidRPr="00EE5310">
        <w:rPr>
          <w:rFonts w:ascii="Times New Roman" w:hAnsi="Times New Roman" w:cs="Times New Roman"/>
          <w:sz w:val="24"/>
          <w:lang w:val="en-US"/>
        </w:rPr>
        <w:tab/>
        <w:t xml:space="preserve">Holland K, Bedera N, Webermann A. The Selective Shield of Due Process: Analysis of the U.S. Department of Education’s 2020 Title IX Regulations on Live Cross-Examination. Anal Soc Issues Public Policy. 2020;20(1):584–612. </w:t>
      </w:r>
    </w:p>
    <w:p w14:paraId="35E8C224" w14:textId="77777777" w:rsidR="006E4710" w:rsidRPr="00EE5310" w:rsidRDefault="006E4710" w:rsidP="006E4710">
      <w:pPr>
        <w:pStyle w:val="Bibliography"/>
        <w:rPr>
          <w:rFonts w:ascii="Times New Roman" w:hAnsi="Times New Roman" w:cs="Times New Roman"/>
          <w:sz w:val="24"/>
          <w:lang w:val="en-US"/>
        </w:rPr>
      </w:pPr>
      <w:r w:rsidRPr="00EE5310">
        <w:rPr>
          <w:rFonts w:ascii="Times New Roman" w:hAnsi="Times New Roman" w:cs="Times New Roman"/>
          <w:sz w:val="24"/>
          <w:lang w:val="en-US"/>
        </w:rPr>
        <w:t>3.</w:t>
      </w:r>
      <w:r w:rsidRPr="00EE5310">
        <w:rPr>
          <w:rFonts w:ascii="Times New Roman" w:hAnsi="Times New Roman" w:cs="Times New Roman"/>
          <w:sz w:val="24"/>
          <w:lang w:val="en-US"/>
        </w:rPr>
        <w:tab/>
        <w:t xml:space="preserve">Raghunathan T, Lepkowski J, Hoewyk J, Solenberger P. A Multivariate Technique for Multiply Imputing Missing Values Using a Sequence of Regression Models. Surv Methodol. 2000 Nov 30;27. </w:t>
      </w:r>
    </w:p>
    <w:p w14:paraId="3D6CACC7" w14:textId="77777777" w:rsidR="006E4710" w:rsidRPr="00EE5310" w:rsidRDefault="006E4710" w:rsidP="006E4710">
      <w:pPr>
        <w:pStyle w:val="Bibliography"/>
        <w:rPr>
          <w:rFonts w:ascii="Times New Roman" w:hAnsi="Times New Roman" w:cs="Times New Roman"/>
          <w:sz w:val="24"/>
          <w:lang w:val="en-US"/>
        </w:rPr>
      </w:pPr>
      <w:r w:rsidRPr="00EE5310">
        <w:rPr>
          <w:rFonts w:ascii="Times New Roman" w:hAnsi="Times New Roman" w:cs="Times New Roman"/>
          <w:sz w:val="24"/>
          <w:lang w:val="en-US"/>
        </w:rPr>
        <w:t>4.</w:t>
      </w:r>
      <w:r w:rsidRPr="00EE5310">
        <w:rPr>
          <w:rFonts w:ascii="Times New Roman" w:hAnsi="Times New Roman" w:cs="Times New Roman"/>
          <w:sz w:val="24"/>
          <w:lang w:val="en-US"/>
        </w:rPr>
        <w:tab/>
        <w:t xml:space="preserve">van Buuren S. Multiple imputation of discrete and continuous data by fully conditional specification. Stat Methods Med Res. 2007 June 1;16(3):219–42. </w:t>
      </w:r>
    </w:p>
    <w:p w14:paraId="7ECFD2B6" w14:textId="0D2D35FF" w:rsidR="006E4710" w:rsidRPr="00EE5310" w:rsidRDefault="006E4710" w:rsidP="006E4710">
      <w:pPr>
        <w:pStyle w:val="Bibliography"/>
        <w:rPr>
          <w:rFonts w:ascii="Times New Roman" w:eastAsia="Times New Roman" w:hAnsi="Times New Roman" w:cs="Times New Roman"/>
          <w:b/>
          <w:sz w:val="24"/>
          <w:szCs w:val="24"/>
        </w:rPr>
      </w:pPr>
      <w:r w:rsidRPr="00EE5310">
        <w:rPr>
          <w:rFonts w:ascii="Times New Roman" w:eastAsia="Times New Roman" w:hAnsi="Times New Roman" w:cs="Times New Roman"/>
          <w:b/>
          <w:sz w:val="24"/>
          <w:szCs w:val="24"/>
        </w:rPr>
        <w:fldChar w:fldCharType="end"/>
      </w:r>
      <w:bookmarkStart w:id="1" w:name="_GoBack"/>
      <w:bookmarkEnd w:id="1"/>
    </w:p>
    <w:bookmarkEnd w:id="0"/>
    <w:p w14:paraId="2C7A20CC" w14:textId="77777777" w:rsidR="00F652D2" w:rsidRPr="00EE5310" w:rsidRDefault="00F652D2" w:rsidP="00F36169">
      <w:pPr>
        <w:spacing w:line="240" w:lineRule="auto"/>
        <w:rPr>
          <w:rFonts w:ascii="Times New Roman" w:hAnsi="Times New Roman" w:cs="Times New Roman"/>
          <w:sz w:val="24"/>
          <w:szCs w:val="24"/>
        </w:rPr>
      </w:pPr>
    </w:p>
    <w:sectPr w:rsidR="00F652D2" w:rsidRPr="00EE5310" w:rsidSect="00EE53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72148" w14:textId="77777777" w:rsidR="00152894" w:rsidRDefault="00152894" w:rsidP="008354D6">
      <w:pPr>
        <w:spacing w:line="240" w:lineRule="auto"/>
      </w:pPr>
      <w:r>
        <w:separator/>
      </w:r>
    </w:p>
  </w:endnote>
  <w:endnote w:type="continuationSeparator" w:id="0">
    <w:p w14:paraId="04266586" w14:textId="77777777" w:rsidR="00152894" w:rsidRDefault="00152894" w:rsidP="008354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1115D" w14:textId="77777777" w:rsidR="002816E3" w:rsidRDefault="002816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B25B8" w14:textId="77777777" w:rsidR="002816E3" w:rsidRDefault="002816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7B208" w14:textId="77777777" w:rsidR="002816E3" w:rsidRDefault="00281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06483" w14:textId="77777777" w:rsidR="00152894" w:rsidRDefault="00152894" w:rsidP="008354D6">
      <w:pPr>
        <w:spacing w:line="240" w:lineRule="auto"/>
      </w:pPr>
      <w:r>
        <w:separator/>
      </w:r>
    </w:p>
  </w:footnote>
  <w:footnote w:type="continuationSeparator" w:id="0">
    <w:p w14:paraId="7F5A50FB" w14:textId="77777777" w:rsidR="00152894" w:rsidRDefault="00152894" w:rsidP="008354D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20E1E" w14:textId="77777777" w:rsidR="002816E3" w:rsidRDefault="002816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5AD87" w14:textId="75572439" w:rsidR="002816E3" w:rsidRPr="00DF45A3" w:rsidRDefault="002816E3" w:rsidP="002816E3">
    <w:pPr>
      <w:pStyle w:val="Header"/>
      <w:ind w:right="360"/>
      <w:rPr>
        <w:rFonts w:ascii="Times New Roman" w:hAnsi="Times New Roman" w:cs="Times New Roman"/>
        <w:sz w:val="24"/>
        <w:szCs w:val="24"/>
      </w:rPr>
    </w:pPr>
    <w:r w:rsidRPr="00DF45A3">
      <w:rPr>
        <w:rFonts w:ascii="Times New Roman" w:hAnsi="Times New Roman" w:cs="Times New Roman"/>
        <w:sz w:val="24"/>
        <w:szCs w:val="24"/>
      </w:rPr>
      <w:t xml:space="preserve">2017 &amp; 2020 TITLE IX IMPACTS ON SEXUAL MISCONDUCT REPORTS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9754C" w14:textId="77777777" w:rsidR="002816E3" w:rsidRDefault="002816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4D6"/>
    <w:rsid w:val="000D1E30"/>
    <w:rsid w:val="00152894"/>
    <w:rsid w:val="001A24B9"/>
    <w:rsid w:val="001D2A56"/>
    <w:rsid w:val="002412A8"/>
    <w:rsid w:val="002816E3"/>
    <w:rsid w:val="0034377B"/>
    <w:rsid w:val="003509D6"/>
    <w:rsid w:val="00493C4D"/>
    <w:rsid w:val="005B3B26"/>
    <w:rsid w:val="005E262F"/>
    <w:rsid w:val="006A5C8B"/>
    <w:rsid w:val="006C42F2"/>
    <w:rsid w:val="006E4710"/>
    <w:rsid w:val="008354D6"/>
    <w:rsid w:val="00974FE3"/>
    <w:rsid w:val="009E49EC"/>
    <w:rsid w:val="00A70878"/>
    <w:rsid w:val="00A804B6"/>
    <w:rsid w:val="00BC78EE"/>
    <w:rsid w:val="00BE755D"/>
    <w:rsid w:val="00C16667"/>
    <w:rsid w:val="00D9676A"/>
    <w:rsid w:val="00DF45A3"/>
    <w:rsid w:val="00E771CE"/>
    <w:rsid w:val="00EE5310"/>
    <w:rsid w:val="00F36169"/>
    <w:rsid w:val="00F55293"/>
    <w:rsid w:val="00F65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BAD38"/>
  <w15:chartTrackingRefBased/>
  <w15:docId w15:val="{CF5B87FB-5219-A44E-9588-0ABB1EBB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4D6"/>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8354D6"/>
    <w:pPr>
      <w:spacing w:line="240" w:lineRule="auto"/>
    </w:pPr>
    <w:rPr>
      <w:sz w:val="20"/>
      <w:szCs w:val="20"/>
    </w:rPr>
  </w:style>
  <w:style w:type="character" w:customStyle="1" w:styleId="EndnoteTextChar">
    <w:name w:val="Endnote Text Char"/>
    <w:basedOn w:val="DefaultParagraphFont"/>
    <w:link w:val="EndnoteText"/>
    <w:uiPriority w:val="99"/>
    <w:rsid w:val="008354D6"/>
    <w:rPr>
      <w:rFonts w:ascii="Arial" w:eastAsia="Arial" w:hAnsi="Arial" w:cs="Arial"/>
      <w:sz w:val="20"/>
      <w:szCs w:val="20"/>
      <w:lang w:val="en"/>
    </w:rPr>
  </w:style>
  <w:style w:type="character" w:styleId="EndnoteReference">
    <w:name w:val="endnote reference"/>
    <w:basedOn w:val="DefaultParagraphFont"/>
    <w:uiPriority w:val="99"/>
    <w:semiHidden/>
    <w:unhideWhenUsed/>
    <w:rsid w:val="008354D6"/>
    <w:rPr>
      <w:vertAlign w:val="superscript"/>
    </w:rPr>
  </w:style>
  <w:style w:type="paragraph" w:styleId="Revision">
    <w:name w:val="Revision"/>
    <w:hidden/>
    <w:uiPriority w:val="99"/>
    <w:semiHidden/>
    <w:rsid w:val="00D9676A"/>
    <w:rPr>
      <w:rFonts w:ascii="Arial" w:eastAsia="Arial" w:hAnsi="Arial" w:cs="Arial"/>
      <w:sz w:val="22"/>
      <w:szCs w:val="22"/>
      <w:lang w:val="en"/>
    </w:rPr>
  </w:style>
  <w:style w:type="paragraph" w:styleId="Header">
    <w:name w:val="header"/>
    <w:basedOn w:val="Normal"/>
    <w:link w:val="HeaderChar"/>
    <w:uiPriority w:val="99"/>
    <w:unhideWhenUsed/>
    <w:rsid w:val="002816E3"/>
    <w:pPr>
      <w:tabs>
        <w:tab w:val="center" w:pos="4680"/>
        <w:tab w:val="right" w:pos="9360"/>
      </w:tabs>
      <w:spacing w:line="240" w:lineRule="auto"/>
    </w:pPr>
  </w:style>
  <w:style w:type="character" w:customStyle="1" w:styleId="HeaderChar">
    <w:name w:val="Header Char"/>
    <w:basedOn w:val="DefaultParagraphFont"/>
    <w:link w:val="Header"/>
    <w:uiPriority w:val="99"/>
    <w:rsid w:val="002816E3"/>
    <w:rPr>
      <w:rFonts w:ascii="Arial" w:eastAsia="Arial" w:hAnsi="Arial" w:cs="Arial"/>
      <w:sz w:val="22"/>
      <w:szCs w:val="22"/>
      <w:lang w:val="en"/>
    </w:rPr>
  </w:style>
  <w:style w:type="paragraph" w:styleId="Footer">
    <w:name w:val="footer"/>
    <w:basedOn w:val="Normal"/>
    <w:link w:val="FooterChar"/>
    <w:uiPriority w:val="99"/>
    <w:unhideWhenUsed/>
    <w:rsid w:val="002816E3"/>
    <w:pPr>
      <w:tabs>
        <w:tab w:val="center" w:pos="4680"/>
        <w:tab w:val="right" w:pos="9360"/>
      </w:tabs>
      <w:spacing w:line="240" w:lineRule="auto"/>
    </w:pPr>
  </w:style>
  <w:style w:type="character" w:customStyle="1" w:styleId="FooterChar">
    <w:name w:val="Footer Char"/>
    <w:basedOn w:val="DefaultParagraphFont"/>
    <w:link w:val="Footer"/>
    <w:uiPriority w:val="99"/>
    <w:rsid w:val="002816E3"/>
    <w:rPr>
      <w:rFonts w:ascii="Arial" w:eastAsia="Arial" w:hAnsi="Arial" w:cs="Arial"/>
      <w:sz w:val="22"/>
      <w:szCs w:val="22"/>
      <w:lang w:val="en"/>
    </w:rPr>
  </w:style>
  <w:style w:type="paragraph" w:styleId="Bibliography">
    <w:name w:val="Bibliography"/>
    <w:basedOn w:val="Normal"/>
    <w:next w:val="Normal"/>
    <w:uiPriority w:val="37"/>
    <w:unhideWhenUsed/>
    <w:rsid w:val="006E4710"/>
    <w:pPr>
      <w:tabs>
        <w:tab w:val="left" w:pos="260"/>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hannahrochford\Desktop\Proportion%20of%20Outcome%20Data%20Imputed%20By%20Yea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stacked"/>
        <c:varyColors val="0"/>
        <c:ser>
          <c:idx val="0"/>
          <c:order val="0"/>
          <c:tx>
            <c:strRef>
              <c:f>Sheet1!$B$1</c:f>
              <c:strCache>
                <c:ptCount val="1"/>
                <c:pt idx="0">
                  <c:v>Imputed </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Sheet1!$B$2:$B$9</c:f>
              <c:numCache>
                <c:formatCode>General</c:formatCode>
                <c:ptCount val="8"/>
                <c:pt idx="0">
                  <c:v>24</c:v>
                </c:pt>
                <c:pt idx="1">
                  <c:v>13</c:v>
                </c:pt>
                <c:pt idx="2">
                  <c:v>7</c:v>
                </c:pt>
                <c:pt idx="3">
                  <c:v>4</c:v>
                </c:pt>
                <c:pt idx="4">
                  <c:v>3</c:v>
                </c:pt>
              </c:numCache>
            </c:numRef>
          </c:val>
          <c:extLst xmlns:c16r2="http://schemas.microsoft.com/office/drawing/2015/06/chart">
            <c:ext xmlns:c16="http://schemas.microsoft.com/office/drawing/2014/chart" uri="{C3380CC4-5D6E-409C-BE32-E72D297353CC}">
              <c16:uniqueId val="{00000000-35B8-7E4E-9F67-00C25078A740}"/>
            </c:ext>
          </c:extLst>
        </c:ser>
        <c:ser>
          <c:idx val="1"/>
          <c:order val="1"/>
          <c:tx>
            <c:strRef>
              <c:f>Sheet1!$C$1</c:f>
              <c:strCache>
                <c:ptCount val="1"/>
                <c:pt idx="0">
                  <c:v>Abstracted</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Sheet1!$C$2:$C$9</c:f>
              <c:numCache>
                <c:formatCode>General</c:formatCode>
                <c:ptCount val="8"/>
                <c:pt idx="0">
                  <c:v>16</c:v>
                </c:pt>
                <c:pt idx="1">
                  <c:v>27</c:v>
                </c:pt>
                <c:pt idx="2">
                  <c:v>33</c:v>
                </c:pt>
                <c:pt idx="3">
                  <c:v>36</c:v>
                </c:pt>
                <c:pt idx="4">
                  <c:v>37</c:v>
                </c:pt>
                <c:pt idx="5">
                  <c:v>40</c:v>
                </c:pt>
                <c:pt idx="6">
                  <c:v>40</c:v>
                </c:pt>
                <c:pt idx="7">
                  <c:v>40</c:v>
                </c:pt>
              </c:numCache>
            </c:numRef>
          </c:val>
          <c:extLst xmlns:c16r2="http://schemas.microsoft.com/office/drawing/2015/06/chart">
            <c:ext xmlns:c16="http://schemas.microsoft.com/office/drawing/2014/chart" uri="{C3380CC4-5D6E-409C-BE32-E72D297353CC}">
              <c16:uniqueId val="{00000001-35B8-7E4E-9F67-00C25078A740}"/>
            </c:ext>
          </c:extLst>
        </c:ser>
        <c:dLbls>
          <c:dLblPos val="inEnd"/>
          <c:showLegendKey val="0"/>
          <c:showVal val="1"/>
          <c:showCatName val="0"/>
          <c:showSerName val="0"/>
          <c:showPercent val="0"/>
          <c:showBubbleSize val="0"/>
        </c:dLbls>
        <c:gapWidth val="150"/>
        <c:overlap val="100"/>
        <c:axId val="324031168"/>
        <c:axId val="324031560"/>
      </c:barChart>
      <c:catAx>
        <c:axId val="32403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4031560"/>
        <c:crosses val="autoZero"/>
        <c:auto val="1"/>
        <c:lblAlgn val="ctr"/>
        <c:lblOffset val="100"/>
        <c:noMultiLvlLbl val="0"/>
      </c:catAx>
      <c:valAx>
        <c:axId val="324031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Number of Institutions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40311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D87EE-9C35-4983-B32B-C29738FB4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3204</Words>
  <Characters>18264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Rochford, Hannah I</dc:creator>
  <cp:keywords/>
  <dc:description/>
  <cp:lastModifiedBy>Dinesh R</cp:lastModifiedBy>
  <cp:revision>18</cp:revision>
  <dcterms:created xsi:type="dcterms:W3CDTF">2023-11-28T15:54:00Z</dcterms:created>
  <dcterms:modified xsi:type="dcterms:W3CDTF">2025-11-21T06:09:00Z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zotero-version="7.0.28"&gt;&lt;session id="pcVJcZ8O"/&gt;&lt;style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