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2D9C5" w14:textId="3ABE8843" w:rsidR="00E546F0" w:rsidRPr="000447C6" w:rsidRDefault="00E546F0" w:rsidP="00E546F0">
      <w:pPr>
        <w:rPr>
          <w:b/>
          <w:bCs/>
        </w:rPr>
      </w:pPr>
      <w:r w:rsidRPr="000447C6">
        <w:rPr>
          <w:b/>
          <w:bCs/>
        </w:rPr>
        <w:t>Part 4</w:t>
      </w:r>
    </w:p>
    <w:p w14:paraId="095B95C4" w14:textId="77777777" w:rsidR="00E546F0" w:rsidRPr="000447C6" w:rsidRDefault="00E546F0" w:rsidP="00E546F0">
      <w:pPr>
        <w:spacing w:line="276" w:lineRule="auto"/>
        <w:rPr>
          <w:rFonts w:cs="Times New Roman"/>
        </w:rPr>
      </w:pPr>
    </w:p>
    <w:p w14:paraId="6148EE8B" w14:textId="2E2AC6FB" w:rsidR="00E546F0" w:rsidRPr="000447C6" w:rsidRDefault="00E546F0" w:rsidP="00E546F0">
      <w:pPr>
        <w:spacing w:line="276" w:lineRule="auto"/>
        <w:rPr>
          <w:rFonts w:cs="Times New Roman"/>
        </w:rPr>
      </w:pPr>
      <w:r w:rsidRPr="000447C6">
        <w:rPr>
          <w:rFonts w:cs="Times New Roman"/>
        </w:rPr>
        <w:t xml:space="preserve">Other works offer qualitative insights into why these patterns may have emerged </w:t>
      </w:r>
      <w:r w:rsidRPr="000447C6">
        <w:rPr>
          <w:rFonts w:cs="Times New Roman"/>
        </w:rPr>
        <w:fldChar w:fldCharType="begin"/>
      </w:r>
      <w:r w:rsidR="00C43B9A" w:rsidRPr="000447C6">
        <w:rPr>
          <w:rFonts w:cs="Times New Roman"/>
        </w:rPr>
        <w:instrText xml:space="preserve"> ADDIN ZOTERO_ITEM CSL_CITATION {"citationID":"SyPnaoHu","properties":{"formattedCitation":"(1\\uc0\\u8211{}5)","plainCitation":"(1–5)","noteIndex":0},"citationItems":[{"id":280,"uris":["http://zotero.org/users/9479928/items/EA5HJXQK"],"itemData":{"id":280,"type":"article-journal","container-title":"The Journal of Higher Education","DOI":"https://doi-org.proxy.lib.uiowa.edu/10.1080/00221546.2020.1809268","issue":"3","page":"363-384","title":"The Constraints of Fear and Neutrality in Title IX Administrators’ Responses to Sexual Violence","volume":"92","author":[{"family":"Cruz","given":"Jacqueline"}],"issued":{"date-parts":[["2021"]]}}},{"id":4,"uris":["http://zotero.org/users/9479928/items/ACVT7V8T"],"itemData":{"id":4,"type":"article-journal","abstract":"Title IX prohibits sex discrimination—including sexual assault—in higher education. The Department of Education Office for Civil Rights’ 2011 “Dear Colleague Letter” outlines recommendations for campus sexual assault adjudication allowing a variety of procedures that fail to protect accused students’ due process rights and victims’ rights under Title IX. This article reviews two diminished due process rights in campus adjudication: cross-examination and the preponderance of the evidence standard. We use an organizational justice theoretical framework to show that limitations on due process rights reduce fair outcomes for both victims and the accused. We provide recommendations for a restorative justice approach to campus adjudication that operates within this theoretical framework to increase fair outcomes in adjudication, bolster perceptions of adjudicatory system legitimacy, and reduce campus sexual assault.","container-title":"Journal of School Violence","DOI":"10.1080/15388220.2017.1318578","ISSN":"1538-8220","issue":"3","note":"publisher: Routledge\n_eprint: https://doi.org/10.1080/15388220.2017.1318578","page":"302-316","source":"Taylor and Francis+NEJM","title":"Enhancing Title IX Due Process Standards in Campus Sexual Assault Adjudication: Considering the Roles of Distributive, Procedural, and Restorative Justice","title-short":"Enhancing Title IX Due Process Standards in Campus Sexual Assault Adjudication","volume":"16","author":[{"family":"Harper","given":"Shannon"},{"family":"Maskaly","given":"Jon"},{"family":"Kirkner","given":"Anne"},{"family":"Lorenz","given":"Katherine"}],"issued":{"date-parts":[["2017",7,3]]}}},{"id":2,"uris":["http://zotero.org/users/9479928/items/QYZ3DRSX"],"itemData":{"id":2,"type":"article-journal","abstract":"Sexual violence on college campuses is a pressing issue that harms both undergraduate and graduate students. Title IX requires educational institutions to take prompt and equitable action to ensure that students who experience sexual violence can fully participate in and benefit from the institution’s educational program. Despite institutions’ legal obligations to adhere to Title IX policy, the evidence suggests that Title IX practices are often more harmful than helpful to survivors. We use qualitative interview data from a U.S. sample of N ¼ 21 sexual violence survivors to explore undergraduate and graduate student experiences with Title IX reporting and investigation processes. All survivors in our sample perceived some aspect of their reporting experience to be negative, and for many survivors the Title IX investigation process resulted in further harm including secondary victimization, emotional/psychological, academic, and financial consequences. We discuss implications for research and university responses that can promote healing for survivors.","container-title":"Women &amp; Criminal Justice","DOI":"10.1080/08974454.2022.2060896","ISSN":"0897-4454","language":"en","page":"1-21","title":"“Keeping the Wound Open”: Survivor Experiences with Title IX Investigations","title-short":"“Keeping the Wound Open”","author":[{"family":"Lorenz","given":"Katherine"},{"family":"Hayes","given":"Rebecca"},{"family":"Jacobsen","given":"Catherine"}],"issued":{"date-parts":[["2022"]]}}},{"id":299,"uris":["http://zotero.org/users/9479928/items/TS9ACEKW"],"itemData":{"id":299,"type":"article-journal","abstract":"Title IX prohibits sex discrimination in federally funded education programs. In 2011, the Department of Education under President Obama issued a Dear Colleague Letter (DCL) advising schools of their obligation to protect Title IX rights by more effectively responding to campus sexual assault. Many observers hoped that this would promote gender equity. Yet it also generated a backlash, as critics charged schools with stripping accused students of due process rights in campus adjudication procedures. We conducted content analysis of the 2016–17 sexual misconduct policies of 381 American colleges and universities to analyze how well adjudication procedures created in response to the DCL attended to both gender equity and due process requirements. The state of adjudication at this pivotal moment provides an empirical baseline from which to assess equity in university sexual misconduct procedures. We found that most school procedures for investigating and adjudicating complaints of sexual misconduct included hybrid models that incorporated due process protections while acknowledging (but often not fully meeting) Title IX obligations. To our knowledge, this is the only large-scale national study of how schools have reconciled Title IX and due process rights in adjudication procedures.","container-title":"The Journal of Higher Education","DOI":"10.1080/00221546.2022.2082784","ISSN":"0022-1546","note":"publisher: Routledge\n_eprint: https://doi.org/10.1080/00221546.2022.2082784","page":"1-27","source":"Taylor and Francis+NEJM","title":"Gender Equity and Due Process in Campus Sexual Assault Adjudication Procedures","author":[{"family":"Porter","given":"Kamaria B."},{"family":"Levitsky","given":"Sandra R."},{"family":"Armstrong","given":"Elizabeth A."}],"issued":{"date-parts":[["2022",6,15]]}}},{"id":1,"uris":["http://zotero.org/users/9479928/items/C7W93TUR"],"itemData":{"id":1,"type":"article-journal","abstract":"The goal of this article is to provide a practical guidance for anyone who has experienced sexual harassment or assault in academia and is considering the possibility of pursuing disciplinary measures by means of filing a Title IX complaint. Sexual harassment is an abuse of power by those who possess it against those who do not; the Title IX process does not remedy this power imbalance. And, academic institutions often have interests that compete with the welfare of their students, and which may enable harassers. We address some of the risks that the Title IX process may create for those who are already vulnerable, and suggest that some of the responsibility for enacting reforms should be taken up by professional associations. Because they often control professional journals and conferences, they could be effective advocates for a more fair and equitable educational environment if they choose to take a more active role in discouraging misconduct in their disciplines.","container-title":"Journal of Women, Politics &amp; Policy","DOI":"10.1080/1554477X.2019.1565460","ISSN":"1554-477X","issue":"1","language":"en","page":"204-227","title":"Title IX: Help or Hindrance?","title-short":"Title IX","volume":"40","author":[{"family":"Sulfaro","given":"Valerie"},{"family":"Gill","given":"Rebecca"}],"issued":{"date-parts":[["2019"]]}}}],"schema":"https://github.com/citation-style-language/schema/raw/master/csl-citation.json"} </w:instrText>
      </w:r>
      <w:r w:rsidRPr="000447C6">
        <w:rPr>
          <w:rFonts w:cs="Times New Roman"/>
        </w:rPr>
        <w:fldChar w:fldCharType="separate"/>
      </w:r>
      <w:r w:rsidR="00C43B9A" w:rsidRPr="000447C6">
        <w:rPr>
          <w:rFonts w:cs="Times New Roman"/>
          <w14:ligatures w14:val="standardContextual"/>
        </w:rPr>
        <w:t>(1–5)</w:t>
      </w:r>
      <w:r w:rsidRPr="000447C6">
        <w:rPr>
          <w:rFonts w:cs="Times New Roman"/>
        </w:rPr>
        <w:fldChar w:fldCharType="end"/>
      </w:r>
      <w:r w:rsidRPr="000447C6">
        <w:rPr>
          <w:rFonts w:cs="Times New Roman"/>
        </w:rPr>
        <w:t xml:space="preserve">. These works synthesized observations that pre-2017 Title IX iterations aspired to advance gender equity, but generated criticism for compromising the due process rights of respondents </w:t>
      </w:r>
      <w:r w:rsidRPr="000447C6">
        <w:rPr>
          <w:rFonts w:cs="Times New Roman"/>
        </w:rPr>
        <w:fldChar w:fldCharType="begin"/>
      </w:r>
      <w:r w:rsidR="00C43B9A" w:rsidRPr="000447C6">
        <w:rPr>
          <w:rFonts w:cs="Times New Roman"/>
        </w:rPr>
        <w:instrText xml:space="preserve"> ADDIN ZOTERO_ITEM CSL_CITATION {"citationID":"9eXudqve","properties":{"formattedCitation":"(5)","plainCitation":"(5)","noteIndex":0},"citationItems":[{"id":1,"uris":["http://zotero.org/users/9479928/items/C7W93TUR"],"itemData":{"id":1,"type":"article-journal","abstract":"The goal of this article is to provide a practical guidance for anyone who has experienced sexual harassment or assault in academia and is considering the possibility of pursuing disciplinary measures by means of filing a Title IX complaint. Sexual harassment is an abuse of power by those who possess it against those who do not; the Title IX process does not remedy this power imbalance. And, academic institutions often have interests that compete with the welfare of their students, and which may enable harassers. We address some of the risks that the Title IX process may create for those who are already vulnerable, and suggest that some of the responsibility for enacting reforms should be taken up by professional associations. Because they often control professional journals and conferences, they could be effective advocates for a more fair and equitable educational environment if they choose to take a more active role in discouraging misconduct in their disciplines.","container-title":"Journal of Women, Politics &amp; Policy","DOI":"10.1080/1554477X.2019.1565460","ISSN":"1554-477X","issue":"1","language":"en","page":"204-227","title":"Title IX: Help or Hindrance?","title-short":"Title IX","volume":"40","author":[{"family":"Sulfaro","given":"Valerie"},{"family":"Gill","given":"Rebecca"}],"issued":{"date-parts":[["2019"]]}}}],"schema":"https://github.com/citation-style-language/schema/raw/master/csl-citation.json"} </w:instrText>
      </w:r>
      <w:r w:rsidRPr="000447C6">
        <w:rPr>
          <w:rFonts w:cs="Times New Roman"/>
        </w:rPr>
        <w:fldChar w:fldCharType="separate"/>
      </w:r>
      <w:r w:rsidR="00C43B9A" w:rsidRPr="000447C6">
        <w:rPr>
          <w:rFonts w:cs="Times New Roman"/>
          <w:noProof/>
        </w:rPr>
        <w:t>(5)</w:t>
      </w:r>
      <w:r w:rsidRPr="000447C6">
        <w:rPr>
          <w:rFonts w:cs="Times New Roman"/>
        </w:rPr>
        <w:fldChar w:fldCharType="end"/>
      </w:r>
      <w:r w:rsidRPr="000447C6">
        <w:rPr>
          <w:rFonts w:cs="Times New Roman"/>
        </w:rPr>
        <w:t xml:space="preserve">. Recommendations in other works investigating Title IX iterations pre-2017 suggest that expanding restorative justice approaches like the informal resolutions added in Title IX 2020 may offer a crucial means for increasing fair outcomes in adjudication and relieving challenges with due process </w:t>
      </w:r>
      <w:r w:rsidRPr="000447C6">
        <w:rPr>
          <w:rFonts w:cs="Times New Roman"/>
        </w:rPr>
        <w:fldChar w:fldCharType="begin"/>
      </w:r>
      <w:r w:rsidR="00C43B9A" w:rsidRPr="000447C6">
        <w:rPr>
          <w:rFonts w:cs="Times New Roman"/>
        </w:rPr>
        <w:instrText xml:space="preserve"> ADDIN ZOTERO_ITEM CSL_CITATION {"citationID":"ed0hEa08","properties":{"formattedCitation":"(2)","plainCitation":"(2)","noteIndex":0},"citationItems":[{"id":4,"uris":["http://zotero.org/users/9479928/items/ACVT7V8T"],"itemData":{"id":4,"type":"article-journal","abstract":"Title IX prohibits sex discrimination—including sexual assault—in higher education. The Department of Education Office for Civil Rights’ 2011 “Dear Colleague Letter” outlines recommendations for campus sexual assault adjudication allowing a variety of procedures that fail to protect accused students’ due process rights and victims’ rights under Title IX. This article reviews two diminished due process rights in campus adjudication: cross-examination and the preponderance of the evidence standard. We use an organizational justice theoretical framework to show that limitations on due process rights reduce fair outcomes for both victims and the accused. We provide recommendations for a restorative justice approach to campus adjudication that operates within this theoretical framework to increase fair outcomes in adjudication, bolster perceptions of adjudicatory system legitimacy, and reduce campus sexual assault.","container-title":"Journal of School Violence","DOI":"10.1080/15388220.2017.1318578","ISSN":"1538-8220","issue":"3","note":"publisher: Routledge\n_eprint: https://doi.org/10.1080/15388220.2017.1318578","page":"302-316","source":"Taylor and Francis+NEJM","title":"Enhancing Title IX Due Process Standards in Campus Sexual Assault Adjudication: Considering the Roles of Distributive, Procedural, and Restorative Justice","title-short":"Enhancing Title IX Due Process Standards in Campus Sexual Assault Adjudication","volume":"16","author":[{"family":"Harper","given":"Shannon"},{"family":"Maskaly","given":"Jon"},{"family":"Kirkner","given":"Anne"},{"family":"Lorenz","given":"Katherine"}],"issued":{"date-parts":[["2017",7,3]]}}}],"schema":"https://github.com/citation-style-language/schema/raw/master/csl-citation.json"} </w:instrText>
      </w:r>
      <w:r w:rsidRPr="000447C6">
        <w:rPr>
          <w:rFonts w:cs="Times New Roman"/>
        </w:rPr>
        <w:fldChar w:fldCharType="separate"/>
      </w:r>
      <w:r w:rsidR="00C43B9A" w:rsidRPr="000447C6">
        <w:rPr>
          <w:rFonts w:cs="Times New Roman"/>
          <w:noProof/>
        </w:rPr>
        <w:t>(2)</w:t>
      </w:r>
      <w:r w:rsidRPr="000447C6">
        <w:rPr>
          <w:rFonts w:cs="Times New Roman"/>
        </w:rPr>
        <w:fldChar w:fldCharType="end"/>
      </w:r>
      <w:r w:rsidRPr="000447C6">
        <w:rPr>
          <w:rFonts w:cs="Times New Roman"/>
        </w:rPr>
        <w:t xml:space="preserve">. Content analyses done on sexual misconduct policies from 2016-2017 suggest that many institutional policies acknowledged, but did not fully comply with Title IX requirements </w:t>
      </w:r>
      <w:r w:rsidRPr="000447C6">
        <w:rPr>
          <w:rFonts w:cs="Times New Roman"/>
        </w:rPr>
        <w:fldChar w:fldCharType="begin"/>
      </w:r>
      <w:r w:rsidR="00C43B9A" w:rsidRPr="000447C6">
        <w:rPr>
          <w:rFonts w:cs="Times New Roman"/>
        </w:rPr>
        <w:instrText xml:space="preserve"> ADDIN ZOTERO_ITEM CSL_CITATION {"citationID":"RPAYNHpb","properties":{"formattedCitation":"(4)","plainCitation":"(4)","noteIndex":0},"citationItems":[{"id":299,"uris":["http://zotero.org/users/9479928/items/TS9ACEKW"],"itemData":{"id":299,"type":"article-journal","abstract":"Title IX prohibits sex discrimination in federally funded education programs. In 2011, the Department of Education under President Obama issued a Dear Colleague Letter (DCL) advising schools of their obligation to protect Title IX rights by more effectively responding to campus sexual assault. Many observers hoped that this would promote gender equity. Yet it also generated a backlash, as critics charged schools with stripping accused students of due process rights in campus adjudication procedures. We conducted content analysis of the 2016–17 sexual misconduct policies of 381 American colleges and universities to analyze how well adjudication procedures created in response to the DCL attended to both gender equity and due process requirements. The state of adjudication at this pivotal moment provides an empirical baseline from which to assess equity in university sexual misconduct procedures. We found that most school procedures for investigating and adjudicating complaints of sexual misconduct included hybrid models that incorporated due process protections while acknowledging (but often not fully meeting) Title IX obligations. To our knowledge, this is the only large-scale national study of how schools have reconciled Title IX and due process rights in adjudication procedures.","container-title":"The Journal of Higher Education","DOI":"10.1080/00221546.2022.2082784","ISSN":"0022-1546","note":"publisher: Routledge\n_eprint: https://doi.org/10.1080/00221546.2022.2082784","page":"1-27","source":"Taylor and Francis+NEJM","title":"Gender Equity and Due Process in Campus Sexual Assault Adjudication Procedures","author":[{"family":"Porter","given":"Kamaria B."},{"family":"Levitsky","given":"Sandra R."},{"family":"Armstrong","given":"Elizabeth A."}],"issued":{"date-parts":[["2022",6,15]]}}}],"schema":"https://github.com/citation-style-language/schema/raw/master/csl-citation.json"} </w:instrText>
      </w:r>
      <w:r w:rsidRPr="000447C6">
        <w:rPr>
          <w:rFonts w:cs="Times New Roman"/>
        </w:rPr>
        <w:fldChar w:fldCharType="separate"/>
      </w:r>
      <w:r w:rsidR="00C43B9A" w:rsidRPr="000447C6">
        <w:rPr>
          <w:rFonts w:cs="Times New Roman"/>
          <w:noProof/>
        </w:rPr>
        <w:t>(4)</w:t>
      </w:r>
      <w:r w:rsidRPr="000447C6">
        <w:rPr>
          <w:rFonts w:cs="Times New Roman"/>
        </w:rPr>
        <w:fldChar w:fldCharType="end"/>
      </w:r>
      <w:r w:rsidRPr="000447C6">
        <w:rPr>
          <w:rFonts w:cs="Times New Roman"/>
        </w:rPr>
        <w:t xml:space="preserve">. This finding supports the notion that imposing regulation rather than guidance with the 2020 Title IX iteration may have heightened institutional implementation integrity. Works conducted specifically on the 2020 Title IX regulations noted concerns that the fear of institutional administrators of not being perceived as a “neutral” party can subtly perpetuate a system that marginalizes those who experience sexual misconduct </w:t>
      </w:r>
      <w:r w:rsidRPr="000447C6">
        <w:rPr>
          <w:rFonts w:cs="Times New Roman"/>
        </w:rPr>
        <w:fldChar w:fldCharType="begin"/>
      </w:r>
      <w:r w:rsidR="00C43B9A" w:rsidRPr="000447C6">
        <w:rPr>
          <w:rFonts w:cs="Times New Roman"/>
        </w:rPr>
        <w:instrText xml:space="preserve"> ADDIN ZOTERO_ITEM CSL_CITATION {"citationID":"qUNr1jg6","properties":{"formattedCitation":"(1)","plainCitation":"(1)","noteIndex":0},"citationItems":[{"id":280,"uris":["http://zotero.org/users/9479928/items/EA5HJXQK"],"itemData":{"id":280,"type":"article-journal","container-title":"The Journal of Higher Education","DOI":"https://doi-org.proxy.lib.uiowa.edu/10.1080/00221546.2020.1809268","issue":"3","page":"363-384","title":"The Constraints of Fear and Neutrality in Title IX Administrators’ Responses to Sexual Violence","volume":"92","author":[{"family":"Cruz","given":"Jacqueline"}],"issued":{"date-parts":[["2021"]]}}}],"schema":"https://github.com/citation-style-language/schema/raw/master/csl-citation.json"} </w:instrText>
      </w:r>
      <w:r w:rsidRPr="000447C6">
        <w:rPr>
          <w:rFonts w:cs="Times New Roman"/>
        </w:rPr>
        <w:fldChar w:fldCharType="separate"/>
      </w:r>
      <w:r w:rsidR="00C43B9A" w:rsidRPr="000447C6">
        <w:rPr>
          <w:rFonts w:cs="Times New Roman"/>
          <w:noProof/>
        </w:rPr>
        <w:t>(1)</w:t>
      </w:r>
      <w:r w:rsidRPr="000447C6">
        <w:rPr>
          <w:rFonts w:cs="Times New Roman"/>
        </w:rPr>
        <w:fldChar w:fldCharType="end"/>
      </w:r>
      <w:r w:rsidRPr="000447C6">
        <w:rPr>
          <w:rFonts w:cs="Times New Roman"/>
        </w:rPr>
        <w:t>.</w:t>
      </w:r>
    </w:p>
    <w:p w14:paraId="45F44082" w14:textId="77777777" w:rsidR="00E546F0" w:rsidRPr="000447C6" w:rsidRDefault="00E546F0" w:rsidP="00E546F0">
      <w:pPr>
        <w:spacing w:line="276" w:lineRule="auto"/>
        <w:rPr>
          <w:rFonts w:cs="Times New Roman"/>
        </w:rPr>
      </w:pPr>
    </w:p>
    <w:p w14:paraId="465B984A" w14:textId="77777777" w:rsidR="00E546F0" w:rsidRPr="000447C6" w:rsidRDefault="00E546F0" w:rsidP="00E546F0">
      <w:pPr>
        <w:spacing w:line="276" w:lineRule="auto"/>
        <w:rPr>
          <w:rFonts w:ascii="Open Sans" w:hAnsi="Open Sans" w:cs="Open Sans"/>
          <w:sz w:val="26"/>
          <w:szCs w:val="26"/>
        </w:rPr>
      </w:pPr>
      <w:r w:rsidRPr="000447C6">
        <w:rPr>
          <w:rFonts w:cs="Times New Roman"/>
        </w:rPr>
        <w:t xml:space="preserve">The implications for institutions could include opportunities to identify campus-specific concerns or barriers related to reporting and take steps to manage these within the parameters established by Title IX. Federal policy makers have data that supports the notion that the provisions they imbed in the next iteration of Title IX can either increase or impede reporting rates. </w:t>
      </w:r>
    </w:p>
    <w:p w14:paraId="42EE1949" w14:textId="77777777" w:rsidR="00E546F0" w:rsidRPr="000447C6" w:rsidRDefault="00E546F0" w:rsidP="00E546F0">
      <w:pPr>
        <w:spacing w:line="276" w:lineRule="auto"/>
        <w:rPr>
          <w:rFonts w:ascii="Open Sans" w:hAnsi="Open Sans" w:cs="Open Sans"/>
          <w:sz w:val="26"/>
          <w:szCs w:val="26"/>
        </w:rPr>
      </w:pPr>
    </w:p>
    <w:p w14:paraId="434CED85" w14:textId="77777777" w:rsidR="00E546F0" w:rsidRPr="000447C6" w:rsidRDefault="00E546F0" w:rsidP="00E546F0">
      <w:pPr>
        <w:spacing w:line="276" w:lineRule="auto"/>
        <w:rPr>
          <w:rFonts w:ascii="Open Sans" w:hAnsi="Open Sans" w:cs="Open Sans"/>
          <w:sz w:val="26"/>
          <w:szCs w:val="26"/>
        </w:rPr>
      </w:pPr>
      <w:r w:rsidRPr="000447C6">
        <w:rPr>
          <w:rFonts w:cs="Times New Roman"/>
        </w:rPr>
        <w:t xml:space="preserve">Sustained evaluation efforts warrant priority as Title IX, and the campus sexual misconduct policy landscape more broadly, continue to evolve. </w:t>
      </w:r>
      <w:r w:rsidRPr="000447C6">
        <w:rPr>
          <w:rFonts w:eastAsia="Times New Roman" w:cs="Times New Roman"/>
        </w:rPr>
        <w:t>If the absence of a strong evidence base remains, future regulatory iterations are vulnerable to the ideological leanings of public decision makers, and institutions of higher education will remain vulnerable to significant and frequent changes as has been observed throughout the last decade. Conducting robust evaluations of future Title IX regulatory and guidance iterations</w:t>
      </w:r>
      <w:r w:rsidRPr="000447C6">
        <w:rPr>
          <w:rFonts w:cs="Times New Roman"/>
        </w:rPr>
        <w:t xml:space="preserve"> will allow</w:t>
      </w:r>
      <w:r w:rsidRPr="000447C6">
        <w:rPr>
          <w:rFonts w:cs="Times New Roman"/>
          <w:lang w:val="en"/>
        </w:rPr>
        <w:t xml:space="preserve"> the DOE to proactively identify patterns that indicate which institutions are not effectively conducting primary prevention, and/or are not effectively balancing the interests of involved parties as they respond to instances of sexual misconduct. Further, this would strengthen the evidence base describing which policy components advance the aims of maximizing equity and minimizing harm, and whish components have unintended consequences. </w:t>
      </w:r>
      <w:proofErr w:type="spellStart"/>
      <w:r w:rsidRPr="000447C6">
        <w:rPr>
          <w:rFonts w:cs="Times New Roman"/>
          <w:lang w:val="en"/>
        </w:rPr>
        <w:t>T</w:t>
      </w:r>
      <w:r w:rsidRPr="000447C6">
        <w:rPr>
          <w:rFonts w:eastAsia="Times New Roman" w:cs="Times New Roman"/>
        </w:rPr>
        <w:t>he</w:t>
      </w:r>
      <w:proofErr w:type="spellEnd"/>
      <w:r w:rsidRPr="000447C6">
        <w:rPr>
          <w:rFonts w:eastAsia="Times New Roman" w:cs="Times New Roman"/>
        </w:rPr>
        <w:t xml:space="preserve"> integration of evidence-based practices into both prevention and response processes can result in improved outcomes for involved parties and reduced institutional liability. </w:t>
      </w:r>
    </w:p>
    <w:p w14:paraId="7940E5A6" w14:textId="77777777" w:rsidR="00E546F0" w:rsidRPr="000447C6" w:rsidRDefault="00E546F0" w:rsidP="00E546F0">
      <w:pPr>
        <w:spacing w:line="276" w:lineRule="auto"/>
        <w:rPr>
          <w:rFonts w:eastAsia="Times New Roman" w:cs="Times New Roman"/>
        </w:rPr>
      </w:pPr>
    </w:p>
    <w:p w14:paraId="49B70571" w14:textId="77777777" w:rsidR="00E546F0" w:rsidRPr="000447C6" w:rsidRDefault="00E546F0" w:rsidP="00E546F0">
      <w:pPr>
        <w:spacing w:line="276" w:lineRule="auto"/>
        <w:rPr>
          <w:rFonts w:cs="Times New Roman"/>
        </w:rPr>
      </w:pPr>
      <w:r w:rsidRPr="000447C6">
        <w:rPr>
          <w:rFonts w:eastAsia="Times New Roman" w:cs="Times New Roman"/>
        </w:rPr>
        <w:t xml:space="preserve">Using evidence from policy evaluations to isolate ideal approaches for prevention and response may also minimize the frequency and magnitude of changes to subsequent Title IX guidance and regulation. As campuses benefit from stable processes and liability reduction, less time and money will need to be expended on ensuring campus understanding of updated processes. </w:t>
      </w:r>
      <w:r w:rsidRPr="000447C6">
        <w:rPr>
          <w:rFonts w:cs="Times New Roman"/>
        </w:rPr>
        <w:t xml:space="preserve">This is a long-term benefit however, as </w:t>
      </w:r>
      <w:r w:rsidRPr="000447C6">
        <w:rPr>
          <w:rFonts w:eastAsia="Times New Roman" w:cs="Times New Roman"/>
        </w:rPr>
        <w:t xml:space="preserve">institutions are on the verge of another Title IX regulation </w:t>
      </w:r>
      <w:r w:rsidRPr="000447C6">
        <w:rPr>
          <w:rFonts w:eastAsia="Times New Roman" w:cs="Times New Roman"/>
        </w:rPr>
        <w:lastRenderedPageBreak/>
        <w:t xml:space="preserve">change as the newest proposed regulation was released in the summer of 2022, and final regulations take effect August 2024.  </w:t>
      </w:r>
    </w:p>
    <w:p w14:paraId="0D58AEB9" w14:textId="77777777" w:rsidR="00E546F0" w:rsidRPr="000447C6" w:rsidRDefault="00E546F0" w:rsidP="00E546F0">
      <w:pPr>
        <w:spacing w:line="276" w:lineRule="auto"/>
        <w:rPr>
          <w:rFonts w:cs="Times New Roman"/>
        </w:rPr>
      </w:pPr>
    </w:p>
    <w:p w14:paraId="1E33AD8D" w14:textId="63D7B32E" w:rsidR="00E546F0" w:rsidRPr="000447C6" w:rsidRDefault="00E546F0" w:rsidP="00E546F0">
      <w:pPr>
        <w:spacing w:line="276" w:lineRule="auto"/>
        <w:rPr>
          <w:rFonts w:cs="Times New Roman"/>
          <w:lang w:val="en"/>
        </w:rPr>
      </w:pPr>
      <w:r w:rsidRPr="000447C6">
        <w:rPr>
          <w:rFonts w:cs="Times New Roman"/>
        </w:rPr>
        <w:t xml:space="preserve">Making policy evaluations feasible will require improvements in the related data infrastructure. As was noted previously, institutions are not required to maintain, nor release data on reports submitted to Title IX offices. Therefore, the most readily available data on campus sexual misconduct are derived from </w:t>
      </w:r>
      <w:r w:rsidRPr="000447C6">
        <w:rPr>
          <w:rFonts w:cs="Times New Roman"/>
          <w:lang w:val="en"/>
        </w:rPr>
        <w:t xml:space="preserve">the 2013 Violence Against Women Act call for institutional Clery Act-mandated annual fire and safety reports to include statistics on several forms of sexual misconduct (rape, statutory rape, incest, dating violence, domestic violence and stalking) reported to campus police </w:t>
      </w:r>
      <w:r w:rsidRPr="000447C6">
        <w:rPr>
          <w:rFonts w:cs="Times New Roman"/>
          <w:lang w:val="en"/>
        </w:rPr>
        <w:fldChar w:fldCharType="begin"/>
      </w:r>
      <w:r w:rsidR="00C43B9A" w:rsidRPr="000447C6">
        <w:rPr>
          <w:rFonts w:cs="Times New Roman"/>
          <w:lang w:val="en"/>
        </w:rPr>
        <w:instrText xml:space="preserve"> ADDIN ZOTERO_ITEM CSL_CITATION {"citationID":"rKdyLm1t","properties":{"formattedCitation":"(6)","plainCitation":"(6)","noteIndex":0},"citationItems":[{"id":29,"uris":["http://zotero.org/users/9479928/items/TUTFVPTI"],"itemData":{"id":29,"type":"thesis","abstract":"Violence against women attending institutions of higher education has been called a significant problem by both researchers and federal policymakers. The primary goal of this study was to determine if trends in the institutional reporting of forcible sex offenses and VAWA offenses reflect any changes resulting from the implementation of federal guidelines, policies, and legislation. The study also examined profiles of institutions that (1) fail to complete Clery Act reporting as federally mandated and (2) report data in a systematic way, therefore, results can be compared with the actual rates of violence against women discovered from national campus climate surveys and federally funded research studies. Finally, the study examined how specific institution and enrollment characteristics affected the number of forcible sex offenses and VAWA offenses reported.\nThe sample for this study included all public and private not-for-profit institutions of higher education that are mandated to report annual Clery Act crime statistics. Information on criminal offenses for 3,759 institutions (with data spanned over 17 years, 2001-2017) and information on VAWA offenses for 3,736 institutions (with data spanned over 4 years, 2014-2017) were examined.\nSome of the main findings include that forcible sex offenses reporting has been on an upward trend regionally and nationally since 2009. There is also an overall upward trend nationally and regionally in the reporting of VAWA offenses. Institution characteristics, such as control, level, size, and degree of urbanization, appear to play a significant role in the average numbers of reported forcible sex offenses and VAWA offenses. All these offenses are more frequently reported when the enrollment consists of higher percentages of women, Asians, students under the age of 25, and graduate students.\nImplications from the study include changes to Clery Act reporting policies, ideas for implementation of the best practice of campus climate surveys, and the call for additional federal support to institutions that appear to experience reporting challenges.","genre":"Ph.D.","language":"English","license":"Database copyright ProQuest LLC; ProQuest does not claim copyright in the individual underlying works.","note":"ISBN: 9798678167422","number-of-pages":"164","publisher":"The University of Texas at Arlington","source":"ProQuest","title":"Reporting Realities: Are the Clery Act and Other Federal Policies Failing Women at Institutions of Higher Education?","title-short":"Reporting Realities","URL":"https://www.proquest.com/docview/2472079491/abstract/55D4D6E9E19E4728PQ/1","author":[{"family":"Hall","given":"Christine Alaine Bloczynski"}],"accessed":{"date-parts":[["2023",1,15]]},"issued":{"date-parts":[["2020"]]}}}],"schema":"https://github.com/citation-style-language/schema/raw/master/csl-citation.json"} </w:instrText>
      </w:r>
      <w:r w:rsidRPr="000447C6">
        <w:rPr>
          <w:rFonts w:cs="Times New Roman"/>
          <w:lang w:val="en"/>
        </w:rPr>
        <w:fldChar w:fldCharType="separate"/>
      </w:r>
      <w:r w:rsidR="00C43B9A" w:rsidRPr="000447C6">
        <w:rPr>
          <w:rFonts w:cs="Times New Roman"/>
          <w:noProof/>
          <w:lang w:val="en"/>
        </w:rPr>
        <w:t>(6)</w:t>
      </w:r>
      <w:r w:rsidRPr="000447C6">
        <w:rPr>
          <w:rFonts w:cs="Times New Roman"/>
          <w:lang w:val="en"/>
        </w:rPr>
        <w:fldChar w:fldCharType="end"/>
      </w:r>
      <w:r w:rsidRPr="000447C6">
        <w:rPr>
          <w:rFonts w:cs="Times New Roman"/>
          <w:lang w:val="en"/>
        </w:rPr>
        <w:t xml:space="preserve">. Previous works suggest that these figures are far from representative of the volume of sexual misconduct instances reported to institutional Title IX coordinator offices </w:t>
      </w:r>
      <w:r w:rsidRPr="000447C6">
        <w:rPr>
          <w:rFonts w:cs="Times New Roman"/>
          <w:lang w:val="en"/>
        </w:rPr>
        <w:fldChar w:fldCharType="begin"/>
      </w:r>
      <w:r w:rsidR="00C43B9A" w:rsidRPr="000447C6">
        <w:rPr>
          <w:rFonts w:cs="Times New Roman"/>
          <w:lang w:val="en"/>
        </w:rPr>
        <w:instrText xml:space="preserve"> ADDIN ZOTERO_ITEM CSL_CITATION {"citationID":"9kdhu63h","properties":{"formattedCitation":"(7)","plainCitation":"(7)","noteIndex":0},"citationItems":[{"id":298,"uris":["http://zotero.org/users/9479928/items/QBRNTKIC"],"itemData":{"id":298,"type":"article-journal","abstract":"Objective Few studies have compared measures of sexual misconduct reporting, and there are few assessments of campus policies on reporting.Methods Using data from New York institutions of higher education (IHEs) (N = 209) we compare the number of sexual misconduct incidents reported in Annual Security Reports (ASRs) and to Title IX coordinators, and explore the relationship between policies and reporting across both measures, while controlling for institutional factors.Results The majority of IHEs had higher numbers of sexual misconduct incidents reported to Title IX coordinators than reported in ASR data. Student bills of rights were associated with higher reporting in ASRs no policies were associated with reporting to Title IX coordinators.Conclusions Campus sexual misconduct is both a public policy and a public health problem; we must advance the role of data and data-driven decision-making in crafting evidenced-based solutions.","container-title":"Journal of American College Health","DOI":"10.1080/07448481.2021.1950732","ISSN":"0744-8481","note":"publisher: Taylor &amp; Francis\n_eprint: https://doi.org/10.1080/07448481.2021.1950732\nPMID: 34292857","page":"1-12","source":"Taylor and Francis+NEJM","title":"Comparing sexual misconduct incidents in Annual Security Reports and Title IX coordinator data: Do policies increase reporting","title-short":"Comparing sexual misconduct incidents in Annual Security Reports and Title IX coordinator data","author":[{"family":"Richards","given":"Tara N."},{"family":"Gillespie","given":"Lane Kirkland"},{"family":"Branscum","given":"Caralin"}],"issued":{"date-parts":[["2021",7,22]]}}}],"schema":"https://github.com/citation-style-language/schema/raw/master/csl-citation.json"} </w:instrText>
      </w:r>
      <w:r w:rsidRPr="000447C6">
        <w:rPr>
          <w:rFonts w:cs="Times New Roman"/>
          <w:lang w:val="en"/>
        </w:rPr>
        <w:fldChar w:fldCharType="separate"/>
      </w:r>
      <w:r w:rsidR="00C43B9A" w:rsidRPr="000447C6">
        <w:rPr>
          <w:rFonts w:cs="Times New Roman"/>
          <w:noProof/>
          <w:lang w:val="en"/>
        </w:rPr>
        <w:t>(7)</w:t>
      </w:r>
      <w:r w:rsidRPr="000447C6">
        <w:rPr>
          <w:rFonts w:cs="Times New Roman"/>
          <w:lang w:val="en"/>
        </w:rPr>
        <w:fldChar w:fldCharType="end"/>
      </w:r>
      <w:r w:rsidRPr="000447C6">
        <w:rPr>
          <w:rFonts w:cs="Times New Roman"/>
          <w:lang w:val="en"/>
        </w:rPr>
        <w:t xml:space="preserve"> and far from representative of the underlying prevalence of sexual misconduct on college campuses </w:t>
      </w:r>
      <w:r w:rsidRPr="000447C6">
        <w:rPr>
          <w:rFonts w:cs="Times New Roman"/>
          <w:lang w:val="en"/>
        </w:rPr>
        <w:fldChar w:fldCharType="begin"/>
      </w:r>
      <w:r w:rsidR="00C43B9A" w:rsidRPr="000447C6">
        <w:rPr>
          <w:rFonts w:cs="Times New Roman"/>
          <w:lang w:val="en"/>
        </w:rPr>
        <w:instrText xml:space="preserve"> ADDIN ZOTERO_ITEM CSL_CITATION {"citationID":"Y5MArT5t","properties":{"formattedCitation":"(8)","plainCitation":"(8)","noteIndex":0},"citationItems":[{"id":74,"uris":["http://zotero.org/users/9479928/items/Z7JQ44AG"],"itemData":{"id":74,"type":"article-journal","abstract":"This study examined the relationships among victimization, demographic characteristics, and activity choices in a cross-sectional sample of 479 undergraduate students. In the sample, 74% was female and 65% was Caucasian, with an even distribution of ages ranging from 18 to 22+ years; all participants completed an online survey. Using survey feedback, the study team performed multivariate regression analysis and reported quantity and type of victimization experiences in relation to factors that may contribute to identifying groups at risk for experiencing violence. Findings suggest that gender, grade point average, and membership in student organizations or Greek-letter organizations influence students? potential for different types of victimization. Furthermore, alcohol use and household income did not have a statistically significant relationship with any victimization types. Finally, rates reported indicate student underreporting and illustrate difficulty implementing the Clery Act. Policy recommendations, future research, and limitations are discussed. With accurate victimization data, resources and services may be more efficiently allocated to meet the needs of students at greater risk for victimization.","container-title":"Journal of Interpersonal Violence","DOI":"10.1177/0886260514535257","ISSN":"0886-2605","issue":"4","journalAbbreviation":"J Interpers Violence","language":"en","note":"publisher: SAGE Publications Inc","page":"640-658","source":"SAGE Journals","title":"Beyond Clery Act Statistics: A Closer Look at College Victimization Based on Self-Report Data","title-short":"Beyond Clery Act Statistics","volume":"30","author":[{"family":"Gardella","given":"Joseph H."},{"family":"Nichols-Hadeed","given":"Corey A."},{"family":"Mastrocinque","given":"Jeanna M."},{"family":"Stone","given":"Jennifer T."},{"family":"Coates","given":"Cynthia A."},{"family":"Sly","given":"Christopher J."},{"family":"Cerulli","given":"Catherine"}],"issued":{"date-parts":[["2015",2,1]]}}}],"schema":"https://github.com/citation-style-language/schema/raw/master/csl-citation.json"} </w:instrText>
      </w:r>
      <w:r w:rsidRPr="000447C6">
        <w:rPr>
          <w:rFonts w:cs="Times New Roman"/>
          <w:lang w:val="en"/>
        </w:rPr>
        <w:fldChar w:fldCharType="separate"/>
      </w:r>
      <w:r w:rsidR="00C43B9A" w:rsidRPr="000447C6">
        <w:rPr>
          <w:rFonts w:cs="Times New Roman"/>
          <w:noProof/>
          <w:lang w:val="en"/>
        </w:rPr>
        <w:t>(8)</w:t>
      </w:r>
      <w:r w:rsidRPr="000447C6">
        <w:rPr>
          <w:rFonts w:cs="Times New Roman"/>
          <w:lang w:val="en"/>
        </w:rPr>
        <w:fldChar w:fldCharType="end"/>
      </w:r>
      <w:r w:rsidRPr="000447C6">
        <w:rPr>
          <w:rFonts w:cs="Times New Roman"/>
          <w:lang w:val="en"/>
        </w:rPr>
        <w:t xml:space="preserve">. A 2016 analysis of Clery Act data disclosed by 11,000 U.S. college and universities found that 89% had zero instances of rape reported to campus police, and 77% had zero instances of rape and zero instances of other forms sexual assault, fondling, domestic violence, dating violence and stalking reported to campus police </w:t>
      </w:r>
      <w:r w:rsidRPr="000447C6">
        <w:rPr>
          <w:rFonts w:cs="Times New Roman"/>
          <w:lang w:val="en"/>
        </w:rPr>
        <w:fldChar w:fldCharType="begin"/>
      </w:r>
      <w:r w:rsidR="00C43B9A" w:rsidRPr="000447C6">
        <w:rPr>
          <w:rFonts w:cs="Times New Roman"/>
          <w:lang w:val="en"/>
        </w:rPr>
        <w:instrText xml:space="preserve"> ADDIN ZOTERO_ITEM CSL_CITATION {"citationID":"PApsR1Ll","properties":{"formattedCitation":"(9)","plainCitation":"(9)","noteIndex":0},"citationItems":[{"id":28,"uris":["http://zotero.org/users/9479928/items/3W2FX7CT"],"itemData":{"id":28,"type":"webpage","abstract":"Though may women experience bias and harassment on campuses, they are often reluctant to report it to officials because they worry about the repercussions of reporting.","container-title":"AAUW : Empowering Women Since 1881","language":"en-US","title":"An Underreported Problem: Campus Sexual Misconduct","title-short":"An Underreported Problem","URL":"https://www.aauw.org/resources/article/underreported-sexual-misconduct/","author":[{"literal":"American Association of University Women"}],"accessed":{"date-parts":[["2023",1,15]]},"issued":{"date-parts":[["2022"]]}}}],"schema":"https://github.com/citation-style-language/schema/raw/master/csl-citation.json"} </w:instrText>
      </w:r>
      <w:r w:rsidRPr="000447C6">
        <w:rPr>
          <w:rFonts w:cs="Times New Roman"/>
          <w:lang w:val="en"/>
        </w:rPr>
        <w:fldChar w:fldCharType="separate"/>
      </w:r>
      <w:r w:rsidR="00C43B9A" w:rsidRPr="000447C6">
        <w:rPr>
          <w:rFonts w:cs="Times New Roman"/>
          <w:noProof/>
          <w:lang w:val="en"/>
        </w:rPr>
        <w:t>(9)</w:t>
      </w:r>
      <w:r w:rsidRPr="000447C6">
        <w:rPr>
          <w:rFonts w:cs="Times New Roman"/>
          <w:lang w:val="en"/>
        </w:rPr>
        <w:fldChar w:fldCharType="end"/>
      </w:r>
      <w:r w:rsidRPr="000447C6">
        <w:rPr>
          <w:rFonts w:cs="Times New Roman"/>
          <w:lang w:val="en"/>
        </w:rPr>
        <w:t xml:space="preserve">. These data are therefore inappropriate for use in research related to campus sexual misconduct outcomes. While the most recent reauthorization of the Violence Against Women Act mandates campus wide sexual safety climate surveys at higher education institutions </w:t>
      </w:r>
      <w:r w:rsidRPr="000447C6">
        <w:rPr>
          <w:rFonts w:eastAsia="Times New Roman" w:cs="Times New Roman"/>
        </w:rPr>
        <w:t>(H.R. 1620 (R.F.S), 117</w:t>
      </w:r>
      <w:r w:rsidRPr="000447C6">
        <w:rPr>
          <w:rFonts w:eastAsia="Times New Roman" w:cs="Times New Roman"/>
          <w:vertAlign w:val="superscript"/>
        </w:rPr>
        <w:t>th</w:t>
      </w:r>
      <w:r w:rsidRPr="000447C6">
        <w:rPr>
          <w:rFonts w:eastAsia="Times New Roman" w:cs="Times New Roman"/>
        </w:rPr>
        <w:t xml:space="preserve"> Congress)</w:t>
      </w:r>
      <w:r w:rsidRPr="000447C6">
        <w:rPr>
          <w:rFonts w:cs="Times New Roman"/>
          <w:lang w:val="en"/>
        </w:rPr>
        <w:t>, institutions will have the flexibility to develop and use their own surveys. Without standardizing what information is being collected across all institutions, it will remain difficult to develop a deep understanding of the implications of each new Title IX regulation.</w:t>
      </w:r>
    </w:p>
    <w:p w14:paraId="3F95B27F" w14:textId="77777777" w:rsidR="00E546F0" w:rsidRPr="000447C6" w:rsidRDefault="00E546F0" w:rsidP="00E546F0">
      <w:pPr>
        <w:spacing w:line="276" w:lineRule="auto"/>
        <w:rPr>
          <w:rFonts w:cs="Times New Roman"/>
          <w:lang w:val="en"/>
        </w:rPr>
      </w:pPr>
    </w:p>
    <w:p w14:paraId="6CED756B" w14:textId="77777777" w:rsidR="00E546F0" w:rsidRPr="000447C6" w:rsidRDefault="00E546F0" w:rsidP="00E546F0">
      <w:pPr>
        <w:spacing w:line="276" w:lineRule="auto"/>
        <w:rPr>
          <w:rFonts w:cs="Times New Roman"/>
          <w:lang w:val="en"/>
        </w:rPr>
      </w:pPr>
      <w:r w:rsidRPr="000447C6">
        <w:rPr>
          <w:rFonts w:cs="Times New Roman"/>
          <w:lang w:val="en"/>
        </w:rPr>
        <w:t>Addressing this data gap could be accomplished by requiring Title IX offices to extend standardized reports with annual tallies of reports received, complaints made, and report/complaint outcomes to the DOE, and then making these figures available through the DOE’s Campus Crime and Safety Data tools. This would make significant progress in making rigorous analyses of Title IX guidance/regulation possible. Many institutions already volunteer this information, and their leaders could be invited as partners in determining what the standardized reports should include.</w:t>
      </w:r>
    </w:p>
    <w:p w14:paraId="22EC2B0B" w14:textId="77777777" w:rsidR="00E546F0" w:rsidRPr="000447C6" w:rsidRDefault="00E546F0" w:rsidP="00E546F0">
      <w:pPr>
        <w:spacing w:line="276" w:lineRule="auto"/>
        <w:rPr>
          <w:rFonts w:cs="Times New Roman"/>
          <w:b/>
          <w:bCs/>
        </w:rPr>
      </w:pPr>
    </w:p>
    <w:p w14:paraId="593C159E" w14:textId="77777777" w:rsidR="00E546F0" w:rsidRPr="000447C6" w:rsidRDefault="00E546F0" w:rsidP="00E546F0">
      <w:pPr>
        <w:spacing w:line="276" w:lineRule="auto"/>
        <w:rPr>
          <w:rFonts w:cs="Times New Roman"/>
          <w:i/>
          <w:iCs/>
        </w:rPr>
      </w:pPr>
      <w:r w:rsidRPr="000447C6">
        <w:rPr>
          <w:rFonts w:cs="Times New Roman"/>
          <w:i/>
          <w:iCs/>
        </w:rPr>
        <w:t xml:space="preserve">Future Research </w:t>
      </w:r>
    </w:p>
    <w:p w14:paraId="71163952" w14:textId="77777777" w:rsidR="00E546F0" w:rsidRPr="000447C6" w:rsidRDefault="00E546F0" w:rsidP="00E546F0">
      <w:pPr>
        <w:spacing w:line="276" w:lineRule="auto"/>
        <w:rPr>
          <w:rFonts w:cs="Times New Roman"/>
        </w:rPr>
      </w:pPr>
    </w:p>
    <w:p w14:paraId="7CA1E058" w14:textId="77777777" w:rsidR="00E546F0" w:rsidRPr="000447C6" w:rsidRDefault="00E546F0" w:rsidP="00E546F0">
      <w:pPr>
        <w:spacing w:line="276" w:lineRule="auto"/>
        <w:rPr>
          <w:rFonts w:cs="Times New Roman"/>
        </w:rPr>
      </w:pPr>
      <w:r w:rsidRPr="000447C6">
        <w:rPr>
          <w:rFonts w:cs="Times New Roman"/>
        </w:rPr>
        <w:t xml:space="preserve">Repeating the 2020 Title IX analysis as data from the 2022-2023 academic year become available data will be valuable given there will have been a longer implementation period, and the outcome data from this year will reflect a period of normal levels of campus presence and interactions. As the sexual misconduct reporting data infrastructure across institutions improves, repeating these analyses with a larger and more diverse sample of institutions would be valuable given the limited number of included AAU institutions are rather homogenous. Expanded data availability would also make analyses within strata of institutions possible. Stratifying by key </w:t>
      </w:r>
      <w:r w:rsidRPr="000447C6">
        <w:rPr>
          <w:rFonts w:cs="Times New Roman"/>
        </w:rPr>
        <w:lastRenderedPageBreak/>
        <w:t xml:space="preserve">institutional differences and repeating both the 2017 and 2020 analyses would add clarity as to potential differences in policy impact between campuses. Some example differences might include private and public institution status, and whether an institution was already using a hearing model prior to the 2020 regulations, or if a single investigator approach was in place that would imply more dramatic institutional process changes were required to reach compliance with the 2020 regulations. Doing so would allow the estimates to reflect differences in institutional experiences with the policy changes per these or other characteristics. </w:t>
      </w:r>
    </w:p>
    <w:p w14:paraId="69287CD6" w14:textId="77777777" w:rsidR="00E546F0" w:rsidRPr="000447C6" w:rsidRDefault="00E546F0" w:rsidP="00E546F0">
      <w:pPr>
        <w:spacing w:line="276" w:lineRule="auto"/>
        <w:rPr>
          <w:rFonts w:cs="Times New Roman"/>
        </w:rPr>
      </w:pPr>
    </w:p>
    <w:p w14:paraId="514A1B19" w14:textId="77777777" w:rsidR="00E546F0" w:rsidRPr="000447C6" w:rsidRDefault="00E546F0" w:rsidP="00E546F0">
      <w:pPr>
        <w:spacing w:line="276" w:lineRule="auto"/>
        <w:rPr>
          <w:rFonts w:cs="Times New Roman"/>
        </w:rPr>
      </w:pPr>
      <w:r w:rsidRPr="000447C6">
        <w:rPr>
          <w:rFonts w:cs="Times New Roman"/>
        </w:rPr>
        <w:t xml:space="preserve">Analyses of the outcomes of reports are also crucial to understanding if the policies of interest are advancing intended equity aims and appropriately balancing involved interests. After a report is made, the active iteration of Title IX shapes which recourse pathways are available to reporting parties, and what process each pathway requires. Modeling rates of uptake of each pathway by reporting individuals will offer insights as to what specific adjustments ought to be made to process requirements in future Title IX regulatory and guideline iterations. </w:t>
      </w:r>
    </w:p>
    <w:p w14:paraId="57AA78A7" w14:textId="77777777" w:rsidR="00EE4A12" w:rsidRPr="000447C6" w:rsidRDefault="00EE4A12">
      <w:pPr>
        <w:sectPr w:rsidR="00EE4A12" w:rsidRPr="000447C6" w:rsidSect="000447C6">
          <w:headerReference w:type="default" r:id="rId7"/>
          <w:pgSz w:w="12240" w:h="15840"/>
          <w:pgMar w:top="1440" w:right="1440" w:bottom="1440" w:left="1440" w:header="720" w:footer="720" w:gutter="0"/>
          <w:cols w:space="720"/>
          <w:docGrid w:linePitch="360"/>
        </w:sectPr>
      </w:pPr>
    </w:p>
    <w:p w14:paraId="41E392BB" w14:textId="77777777" w:rsidR="00EE4A12" w:rsidRPr="000447C6" w:rsidRDefault="00EE4A12" w:rsidP="00EE4A12">
      <w:pPr>
        <w:spacing w:line="276" w:lineRule="auto"/>
        <w:rPr>
          <w:rFonts w:eastAsia="Times New Roman" w:cs="Times New Roman"/>
          <w:b/>
        </w:rPr>
      </w:pPr>
      <w:r w:rsidRPr="000447C6">
        <w:rPr>
          <w:rFonts w:eastAsia="Times New Roman" w:cs="Times New Roman"/>
          <w:b/>
        </w:rPr>
        <w:lastRenderedPageBreak/>
        <w:t>References</w:t>
      </w:r>
    </w:p>
    <w:p w14:paraId="64A02ECC" w14:textId="77777777" w:rsidR="00C43B9A" w:rsidRPr="000447C6" w:rsidRDefault="00C43B9A" w:rsidP="00C43B9A">
      <w:pPr>
        <w:pStyle w:val="Bibliography"/>
        <w:rPr>
          <w:rFonts w:cs="Times New Roman"/>
        </w:rPr>
      </w:pPr>
      <w:r w:rsidRPr="000447C6">
        <w:fldChar w:fldCharType="begin"/>
      </w:r>
      <w:r w:rsidRPr="000447C6">
        <w:instrText xml:space="preserve"> ADDIN ZOTERO_BIBL {"uncited":[],"omitted":[],"custom":[]} CSL_BIBLIOGRAPHY </w:instrText>
      </w:r>
      <w:r w:rsidRPr="000447C6">
        <w:fldChar w:fldCharType="separate"/>
      </w:r>
      <w:r w:rsidRPr="000447C6">
        <w:rPr>
          <w:rFonts w:cs="Times New Roman"/>
        </w:rPr>
        <w:t>1.</w:t>
      </w:r>
      <w:r w:rsidRPr="000447C6">
        <w:rPr>
          <w:rFonts w:cs="Times New Roman"/>
        </w:rPr>
        <w:tab/>
        <w:t xml:space="preserve">Cruz J. The Constraints of Fear and Neutrality in Title IX Administrators’ Responses to Sexual Violence. J High Educ. 2021;92(3):363–84. </w:t>
      </w:r>
    </w:p>
    <w:p w14:paraId="7030319B" w14:textId="77777777" w:rsidR="00C43B9A" w:rsidRPr="000447C6" w:rsidRDefault="00C43B9A" w:rsidP="00C43B9A">
      <w:pPr>
        <w:pStyle w:val="Bibliography"/>
        <w:rPr>
          <w:rFonts w:cs="Times New Roman"/>
        </w:rPr>
      </w:pPr>
      <w:r w:rsidRPr="000447C6">
        <w:rPr>
          <w:rFonts w:cs="Times New Roman"/>
        </w:rPr>
        <w:t>2.</w:t>
      </w:r>
      <w:r w:rsidRPr="000447C6">
        <w:rPr>
          <w:rFonts w:cs="Times New Roman"/>
        </w:rPr>
        <w:tab/>
        <w:t xml:space="preserve">Harper S, Maskaly J, Kirkner A, Lorenz K. Enhancing Title IX Due Process Standards in Campus Sexual Assault Adjudication: Considering the Roles of Distributive, Procedural, and Restorative Justice. J Sch Violence. 2017 July 3;16(3):302–16. </w:t>
      </w:r>
    </w:p>
    <w:p w14:paraId="03EBFDED" w14:textId="77777777" w:rsidR="00C43B9A" w:rsidRPr="000447C6" w:rsidRDefault="00C43B9A" w:rsidP="00C43B9A">
      <w:pPr>
        <w:pStyle w:val="Bibliography"/>
        <w:rPr>
          <w:rFonts w:cs="Times New Roman"/>
        </w:rPr>
      </w:pPr>
      <w:r w:rsidRPr="000447C6">
        <w:rPr>
          <w:rFonts w:cs="Times New Roman"/>
        </w:rPr>
        <w:t>3.</w:t>
      </w:r>
      <w:r w:rsidRPr="000447C6">
        <w:rPr>
          <w:rFonts w:cs="Times New Roman"/>
        </w:rPr>
        <w:tab/>
        <w:t xml:space="preserve">Lorenz K, Hayes R, Jacobsen C. “Keeping the Wound Open”: Survivor Experiences with Title IX Investigations. Women Crim Justice. 2022;1–21. </w:t>
      </w:r>
    </w:p>
    <w:p w14:paraId="0F790EE5" w14:textId="77777777" w:rsidR="00C43B9A" w:rsidRPr="000447C6" w:rsidRDefault="00C43B9A" w:rsidP="00C43B9A">
      <w:pPr>
        <w:pStyle w:val="Bibliography"/>
        <w:rPr>
          <w:rFonts w:cs="Times New Roman"/>
        </w:rPr>
      </w:pPr>
      <w:r w:rsidRPr="000447C6">
        <w:rPr>
          <w:rFonts w:cs="Times New Roman"/>
        </w:rPr>
        <w:t>4.</w:t>
      </w:r>
      <w:r w:rsidRPr="000447C6">
        <w:rPr>
          <w:rFonts w:cs="Times New Roman"/>
        </w:rPr>
        <w:tab/>
        <w:t xml:space="preserve">Porter KB, Levitsky SR, Armstrong EA. Gender Equity and Due Process in Campus Sexual Assault Adjudication Procedures. J High Educ. 2022 June 15;1–27. </w:t>
      </w:r>
    </w:p>
    <w:p w14:paraId="323D1799" w14:textId="77777777" w:rsidR="00C43B9A" w:rsidRPr="000447C6" w:rsidRDefault="00C43B9A" w:rsidP="00C43B9A">
      <w:pPr>
        <w:pStyle w:val="Bibliography"/>
        <w:rPr>
          <w:rFonts w:cs="Times New Roman"/>
        </w:rPr>
      </w:pPr>
      <w:r w:rsidRPr="000447C6">
        <w:rPr>
          <w:rFonts w:cs="Times New Roman"/>
        </w:rPr>
        <w:t>5.</w:t>
      </w:r>
      <w:r w:rsidRPr="000447C6">
        <w:rPr>
          <w:rFonts w:cs="Times New Roman"/>
        </w:rPr>
        <w:tab/>
        <w:t xml:space="preserve">Sulfaro V, Gill R. Title IX: Help or Hindrance? J Women Polit Policy. 2019;40(1):204–27. </w:t>
      </w:r>
    </w:p>
    <w:p w14:paraId="6CBF0918" w14:textId="77777777" w:rsidR="00C43B9A" w:rsidRPr="000447C6" w:rsidRDefault="00C43B9A" w:rsidP="00C43B9A">
      <w:pPr>
        <w:pStyle w:val="Bibliography"/>
        <w:rPr>
          <w:rFonts w:cs="Times New Roman"/>
        </w:rPr>
      </w:pPr>
      <w:r w:rsidRPr="000447C6">
        <w:rPr>
          <w:rFonts w:cs="Times New Roman"/>
        </w:rPr>
        <w:t>6.</w:t>
      </w:r>
      <w:r w:rsidRPr="000447C6">
        <w:rPr>
          <w:rFonts w:cs="Times New Roman"/>
        </w:rPr>
        <w:tab/>
        <w:t>Hall CAB. Reporting Realities: Are the Clery Act and Other Federal Policies Failing Women at Institutions of Higher Education? [Internet] [Ph.D.]. The University of Texas at Arlington; 2020 [cited 2023 Jan 15]. Available from: https://www.proquest.com/docview/2472079491/abstract/55D4D6E9E19E4728PQ/1</w:t>
      </w:r>
    </w:p>
    <w:p w14:paraId="77CCC69E" w14:textId="77777777" w:rsidR="00C43B9A" w:rsidRPr="000447C6" w:rsidRDefault="00C43B9A" w:rsidP="00C43B9A">
      <w:pPr>
        <w:pStyle w:val="Bibliography"/>
        <w:rPr>
          <w:rFonts w:cs="Times New Roman"/>
        </w:rPr>
      </w:pPr>
      <w:r w:rsidRPr="000447C6">
        <w:rPr>
          <w:rFonts w:cs="Times New Roman"/>
        </w:rPr>
        <w:t>7.</w:t>
      </w:r>
      <w:r w:rsidRPr="000447C6">
        <w:rPr>
          <w:rFonts w:cs="Times New Roman"/>
        </w:rPr>
        <w:tab/>
        <w:t xml:space="preserve">Richards TN, Gillespie LK, Branscum C. Comparing sexual misconduct incidents in Annual Security Reports and Title IX coordinator data: Do policies increase reporting. J Am Coll Health. 2021 July 22;1–12. </w:t>
      </w:r>
    </w:p>
    <w:p w14:paraId="05EC80A1" w14:textId="77777777" w:rsidR="00C43B9A" w:rsidRPr="000447C6" w:rsidRDefault="00C43B9A" w:rsidP="00C43B9A">
      <w:pPr>
        <w:pStyle w:val="Bibliography"/>
        <w:rPr>
          <w:rFonts w:cs="Times New Roman"/>
        </w:rPr>
      </w:pPr>
      <w:r w:rsidRPr="000447C6">
        <w:rPr>
          <w:rFonts w:cs="Times New Roman"/>
        </w:rPr>
        <w:t>8.</w:t>
      </w:r>
      <w:r w:rsidRPr="000447C6">
        <w:rPr>
          <w:rFonts w:cs="Times New Roman"/>
        </w:rPr>
        <w:tab/>
        <w:t xml:space="preserve">Gardella JH, Nichols-Hadeed CA, Mastrocinque JM, Stone JT, Coates CA, Sly CJ, et al. Beyond Clery Act Statistics: A Closer Look at College Victimization Based on Self-Report Data. J Interpers Violence. 2015 Feb 1;30(4):640–58. </w:t>
      </w:r>
    </w:p>
    <w:p w14:paraId="5D0F633F" w14:textId="77777777" w:rsidR="00C43B9A" w:rsidRPr="000447C6" w:rsidRDefault="00C43B9A" w:rsidP="00C43B9A">
      <w:pPr>
        <w:pStyle w:val="Bibliography"/>
        <w:rPr>
          <w:rFonts w:cs="Times New Roman"/>
        </w:rPr>
      </w:pPr>
      <w:r w:rsidRPr="000447C6">
        <w:rPr>
          <w:rFonts w:cs="Times New Roman"/>
        </w:rPr>
        <w:t>9.</w:t>
      </w:r>
      <w:r w:rsidRPr="000447C6">
        <w:rPr>
          <w:rFonts w:cs="Times New Roman"/>
        </w:rPr>
        <w:tab/>
        <w:t>American Association of University Women. AAUW : Empowering Women Since 1881. 2022 [cited 2023 Jan 15]. An Underreported Problem: Campus Sexual Misconduct. Available from: https://www.aauw.org/resources/article/underreported-sexual-misconduct/</w:t>
      </w:r>
    </w:p>
    <w:p w14:paraId="203B6DB3" w14:textId="325F6205" w:rsidR="00E546F0" w:rsidRPr="000447C6" w:rsidRDefault="00C43B9A">
      <w:r w:rsidRPr="000447C6">
        <w:fldChar w:fldCharType="end"/>
      </w:r>
      <w:bookmarkStart w:id="0" w:name="_GoBack"/>
      <w:bookmarkEnd w:id="0"/>
    </w:p>
    <w:sectPr w:rsidR="00E546F0" w:rsidRPr="000447C6" w:rsidSect="000447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3A52A" w14:textId="77777777" w:rsidR="00E546F0" w:rsidRDefault="00E546F0" w:rsidP="00E546F0">
      <w:r>
        <w:separator/>
      </w:r>
    </w:p>
  </w:endnote>
  <w:endnote w:type="continuationSeparator" w:id="0">
    <w:p w14:paraId="5C610315" w14:textId="77777777" w:rsidR="00E546F0" w:rsidRDefault="00E546F0" w:rsidP="00E5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Open Sans">
    <w:altName w:val="Tahoma"/>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58A59" w14:textId="77777777" w:rsidR="00E546F0" w:rsidRDefault="00E546F0" w:rsidP="00E546F0">
      <w:r>
        <w:separator/>
      </w:r>
    </w:p>
  </w:footnote>
  <w:footnote w:type="continuationSeparator" w:id="0">
    <w:p w14:paraId="3EF86BE1" w14:textId="77777777" w:rsidR="00E546F0" w:rsidRDefault="00E546F0" w:rsidP="00E54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E624A" w14:textId="77777777" w:rsidR="00E546F0" w:rsidRDefault="00E546F0" w:rsidP="00E546F0">
    <w:pPr>
      <w:pStyle w:val="Header"/>
      <w:ind w:right="360"/>
    </w:pPr>
    <w:r w:rsidRPr="00DF45A3">
      <w:t xml:space="preserve">2017 &amp; 2020 TITLE IX IMPACTS ON SEXUAL MISCONDUCT REPORTS </w:t>
    </w:r>
  </w:p>
  <w:p w14:paraId="2F5FB826" w14:textId="77777777" w:rsidR="00E546F0" w:rsidRDefault="00E546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D5587"/>
    <w:multiLevelType w:val="hybridMultilevel"/>
    <w:tmpl w:val="F5929C6E"/>
    <w:lvl w:ilvl="0" w:tplc="E5C2EE1A">
      <w:start w:val="1"/>
      <w:numFmt w:val="bullet"/>
      <w:pStyle w:val="ListParagraph"/>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F0"/>
    <w:rsid w:val="000447C6"/>
    <w:rsid w:val="00493C18"/>
    <w:rsid w:val="0057686B"/>
    <w:rsid w:val="007623FA"/>
    <w:rsid w:val="007C2E7F"/>
    <w:rsid w:val="008B3C67"/>
    <w:rsid w:val="009E49EC"/>
    <w:rsid w:val="00AC0B23"/>
    <w:rsid w:val="00C43B9A"/>
    <w:rsid w:val="00D37544"/>
    <w:rsid w:val="00E546F0"/>
    <w:rsid w:val="00EC003C"/>
    <w:rsid w:val="00EE4A12"/>
    <w:rsid w:val="00FF3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CF5B"/>
  <w15:chartTrackingRefBased/>
  <w15:docId w15:val="{C07AA055-4D53-2047-89CD-0FC40FC5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Headings CS)"/>
        <w:color w:val="000000" w:themeColor="text1"/>
        <w:kern w:val="2"/>
        <w:sz w:val="24"/>
        <w:szCs w:val="32"/>
        <w:lang w:val="en-US" w:eastAsia="en-US" w:bidi="ar-SA"/>
        <w14:ligatures w14:val="standardContextual"/>
      </w:rPr>
    </w:rPrDefault>
    <w:pPrDefault>
      <w:pPr>
        <w:spacing w:before="120"/>
        <w:ind w:left="778"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6F0"/>
    <w:pPr>
      <w:spacing w:before="0"/>
      <w:ind w:left="0" w:firstLine="0"/>
    </w:pPr>
    <w:rPr>
      <w:rFonts w:ascii="Times New Roman" w:hAnsi="Times New Roman" w:cstheme="minorBidi"/>
      <w:color w:val="auto"/>
      <w:kern w:val="0"/>
      <w:szCs w:val="24"/>
      <w14:ligatures w14:val="none"/>
    </w:rPr>
  </w:style>
  <w:style w:type="paragraph" w:styleId="Heading1">
    <w:name w:val="heading 1"/>
    <w:aliases w:val="Heading 1 -- Times 12"/>
    <w:basedOn w:val="Normal"/>
    <w:next w:val="Normal"/>
    <w:link w:val="Heading1Char"/>
    <w:uiPriority w:val="9"/>
    <w:qFormat/>
    <w:rsid w:val="007C2E7F"/>
    <w:pPr>
      <w:keepNext/>
      <w:keepLines/>
      <w:spacing w:before="240"/>
      <w:ind w:left="778" w:hanging="360"/>
      <w:outlineLvl w:val="0"/>
    </w:pPr>
    <w:rPr>
      <w:rFonts w:asciiTheme="minorHAnsi" w:eastAsiaTheme="majorEastAsia" w:hAnsiTheme="minorHAnsi" w:cstheme="majorBidi"/>
      <w:b/>
      <w:color w:val="000000" w:themeColor="text1"/>
      <w:kern w:val="2"/>
      <w:szCs w:val="32"/>
      <w14:ligatures w14:val="standardContextual"/>
    </w:rPr>
  </w:style>
  <w:style w:type="paragraph" w:styleId="Heading2">
    <w:name w:val="heading 2"/>
    <w:basedOn w:val="Normal"/>
    <w:next w:val="Normal"/>
    <w:link w:val="Heading2Char"/>
    <w:autoRedefine/>
    <w:uiPriority w:val="9"/>
    <w:unhideWhenUsed/>
    <w:qFormat/>
    <w:rsid w:val="007623FA"/>
    <w:pPr>
      <w:keepNext/>
      <w:keepLines/>
      <w:spacing w:before="40"/>
      <w:ind w:left="778" w:hanging="360"/>
      <w:outlineLvl w:val="1"/>
    </w:pPr>
    <w:rPr>
      <w:rFonts w:ascii="Arial" w:eastAsiaTheme="majorEastAsia" w:hAnsi="Arial" w:cstheme="majorBidi"/>
      <w:b/>
      <w:color w:val="000000" w:themeColor="text1"/>
      <w:kern w:val="2"/>
      <w:szCs w:val="26"/>
      <w14:ligatures w14:val="standardContextual"/>
    </w:rPr>
  </w:style>
  <w:style w:type="paragraph" w:styleId="Heading3">
    <w:name w:val="heading 3"/>
    <w:basedOn w:val="Normal"/>
    <w:next w:val="Normal"/>
    <w:link w:val="Heading3Char"/>
    <w:autoRedefine/>
    <w:uiPriority w:val="9"/>
    <w:unhideWhenUsed/>
    <w:qFormat/>
    <w:rsid w:val="007623FA"/>
    <w:pPr>
      <w:keepNext/>
      <w:keepLines/>
      <w:spacing w:before="40"/>
      <w:ind w:left="778" w:hanging="360"/>
      <w:outlineLvl w:val="2"/>
    </w:pPr>
    <w:rPr>
      <w:rFonts w:ascii="Arial" w:eastAsiaTheme="majorEastAsia" w:hAnsi="Arial" w:cstheme="majorBidi"/>
      <w:i/>
      <w:color w:val="000000" w:themeColor="text1"/>
      <w:kern w:val="2"/>
      <w:szCs w:val="32"/>
      <w14:ligatures w14:val="standardContextual"/>
    </w:rPr>
  </w:style>
  <w:style w:type="paragraph" w:styleId="Heading4">
    <w:name w:val="heading 4"/>
    <w:basedOn w:val="Normal"/>
    <w:next w:val="Normal"/>
    <w:link w:val="Heading4Char"/>
    <w:autoRedefine/>
    <w:uiPriority w:val="9"/>
    <w:semiHidden/>
    <w:unhideWhenUsed/>
    <w:qFormat/>
    <w:rsid w:val="007623FA"/>
    <w:pPr>
      <w:keepNext/>
      <w:keepLines/>
      <w:spacing w:before="40"/>
      <w:ind w:left="720" w:hanging="360"/>
      <w:outlineLvl w:val="3"/>
    </w:pPr>
    <w:rPr>
      <w:rFonts w:ascii="Arial" w:eastAsiaTheme="majorEastAsia" w:hAnsi="Arial" w:cstheme="majorBidi"/>
      <w:b/>
      <w:iCs/>
      <w:color w:val="000000" w:themeColor="text1"/>
      <w:kern w:val="2"/>
      <w:szCs w:val="32"/>
      <w14:ligatures w14:val="standardContextual"/>
    </w:rPr>
  </w:style>
  <w:style w:type="paragraph" w:styleId="Heading5">
    <w:name w:val="heading 5"/>
    <w:basedOn w:val="Normal"/>
    <w:next w:val="Normal"/>
    <w:link w:val="Heading5Char"/>
    <w:uiPriority w:val="9"/>
    <w:semiHidden/>
    <w:unhideWhenUsed/>
    <w:qFormat/>
    <w:rsid w:val="00E546F0"/>
    <w:pPr>
      <w:keepNext/>
      <w:keepLines/>
      <w:spacing w:before="80" w:after="40"/>
      <w:ind w:left="778" w:hanging="360"/>
      <w:outlineLvl w:val="4"/>
    </w:pPr>
    <w:rPr>
      <w:rFonts w:asciiTheme="minorHAnsi" w:eastAsiaTheme="majorEastAsia" w:hAnsiTheme="minorHAnsi" w:cstheme="majorBidi"/>
      <w:color w:val="0F4761" w:themeColor="accent1" w:themeShade="BF"/>
      <w:kern w:val="2"/>
      <w:szCs w:val="32"/>
      <w14:ligatures w14:val="standardContextual"/>
    </w:rPr>
  </w:style>
  <w:style w:type="paragraph" w:styleId="Heading6">
    <w:name w:val="heading 6"/>
    <w:basedOn w:val="Normal"/>
    <w:next w:val="Normal"/>
    <w:link w:val="Heading6Char"/>
    <w:uiPriority w:val="9"/>
    <w:semiHidden/>
    <w:unhideWhenUsed/>
    <w:qFormat/>
    <w:rsid w:val="00E546F0"/>
    <w:pPr>
      <w:keepNext/>
      <w:keepLines/>
      <w:spacing w:before="40"/>
      <w:ind w:left="778" w:hanging="360"/>
      <w:outlineLvl w:val="5"/>
    </w:pPr>
    <w:rPr>
      <w:rFonts w:asciiTheme="minorHAnsi" w:eastAsiaTheme="majorEastAsia" w:hAnsiTheme="minorHAnsi" w:cstheme="majorBidi"/>
      <w:i/>
      <w:iCs/>
      <w:color w:val="595959" w:themeColor="text1" w:themeTint="A6"/>
      <w:kern w:val="2"/>
      <w:szCs w:val="32"/>
      <w14:ligatures w14:val="standardContextual"/>
    </w:rPr>
  </w:style>
  <w:style w:type="paragraph" w:styleId="Heading7">
    <w:name w:val="heading 7"/>
    <w:basedOn w:val="Normal"/>
    <w:next w:val="Normal"/>
    <w:link w:val="Heading7Char"/>
    <w:uiPriority w:val="9"/>
    <w:semiHidden/>
    <w:unhideWhenUsed/>
    <w:qFormat/>
    <w:rsid w:val="00E546F0"/>
    <w:pPr>
      <w:keepNext/>
      <w:keepLines/>
      <w:spacing w:before="40"/>
      <w:ind w:left="778" w:hanging="360"/>
      <w:outlineLvl w:val="6"/>
    </w:pPr>
    <w:rPr>
      <w:rFonts w:asciiTheme="minorHAnsi" w:eastAsiaTheme="majorEastAsia" w:hAnsiTheme="minorHAnsi" w:cstheme="majorBidi"/>
      <w:color w:val="595959" w:themeColor="text1" w:themeTint="A6"/>
      <w:kern w:val="2"/>
      <w:szCs w:val="32"/>
      <w14:ligatures w14:val="standardContextual"/>
    </w:rPr>
  </w:style>
  <w:style w:type="paragraph" w:styleId="Heading8">
    <w:name w:val="heading 8"/>
    <w:basedOn w:val="Normal"/>
    <w:next w:val="Normal"/>
    <w:link w:val="Heading8Char"/>
    <w:uiPriority w:val="9"/>
    <w:semiHidden/>
    <w:unhideWhenUsed/>
    <w:qFormat/>
    <w:rsid w:val="00E546F0"/>
    <w:pPr>
      <w:keepNext/>
      <w:keepLines/>
      <w:ind w:left="778" w:hanging="360"/>
      <w:outlineLvl w:val="7"/>
    </w:pPr>
    <w:rPr>
      <w:rFonts w:asciiTheme="minorHAnsi" w:eastAsiaTheme="majorEastAsia" w:hAnsiTheme="minorHAnsi" w:cstheme="majorBidi"/>
      <w:i/>
      <w:iCs/>
      <w:color w:val="272727" w:themeColor="text1" w:themeTint="D8"/>
      <w:kern w:val="2"/>
      <w:szCs w:val="32"/>
      <w14:ligatures w14:val="standardContextual"/>
    </w:rPr>
  </w:style>
  <w:style w:type="paragraph" w:styleId="Heading9">
    <w:name w:val="heading 9"/>
    <w:basedOn w:val="Normal"/>
    <w:next w:val="Normal"/>
    <w:link w:val="Heading9Char"/>
    <w:uiPriority w:val="9"/>
    <w:semiHidden/>
    <w:unhideWhenUsed/>
    <w:qFormat/>
    <w:rsid w:val="00E546F0"/>
    <w:pPr>
      <w:keepNext/>
      <w:keepLines/>
      <w:ind w:left="778" w:hanging="360"/>
      <w:outlineLvl w:val="8"/>
    </w:pPr>
    <w:rPr>
      <w:rFonts w:asciiTheme="minorHAnsi" w:eastAsiaTheme="majorEastAsia" w:hAnsiTheme="minorHAnsi" w:cstheme="majorBidi"/>
      <w:color w:val="272727" w:themeColor="text1" w:themeTint="D8"/>
      <w:kern w:val="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Times 12 Char"/>
    <w:basedOn w:val="DefaultParagraphFont"/>
    <w:link w:val="Heading1"/>
    <w:uiPriority w:val="9"/>
    <w:rsid w:val="007C2E7F"/>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7623FA"/>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7623FA"/>
    <w:rPr>
      <w:rFonts w:ascii="Times New Roman" w:eastAsiaTheme="majorEastAsia" w:hAnsi="Times New Roman" w:cstheme="majorBidi"/>
      <w:i/>
      <w:color w:val="000000" w:themeColor="text1"/>
    </w:rPr>
  </w:style>
  <w:style w:type="character" w:customStyle="1" w:styleId="Heading4Char">
    <w:name w:val="Heading 4 Char"/>
    <w:basedOn w:val="DefaultParagraphFont"/>
    <w:link w:val="Heading4"/>
    <w:uiPriority w:val="9"/>
    <w:semiHidden/>
    <w:rsid w:val="007623FA"/>
    <w:rPr>
      <w:rFonts w:ascii="Times New Roman" w:eastAsiaTheme="majorEastAsia" w:hAnsi="Times New Roman" w:cstheme="majorBidi"/>
      <w:b/>
      <w:iCs/>
      <w:color w:val="000000" w:themeColor="text1"/>
      <w:sz w:val="22"/>
    </w:rPr>
  </w:style>
  <w:style w:type="paragraph" w:styleId="ListParagraph">
    <w:name w:val="List Paragraph"/>
    <w:aliases w:val="Heading 2 -- Times 12"/>
    <w:basedOn w:val="Normal--Arial11"/>
    <w:autoRedefine/>
    <w:uiPriority w:val="34"/>
    <w:qFormat/>
    <w:rsid w:val="00493C18"/>
    <w:pPr>
      <w:numPr>
        <w:numId w:val="1"/>
      </w:numPr>
      <w:spacing w:before="120"/>
    </w:pPr>
    <w:rPr>
      <w:rFonts w:eastAsia="Times New Roman" w:cs="Times New Roman"/>
      <w:color w:val="auto"/>
      <w:kern w:val="0"/>
      <w:sz w:val="22"/>
      <w:szCs w:val="22"/>
      <w14:ligatures w14:val="none"/>
    </w:rPr>
  </w:style>
  <w:style w:type="paragraph" w:customStyle="1" w:styleId="Heading3--Times12">
    <w:name w:val="Heading 3 -- Times 12"/>
    <w:basedOn w:val="Heading1"/>
    <w:qFormat/>
    <w:rsid w:val="007C2E7F"/>
    <w:rPr>
      <w:rFonts w:ascii="Times New Roman" w:hAnsi="Times New Roman"/>
      <w:b w:val="0"/>
      <w:i/>
    </w:rPr>
  </w:style>
  <w:style w:type="paragraph" w:customStyle="1" w:styleId="Heading4--Times12">
    <w:name w:val="Heading 4 -- Times 12"/>
    <w:basedOn w:val="Heading1"/>
    <w:qFormat/>
    <w:rsid w:val="007C2E7F"/>
    <w:pPr>
      <w:ind w:left="720"/>
    </w:pPr>
    <w:rPr>
      <w:rFonts w:ascii="Times New Roman" w:hAnsi="Times New Roman"/>
    </w:rPr>
  </w:style>
  <w:style w:type="paragraph" w:customStyle="1" w:styleId="Heading1--Arial11">
    <w:name w:val="Heading 1 -- Arial 11"/>
    <w:basedOn w:val="Heading1"/>
    <w:qFormat/>
    <w:rsid w:val="007C2E7F"/>
    <w:pPr>
      <w:jc w:val="center"/>
    </w:pPr>
    <w:rPr>
      <w:rFonts w:ascii="Arial" w:hAnsi="Arial"/>
    </w:rPr>
  </w:style>
  <w:style w:type="paragraph" w:customStyle="1" w:styleId="Heading2--Arial11">
    <w:name w:val="Heading 2 -- Arial 11"/>
    <w:basedOn w:val="Heading1"/>
    <w:qFormat/>
    <w:rsid w:val="007C2E7F"/>
    <w:rPr>
      <w:rFonts w:ascii="Arial" w:hAnsi="Arial"/>
    </w:rPr>
  </w:style>
  <w:style w:type="paragraph" w:customStyle="1" w:styleId="Heading3--Arial11">
    <w:name w:val="Heading 3 -- Arial 11"/>
    <w:basedOn w:val="Heading1"/>
    <w:qFormat/>
    <w:rsid w:val="007C2E7F"/>
    <w:rPr>
      <w:rFonts w:ascii="Arial" w:hAnsi="Arial"/>
      <w:b w:val="0"/>
      <w:i/>
    </w:rPr>
  </w:style>
  <w:style w:type="paragraph" w:customStyle="1" w:styleId="Heading4--Arial11">
    <w:name w:val="Heading 4 -- Arial 11"/>
    <w:basedOn w:val="Heading1"/>
    <w:qFormat/>
    <w:rsid w:val="007C2E7F"/>
    <w:pPr>
      <w:ind w:left="720"/>
    </w:pPr>
    <w:rPr>
      <w:rFonts w:ascii="Arial" w:hAnsi="Arial"/>
    </w:rPr>
  </w:style>
  <w:style w:type="paragraph" w:customStyle="1" w:styleId="Normal--Arial11">
    <w:name w:val="Normal -- Arial 11"/>
    <w:basedOn w:val="Heading1"/>
    <w:qFormat/>
    <w:rsid w:val="007C2E7F"/>
    <w:rPr>
      <w:rFonts w:ascii="Arial" w:hAnsi="Arial"/>
      <w:b w:val="0"/>
    </w:rPr>
  </w:style>
  <w:style w:type="character" w:customStyle="1" w:styleId="Heading5Char">
    <w:name w:val="Heading 5 Char"/>
    <w:basedOn w:val="DefaultParagraphFont"/>
    <w:link w:val="Heading5"/>
    <w:uiPriority w:val="9"/>
    <w:semiHidden/>
    <w:rsid w:val="00E546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46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46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46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46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46F0"/>
    <w:pPr>
      <w:spacing w:after="80"/>
      <w:ind w:left="778" w:hanging="36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546F0"/>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546F0"/>
    <w:pPr>
      <w:numPr>
        <w:ilvl w:val="1"/>
      </w:numPr>
      <w:spacing w:before="120" w:after="160"/>
      <w:ind w:left="778" w:hanging="3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546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46F0"/>
    <w:pPr>
      <w:spacing w:before="160" w:after="160"/>
      <w:ind w:left="778" w:hanging="360"/>
      <w:jc w:val="center"/>
    </w:pPr>
    <w:rPr>
      <w:rFonts w:ascii="Arial" w:hAnsi="Arial" w:cs="Times New Roman (Headings CS)"/>
      <w:i/>
      <w:iCs/>
      <w:color w:val="404040" w:themeColor="text1" w:themeTint="BF"/>
      <w:kern w:val="2"/>
      <w:szCs w:val="32"/>
      <w14:ligatures w14:val="standardContextual"/>
    </w:rPr>
  </w:style>
  <w:style w:type="character" w:customStyle="1" w:styleId="QuoteChar">
    <w:name w:val="Quote Char"/>
    <w:basedOn w:val="DefaultParagraphFont"/>
    <w:link w:val="Quote"/>
    <w:uiPriority w:val="29"/>
    <w:rsid w:val="00E546F0"/>
    <w:rPr>
      <w:i/>
      <w:iCs/>
      <w:color w:val="404040" w:themeColor="text1" w:themeTint="BF"/>
    </w:rPr>
  </w:style>
  <w:style w:type="character" w:styleId="IntenseEmphasis">
    <w:name w:val="Intense Emphasis"/>
    <w:basedOn w:val="DefaultParagraphFont"/>
    <w:uiPriority w:val="21"/>
    <w:qFormat/>
    <w:rsid w:val="00E546F0"/>
    <w:rPr>
      <w:i/>
      <w:iCs/>
      <w:color w:val="0F4761" w:themeColor="accent1" w:themeShade="BF"/>
    </w:rPr>
  </w:style>
  <w:style w:type="paragraph" w:styleId="IntenseQuote">
    <w:name w:val="Intense Quote"/>
    <w:basedOn w:val="Normal"/>
    <w:next w:val="Normal"/>
    <w:link w:val="IntenseQuoteChar"/>
    <w:uiPriority w:val="30"/>
    <w:qFormat/>
    <w:rsid w:val="00E546F0"/>
    <w:pPr>
      <w:pBdr>
        <w:top w:val="single" w:sz="4" w:space="10" w:color="0F4761" w:themeColor="accent1" w:themeShade="BF"/>
        <w:bottom w:val="single" w:sz="4" w:space="10" w:color="0F4761" w:themeColor="accent1" w:themeShade="BF"/>
      </w:pBdr>
      <w:spacing w:before="360" w:after="360"/>
      <w:ind w:left="864" w:right="864" w:hanging="360"/>
      <w:jc w:val="center"/>
    </w:pPr>
    <w:rPr>
      <w:rFonts w:ascii="Arial" w:hAnsi="Arial" w:cs="Times New Roman (Headings CS)"/>
      <w:i/>
      <w:iCs/>
      <w:color w:val="0F4761" w:themeColor="accent1" w:themeShade="BF"/>
      <w:kern w:val="2"/>
      <w:szCs w:val="32"/>
      <w14:ligatures w14:val="standardContextual"/>
    </w:rPr>
  </w:style>
  <w:style w:type="character" w:customStyle="1" w:styleId="IntenseQuoteChar">
    <w:name w:val="Intense Quote Char"/>
    <w:basedOn w:val="DefaultParagraphFont"/>
    <w:link w:val="IntenseQuote"/>
    <w:uiPriority w:val="30"/>
    <w:rsid w:val="00E546F0"/>
    <w:rPr>
      <w:i/>
      <w:iCs/>
      <w:color w:val="0F4761" w:themeColor="accent1" w:themeShade="BF"/>
    </w:rPr>
  </w:style>
  <w:style w:type="character" w:styleId="IntenseReference">
    <w:name w:val="Intense Reference"/>
    <w:basedOn w:val="DefaultParagraphFont"/>
    <w:uiPriority w:val="32"/>
    <w:qFormat/>
    <w:rsid w:val="00E546F0"/>
    <w:rPr>
      <w:b/>
      <w:bCs/>
      <w:smallCaps/>
      <w:color w:val="0F4761" w:themeColor="accent1" w:themeShade="BF"/>
      <w:spacing w:val="5"/>
    </w:rPr>
  </w:style>
  <w:style w:type="paragraph" w:styleId="Header">
    <w:name w:val="header"/>
    <w:basedOn w:val="Normal"/>
    <w:link w:val="HeaderChar"/>
    <w:uiPriority w:val="99"/>
    <w:unhideWhenUsed/>
    <w:rsid w:val="00E546F0"/>
    <w:pPr>
      <w:tabs>
        <w:tab w:val="center" w:pos="4680"/>
        <w:tab w:val="right" w:pos="9360"/>
      </w:tabs>
    </w:pPr>
  </w:style>
  <w:style w:type="character" w:customStyle="1" w:styleId="HeaderChar">
    <w:name w:val="Header Char"/>
    <w:basedOn w:val="DefaultParagraphFont"/>
    <w:link w:val="Header"/>
    <w:uiPriority w:val="99"/>
    <w:rsid w:val="00E546F0"/>
    <w:rPr>
      <w:rFonts w:ascii="Times New Roman" w:hAnsi="Times New Roman" w:cstheme="minorBidi"/>
      <w:color w:val="auto"/>
      <w:kern w:val="0"/>
      <w:szCs w:val="24"/>
      <w14:ligatures w14:val="none"/>
    </w:rPr>
  </w:style>
  <w:style w:type="paragraph" w:styleId="Footer">
    <w:name w:val="footer"/>
    <w:basedOn w:val="Normal"/>
    <w:link w:val="FooterChar"/>
    <w:uiPriority w:val="99"/>
    <w:unhideWhenUsed/>
    <w:rsid w:val="00E546F0"/>
    <w:pPr>
      <w:tabs>
        <w:tab w:val="center" w:pos="4680"/>
        <w:tab w:val="right" w:pos="9360"/>
      </w:tabs>
    </w:pPr>
  </w:style>
  <w:style w:type="character" w:customStyle="1" w:styleId="FooterChar">
    <w:name w:val="Footer Char"/>
    <w:basedOn w:val="DefaultParagraphFont"/>
    <w:link w:val="Footer"/>
    <w:uiPriority w:val="99"/>
    <w:rsid w:val="00E546F0"/>
    <w:rPr>
      <w:rFonts w:ascii="Times New Roman" w:hAnsi="Times New Roman" w:cstheme="minorBidi"/>
      <w:color w:val="auto"/>
      <w:kern w:val="0"/>
      <w:szCs w:val="24"/>
      <w14:ligatures w14:val="none"/>
    </w:rPr>
  </w:style>
  <w:style w:type="paragraph" w:styleId="Bibliography">
    <w:name w:val="Bibliography"/>
    <w:basedOn w:val="Normal"/>
    <w:next w:val="Normal"/>
    <w:uiPriority w:val="37"/>
    <w:unhideWhenUsed/>
    <w:rsid w:val="00C43B9A"/>
    <w:pPr>
      <w:tabs>
        <w:tab w:val="left" w:pos="260"/>
      </w:tabs>
      <w:spacing w:after="24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4784</Words>
  <Characters>27273</Characters>
  <Application>Microsoft Office Word</Application>
  <DocSecurity>0</DocSecurity>
  <Lines>227</Lines>
  <Paragraphs>63</Paragraphs>
  <ScaleCrop>false</ScaleCrop>
  <Company/>
  <LinksUpToDate>false</LinksUpToDate>
  <CharactersWithSpaces>31994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Rochford, Hannah Irene</dc:creator>
  <cp:keywords/>
  <dc:description/>
  <cp:lastModifiedBy>Dinesh Ravic</cp:lastModifiedBy>
  <cp:revision>4</cp:revision>
  <dcterms:created xsi:type="dcterms:W3CDTF">2025-10-24T01:06:00Z</dcterms:created>
  <dcterms:modified xsi:type="dcterms:W3CDTF">2025-11-21T06:22:00Z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zotero-version="7.0.28"&gt;&lt;session id="WZKcwex2"/&gt;&lt;style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