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262D8" w14:textId="227A0404" w:rsidR="000A25B7" w:rsidRDefault="00422884" w:rsidP="000A25B7">
      <w:pPr>
        <w:pStyle w:val="FootnoteText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Insights into</w:t>
      </w:r>
      <w:r w:rsidR="000A25B7" w:rsidRPr="000A25B7">
        <w:rPr>
          <w:rFonts w:ascii="Garamond" w:hAnsi="Garamond"/>
          <w:b/>
          <w:bCs/>
          <w:sz w:val="24"/>
          <w:szCs w:val="24"/>
        </w:rPr>
        <w:t xml:space="preserve"> smallholder capacity for agricultural commercialisation: Evidence from four African contexts </w:t>
      </w:r>
    </w:p>
    <w:p w14:paraId="7B37A752" w14:textId="211ADE97" w:rsidR="00AD5EFF" w:rsidRDefault="00AD5EFF" w:rsidP="000A25B7">
      <w:pPr>
        <w:pStyle w:val="FootnoteText"/>
        <w:jc w:val="both"/>
        <w:rPr>
          <w:rFonts w:ascii="Garamond" w:hAnsi="Garamond"/>
          <w:b/>
          <w:bCs/>
          <w:sz w:val="24"/>
          <w:szCs w:val="24"/>
        </w:rPr>
      </w:pPr>
    </w:p>
    <w:p w14:paraId="1EDA0C9E" w14:textId="2E22C0FF" w:rsidR="00AD5EFF" w:rsidRDefault="00AD5EFF" w:rsidP="000A25B7">
      <w:pPr>
        <w:pStyle w:val="FootnoteText"/>
        <w:jc w:val="both"/>
        <w:rPr>
          <w:rFonts w:ascii="Garamond" w:hAnsi="Garamond"/>
          <w:b/>
          <w:bCs/>
          <w:sz w:val="24"/>
          <w:szCs w:val="24"/>
        </w:rPr>
      </w:pPr>
    </w:p>
    <w:p w14:paraId="0652C7F0" w14:textId="30CCF8BD" w:rsidR="00AD5EFF" w:rsidRDefault="00AD5EFF" w:rsidP="000A25B7">
      <w:pPr>
        <w:pStyle w:val="FootnoteText"/>
        <w:jc w:val="both"/>
        <w:rPr>
          <w:rFonts w:ascii="Garamond" w:hAnsi="Garamond"/>
          <w:b/>
          <w:bCs/>
          <w:sz w:val="24"/>
          <w:szCs w:val="24"/>
        </w:rPr>
      </w:pPr>
    </w:p>
    <w:p w14:paraId="426F2721" w14:textId="3D3CE6DE" w:rsidR="00AD5EFF" w:rsidRDefault="00AD5EFF" w:rsidP="000A25B7">
      <w:pPr>
        <w:pStyle w:val="FootnoteText"/>
        <w:jc w:val="both"/>
        <w:rPr>
          <w:rFonts w:ascii="Garamond" w:hAnsi="Garamond"/>
          <w:b/>
          <w:bCs/>
          <w:sz w:val="24"/>
          <w:szCs w:val="24"/>
        </w:rPr>
      </w:pPr>
    </w:p>
    <w:p w14:paraId="6471B03B" w14:textId="5036B52D" w:rsidR="00AD5EFF" w:rsidRDefault="002248AD" w:rsidP="000A25B7">
      <w:pPr>
        <w:pStyle w:val="FootnoteText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May 2021</w:t>
      </w:r>
    </w:p>
    <w:p w14:paraId="4B70F28D" w14:textId="4715EC41" w:rsidR="00AD5EFF" w:rsidRDefault="00AD5EFF" w:rsidP="000A25B7">
      <w:pPr>
        <w:pStyle w:val="FootnoteText"/>
        <w:jc w:val="both"/>
        <w:rPr>
          <w:rFonts w:ascii="Garamond" w:hAnsi="Garamond"/>
          <w:b/>
          <w:bCs/>
          <w:sz w:val="24"/>
          <w:szCs w:val="24"/>
        </w:rPr>
      </w:pPr>
    </w:p>
    <w:p w14:paraId="09ED5B22" w14:textId="77777777" w:rsidR="00AD5EFF" w:rsidRPr="000A25B7" w:rsidRDefault="00AD5EFF" w:rsidP="000A25B7">
      <w:pPr>
        <w:pStyle w:val="FootnoteText"/>
        <w:jc w:val="both"/>
        <w:rPr>
          <w:rFonts w:ascii="Garamond" w:hAnsi="Garamond"/>
          <w:b/>
          <w:bCs/>
          <w:sz w:val="24"/>
          <w:szCs w:val="24"/>
        </w:rPr>
      </w:pPr>
    </w:p>
    <w:p w14:paraId="025357F0" w14:textId="77777777" w:rsidR="000A25B7" w:rsidRPr="000A25B7" w:rsidRDefault="000A25B7" w:rsidP="000A25B7">
      <w:pPr>
        <w:pStyle w:val="FootnoteText"/>
        <w:jc w:val="both"/>
        <w:rPr>
          <w:rFonts w:ascii="Garamond" w:hAnsi="Garamond"/>
          <w:b/>
          <w:bCs/>
          <w:sz w:val="24"/>
          <w:szCs w:val="24"/>
        </w:rPr>
      </w:pPr>
    </w:p>
    <w:p w14:paraId="7FF6A31F" w14:textId="6C9EA3DA" w:rsidR="0022195E" w:rsidRPr="0022195E" w:rsidRDefault="000A25B7" w:rsidP="0022195E">
      <w:pPr>
        <w:pStyle w:val="FootnoteText"/>
        <w:jc w:val="both"/>
        <w:rPr>
          <w:rFonts w:ascii="Garamond" w:hAnsi="Garamond"/>
          <w:sz w:val="24"/>
          <w:szCs w:val="24"/>
        </w:rPr>
      </w:pPr>
      <w:r w:rsidRPr="000A25B7">
        <w:rPr>
          <w:rFonts w:ascii="Garamond" w:hAnsi="Garamond"/>
          <w:b/>
          <w:bCs/>
          <w:sz w:val="24"/>
          <w:szCs w:val="24"/>
        </w:rPr>
        <w:t>Supplementary Appendix Table A</w:t>
      </w:r>
      <w:r w:rsidR="0022195E">
        <w:rPr>
          <w:rFonts w:ascii="Garamond" w:hAnsi="Garamond"/>
          <w:sz w:val="24"/>
          <w:szCs w:val="24"/>
        </w:rPr>
        <w:t xml:space="preserve">: </w:t>
      </w:r>
      <w:r w:rsidR="0022195E" w:rsidRPr="0022195E">
        <w:rPr>
          <w:rFonts w:ascii="Garamond" w:hAnsi="Garamond"/>
          <w:b/>
          <w:bCs/>
          <w:sz w:val="24"/>
          <w:szCs w:val="24"/>
        </w:rPr>
        <w:t>Multicollinearity tests - Variance Inflation Factor</w:t>
      </w:r>
    </w:p>
    <w:tbl>
      <w:tblPr>
        <w:tblW w:w="9756" w:type="dxa"/>
        <w:tblLook w:val="04A0" w:firstRow="1" w:lastRow="0" w:firstColumn="1" w:lastColumn="0" w:noHBand="0" w:noVBand="1"/>
      </w:tblPr>
      <w:tblGrid>
        <w:gridCol w:w="2352"/>
        <w:gridCol w:w="731"/>
        <w:gridCol w:w="1120"/>
        <w:gridCol w:w="731"/>
        <w:gridCol w:w="1120"/>
        <w:gridCol w:w="731"/>
        <w:gridCol w:w="1120"/>
        <w:gridCol w:w="731"/>
        <w:gridCol w:w="1120"/>
      </w:tblGrid>
      <w:tr w:rsidR="0022195E" w:rsidRPr="0022195E" w14:paraId="5BA77F9E" w14:textId="77777777" w:rsidTr="0022195E">
        <w:trPr>
          <w:trHeight w:val="266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A95B50" w14:textId="77777777" w:rsidR="0022195E" w:rsidRPr="0022195E" w:rsidRDefault="0022195E" w:rsidP="002219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GB"/>
              </w:rPr>
            </w:pP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0E800" w14:textId="6562F4D4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Ghana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11CF8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Tanzania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12F30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Nigeria</w:t>
            </w:r>
          </w:p>
        </w:tc>
        <w:tc>
          <w:tcPr>
            <w:tcW w:w="18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BF6CA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Zimbabwe</w:t>
            </w:r>
          </w:p>
        </w:tc>
      </w:tr>
      <w:tr w:rsidR="0022195E" w:rsidRPr="0022195E" w14:paraId="6F75E269" w14:textId="77777777" w:rsidTr="005554C4">
        <w:trPr>
          <w:trHeight w:val="266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7C13E" w14:textId="77777777" w:rsidR="0022195E" w:rsidRPr="0022195E" w:rsidRDefault="0022195E" w:rsidP="0022195E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Variable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D3021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VIF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C3C34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1/VIF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2E650A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VIF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71BC7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1/VIF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197C2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VIF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7A79F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1/VIF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656CD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VIF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CE0B8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b/>
                <w:bCs/>
                <w:color w:val="000000"/>
                <w:sz w:val="20"/>
                <w:szCs w:val="20"/>
                <w:lang w:eastAsia="en-GB"/>
              </w:rPr>
              <w:t>1/VIF</w:t>
            </w:r>
          </w:p>
        </w:tc>
      </w:tr>
      <w:tr w:rsidR="0022195E" w:rsidRPr="0022195E" w14:paraId="4ADE032D" w14:textId="77777777" w:rsidTr="005554C4">
        <w:trPr>
          <w:trHeight w:val="266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7BC1BF" w14:textId="77777777" w:rsidR="0022195E" w:rsidRPr="0022195E" w:rsidRDefault="0022195E" w:rsidP="0022195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Lower capacity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C46991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2CDD2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0.725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6ECB94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84C1E3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0.714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EE220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5DC76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0.890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77800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38FBC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0.713</w:t>
            </w:r>
          </w:p>
        </w:tc>
      </w:tr>
      <w:tr w:rsidR="0022195E" w:rsidRPr="0022195E" w14:paraId="5FB4D63B" w14:textId="77777777" w:rsidTr="005554C4">
        <w:trPr>
          <w:trHeight w:val="266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CB422" w14:textId="77777777" w:rsidR="0022195E" w:rsidRPr="0022195E" w:rsidRDefault="0022195E" w:rsidP="0022195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Female Headed HH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74D93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7D658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0.717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6D4ED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1.11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32B3D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0.901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EA444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0AE20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0.890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4F145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98B06B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0.819</w:t>
            </w:r>
          </w:p>
        </w:tc>
      </w:tr>
      <w:tr w:rsidR="0022195E" w:rsidRPr="0022195E" w14:paraId="2436F9C3" w14:textId="77777777" w:rsidTr="005554C4">
        <w:trPr>
          <w:trHeight w:val="266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B7BB6" w14:textId="77777777" w:rsidR="0022195E" w:rsidRPr="0022195E" w:rsidRDefault="0022195E" w:rsidP="0022195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Age HH head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15CCA1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842AF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0.828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319B3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1.25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DD7F8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0.798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32D51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1.39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E6FBD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0.717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11947A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1.34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9FEF6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0.746</w:t>
            </w:r>
          </w:p>
        </w:tc>
      </w:tr>
      <w:tr w:rsidR="0022195E" w:rsidRPr="0022195E" w14:paraId="5079AD0A" w14:textId="77777777" w:rsidTr="005554C4">
        <w:trPr>
          <w:trHeight w:val="266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871DF" w14:textId="77777777" w:rsidR="0022195E" w:rsidRPr="0022195E" w:rsidRDefault="0022195E" w:rsidP="0022195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Schooling of HH head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57585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1.43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A2C63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0.700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86DD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3BAC4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0.706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D7B5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1.37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000D1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0.727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BFF08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1.44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3BD15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0.696</w:t>
            </w:r>
          </w:p>
        </w:tc>
      </w:tr>
      <w:tr w:rsidR="0022195E" w:rsidRPr="0022195E" w14:paraId="068821D7" w14:textId="77777777" w:rsidTr="005554C4">
        <w:trPr>
          <w:trHeight w:val="266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2D60" w14:textId="77777777" w:rsidR="0022195E" w:rsidRPr="0022195E" w:rsidRDefault="0022195E" w:rsidP="0022195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HH Size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9A66D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1.17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6250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0.851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2722C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1.15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2FD64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0.869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FC563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1.35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43BB5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0.740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3794E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1.22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1640C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0.820</w:t>
            </w:r>
          </w:p>
        </w:tc>
      </w:tr>
      <w:tr w:rsidR="0022195E" w:rsidRPr="0022195E" w14:paraId="214A3F01" w14:textId="77777777" w:rsidTr="005554C4">
        <w:trPr>
          <w:trHeight w:val="266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6E3CA" w14:textId="77777777" w:rsidR="0022195E" w:rsidRPr="0022195E" w:rsidRDefault="0022195E" w:rsidP="0022195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Times New Roman"/>
                <w:color w:val="000000"/>
                <w:sz w:val="20"/>
                <w:szCs w:val="20"/>
                <w:lang w:eastAsia="en-GB"/>
              </w:rPr>
              <w:t>(log) hired labour days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D7613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7B1DD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0.831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F218A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1.38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F64BBA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0.723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3F8EF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1.13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1C4E9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0.889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C018D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1.27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44F11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0.787</w:t>
            </w:r>
          </w:p>
        </w:tc>
      </w:tr>
      <w:tr w:rsidR="0022195E" w:rsidRPr="0022195E" w14:paraId="7A8F388A" w14:textId="77777777" w:rsidTr="005554C4">
        <w:trPr>
          <w:trHeight w:val="266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FDEB5" w14:textId="77777777" w:rsidR="0022195E" w:rsidRPr="0022195E" w:rsidRDefault="0022195E" w:rsidP="0022195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Housing Index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F9B52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268344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0.768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67F73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1.62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43E04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0.618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BCDC3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16F0F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0.758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E5548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AAC42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0.795</w:t>
            </w:r>
          </w:p>
        </w:tc>
      </w:tr>
      <w:tr w:rsidR="0022195E" w:rsidRPr="0022195E" w14:paraId="4E4F6141" w14:textId="77777777" w:rsidTr="005554C4">
        <w:trPr>
          <w:trHeight w:val="266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78FACB" w14:textId="77777777" w:rsidR="0022195E" w:rsidRPr="0022195E" w:rsidRDefault="0022195E" w:rsidP="0022195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Access to Services Index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A36E8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1.57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59311B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0.639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DB5F3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1.66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9D64A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0.604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E9265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331C4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0.663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8F676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1.28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3C091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0.780</w:t>
            </w:r>
          </w:p>
        </w:tc>
      </w:tr>
      <w:tr w:rsidR="0022195E" w:rsidRPr="0022195E" w14:paraId="5AE23BE4" w14:textId="77777777" w:rsidTr="005554C4">
        <w:trPr>
          <w:trHeight w:val="266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2C7A3" w14:textId="77777777" w:rsidR="0022195E" w:rsidRPr="0022195E" w:rsidRDefault="0022195E" w:rsidP="0022195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Tarmac Road Access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1ADED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2.89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A44A6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0.346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86F32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1.21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E914E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0.830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992366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1.23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FAD28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0.815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2E513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1.36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AC206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0.737</w:t>
            </w:r>
          </w:p>
        </w:tc>
      </w:tr>
      <w:tr w:rsidR="0022195E" w:rsidRPr="0022195E" w14:paraId="3C335341" w14:textId="77777777" w:rsidTr="005554C4">
        <w:trPr>
          <w:trHeight w:val="266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208042" w14:textId="77777777" w:rsidR="0022195E" w:rsidRPr="0022195E" w:rsidRDefault="0022195E" w:rsidP="0022195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Market Access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52311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1.73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F1AC5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0.577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2B801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1.12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9E04B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0.890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E8699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E5DE5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0.873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4EA85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5A479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0.773</w:t>
            </w:r>
          </w:p>
        </w:tc>
      </w:tr>
      <w:tr w:rsidR="0022195E" w:rsidRPr="0022195E" w14:paraId="05C492D8" w14:textId="77777777" w:rsidTr="005554C4">
        <w:trPr>
          <w:trHeight w:val="266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DBF48" w14:textId="77777777" w:rsidR="0022195E" w:rsidRPr="0022195E" w:rsidRDefault="0022195E" w:rsidP="0022195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 xml:space="preserve">Subjective Poverty 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FE3DA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1.42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512F6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0.703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354F5F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1.51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2A77B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0.660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00DD3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1.29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F2B80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0.777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48ACB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1.32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D578D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0.760</w:t>
            </w:r>
          </w:p>
        </w:tc>
      </w:tr>
      <w:tr w:rsidR="0022195E" w:rsidRPr="0022195E" w14:paraId="3D77FE61" w14:textId="77777777" w:rsidTr="005554C4">
        <w:trPr>
          <w:trHeight w:val="266"/>
        </w:trPr>
        <w:tc>
          <w:tcPr>
            <w:tcW w:w="23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21B0B" w14:textId="77777777" w:rsidR="0022195E" w:rsidRPr="0022195E" w:rsidRDefault="0022195E" w:rsidP="0022195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Mean VIF</w:t>
            </w: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146623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2.14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F3131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F14E5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1.77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164D6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6692A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1.54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D612C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5CAFE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  <w:r w:rsidRPr="0022195E"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  <w:t>3.18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975C6" w14:textId="77777777" w:rsidR="0022195E" w:rsidRPr="0022195E" w:rsidRDefault="0022195E" w:rsidP="0022195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2E140920" w14:textId="4CD042BA" w:rsidR="00AD5EFF" w:rsidRPr="005554C4" w:rsidRDefault="005554C4" w:rsidP="005554C4">
      <w:pPr>
        <w:jc w:val="both"/>
        <w:rPr>
          <w:rFonts w:ascii="Garamond" w:hAnsi="Garamond"/>
        </w:rPr>
      </w:pPr>
      <w:r w:rsidRPr="005554C4">
        <w:rPr>
          <w:rFonts w:ascii="Garamond" w:hAnsi="Garamond"/>
        </w:rPr>
        <w:t xml:space="preserve">Note: The </w:t>
      </w:r>
      <w:r w:rsidRPr="005554C4">
        <w:rPr>
          <w:rFonts w:ascii="Garamond" w:hAnsi="Garamond"/>
        </w:rPr>
        <w:t>variance inflation factor (VIF) measures the correlation and strength of correlation between capacity and the control variables in our regression model.</w:t>
      </w:r>
      <w:r w:rsidR="00B8368B" w:rsidRPr="00B8368B">
        <w:t xml:space="preserve"> </w:t>
      </w:r>
      <w:r w:rsidR="00B8368B" w:rsidRPr="00B8368B">
        <w:rPr>
          <w:rFonts w:ascii="Garamond" w:hAnsi="Garamond"/>
        </w:rPr>
        <w:t xml:space="preserve">A VIF of 1 means that there is no correlation </w:t>
      </w:r>
      <w:r w:rsidR="00B8368B">
        <w:rPr>
          <w:rFonts w:ascii="Garamond" w:hAnsi="Garamond"/>
        </w:rPr>
        <w:t>between</w:t>
      </w:r>
      <w:r w:rsidR="00B8368B" w:rsidRPr="00B8368B">
        <w:rPr>
          <w:rFonts w:ascii="Garamond" w:hAnsi="Garamond"/>
        </w:rPr>
        <w:t xml:space="preserve"> the </w:t>
      </w:r>
      <w:r w:rsidR="00B8368B">
        <w:rPr>
          <w:rFonts w:ascii="Garamond" w:hAnsi="Garamond"/>
        </w:rPr>
        <w:t>specific independent variable</w:t>
      </w:r>
      <w:r w:rsidR="00B8368B" w:rsidRPr="00B8368B">
        <w:rPr>
          <w:rFonts w:ascii="Garamond" w:hAnsi="Garamond"/>
        </w:rPr>
        <w:t xml:space="preserve"> and the remaining variables</w:t>
      </w:r>
      <w:r w:rsidR="00856586">
        <w:rPr>
          <w:rFonts w:ascii="Garamond" w:hAnsi="Garamond"/>
        </w:rPr>
        <w:t>;</w:t>
      </w:r>
      <w:r w:rsidR="00B8368B">
        <w:rPr>
          <w:rFonts w:ascii="Garamond" w:hAnsi="Garamond"/>
        </w:rPr>
        <w:t xml:space="preserve"> VIF </w:t>
      </w:r>
      <w:r w:rsidR="00B8368B" w:rsidRPr="00B8368B">
        <w:rPr>
          <w:rFonts w:ascii="Garamond" w:hAnsi="Garamond"/>
        </w:rPr>
        <w:t>exceeding 4 warrant</w:t>
      </w:r>
      <w:r w:rsidR="00B8368B">
        <w:rPr>
          <w:rFonts w:ascii="Garamond" w:hAnsi="Garamond"/>
        </w:rPr>
        <w:t>s</w:t>
      </w:r>
      <w:r w:rsidR="00B8368B" w:rsidRPr="00B8368B">
        <w:rPr>
          <w:rFonts w:ascii="Garamond" w:hAnsi="Garamond"/>
        </w:rPr>
        <w:t xml:space="preserve"> further investigation</w:t>
      </w:r>
      <w:r w:rsidR="00856586">
        <w:rPr>
          <w:rFonts w:ascii="Garamond" w:hAnsi="Garamond"/>
        </w:rPr>
        <w:t>;</w:t>
      </w:r>
      <w:r w:rsidR="00B8368B" w:rsidRPr="00B8368B">
        <w:rPr>
          <w:rFonts w:ascii="Garamond" w:hAnsi="Garamond"/>
        </w:rPr>
        <w:t xml:space="preserve"> </w:t>
      </w:r>
      <w:r w:rsidR="00856586">
        <w:rPr>
          <w:rFonts w:ascii="Garamond" w:hAnsi="Garamond"/>
        </w:rPr>
        <w:t>and,</w:t>
      </w:r>
      <w:r w:rsidR="00B8368B" w:rsidRPr="00B8368B">
        <w:rPr>
          <w:rFonts w:ascii="Garamond" w:hAnsi="Garamond"/>
        </w:rPr>
        <w:t xml:space="preserve"> VIFs exceeding 10 are signs of serious multicollinearity.</w:t>
      </w:r>
    </w:p>
    <w:p w14:paraId="3A57F797" w14:textId="5BC22CC7" w:rsidR="00AD5EFF" w:rsidRDefault="00AD5EFF">
      <w:pPr>
        <w:rPr>
          <w:sz w:val="24"/>
          <w:szCs w:val="24"/>
        </w:rPr>
      </w:pPr>
    </w:p>
    <w:p w14:paraId="433CAEBA" w14:textId="0A07E6A5" w:rsidR="00AD5EFF" w:rsidRDefault="00AD5EFF">
      <w:pPr>
        <w:rPr>
          <w:sz w:val="24"/>
          <w:szCs w:val="24"/>
        </w:rPr>
      </w:pPr>
    </w:p>
    <w:p w14:paraId="6C280FF2" w14:textId="57F8A61B" w:rsidR="00AD5EFF" w:rsidRDefault="00AD5EFF">
      <w:pPr>
        <w:rPr>
          <w:sz w:val="24"/>
          <w:szCs w:val="24"/>
        </w:rPr>
      </w:pPr>
    </w:p>
    <w:p w14:paraId="1C8600D3" w14:textId="77777777" w:rsidR="00AD5EFF" w:rsidRDefault="00AD5EFF" w:rsidP="00A3083F">
      <w:pPr>
        <w:pStyle w:val="FootnoteText"/>
        <w:jc w:val="both"/>
        <w:rPr>
          <w:rFonts w:ascii="Garamond" w:hAnsi="Garamond"/>
          <w:b/>
          <w:bCs/>
          <w:sz w:val="24"/>
          <w:szCs w:val="24"/>
        </w:rPr>
        <w:sectPr w:rsidR="00AD5EFF">
          <w:footerReference w:type="default" r:id="rId6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8F0D498" w14:textId="13B791DA" w:rsidR="00A3083F" w:rsidRPr="0022195E" w:rsidRDefault="00A3083F" w:rsidP="00A3083F">
      <w:pPr>
        <w:pStyle w:val="FootnoteText"/>
        <w:jc w:val="both"/>
        <w:rPr>
          <w:rFonts w:ascii="Garamond" w:hAnsi="Garamond"/>
          <w:sz w:val="24"/>
          <w:szCs w:val="24"/>
        </w:rPr>
      </w:pPr>
      <w:r w:rsidRPr="000A25B7">
        <w:rPr>
          <w:rFonts w:ascii="Garamond" w:hAnsi="Garamond"/>
          <w:b/>
          <w:bCs/>
          <w:sz w:val="24"/>
          <w:szCs w:val="24"/>
        </w:rPr>
        <w:lastRenderedPageBreak/>
        <w:t xml:space="preserve">Supplementary Appendix Table </w:t>
      </w:r>
      <w:r w:rsidR="000742D0">
        <w:rPr>
          <w:rFonts w:ascii="Garamond" w:hAnsi="Garamond"/>
          <w:b/>
          <w:bCs/>
          <w:sz w:val="24"/>
          <w:szCs w:val="24"/>
        </w:rPr>
        <w:t>B</w:t>
      </w:r>
      <w:r>
        <w:rPr>
          <w:rFonts w:ascii="Garamond" w:hAnsi="Garamond"/>
          <w:sz w:val="24"/>
          <w:szCs w:val="24"/>
        </w:rPr>
        <w:t xml:space="preserve">: </w:t>
      </w:r>
      <w:r>
        <w:rPr>
          <w:rFonts w:ascii="Garamond" w:hAnsi="Garamond"/>
          <w:b/>
          <w:bCs/>
          <w:sz w:val="24"/>
          <w:szCs w:val="24"/>
        </w:rPr>
        <w:t xml:space="preserve">Correlations </w:t>
      </w:r>
    </w:p>
    <w:tbl>
      <w:tblPr>
        <w:tblW w:w="4468" w:type="pct"/>
        <w:tblLayout w:type="fixed"/>
        <w:tblLook w:val="04A0" w:firstRow="1" w:lastRow="0" w:firstColumn="1" w:lastColumn="0" w:noHBand="0" w:noVBand="1"/>
      </w:tblPr>
      <w:tblGrid>
        <w:gridCol w:w="1750"/>
        <w:gridCol w:w="713"/>
        <w:gridCol w:w="1083"/>
        <w:gridCol w:w="993"/>
        <w:gridCol w:w="990"/>
        <w:gridCol w:w="708"/>
        <w:gridCol w:w="993"/>
        <w:gridCol w:w="990"/>
        <w:gridCol w:w="1277"/>
        <w:gridCol w:w="1135"/>
        <w:gridCol w:w="848"/>
        <w:gridCol w:w="993"/>
      </w:tblGrid>
      <w:tr w:rsidR="00AD5EFF" w:rsidRPr="00AD5EFF" w14:paraId="64F4C793" w14:textId="77777777" w:rsidTr="00AD5EFF">
        <w:trPr>
          <w:trHeight w:val="471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842A1A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eastAsia="en-GB"/>
              </w:rPr>
              <w:t>GHANA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4FF5D3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Lower capacity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652FB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Female Headed HH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A2AEB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Age HH head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D5B00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Schooling of HH head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02D6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HH Size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EC50D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(log) hired labour days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A608F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Housing Index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729D0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Access to Services Index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BDE91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Tarmac Road Access 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61785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Market Access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14804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Subjective Poverty </w:t>
            </w:r>
          </w:p>
        </w:tc>
      </w:tr>
      <w:tr w:rsidR="00AD5EFF" w:rsidRPr="00AD5EFF" w14:paraId="1BC3BB22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9931A3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Lower capacity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20EE3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1.000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1D7A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1769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2AF1E2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E43AA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6C56D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09308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568BC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FAB11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2A2EA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30A8AD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42DF9E86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EC95D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Female Headed HH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FCF9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0.079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C001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1.000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D4913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9575D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4F32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004CA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461C5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798BD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B39CB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4DDE3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12FB3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00298123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152E0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Age HH head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506D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0.030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400B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0.167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BE5B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1.000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9502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52045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3B5B4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EB4E5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B4B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7D6AE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390FB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D906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6381364A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BBFCA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Schooling of HH head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9791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-0.149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60E9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-0.427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7E0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-0.190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20E8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1.000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493E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3BFC88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3DCE6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E482F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40ABE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CE26E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D773C6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45054E4E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C9A09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HH Size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E2D5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0.130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9EA6B1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-0.143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DBBB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-0.132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6B55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0.028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7B95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1.000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E770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83BE0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DEA66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625B8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C1D572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6227A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74797D79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9D1B6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(log) hired labour days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F28F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-0.156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3F46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0.108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32D3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0.065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A7A1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0.055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69E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-0.036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5B765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1.000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D8189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40DD4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367F8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8426D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92552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61683F70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F7E1E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Housing Index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64C2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-0.001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3FC0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0.064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8C1F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-0.008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A1ED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0.054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41FDB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-0.047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EBEED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0.107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F7073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1.000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9CA4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1480D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012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6F455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1D62ADF1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68E5D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Access to Services Index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08E7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-0.278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5DDF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0.007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1472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0.032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3E87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0.131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69997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0.010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3090C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0.103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FFDA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0.214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3198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1.000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747D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610A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3BDBB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4A534C62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7A587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Tarmac Road Access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627F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-0.080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8661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-0.031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0F95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0.012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9490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0.086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47381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-0.002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FF86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0.004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9476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0.110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53F4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0.156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EF6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1.000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59BF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C0548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60FDE929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A63266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Market Access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87B5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0.062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0EEC1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-0.015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51C1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0.026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14BAD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-0.014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121A3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-0.013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4325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0.124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9D3D4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0.189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4B3A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-0.005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AD900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0.158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F50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1.000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7900B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AD5EFF" w:rsidRPr="00AD5EFF" w14:paraId="591D256B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6AAB5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Subjective Poverty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F88F1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-0.221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55F51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-0.116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6712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-0.112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DC8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0.219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E85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0.004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793F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0.142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1471AD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0.196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9D8E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0.243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E40FA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0.210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8864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0.097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4361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1.000</w:t>
            </w:r>
          </w:p>
        </w:tc>
      </w:tr>
      <w:tr w:rsidR="00AD5EFF" w:rsidRPr="00AD5EFF" w14:paraId="3CA38C38" w14:textId="77777777" w:rsidTr="00AD5EFF">
        <w:trPr>
          <w:trHeight w:val="471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151C3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eastAsia="en-GB"/>
              </w:rPr>
              <w:t>TANZANIA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1A8227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Lower capacity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FE39D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Female Headed HH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BE8E3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Age HH head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200D8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Schooling of HH head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710AC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HH Size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764C9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(log) hired labour days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245BD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Housing Index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A51E1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Access to Services Index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405FE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Tarmac Road Access 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6D8CA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Market Access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C76612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Subjective Poverty </w:t>
            </w:r>
          </w:p>
        </w:tc>
      </w:tr>
      <w:tr w:rsidR="00AD5EFF" w:rsidRPr="00AD5EFF" w14:paraId="1B07B96D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47055A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Lower capacity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32B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6D12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35E2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FB77D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F0E8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D1BE6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40BA4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F582F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6F97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CFD69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25AF2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0EE84FF5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15754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Female Headed HH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FE4F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0.0313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0B5F1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0DE4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D2490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07411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17C2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4C50D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8583D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E182C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1F4C6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830E3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4A062E27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0152B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Age HH head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8B7B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0.1048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C979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0.0787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02C0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6273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C446D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9C756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121DC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CB2CF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4B0C1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D91D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C0A1A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58F24568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567A1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Schooling of HH head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5870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-0.1461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A9EF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-0.2007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42A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-0.2516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D2D17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B685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E0FAC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BF2F4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3460B2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E4F6C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E9DC5E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7DEFB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1BDFD6B1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D9B4B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HH Size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B776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0.0682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C02DC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-0.1094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97EE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0.0876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5C8D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-0.1502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D6E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FEC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994413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56072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1E38E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3BF3E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C5C5B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279767D7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C10A6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(log) hired labour days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7B40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-0.344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256F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0.0157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F4D8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-0.0265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ECB9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0.2373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5A15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-0.0724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AA0A1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1122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28848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326BE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23924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66E622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1E853A6D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77380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Housing Index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6F1E1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-0.2882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A32A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-0.0232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642C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-0.0398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CADC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0.2495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36AD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0.0543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86486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0.3596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94FEF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56E1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6E6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13D89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82871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27E3CCDD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1F1C7E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Access to Services Index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5171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-0.2756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4B1C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0.0004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56EB1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-0.0454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4741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0.2824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7411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-0.0782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9174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0.3574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EC54D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0.4795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3F1E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73864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33274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34BE8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4958D428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6FBFF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Tarmac Road Access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6E4AF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0.0056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DC93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-0.0158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CBF0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-0.0171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897E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-0.0153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758A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-0.0833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09DE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0.0078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96EA0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0.0209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9D0E73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-0.0493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40079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F7C4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F7C85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3451587B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FD433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Market Access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CA84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-0.0956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A0A07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0.036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87B3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0.0097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C27ED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-0.0128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4905B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0.0755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2C40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0.1061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8347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0.0122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26C5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0.0388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43F42B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0.0723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ADAE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DB6F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AD5EFF" w:rsidRPr="00AD5EFF" w14:paraId="4391E7BB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C4159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Subjective Poverty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3C4ED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-0.4384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6B0E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-0.0417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CA07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-0.1482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A4272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0.2272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EF92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0.0737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A36C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0.3299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84145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0.4051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0CE8E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0.3243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EDE1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0.0401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A4CAD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0.0552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C778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AD5EFF" w:rsidRPr="00AD5EFF" w14:paraId="193FEF19" w14:textId="77777777" w:rsidTr="00AD5EFF">
        <w:trPr>
          <w:trHeight w:val="471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3D689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eastAsia="en-GB"/>
              </w:rPr>
              <w:t>NIGERIA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A2B4D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eastAsia="en-GB"/>
              </w:rPr>
              <w:t>Lower capacity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BE12A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eastAsia="en-GB"/>
              </w:rPr>
              <w:t>Female Headed HH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A114D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Age HH head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6995A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Schooling of HH head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5FE7D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eastAsia="en-GB"/>
              </w:rPr>
              <w:t>HH Size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0F7BA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color w:val="000000"/>
                <w:sz w:val="16"/>
                <w:szCs w:val="16"/>
                <w:lang w:eastAsia="en-GB"/>
              </w:rPr>
              <w:t>(log) hired labour days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C46DA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Housing Index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70073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Access to Services Index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8FACB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 xml:space="preserve">Tarmac Road Access 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A0E5E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Market Access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61711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 xml:space="preserve">Subjective Poverty </w:t>
            </w:r>
          </w:p>
        </w:tc>
      </w:tr>
      <w:tr w:rsidR="00AD5EFF" w:rsidRPr="00AD5EFF" w14:paraId="76890B7C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458BD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Lower capacity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D2F8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4A12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7834D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C4FFE8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A4671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D2AC1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DEF73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C7F79B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2AD35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9110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8DF3D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144FD340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8A9CA5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Female Headed HH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81E8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0.0286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766C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DB87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A18C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4D93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0E04F4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0C48D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1531B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DEC4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9E45D9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A5872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13575A07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7FCD0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Age HH head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AAB1B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0.0257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E1BB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0.1377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AA23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F002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6045B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1DA44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6048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BD947A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602EE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52FB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B3E06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703BA7E6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57CF6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Schooling of HH head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7A89B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-0.049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C27D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-0.0763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11B4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-0.2587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13BA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57F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8DD148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2B198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3C033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15645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764B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F9D8A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59B36837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50A8E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lastRenderedPageBreak/>
              <w:t>HH Size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C7E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-0.0664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C7683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-0.1876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B47E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0.1414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200E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-0.1858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92FD3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CC9B4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6EB728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755FBC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67FD8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3656C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16C5E9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02F70E12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1E763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(log) hired labour days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69FE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0.0243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119B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0.0133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44F2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-0.0062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E7F6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0.1229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AC7F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-0.1622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535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890D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6126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DDA1B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4F57C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A47F2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7F3CDE30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38574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Housing Index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3A6D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-0.0338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4153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0.0453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FB98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0.0981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D26E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0.2025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D12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-0.0093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A3E6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0.063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7EE7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6CA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819DA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4B755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0A0A60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696C461D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4C50E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Access to Services Index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8A06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-0.1063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E3BA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0.0846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496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0.0306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27045B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0.3284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EEE4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-0.0275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7DDC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0.0464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3054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0.4236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DEA8F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6128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2BC35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FB294D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41A43E12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AA9E3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Tarmac Road Access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E4641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-0.1538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1E07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-0.0632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6C072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-0.0134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FEB3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0.0309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46D91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0.1684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32CD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-0.048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AD8C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0.0993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BBA42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0.1297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6810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DFECB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8EACC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023EACD5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E0796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Market Access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5F78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-0.0379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07C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-0.074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5424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0.0751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D31C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0.028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A924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-0.0173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A8D7B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0.102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2597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0.0976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DE88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0.1207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EF89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0.1894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E34F0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5BDD1D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AD5EFF" w:rsidRPr="00AD5EFF" w14:paraId="440F0AC3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790E44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Subjective Poverty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52AF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-0.2373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DEB3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-0.0408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4B01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0.0521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FEE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0.1855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4EBB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-0.0019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3C40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-0.0288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49771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0.2416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27B6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0.3162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B5F95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0.1966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2B3D6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-0.0199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09DB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  <w:tr w:rsidR="00AD5EFF" w:rsidRPr="00AD5EFF" w14:paraId="0018C530" w14:textId="77777777" w:rsidTr="00AD5EFF">
        <w:trPr>
          <w:trHeight w:val="471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CA4CC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b/>
                <w:bCs/>
                <w:color w:val="000000"/>
                <w:sz w:val="24"/>
                <w:szCs w:val="24"/>
                <w:lang w:eastAsia="en-GB"/>
              </w:rPr>
              <w:t>ZIMBABWE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EAEFC4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Lower capacity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CFAE3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Female Headed HH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19148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Age HH head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9F678D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Schooling of HH head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45161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HH Size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2E92D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(log) hired labour days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78559E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Housing Index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94206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Access to Services Index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6BFC9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Tarmac Road Access 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87988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Market Access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B2575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Subjective Poverty </w:t>
            </w:r>
          </w:p>
        </w:tc>
      </w:tr>
      <w:tr w:rsidR="00AD5EFF" w:rsidRPr="00AD5EFF" w14:paraId="3BFDD416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516115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Lower capacity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647A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F3A3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D6944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C2042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E538D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1E51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FD7F4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C6CE8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EABBC6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27D50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E2C80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47F97E30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E2291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Female Headed HH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0CE9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0.1218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286B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37111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79C2F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FA871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DD876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DF70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9AAD9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5C1489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C8D1A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E2DA1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04BA8F88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AC54A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Age HH head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1F772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-0.0462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B1A1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0.1516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A98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61F9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806C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8EF57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2976C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7FAA1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6CEA6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2A02E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7D170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6A66715D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0FFB8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Schooling of HH head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FEE8E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-0.0911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8813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-0.3216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2CCE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-0.3935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C047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8388A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1DE5C1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03DF5B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C490E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4AE4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4FE80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416AB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73224DE9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7F56B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HH Size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F4A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0.1371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C31A3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-0.0926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91001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0.0064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7F5B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0.0031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4BC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6A4EC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51E234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5FB104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6D546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0AAB4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A1B825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42A46E46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3E81F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Times New Roman"/>
                <w:i/>
                <w:iCs/>
                <w:color w:val="000000"/>
                <w:sz w:val="16"/>
                <w:szCs w:val="16"/>
                <w:lang w:eastAsia="en-GB"/>
              </w:rPr>
              <w:t>(log) hired labour days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CA62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-0.2869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E3B0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-0.0288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6B126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-0.0517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D95E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0.1505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5C2691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-0.1754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0613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F55D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C525F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0F4BB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98B44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087BF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1BB88400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73CA3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Housing Index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DFE73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-0.2625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75553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0.0246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118E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-0.023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6631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0.1166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524A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0.0635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C01B3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0.1738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9DA23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24DB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4BB5D3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8B4BC6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C8F6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27F87C1B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CA66E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Access to Services Index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986CD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-0.1079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5533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0.0473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56E2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0.1414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F5821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0.0176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4F04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-0.0168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02010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0.1135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D1B91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0.1082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756D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BC67B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A3BFF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BC5AE8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56DDB544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BDDB2C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Tarmac Road Access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8DE5C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0.0375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4BF0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-0.0309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BE0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-0.0656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676D2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-0.02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9283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-0.0379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7815E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-0.0311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ADB6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-0.0254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DEBEC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-0.1017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8B38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C0B7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0FB19" w14:textId="77777777" w:rsidR="00AD5EFF" w:rsidRPr="00AD5EFF" w:rsidRDefault="00AD5EFF" w:rsidP="00AD5EFF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en-GB"/>
              </w:rPr>
            </w:pPr>
          </w:p>
        </w:tc>
      </w:tr>
      <w:tr w:rsidR="00AD5EFF" w:rsidRPr="00AD5EFF" w14:paraId="51564BEF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C61D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>Market Access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FFE9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-0.0536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66EE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-0.0588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484B8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0.032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87920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0.0025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9F1A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0.062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8F1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-0.0155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5AC0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-0.0268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5B0D4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0.1458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DB3E0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-0.003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A396B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99BAF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</w:p>
        </w:tc>
      </w:tr>
      <w:tr w:rsidR="00AD5EFF" w:rsidRPr="00AD5EFF" w14:paraId="6C51107F" w14:textId="77777777" w:rsidTr="00AD5EFF">
        <w:trPr>
          <w:trHeight w:val="277"/>
        </w:trPr>
        <w:tc>
          <w:tcPr>
            <w:tcW w:w="7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ABF4F9" w14:textId="77777777" w:rsidR="00AD5EFF" w:rsidRPr="00AD5EFF" w:rsidRDefault="00AD5EFF" w:rsidP="00AD5EFF">
            <w:pPr>
              <w:spacing w:after="0" w:line="240" w:lineRule="auto"/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i/>
                <w:iCs/>
                <w:color w:val="000000"/>
                <w:sz w:val="16"/>
                <w:szCs w:val="16"/>
                <w:lang w:eastAsia="en-GB"/>
              </w:rPr>
              <w:t xml:space="preserve">Subjective Poverty 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1FCE7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-0.3209</w:t>
            </w:r>
          </w:p>
        </w:tc>
        <w:tc>
          <w:tcPr>
            <w:tcW w:w="4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FFAEB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CA6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-0.0544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16EB1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0.1837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5E68A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0.0189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A087B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0.194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45A69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0.2022</w:t>
            </w:r>
          </w:p>
        </w:tc>
        <w:tc>
          <w:tcPr>
            <w:tcW w:w="51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D2E3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0.0595</w:t>
            </w:r>
          </w:p>
        </w:tc>
        <w:tc>
          <w:tcPr>
            <w:tcW w:w="4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28CB5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-0.0354</w:t>
            </w:r>
          </w:p>
        </w:tc>
        <w:tc>
          <w:tcPr>
            <w:tcW w:w="34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CD358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-0.245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4BDC6" w14:textId="77777777" w:rsidR="00AD5EFF" w:rsidRPr="00AD5EFF" w:rsidRDefault="00AD5EFF" w:rsidP="00AD5EFF">
            <w:pPr>
              <w:spacing w:after="0" w:line="240" w:lineRule="auto"/>
              <w:jc w:val="right"/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</w:pPr>
            <w:r w:rsidRPr="00AD5EFF">
              <w:rPr>
                <w:rFonts w:ascii="Garamond" w:eastAsia="Times New Roman" w:hAnsi="Garamond" w:cs="Calibri"/>
                <w:color w:val="000000"/>
                <w:sz w:val="16"/>
                <w:szCs w:val="16"/>
                <w:lang w:eastAsia="en-GB"/>
              </w:rPr>
              <w:t>1</w:t>
            </w:r>
          </w:p>
        </w:tc>
      </w:tr>
    </w:tbl>
    <w:p w14:paraId="64DD8782" w14:textId="77777777" w:rsidR="00AD5EFF" w:rsidRDefault="00AD5EFF">
      <w:pPr>
        <w:rPr>
          <w:sz w:val="24"/>
          <w:szCs w:val="24"/>
        </w:rPr>
        <w:sectPr w:rsidR="00AD5EFF" w:rsidSect="00AD5EFF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14:paraId="20964C50" w14:textId="20860049" w:rsidR="00417907" w:rsidRPr="00D80794" w:rsidRDefault="00417907" w:rsidP="00E549DC">
      <w:pPr>
        <w:spacing w:after="0"/>
        <w:rPr>
          <w:rFonts w:ascii="Garamond" w:hAnsi="Garamond" w:cs="Arabic Typesetting"/>
          <w:b/>
          <w:bCs/>
        </w:rPr>
      </w:pPr>
      <w:r w:rsidRPr="00D80794">
        <w:rPr>
          <w:rFonts w:ascii="Garamond" w:hAnsi="Garamond" w:cs="Arabic Typesetting"/>
          <w:b/>
          <w:bCs/>
        </w:rPr>
        <w:lastRenderedPageBreak/>
        <w:t xml:space="preserve">Supplementary Appendix Table </w:t>
      </w:r>
      <w:r w:rsidR="00E549DC" w:rsidRPr="00D80794">
        <w:rPr>
          <w:rFonts w:ascii="Garamond" w:hAnsi="Garamond" w:cs="Arabic Typesetting"/>
          <w:b/>
          <w:bCs/>
        </w:rPr>
        <w:t>C</w:t>
      </w:r>
      <w:r w:rsidRPr="00D80794">
        <w:rPr>
          <w:rFonts w:ascii="Garamond" w:hAnsi="Garamond" w:cs="Arabic Typesetting"/>
          <w:b/>
          <w:bCs/>
        </w:rPr>
        <w:t xml:space="preserve">: Robustness tests </w:t>
      </w:r>
      <w:r w:rsidR="00FF6F8F" w:rsidRPr="00D80794">
        <w:rPr>
          <w:rFonts w:ascii="Garamond" w:hAnsi="Garamond" w:cs="Arabic Typesetting"/>
          <w:b/>
          <w:bCs/>
        </w:rPr>
        <w:t>with</w:t>
      </w:r>
      <w:r w:rsidRPr="00D80794">
        <w:rPr>
          <w:rFonts w:ascii="Garamond" w:hAnsi="Garamond" w:cs="Arabic Typesetting"/>
          <w:b/>
          <w:bCs/>
        </w:rPr>
        <w:t xml:space="preserve"> </w:t>
      </w:r>
      <w:r w:rsidR="00FF6F8F" w:rsidRPr="00D80794">
        <w:rPr>
          <w:rFonts w:ascii="Garamond" w:hAnsi="Garamond" w:cs="Arabic Typesetting"/>
          <w:b/>
          <w:bCs/>
        </w:rPr>
        <w:t>alternate</w:t>
      </w:r>
      <w:r w:rsidRPr="00D80794">
        <w:rPr>
          <w:rFonts w:ascii="Garamond" w:hAnsi="Garamond" w:cs="Arabic Typesetting"/>
          <w:b/>
          <w:bCs/>
        </w:rPr>
        <w:t xml:space="preserve"> </w:t>
      </w:r>
      <w:r w:rsidR="00FF6F8F" w:rsidRPr="00D80794">
        <w:rPr>
          <w:rFonts w:ascii="Garamond" w:hAnsi="Garamond" w:cs="Arabic Typesetting"/>
          <w:b/>
          <w:bCs/>
        </w:rPr>
        <w:t>matching</w:t>
      </w:r>
    </w:p>
    <w:tbl>
      <w:tblPr>
        <w:tblStyle w:val="TableGrid"/>
        <w:tblW w:w="9430" w:type="dxa"/>
        <w:jc w:val="center"/>
        <w:tblLook w:val="04A0" w:firstRow="1" w:lastRow="0" w:firstColumn="1" w:lastColumn="0" w:noHBand="0" w:noVBand="1"/>
      </w:tblPr>
      <w:tblGrid>
        <w:gridCol w:w="3571"/>
        <w:gridCol w:w="2707"/>
        <w:gridCol w:w="3152"/>
      </w:tblGrid>
      <w:tr w:rsidR="00922C6D" w:rsidRPr="00D80794" w14:paraId="1B22072A" w14:textId="77777777" w:rsidTr="004F2568">
        <w:trPr>
          <w:trHeight w:val="227"/>
          <w:jc w:val="center"/>
        </w:trPr>
        <w:tc>
          <w:tcPr>
            <w:tcW w:w="3571" w:type="dxa"/>
          </w:tcPr>
          <w:p w14:paraId="40FA6EDB" w14:textId="77777777" w:rsidR="00417907" w:rsidRPr="00D80794" w:rsidRDefault="00417907" w:rsidP="005F0456">
            <w:pPr>
              <w:spacing w:line="264" w:lineRule="auto"/>
              <w:jc w:val="both"/>
              <w:rPr>
                <w:rFonts w:ascii="Garamond" w:hAnsi="Garamond" w:cs="Arabic Typesetting"/>
                <w:bCs/>
                <w:sz w:val="20"/>
                <w:szCs w:val="20"/>
              </w:rPr>
            </w:pPr>
          </w:p>
        </w:tc>
        <w:tc>
          <w:tcPr>
            <w:tcW w:w="2707" w:type="dxa"/>
            <w:vAlign w:val="center"/>
          </w:tcPr>
          <w:p w14:paraId="627BA092" w14:textId="77777777" w:rsidR="00417907" w:rsidRPr="00D80794" w:rsidRDefault="00417907" w:rsidP="005F0456">
            <w:pPr>
              <w:spacing w:line="264" w:lineRule="auto"/>
              <w:jc w:val="center"/>
              <w:rPr>
                <w:rFonts w:ascii="Garamond" w:hAnsi="Garamond" w:cs="Arabic Typesetting"/>
                <w:bCs/>
                <w:sz w:val="20"/>
                <w:szCs w:val="20"/>
              </w:rPr>
            </w:pPr>
            <w:r w:rsidRPr="00D80794">
              <w:rPr>
                <w:rFonts w:ascii="Garamond" w:hAnsi="Garamond" w:cs="Arabic Typesetting"/>
                <w:b/>
                <w:sz w:val="20"/>
                <w:szCs w:val="20"/>
              </w:rPr>
              <w:t>Benchmark specification</w:t>
            </w:r>
          </w:p>
        </w:tc>
        <w:tc>
          <w:tcPr>
            <w:tcW w:w="3152" w:type="dxa"/>
          </w:tcPr>
          <w:p w14:paraId="3BCBF926" w14:textId="0AC3E5D4" w:rsidR="00417907" w:rsidRPr="00D80794" w:rsidRDefault="00417907" w:rsidP="005F0456">
            <w:pPr>
              <w:spacing w:line="264" w:lineRule="auto"/>
              <w:jc w:val="center"/>
              <w:rPr>
                <w:rFonts w:ascii="Garamond" w:hAnsi="Garamond" w:cs="Arabic Typesetting"/>
                <w:b/>
                <w:sz w:val="20"/>
                <w:szCs w:val="20"/>
              </w:rPr>
            </w:pPr>
            <w:r w:rsidRPr="00D80794">
              <w:rPr>
                <w:rFonts w:ascii="Garamond" w:hAnsi="Garamond" w:cs="Arabic Typesetting"/>
                <w:b/>
                <w:sz w:val="20"/>
                <w:szCs w:val="20"/>
              </w:rPr>
              <w:t>Robustness</w:t>
            </w:r>
            <w:r w:rsidR="00FF6F8F" w:rsidRPr="00D80794">
              <w:rPr>
                <w:rFonts w:ascii="Garamond" w:hAnsi="Garamond" w:cs="Arabic Typesetting"/>
                <w:b/>
                <w:sz w:val="20"/>
                <w:szCs w:val="20"/>
              </w:rPr>
              <w:t xml:space="preserve"> </w:t>
            </w:r>
          </w:p>
        </w:tc>
      </w:tr>
      <w:tr w:rsidR="00922C6D" w:rsidRPr="00D80794" w14:paraId="66B22D33" w14:textId="77777777" w:rsidTr="004F2568">
        <w:trPr>
          <w:trHeight w:val="701"/>
          <w:jc w:val="center"/>
        </w:trPr>
        <w:tc>
          <w:tcPr>
            <w:tcW w:w="3571" w:type="dxa"/>
          </w:tcPr>
          <w:p w14:paraId="570D3A74" w14:textId="77777777" w:rsidR="00417907" w:rsidRPr="00D80794" w:rsidRDefault="00417907" w:rsidP="005F0456">
            <w:pPr>
              <w:spacing w:line="264" w:lineRule="auto"/>
              <w:jc w:val="both"/>
              <w:rPr>
                <w:rFonts w:ascii="Garamond" w:hAnsi="Garamond" w:cs="Arabic Typesetting"/>
                <w:bCs/>
                <w:sz w:val="20"/>
                <w:szCs w:val="20"/>
              </w:rPr>
            </w:pPr>
          </w:p>
        </w:tc>
        <w:tc>
          <w:tcPr>
            <w:tcW w:w="2707" w:type="dxa"/>
            <w:vAlign w:val="center"/>
          </w:tcPr>
          <w:p w14:paraId="318853FA" w14:textId="6D3AC796" w:rsidR="00417907" w:rsidRPr="00D80794" w:rsidRDefault="00D80794" w:rsidP="005F0456">
            <w:pPr>
              <w:spacing w:line="264" w:lineRule="auto"/>
              <w:jc w:val="center"/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</w:pPr>
            <w:r w:rsidRPr="00D80794"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  <w:t>Nearest Neighbour</w:t>
            </w:r>
          </w:p>
        </w:tc>
        <w:tc>
          <w:tcPr>
            <w:tcW w:w="3152" w:type="dxa"/>
            <w:vAlign w:val="center"/>
          </w:tcPr>
          <w:p w14:paraId="560A5D82" w14:textId="4E552370" w:rsidR="00417907" w:rsidRPr="00D80794" w:rsidRDefault="00D80794" w:rsidP="005F0456">
            <w:pPr>
              <w:spacing w:line="264" w:lineRule="auto"/>
              <w:jc w:val="center"/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</w:pPr>
            <w:proofErr w:type="spellStart"/>
            <w:r w:rsidRPr="00D80794"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  <w:t>Mahalanobis</w:t>
            </w:r>
            <w:proofErr w:type="spellEnd"/>
          </w:p>
        </w:tc>
      </w:tr>
      <w:tr w:rsidR="00FE28D6" w:rsidRPr="00D80794" w14:paraId="3F61A21D" w14:textId="77777777" w:rsidTr="004F2568">
        <w:trPr>
          <w:trHeight w:val="453"/>
          <w:jc w:val="center"/>
        </w:trPr>
        <w:tc>
          <w:tcPr>
            <w:tcW w:w="3571" w:type="dxa"/>
            <w:vAlign w:val="center"/>
          </w:tcPr>
          <w:p w14:paraId="5C7CE9B9" w14:textId="6E2D4507" w:rsidR="00FE28D6" w:rsidRPr="00D80794" w:rsidRDefault="00FE28D6" w:rsidP="005F0456">
            <w:pPr>
              <w:spacing w:line="264" w:lineRule="auto"/>
              <w:rPr>
                <w:rFonts w:ascii="Garamond" w:hAnsi="Garamond" w:cs="Arabic Typesetting"/>
                <w:b/>
                <w:sz w:val="20"/>
                <w:szCs w:val="20"/>
              </w:rPr>
            </w:pPr>
            <w:r w:rsidRPr="00D80794">
              <w:rPr>
                <w:rFonts w:ascii="Garamond" w:hAnsi="Garamond" w:cs="Arabic Typesetting"/>
                <w:b/>
                <w:sz w:val="20"/>
                <w:szCs w:val="20"/>
              </w:rPr>
              <w:t>(log) Total value of crop sales</w:t>
            </w:r>
          </w:p>
        </w:tc>
        <w:tc>
          <w:tcPr>
            <w:tcW w:w="5859" w:type="dxa"/>
            <w:gridSpan w:val="2"/>
            <w:vAlign w:val="center"/>
          </w:tcPr>
          <w:p w14:paraId="2D5F62E4" w14:textId="1E2E9D16" w:rsidR="00FE28D6" w:rsidRPr="00D80794" w:rsidRDefault="00FE28D6" w:rsidP="005F0456">
            <w:pPr>
              <w:jc w:val="center"/>
              <w:rPr>
                <w:rFonts w:ascii="Garamond" w:hAnsi="Garamond" w:cs="Arabic Typesetting"/>
                <w:b/>
                <w:sz w:val="20"/>
                <w:szCs w:val="20"/>
              </w:rPr>
            </w:pPr>
            <w:r w:rsidRPr="00D80794">
              <w:rPr>
                <w:rFonts w:ascii="Garamond" w:hAnsi="Garamond" w:cs="Arabic Typesetting"/>
                <w:b/>
                <w:sz w:val="20"/>
                <w:szCs w:val="20"/>
              </w:rPr>
              <w:t>ATT</w:t>
            </w:r>
          </w:p>
        </w:tc>
      </w:tr>
      <w:tr w:rsidR="00922C6D" w:rsidRPr="00D80794" w14:paraId="7DD7FE0C" w14:textId="77777777" w:rsidTr="004F2568">
        <w:trPr>
          <w:trHeight w:val="453"/>
          <w:jc w:val="center"/>
        </w:trPr>
        <w:tc>
          <w:tcPr>
            <w:tcW w:w="3571" w:type="dxa"/>
            <w:vAlign w:val="center"/>
          </w:tcPr>
          <w:p w14:paraId="1F9511D9" w14:textId="4C8C147A" w:rsidR="002759D5" w:rsidRPr="00D80794" w:rsidRDefault="002759D5" w:rsidP="002759D5">
            <w:pPr>
              <w:spacing w:line="264" w:lineRule="auto"/>
              <w:rPr>
                <w:rFonts w:ascii="Garamond" w:hAnsi="Garamond" w:cs="Arabic Typesetting"/>
                <w:bCs/>
              </w:rPr>
            </w:pPr>
            <w:r w:rsidRPr="00D80794">
              <w:rPr>
                <w:rFonts w:ascii="Garamond" w:hAnsi="Garamond" w:cs="Arabic Typesetting"/>
                <w:bCs/>
              </w:rPr>
              <w:t>GHANA</w:t>
            </w:r>
          </w:p>
        </w:tc>
        <w:tc>
          <w:tcPr>
            <w:tcW w:w="2707" w:type="dxa"/>
            <w:shd w:val="clear" w:color="auto" w:fill="auto"/>
            <w:vAlign w:val="bottom"/>
          </w:tcPr>
          <w:p w14:paraId="15930789" w14:textId="77777777" w:rsidR="002759D5" w:rsidRPr="002C0FC4" w:rsidRDefault="002759D5" w:rsidP="002759D5">
            <w:pPr>
              <w:spacing w:line="264" w:lineRule="auto"/>
              <w:jc w:val="center"/>
              <w:rPr>
                <w:rFonts w:ascii="Garamond" w:hAnsi="Garamond" w:cs="Arabic Typesetting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2C0FC4">
              <w:rPr>
                <w:rFonts w:ascii="Garamond" w:hAnsi="Garamond" w:cs="Arabic Typesetting"/>
                <w:i/>
                <w:iCs/>
                <w:color w:val="000000"/>
                <w:sz w:val="20"/>
                <w:szCs w:val="20"/>
                <w:lang w:val="en-US"/>
              </w:rPr>
              <w:t>-0.53***</w:t>
            </w:r>
          </w:p>
          <w:p w14:paraId="39B25645" w14:textId="7CF6B83B" w:rsidR="00887D92" w:rsidRPr="002C0FC4" w:rsidRDefault="00887D92" w:rsidP="002759D5">
            <w:pPr>
              <w:spacing w:line="264" w:lineRule="auto"/>
              <w:jc w:val="center"/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</w:pPr>
            <w:r w:rsidRPr="002C0FC4">
              <w:rPr>
                <w:rFonts w:ascii="Garamond" w:hAnsi="Garamond" w:cs="Arabic Typesetting"/>
                <w:i/>
                <w:iCs/>
                <w:color w:val="000000"/>
                <w:sz w:val="20"/>
                <w:szCs w:val="20"/>
                <w:lang w:val="en-US"/>
              </w:rPr>
              <w:t>(0.300)</w:t>
            </w:r>
          </w:p>
        </w:tc>
        <w:tc>
          <w:tcPr>
            <w:tcW w:w="3152" w:type="dxa"/>
            <w:shd w:val="clear" w:color="auto" w:fill="auto"/>
            <w:vAlign w:val="center"/>
          </w:tcPr>
          <w:p w14:paraId="56580F63" w14:textId="459FD759" w:rsidR="00E76C58" w:rsidRPr="002C0FC4" w:rsidRDefault="00E76C58" w:rsidP="002759D5">
            <w:pPr>
              <w:jc w:val="center"/>
              <w:rPr>
                <w:rFonts w:ascii="Garamond" w:hAnsi="Garamond" w:cs="Arabic Typesetting"/>
                <w:i/>
                <w:iCs/>
                <w:sz w:val="20"/>
                <w:szCs w:val="20"/>
              </w:rPr>
            </w:pPr>
            <w:r w:rsidRPr="002C0FC4">
              <w:rPr>
                <w:rFonts w:ascii="Garamond" w:hAnsi="Garamond" w:cs="Arabic Typesetting"/>
                <w:i/>
                <w:iCs/>
                <w:sz w:val="20"/>
                <w:szCs w:val="20"/>
              </w:rPr>
              <w:t>-0.57</w:t>
            </w:r>
            <w:r w:rsidR="00D1608B" w:rsidRPr="002C0FC4">
              <w:rPr>
                <w:rFonts w:ascii="Garamond" w:hAnsi="Garamond" w:cs="Arabic Typesetting"/>
                <w:i/>
                <w:iCs/>
                <w:sz w:val="20"/>
                <w:szCs w:val="20"/>
              </w:rPr>
              <w:t>***</w:t>
            </w:r>
            <w:r w:rsidRPr="002C0FC4">
              <w:rPr>
                <w:rFonts w:ascii="Garamond" w:hAnsi="Garamond" w:cs="Arabic Typesetting"/>
                <w:i/>
                <w:iCs/>
                <w:sz w:val="20"/>
                <w:szCs w:val="20"/>
              </w:rPr>
              <w:t xml:space="preserve">   </w:t>
            </w:r>
          </w:p>
          <w:p w14:paraId="00DB7304" w14:textId="5981B6B0" w:rsidR="002759D5" w:rsidRPr="002C0FC4" w:rsidRDefault="00E76C58" w:rsidP="002759D5">
            <w:pPr>
              <w:jc w:val="center"/>
              <w:rPr>
                <w:rFonts w:ascii="Garamond" w:hAnsi="Garamond" w:cs="Arabic Typesetting"/>
                <w:i/>
                <w:iCs/>
                <w:sz w:val="20"/>
                <w:szCs w:val="20"/>
              </w:rPr>
            </w:pPr>
            <w:r w:rsidRPr="002C0FC4">
              <w:rPr>
                <w:rFonts w:ascii="Garamond" w:hAnsi="Garamond" w:cs="Arabic Typesetting"/>
                <w:i/>
                <w:iCs/>
                <w:sz w:val="20"/>
                <w:szCs w:val="20"/>
              </w:rPr>
              <w:t>(0.359)</w:t>
            </w:r>
          </w:p>
        </w:tc>
      </w:tr>
      <w:tr w:rsidR="004F2568" w:rsidRPr="00D80794" w14:paraId="46355B6F" w14:textId="77777777" w:rsidTr="004F2568">
        <w:trPr>
          <w:trHeight w:val="453"/>
          <w:jc w:val="center"/>
        </w:trPr>
        <w:tc>
          <w:tcPr>
            <w:tcW w:w="3571" w:type="dxa"/>
          </w:tcPr>
          <w:p w14:paraId="6E111EF5" w14:textId="5DE81BDF" w:rsidR="002759D5" w:rsidRPr="00D80794" w:rsidRDefault="002759D5" w:rsidP="002759D5">
            <w:pPr>
              <w:spacing w:line="264" w:lineRule="auto"/>
              <w:rPr>
                <w:rFonts w:ascii="Garamond" w:hAnsi="Garamond" w:cs="Arabic Typesetting"/>
                <w:bCs/>
                <w:i/>
                <w:iCs/>
              </w:rPr>
            </w:pPr>
            <w:r w:rsidRPr="00D80794">
              <w:rPr>
                <w:rFonts w:ascii="Garamond" w:hAnsi="Garamond" w:cs="Arabic Typesetting"/>
              </w:rPr>
              <w:t>TANZANIA</w:t>
            </w:r>
          </w:p>
        </w:tc>
        <w:tc>
          <w:tcPr>
            <w:tcW w:w="2707" w:type="dxa"/>
            <w:shd w:val="clear" w:color="auto" w:fill="auto"/>
            <w:vAlign w:val="bottom"/>
          </w:tcPr>
          <w:p w14:paraId="6B04E66A" w14:textId="3D69018B" w:rsidR="00986FFC" w:rsidRPr="002C0FC4" w:rsidRDefault="00986FFC" w:rsidP="00986FFC">
            <w:pPr>
              <w:spacing w:line="264" w:lineRule="auto"/>
              <w:jc w:val="center"/>
              <w:rPr>
                <w:rFonts w:ascii="Garamond" w:hAnsi="Garamond" w:cs="Arabic Typesetting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2C0FC4">
              <w:rPr>
                <w:rFonts w:ascii="Garamond" w:hAnsi="Garamond" w:cs="Arabic Typesetting"/>
                <w:i/>
                <w:iCs/>
                <w:color w:val="000000"/>
                <w:sz w:val="20"/>
                <w:szCs w:val="20"/>
                <w:lang w:val="en-US"/>
              </w:rPr>
              <w:t>-1.68***</w:t>
            </w:r>
          </w:p>
          <w:p w14:paraId="4DB9ADDD" w14:textId="36086313" w:rsidR="00A302FE" w:rsidRPr="002C0FC4" w:rsidRDefault="00986FFC" w:rsidP="00986FFC">
            <w:pPr>
              <w:spacing w:line="264" w:lineRule="auto"/>
              <w:jc w:val="center"/>
              <w:rPr>
                <w:rFonts w:ascii="Garamond" w:hAnsi="Garamond" w:cs="Arabic Typesetting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2C0FC4">
              <w:rPr>
                <w:rFonts w:ascii="Garamond" w:hAnsi="Garamond" w:cs="Arabic Typesetting"/>
                <w:i/>
                <w:iCs/>
                <w:color w:val="000000"/>
                <w:sz w:val="20"/>
                <w:szCs w:val="20"/>
                <w:lang w:val="en-US"/>
              </w:rPr>
              <w:t>(0.471)</w:t>
            </w:r>
          </w:p>
        </w:tc>
        <w:tc>
          <w:tcPr>
            <w:tcW w:w="3152" w:type="dxa"/>
            <w:vAlign w:val="center"/>
          </w:tcPr>
          <w:p w14:paraId="20C48DB2" w14:textId="77777777" w:rsidR="002759D5" w:rsidRPr="002C0FC4" w:rsidRDefault="0018129F" w:rsidP="002759D5">
            <w:pPr>
              <w:spacing w:line="264" w:lineRule="auto"/>
              <w:jc w:val="center"/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</w:pPr>
            <w:r w:rsidRPr="002C0FC4"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  <w:t>-2.04***</w:t>
            </w:r>
          </w:p>
          <w:p w14:paraId="7F890297" w14:textId="7AC26866" w:rsidR="0018129F" w:rsidRPr="002C0FC4" w:rsidRDefault="0018129F" w:rsidP="002759D5">
            <w:pPr>
              <w:spacing w:line="264" w:lineRule="auto"/>
              <w:jc w:val="center"/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</w:pPr>
            <w:r w:rsidRPr="002C0FC4"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  <w:t>(0</w:t>
            </w:r>
            <w:r w:rsidR="00D852D5" w:rsidRPr="002C0FC4"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  <w:t>.</w:t>
            </w:r>
            <w:r w:rsidRPr="002C0FC4"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  <w:t>622)</w:t>
            </w:r>
          </w:p>
        </w:tc>
      </w:tr>
      <w:tr w:rsidR="004F2568" w:rsidRPr="00D80794" w14:paraId="0B37DD7C" w14:textId="77777777" w:rsidTr="004F2568">
        <w:trPr>
          <w:trHeight w:val="453"/>
          <w:jc w:val="center"/>
        </w:trPr>
        <w:tc>
          <w:tcPr>
            <w:tcW w:w="3571" w:type="dxa"/>
          </w:tcPr>
          <w:p w14:paraId="08017F7A" w14:textId="2C822769" w:rsidR="002759D5" w:rsidRPr="00D80794" w:rsidRDefault="002759D5" w:rsidP="002759D5">
            <w:pPr>
              <w:spacing w:line="264" w:lineRule="auto"/>
              <w:rPr>
                <w:rFonts w:ascii="Garamond" w:hAnsi="Garamond" w:cs="Arabic Typesetting"/>
                <w:bCs/>
                <w:i/>
                <w:iCs/>
              </w:rPr>
            </w:pPr>
            <w:r w:rsidRPr="00D80794">
              <w:rPr>
                <w:rFonts w:ascii="Garamond" w:hAnsi="Garamond" w:cs="Arabic Typesetting"/>
              </w:rPr>
              <w:t>NIGERIA</w:t>
            </w:r>
          </w:p>
        </w:tc>
        <w:tc>
          <w:tcPr>
            <w:tcW w:w="2707" w:type="dxa"/>
            <w:shd w:val="clear" w:color="auto" w:fill="auto"/>
            <w:vAlign w:val="bottom"/>
          </w:tcPr>
          <w:p w14:paraId="010FEE24" w14:textId="77777777" w:rsidR="002759D5" w:rsidRPr="002C0FC4" w:rsidRDefault="002759D5" w:rsidP="002759D5">
            <w:pPr>
              <w:spacing w:line="264" w:lineRule="auto"/>
              <w:jc w:val="center"/>
              <w:rPr>
                <w:rFonts w:ascii="Garamond" w:hAnsi="Garamond" w:cs="Arabic Typesetting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2C0FC4">
              <w:rPr>
                <w:rFonts w:ascii="Garamond" w:hAnsi="Garamond" w:cs="Arabic Typesetting"/>
                <w:i/>
                <w:iCs/>
                <w:color w:val="000000"/>
                <w:sz w:val="20"/>
                <w:szCs w:val="20"/>
                <w:lang w:val="en-US"/>
              </w:rPr>
              <w:t>-0.39***</w:t>
            </w:r>
            <w:r w:rsidR="00922C6D" w:rsidRPr="002C0FC4">
              <w:rPr>
                <w:rFonts w:ascii="Garamond" w:hAnsi="Garamond" w:cs="Arabic Typesetting"/>
                <w:i/>
                <w:iCs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14:paraId="36364BE8" w14:textId="470F3424" w:rsidR="00922C6D" w:rsidRPr="002C0FC4" w:rsidRDefault="00922C6D" w:rsidP="002759D5">
            <w:pPr>
              <w:spacing w:line="264" w:lineRule="auto"/>
              <w:jc w:val="center"/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</w:pPr>
            <w:r w:rsidRPr="002C0FC4"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  <w:t>(0.111)</w:t>
            </w:r>
          </w:p>
        </w:tc>
        <w:tc>
          <w:tcPr>
            <w:tcW w:w="3152" w:type="dxa"/>
            <w:vAlign w:val="center"/>
          </w:tcPr>
          <w:p w14:paraId="48E748E6" w14:textId="7194EC7E" w:rsidR="005356BD" w:rsidRPr="002C0FC4" w:rsidRDefault="005356BD" w:rsidP="002759D5">
            <w:pPr>
              <w:spacing w:line="264" w:lineRule="auto"/>
              <w:jc w:val="center"/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</w:pPr>
            <w:r w:rsidRPr="002C0FC4"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  <w:t xml:space="preserve">-0.21***   </w:t>
            </w:r>
          </w:p>
          <w:p w14:paraId="28D1946D" w14:textId="2958E971" w:rsidR="002759D5" w:rsidRPr="002C0FC4" w:rsidRDefault="005356BD" w:rsidP="002759D5">
            <w:pPr>
              <w:spacing w:line="264" w:lineRule="auto"/>
              <w:jc w:val="center"/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</w:pPr>
            <w:r w:rsidRPr="002C0FC4"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  <w:t>(0.129)</w:t>
            </w:r>
          </w:p>
        </w:tc>
      </w:tr>
      <w:tr w:rsidR="00922C6D" w:rsidRPr="00D80794" w14:paraId="1484E0EE" w14:textId="77777777" w:rsidTr="004F2568">
        <w:trPr>
          <w:trHeight w:val="572"/>
          <w:jc w:val="center"/>
        </w:trPr>
        <w:tc>
          <w:tcPr>
            <w:tcW w:w="3571" w:type="dxa"/>
          </w:tcPr>
          <w:p w14:paraId="7938A740" w14:textId="182EA21E" w:rsidR="002759D5" w:rsidRPr="00D80794" w:rsidRDefault="002759D5" w:rsidP="002759D5">
            <w:pPr>
              <w:spacing w:line="264" w:lineRule="auto"/>
              <w:rPr>
                <w:rFonts w:ascii="Garamond" w:hAnsi="Garamond" w:cs="Arabic Typesetting"/>
                <w:bCs/>
                <w:i/>
                <w:iCs/>
              </w:rPr>
            </w:pPr>
            <w:r w:rsidRPr="00D80794">
              <w:rPr>
                <w:rFonts w:ascii="Garamond" w:hAnsi="Garamond" w:cs="Arabic Typesetting"/>
              </w:rPr>
              <w:t>ZIMBABWE</w:t>
            </w:r>
          </w:p>
        </w:tc>
        <w:tc>
          <w:tcPr>
            <w:tcW w:w="2707" w:type="dxa"/>
            <w:shd w:val="clear" w:color="auto" w:fill="auto"/>
            <w:vAlign w:val="bottom"/>
          </w:tcPr>
          <w:p w14:paraId="3601431D" w14:textId="77777777" w:rsidR="002759D5" w:rsidRPr="002C0FC4" w:rsidRDefault="002759D5" w:rsidP="002759D5">
            <w:pPr>
              <w:spacing w:line="264" w:lineRule="auto"/>
              <w:jc w:val="center"/>
              <w:rPr>
                <w:rFonts w:ascii="Garamond" w:hAnsi="Garamond" w:cs="Arabic Typesetting"/>
                <w:i/>
                <w:iCs/>
                <w:color w:val="000000"/>
                <w:sz w:val="20"/>
                <w:szCs w:val="20"/>
                <w:lang w:val="en-US"/>
              </w:rPr>
            </w:pPr>
            <w:r w:rsidRPr="002C0FC4">
              <w:rPr>
                <w:rFonts w:ascii="Garamond" w:hAnsi="Garamond" w:cs="Arabic Typesetting"/>
                <w:i/>
                <w:iCs/>
                <w:color w:val="000000"/>
                <w:sz w:val="20"/>
                <w:szCs w:val="20"/>
                <w:lang w:val="en-US"/>
              </w:rPr>
              <w:t>-0.81***</w:t>
            </w:r>
          </w:p>
          <w:p w14:paraId="636CB160" w14:textId="5E0EBF84" w:rsidR="00922C6D" w:rsidRPr="002C0FC4" w:rsidRDefault="00922C6D" w:rsidP="002759D5">
            <w:pPr>
              <w:spacing w:line="264" w:lineRule="auto"/>
              <w:jc w:val="center"/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</w:pPr>
            <w:r w:rsidRPr="002C0FC4"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  <w:t>(0.210)</w:t>
            </w:r>
          </w:p>
        </w:tc>
        <w:tc>
          <w:tcPr>
            <w:tcW w:w="3152" w:type="dxa"/>
            <w:vAlign w:val="center"/>
          </w:tcPr>
          <w:p w14:paraId="5DD3058B" w14:textId="77777777" w:rsidR="002759D5" w:rsidRPr="002C0FC4" w:rsidRDefault="00E1795A" w:rsidP="002759D5">
            <w:pPr>
              <w:spacing w:line="264" w:lineRule="auto"/>
              <w:jc w:val="center"/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</w:pPr>
            <w:r w:rsidRPr="002C0FC4"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  <w:t>-0.99***</w:t>
            </w:r>
          </w:p>
          <w:p w14:paraId="6004001A" w14:textId="520C2E0A" w:rsidR="00E1795A" w:rsidRPr="002C0FC4" w:rsidRDefault="00E1795A" w:rsidP="002759D5">
            <w:pPr>
              <w:spacing w:line="264" w:lineRule="auto"/>
              <w:jc w:val="center"/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</w:pPr>
            <w:r w:rsidRPr="002C0FC4">
              <w:rPr>
                <w:rFonts w:ascii="Garamond" w:hAnsi="Garamond" w:cs="Arabic Typesetting"/>
                <w:bCs/>
                <w:i/>
                <w:iCs/>
                <w:sz w:val="20"/>
                <w:szCs w:val="20"/>
              </w:rPr>
              <w:t>(0.246)</w:t>
            </w:r>
          </w:p>
        </w:tc>
      </w:tr>
    </w:tbl>
    <w:p w14:paraId="782A0E17" w14:textId="31A03A84" w:rsidR="00922C6D" w:rsidRPr="00430493" w:rsidRDefault="00352DC7" w:rsidP="00494F9D">
      <w:pPr>
        <w:jc w:val="both"/>
        <w:rPr>
          <w:rFonts w:ascii="Garamond" w:hAnsi="Garamond"/>
        </w:rPr>
      </w:pPr>
      <w:r w:rsidRPr="00430493">
        <w:rPr>
          <w:rFonts w:ascii="Garamond" w:hAnsi="Garamond" w:cs="Times New Roman"/>
        </w:rPr>
        <w:t xml:space="preserve">Note: </w:t>
      </w:r>
      <w:r w:rsidR="003D7843" w:rsidRPr="00430493">
        <w:rPr>
          <w:rFonts w:ascii="Garamond" w:hAnsi="Garamond" w:cs="Times New Roman"/>
        </w:rPr>
        <w:t>The</w:t>
      </w:r>
      <w:r w:rsidRPr="00430493">
        <w:rPr>
          <w:rFonts w:ascii="Garamond" w:hAnsi="Garamond" w:cs="Times New Roman"/>
        </w:rPr>
        <w:t xml:space="preserve"> propensity score computed using a logit model, and we estimate the average treatment on the treated (ATT)</w:t>
      </w:r>
      <w:r w:rsidR="00494F9D" w:rsidRPr="00430493">
        <w:rPr>
          <w:rFonts w:ascii="Garamond" w:hAnsi="Garamond"/>
        </w:rPr>
        <w:t xml:space="preserve"> using the nearest neighbour and </w:t>
      </w:r>
      <w:proofErr w:type="spellStart"/>
      <w:r w:rsidR="00494F9D" w:rsidRPr="00430493">
        <w:rPr>
          <w:rFonts w:ascii="Garamond" w:hAnsi="Garamond" w:cs="Times New Roman"/>
        </w:rPr>
        <w:t>Mahalanobis</w:t>
      </w:r>
      <w:proofErr w:type="spellEnd"/>
      <w:r w:rsidR="00494F9D" w:rsidRPr="00430493">
        <w:rPr>
          <w:rFonts w:ascii="Garamond" w:hAnsi="Garamond" w:cs="Times New Roman"/>
        </w:rPr>
        <w:t xml:space="preserve"> matching</w:t>
      </w:r>
      <w:r w:rsidR="00494F9D" w:rsidRPr="00430493">
        <w:rPr>
          <w:rFonts w:ascii="Garamond" w:hAnsi="Garamond" w:cs="Times New Roman"/>
        </w:rPr>
        <w:t xml:space="preserve"> algorithms</w:t>
      </w:r>
      <w:r w:rsidRPr="00430493">
        <w:rPr>
          <w:rFonts w:ascii="Garamond" w:hAnsi="Garamond" w:cs="Times New Roman"/>
        </w:rPr>
        <w:t>. Robust standard errors in parentheses. Statistical significance (sig.): *sig. at 10% level; **sig. at 5% level; ***sig. at 1%level.</w:t>
      </w:r>
    </w:p>
    <w:sectPr w:rsidR="00922C6D" w:rsidRPr="004304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B0196D" w14:textId="77777777" w:rsidR="00106533" w:rsidRDefault="00106533" w:rsidP="004F2568">
      <w:pPr>
        <w:spacing w:after="0" w:line="240" w:lineRule="auto"/>
      </w:pPr>
      <w:r>
        <w:separator/>
      </w:r>
    </w:p>
  </w:endnote>
  <w:endnote w:type="continuationSeparator" w:id="0">
    <w:p w14:paraId="1B625CCA" w14:textId="77777777" w:rsidR="00106533" w:rsidRDefault="00106533" w:rsidP="004F25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abic Typesetting">
    <w:charset w:val="B2"/>
    <w:family w:val="script"/>
    <w:pitch w:val="variable"/>
    <w:sig w:usb0="80002007" w:usb1="80000000" w:usb2="00000008" w:usb3="00000000" w:csb0="000000D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714587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0B02E8" w14:textId="3BAA6D0E" w:rsidR="004F2568" w:rsidRDefault="004F256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CF805E" w14:textId="77777777" w:rsidR="004F2568" w:rsidRDefault="004F25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3AD8AA" w14:textId="77777777" w:rsidR="00106533" w:rsidRDefault="00106533" w:rsidP="004F2568">
      <w:pPr>
        <w:spacing w:after="0" w:line="240" w:lineRule="auto"/>
      </w:pPr>
      <w:r>
        <w:separator/>
      </w:r>
    </w:p>
  </w:footnote>
  <w:footnote w:type="continuationSeparator" w:id="0">
    <w:p w14:paraId="782ABF7D" w14:textId="77777777" w:rsidR="00106533" w:rsidRDefault="00106533" w:rsidP="004F25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5B7"/>
    <w:rsid w:val="000742D0"/>
    <w:rsid w:val="000754CC"/>
    <w:rsid w:val="000A25B7"/>
    <w:rsid w:val="00106533"/>
    <w:rsid w:val="0018129F"/>
    <w:rsid w:val="00184C58"/>
    <w:rsid w:val="0022195E"/>
    <w:rsid w:val="002248AD"/>
    <w:rsid w:val="002759D5"/>
    <w:rsid w:val="002C0FC4"/>
    <w:rsid w:val="00352DC7"/>
    <w:rsid w:val="003D7843"/>
    <w:rsid w:val="00417907"/>
    <w:rsid w:val="00422884"/>
    <w:rsid w:val="00430493"/>
    <w:rsid w:val="00445AC1"/>
    <w:rsid w:val="00494F9D"/>
    <w:rsid w:val="004F2568"/>
    <w:rsid w:val="005356BD"/>
    <w:rsid w:val="005554C4"/>
    <w:rsid w:val="0060245B"/>
    <w:rsid w:val="006844BF"/>
    <w:rsid w:val="00701028"/>
    <w:rsid w:val="007A0E2A"/>
    <w:rsid w:val="00856586"/>
    <w:rsid w:val="00887D92"/>
    <w:rsid w:val="008B0B9B"/>
    <w:rsid w:val="00922C6D"/>
    <w:rsid w:val="00985FD2"/>
    <w:rsid w:val="00986FFC"/>
    <w:rsid w:val="009E2715"/>
    <w:rsid w:val="00A302FE"/>
    <w:rsid w:val="00A3083F"/>
    <w:rsid w:val="00A55E20"/>
    <w:rsid w:val="00AD5EFF"/>
    <w:rsid w:val="00B377F4"/>
    <w:rsid w:val="00B8368B"/>
    <w:rsid w:val="00BF063E"/>
    <w:rsid w:val="00D1608B"/>
    <w:rsid w:val="00D61DDA"/>
    <w:rsid w:val="00D80794"/>
    <w:rsid w:val="00D852D5"/>
    <w:rsid w:val="00E05B6F"/>
    <w:rsid w:val="00E1795A"/>
    <w:rsid w:val="00E549DC"/>
    <w:rsid w:val="00E76C58"/>
    <w:rsid w:val="00F666B7"/>
    <w:rsid w:val="00FE28D6"/>
    <w:rsid w:val="00FF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48E840"/>
  <w15:chartTrackingRefBased/>
  <w15:docId w15:val="{D8294C5E-C5A6-4528-9B9F-A37D35531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79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0A25B7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A25B7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4179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4179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2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2568"/>
  </w:style>
  <w:style w:type="paragraph" w:styleId="Footer">
    <w:name w:val="footer"/>
    <w:basedOn w:val="Normal"/>
    <w:link w:val="FooterChar"/>
    <w:uiPriority w:val="99"/>
    <w:unhideWhenUsed/>
    <w:rsid w:val="004F256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2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1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841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Amrita Saha</dc:creator>
  <cp:keywords/>
  <dc:description/>
  <cp:lastModifiedBy>Amrita Saha</cp:lastModifiedBy>
  <cp:revision>3</cp:revision>
  <dcterms:created xsi:type="dcterms:W3CDTF">2021-05-10T08:44:00Z</dcterms:created>
  <dcterms:modified xsi:type="dcterms:W3CDTF">2021-05-10T08:45:00Z</dcterms:modified>
</cp:coreProperties>
</file>