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4111"/>
        <w:gridCol w:w="4110"/>
        <w:gridCol w:w="2552"/>
      </w:tblGrid>
      <w:tr w:rsidR="00DA7D88" w:rsidRPr="00243A13" w14:paraId="46E115E5" w14:textId="4B408CD7" w:rsidTr="003B4125">
        <w:tc>
          <w:tcPr>
            <w:tcW w:w="2547" w:type="dxa"/>
          </w:tcPr>
          <w:p w14:paraId="0B18A6AD" w14:textId="23D062A5" w:rsidR="00DA7D88" w:rsidRPr="002146F0" w:rsidRDefault="00DA7D88">
            <w:pPr>
              <w:rPr>
                <w:b/>
                <w:bCs/>
              </w:rPr>
            </w:pPr>
            <w:r w:rsidRPr="002146F0">
              <w:rPr>
                <w:b/>
                <w:bCs/>
              </w:rPr>
              <w:t xml:space="preserve">Variable </w:t>
            </w:r>
          </w:p>
        </w:tc>
        <w:tc>
          <w:tcPr>
            <w:tcW w:w="4111" w:type="dxa"/>
          </w:tcPr>
          <w:p w14:paraId="4BBEFF8E" w14:textId="1F07F377" w:rsidR="00DA7D88" w:rsidRPr="002146F0" w:rsidRDefault="00DA7D8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Empirical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context</w:t>
            </w:r>
            <w:proofErr w:type="spellEnd"/>
          </w:p>
        </w:tc>
        <w:tc>
          <w:tcPr>
            <w:tcW w:w="4110" w:type="dxa"/>
          </w:tcPr>
          <w:p w14:paraId="6E490699" w14:textId="40823F42" w:rsidR="00DA7D88" w:rsidRPr="002146F0" w:rsidRDefault="00DA7D88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Theoretical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context</w:t>
            </w:r>
            <w:proofErr w:type="spellEnd"/>
          </w:p>
        </w:tc>
        <w:tc>
          <w:tcPr>
            <w:tcW w:w="2552" w:type="dxa"/>
          </w:tcPr>
          <w:p w14:paraId="0667E675" w14:textId="6A1F7E95" w:rsidR="00DA7D88" w:rsidRPr="00243A13" w:rsidRDefault="003D3441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Inspirational r</w:t>
            </w:r>
            <w:r w:rsidR="00DA7D88" w:rsidRPr="00243A13">
              <w:rPr>
                <w:b/>
                <w:bCs/>
                <w:lang w:val="en-US"/>
              </w:rPr>
              <w:t>eferences</w:t>
            </w:r>
            <w:r w:rsidR="00243A13" w:rsidRPr="00243A13">
              <w:rPr>
                <w:b/>
                <w:bCs/>
                <w:lang w:val="en-US"/>
              </w:rPr>
              <w:t xml:space="preserve"> </w:t>
            </w:r>
          </w:p>
        </w:tc>
      </w:tr>
      <w:tr w:rsidR="008105C5" w:rsidRPr="001C581F" w14:paraId="0C740712" w14:textId="77777777" w:rsidTr="003B4125">
        <w:tc>
          <w:tcPr>
            <w:tcW w:w="13320" w:type="dxa"/>
            <w:gridSpan w:val="4"/>
          </w:tcPr>
          <w:p w14:paraId="1991E111" w14:textId="346794EF" w:rsidR="008105C5" w:rsidRPr="008105C5" w:rsidRDefault="008105C5">
            <w:pPr>
              <w:rPr>
                <w:b/>
                <w:bCs/>
              </w:rPr>
            </w:pPr>
            <w:proofErr w:type="spellStart"/>
            <w:r w:rsidRPr="008105C5">
              <w:rPr>
                <w:b/>
                <w:bCs/>
              </w:rPr>
              <w:t>Organizational</w:t>
            </w:r>
            <w:proofErr w:type="spellEnd"/>
            <w:r w:rsidRPr="008105C5">
              <w:rPr>
                <w:b/>
                <w:bCs/>
              </w:rPr>
              <w:t xml:space="preserve"> </w:t>
            </w:r>
            <w:proofErr w:type="spellStart"/>
            <w:r w:rsidRPr="008105C5">
              <w:rPr>
                <w:b/>
                <w:bCs/>
              </w:rPr>
              <w:t>structure</w:t>
            </w:r>
            <w:proofErr w:type="spellEnd"/>
          </w:p>
        </w:tc>
      </w:tr>
      <w:tr w:rsidR="00DA7D88" w:rsidRPr="001C581F" w14:paraId="0A464F96" w14:textId="54C09D0D" w:rsidTr="003B4125">
        <w:tc>
          <w:tcPr>
            <w:tcW w:w="2547" w:type="dxa"/>
          </w:tcPr>
          <w:p w14:paraId="675E6AC4" w14:textId="0AC27641" w:rsidR="00DA7D88" w:rsidRPr="00D77CA3" w:rsidRDefault="00DA7D88">
            <w:pPr>
              <w:rPr>
                <w:u w:val="single"/>
              </w:rPr>
            </w:pPr>
            <w:proofErr w:type="spellStart"/>
            <w:r w:rsidRPr="00D77CA3">
              <w:rPr>
                <w:u w:val="single"/>
              </w:rPr>
              <w:t>Working</w:t>
            </w:r>
            <w:proofErr w:type="spellEnd"/>
            <w:r w:rsidRPr="00D77CA3">
              <w:rPr>
                <w:u w:val="single"/>
              </w:rPr>
              <w:t xml:space="preserve"> </w:t>
            </w:r>
            <w:proofErr w:type="spellStart"/>
            <w:r w:rsidRPr="00D77CA3">
              <w:rPr>
                <w:u w:val="single"/>
              </w:rPr>
              <w:t>conditions</w:t>
            </w:r>
            <w:proofErr w:type="spellEnd"/>
          </w:p>
        </w:tc>
        <w:tc>
          <w:tcPr>
            <w:tcW w:w="4111" w:type="dxa"/>
          </w:tcPr>
          <w:p w14:paraId="2C32D0EC" w14:textId="5D580F45" w:rsidR="00DA7D88" w:rsidRPr="00317667" w:rsidRDefault="00DA7D88">
            <w:pPr>
              <w:rPr>
                <w:lang w:val="en-US"/>
              </w:rPr>
            </w:pPr>
            <w:r>
              <w:rPr>
                <w:lang w:val="en-US"/>
              </w:rPr>
              <w:t xml:space="preserve">Working conditions </w:t>
            </w:r>
            <w:r w:rsidR="00F0380E">
              <w:rPr>
                <w:lang w:val="en-US"/>
              </w:rPr>
              <w:t>involve</w:t>
            </w:r>
            <w:r w:rsidRPr="00317667">
              <w:rPr>
                <w:lang w:val="en-US"/>
              </w:rPr>
              <w:t xml:space="preserve"> tangible aspects such as work hours, available resources, flexibility in schedules, and the physical work environment.</w:t>
            </w:r>
            <w:r>
              <w:rPr>
                <w:lang w:val="en-US"/>
              </w:rPr>
              <w:t xml:space="preserve"> T</w:t>
            </w:r>
            <w:r w:rsidRPr="0005642E">
              <w:rPr>
                <w:lang w:val="en-US"/>
              </w:rPr>
              <w:t>he actual time allocated, the resources provided, flexibility in work arrangements, and the specific characteristics of the workplac</w:t>
            </w:r>
            <w:r>
              <w:rPr>
                <w:lang w:val="en-US"/>
              </w:rPr>
              <w:t>e can create either a hindering or facilitating environment for</w:t>
            </w:r>
            <w:r w:rsidRPr="0005642E">
              <w:rPr>
                <w:lang w:val="en-US"/>
              </w:rPr>
              <w:t xml:space="preserve"> stakeholder collaboration</w:t>
            </w:r>
          </w:p>
        </w:tc>
        <w:tc>
          <w:tcPr>
            <w:tcW w:w="4110" w:type="dxa"/>
          </w:tcPr>
          <w:p w14:paraId="0428C0D3" w14:textId="6165F34A" w:rsidR="00DA7D88" w:rsidRPr="00B57C05" w:rsidRDefault="00DA7D88">
            <w:pPr>
              <w:rPr>
                <w:lang w:val="en-US"/>
              </w:rPr>
            </w:pPr>
            <w:r w:rsidRPr="00BC6776">
              <w:rPr>
                <w:lang w:val="en-US"/>
              </w:rPr>
              <w:t>As individuals and organizations produce and reproduce their material lives, working conditions become part of the supra</w:t>
            </w:r>
            <w:r w:rsidR="00F0380E">
              <w:rPr>
                <w:lang w:val="en-US"/>
              </w:rPr>
              <w:t>-</w:t>
            </w:r>
            <w:r w:rsidRPr="00BC6776">
              <w:rPr>
                <w:lang w:val="en-US"/>
              </w:rPr>
              <w:t>organizational patterns of activity</w:t>
            </w:r>
            <w:r>
              <w:rPr>
                <w:lang w:val="en-US"/>
              </w:rPr>
              <w:t xml:space="preserve"> that condition </w:t>
            </w:r>
            <w:r w:rsidRPr="00BC6776">
              <w:rPr>
                <w:lang w:val="en-US"/>
              </w:rPr>
              <w:t xml:space="preserve">the </w:t>
            </w:r>
            <w:r>
              <w:rPr>
                <w:lang w:val="en-US"/>
              </w:rPr>
              <w:t xml:space="preserve">institutional logic </w:t>
            </w:r>
            <w:r w:rsidRPr="00BC6776">
              <w:rPr>
                <w:lang w:val="en-US"/>
              </w:rPr>
              <w:t>governing stakeholder engagement</w:t>
            </w:r>
            <w:r>
              <w:rPr>
                <w:lang w:val="en-US"/>
              </w:rPr>
              <w:t>. In turn, t</w:t>
            </w:r>
            <w:r w:rsidRPr="00B57C05">
              <w:rPr>
                <w:lang w:val="en-US"/>
              </w:rPr>
              <w:t>he institutional logic</w:t>
            </w:r>
            <w:r>
              <w:rPr>
                <w:lang w:val="en-US"/>
              </w:rPr>
              <w:t xml:space="preserve"> of an organization</w:t>
            </w:r>
            <w:r w:rsidRPr="00B57C05">
              <w:rPr>
                <w:lang w:val="en-US"/>
              </w:rPr>
              <w:t xml:space="preserve"> </w:t>
            </w:r>
            <w:r w:rsidR="00F0380E">
              <w:rPr>
                <w:lang w:val="en-US"/>
              </w:rPr>
              <w:t>influences</w:t>
            </w:r>
            <w:r w:rsidRPr="00B57C05">
              <w:rPr>
                <w:lang w:val="en-US"/>
              </w:rPr>
              <w:t xml:space="preserve"> how resources are allocated and how tasks are organized, impacting the overall working environment.</w:t>
            </w:r>
          </w:p>
        </w:tc>
        <w:tc>
          <w:tcPr>
            <w:tcW w:w="2552" w:type="dxa"/>
          </w:tcPr>
          <w:p w14:paraId="6765B11C" w14:textId="7B5F7B0E" w:rsidR="00810E96" w:rsidRDefault="00186C34">
            <w:proofErr w:type="spellStart"/>
            <w:r w:rsidRPr="003B4125">
              <w:rPr>
                <w:u w:val="single"/>
              </w:rPr>
              <w:t>Institutional</w:t>
            </w:r>
            <w:proofErr w:type="spellEnd"/>
            <w:r w:rsidRPr="003B4125">
              <w:rPr>
                <w:u w:val="single"/>
              </w:rPr>
              <w:t xml:space="preserve"> </w:t>
            </w:r>
            <w:proofErr w:type="spellStart"/>
            <w:r w:rsidRPr="003B4125">
              <w:rPr>
                <w:u w:val="single"/>
              </w:rPr>
              <w:t>logi</w:t>
            </w:r>
            <w:r w:rsidR="00810E96" w:rsidRPr="003B4125">
              <w:rPr>
                <w:u w:val="single"/>
              </w:rPr>
              <w:t>c</w:t>
            </w:r>
            <w:proofErr w:type="spellEnd"/>
            <w:r w:rsidR="00810E96">
              <w:t>:</w:t>
            </w:r>
          </w:p>
          <w:p w14:paraId="4F5F76A4" w14:textId="77777777" w:rsidR="00DA7D88" w:rsidRPr="003B4125" w:rsidRDefault="00CC5916">
            <w:pPr>
              <w:rPr>
                <w:i/>
                <w:iCs/>
              </w:rPr>
            </w:pPr>
            <w:proofErr w:type="spellStart"/>
            <w:r w:rsidRPr="003B4125">
              <w:rPr>
                <w:i/>
                <w:iCs/>
              </w:rPr>
              <w:t>Høiland</w:t>
            </w:r>
            <w:proofErr w:type="spellEnd"/>
            <w:r w:rsidRPr="003B4125">
              <w:rPr>
                <w:i/>
                <w:iCs/>
              </w:rPr>
              <w:t xml:space="preserve"> and </w:t>
            </w:r>
            <w:proofErr w:type="spellStart"/>
            <w:r w:rsidRPr="003B4125">
              <w:rPr>
                <w:i/>
                <w:iCs/>
              </w:rPr>
              <w:t>Klemsdal</w:t>
            </w:r>
            <w:proofErr w:type="spellEnd"/>
            <w:r w:rsidRPr="003B4125">
              <w:rPr>
                <w:i/>
                <w:iCs/>
              </w:rPr>
              <w:t xml:space="preserve"> (2022)</w:t>
            </w:r>
            <w:r w:rsidR="00D14C46" w:rsidRPr="003B4125">
              <w:rPr>
                <w:i/>
                <w:iCs/>
              </w:rPr>
              <w:t xml:space="preserve">; </w:t>
            </w:r>
            <w:proofErr w:type="spellStart"/>
            <w:r w:rsidR="00D14C46" w:rsidRPr="003B4125">
              <w:rPr>
                <w:i/>
                <w:iCs/>
              </w:rPr>
              <w:t>Osei-Amponsah</w:t>
            </w:r>
            <w:proofErr w:type="spellEnd"/>
            <w:r w:rsidR="00D14C46" w:rsidRPr="003B4125">
              <w:rPr>
                <w:i/>
                <w:iCs/>
              </w:rPr>
              <w:t xml:space="preserve"> et al. (2018)</w:t>
            </w:r>
            <w:r w:rsidR="001C581F" w:rsidRPr="003B4125">
              <w:rPr>
                <w:i/>
                <w:iCs/>
              </w:rPr>
              <w:t>; Turner et al. (2016)</w:t>
            </w:r>
          </w:p>
          <w:p w14:paraId="5D50E9E5" w14:textId="77777777" w:rsidR="00810E96" w:rsidRDefault="00810E96"/>
          <w:p w14:paraId="1C5858ED" w14:textId="1900C631" w:rsidR="00607719" w:rsidRPr="003B4125" w:rsidRDefault="00607719" w:rsidP="00607719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 xml:space="preserve">Mental models: </w:t>
            </w:r>
          </w:p>
          <w:p w14:paraId="7C55CE5D" w14:textId="045843E2" w:rsidR="00810E96" w:rsidRPr="003B4125" w:rsidRDefault="00607719" w:rsidP="00607719">
            <w:pPr>
              <w:rPr>
                <w:i/>
                <w:iCs/>
              </w:rPr>
            </w:pPr>
            <w:r w:rsidRPr="003B4125">
              <w:rPr>
                <w:i/>
                <w:iCs/>
                <w:lang w:val="en-US"/>
              </w:rPr>
              <w:t>Rosenbaum (2021)</w:t>
            </w:r>
          </w:p>
        </w:tc>
      </w:tr>
      <w:tr w:rsidR="00DA7D88" w:rsidRPr="00C04EBA" w14:paraId="0922696D" w14:textId="5BCA93B0" w:rsidTr="003B4125">
        <w:tc>
          <w:tcPr>
            <w:tcW w:w="2547" w:type="dxa"/>
          </w:tcPr>
          <w:p w14:paraId="4667F606" w14:textId="20FDE3BF" w:rsidR="00DA7D88" w:rsidRPr="00D77CA3" w:rsidRDefault="00DA7D88">
            <w:pPr>
              <w:rPr>
                <w:u w:val="single"/>
              </w:rPr>
            </w:pPr>
            <w:r w:rsidRPr="00D77CA3">
              <w:rPr>
                <w:u w:val="single"/>
              </w:rPr>
              <w:t xml:space="preserve">Standards and </w:t>
            </w:r>
            <w:proofErr w:type="spellStart"/>
            <w:r w:rsidRPr="00D77CA3">
              <w:rPr>
                <w:u w:val="single"/>
              </w:rPr>
              <w:t>regulations</w:t>
            </w:r>
            <w:proofErr w:type="spellEnd"/>
          </w:p>
        </w:tc>
        <w:tc>
          <w:tcPr>
            <w:tcW w:w="4111" w:type="dxa"/>
          </w:tcPr>
          <w:p w14:paraId="0AEE300D" w14:textId="5ACB9C42" w:rsidR="00DA7D88" w:rsidRDefault="00DA7D88">
            <w:pPr>
              <w:rPr>
                <w:lang w:val="en-US"/>
              </w:rPr>
            </w:pPr>
            <w:r>
              <w:rPr>
                <w:lang w:val="en-US"/>
              </w:rPr>
              <w:t>Standards and regulations in the context of development projects include g</w:t>
            </w:r>
            <w:r w:rsidRPr="00850454">
              <w:rPr>
                <w:lang w:val="en-US"/>
              </w:rPr>
              <w:t xml:space="preserve">uidelines and policies setting organizational norms, including project guidelines and policy </w:t>
            </w:r>
            <w:r>
              <w:rPr>
                <w:lang w:val="en-US"/>
              </w:rPr>
              <w:t>statements on participation</w:t>
            </w:r>
            <w:r w:rsidRPr="00850454">
              <w:rPr>
                <w:lang w:val="en-US"/>
              </w:rPr>
              <w:t>.</w:t>
            </w:r>
          </w:p>
          <w:p w14:paraId="58BE085F" w14:textId="77777777" w:rsidR="00DA7D88" w:rsidRDefault="00DA7D88">
            <w:pPr>
              <w:rPr>
                <w:lang w:val="en-US"/>
              </w:rPr>
            </w:pPr>
          </w:p>
          <w:p w14:paraId="1D56176D" w14:textId="331B1C41" w:rsidR="00DA7D88" w:rsidRPr="00F3659F" w:rsidRDefault="00DA7D88">
            <w:pPr>
              <w:rPr>
                <w:lang w:val="en-US"/>
              </w:rPr>
            </w:pPr>
          </w:p>
        </w:tc>
        <w:tc>
          <w:tcPr>
            <w:tcW w:w="4110" w:type="dxa"/>
          </w:tcPr>
          <w:p w14:paraId="204EDFDE" w14:textId="0C605533" w:rsidR="00DA7D88" w:rsidRPr="004B0350" w:rsidRDefault="00DA7D88">
            <w:pPr>
              <w:rPr>
                <w:lang w:val="en-US"/>
              </w:rPr>
            </w:pPr>
            <w:r>
              <w:rPr>
                <w:lang w:val="en-US"/>
              </w:rPr>
              <w:t>Represent</w:t>
            </w:r>
            <w:r w:rsidRPr="00850454">
              <w:rPr>
                <w:lang w:val="en-US"/>
              </w:rPr>
              <w:t xml:space="preserve"> organizational values</w:t>
            </w:r>
            <w:r>
              <w:rPr>
                <w:lang w:val="en-US"/>
              </w:rPr>
              <w:t xml:space="preserve"> and norms while providing</w:t>
            </w:r>
            <w:r w:rsidRPr="00850454">
              <w:rPr>
                <w:lang w:val="en-US"/>
              </w:rPr>
              <w:t xml:space="preserve"> a framework for roles and responsibilities</w:t>
            </w:r>
            <w:r>
              <w:rPr>
                <w:lang w:val="en-US"/>
              </w:rPr>
              <w:t xml:space="preserve"> that</w:t>
            </w:r>
            <w:r w:rsidRPr="00850454">
              <w:rPr>
                <w:lang w:val="en-US"/>
              </w:rPr>
              <w:t xml:space="preserve"> shap</w:t>
            </w:r>
            <w:r>
              <w:rPr>
                <w:lang w:val="en-US"/>
              </w:rPr>
              <w:t xml:space="preserve">e internal and external </w:t>
            </w:r>
            <w:r w:rsidRPr="00850454">
              <w:rPr>
                <w:lang w:val="en-US"/>
              </w:rPr>
              <w:t>expectations</w:t>
            </w:r>
            <w:r>
              <w:rPr>
                <w:lang w:val="en-US"/>
              </w:rPr>
              <w:t xml:space="preserve">. </w:t>
            </w:r>
            <w:r w:rsidRPr="004B0350">
              <w:rPr>
                <w:lang w:val="en-US"/>
              </w:rPr>
              <w:t xml:space="preserve">Power structures influence how standards are established and how regulations are implemented, reflecting the prevailing institutional </w:t>
            </w:r>
            <w:r w:rsidR="00F0380E">
              <w:rPr>
                <w:lang w:val="en-US"/>
              </w:rPr>
              <w:t>logic</w:t>
            </w:r>
            <w:r w:rsidRPr="004B0350">
              <w:rPr>
                <w:lang w:val="en-US"/>
              </w:rPr>
              <w:t>.</w:t>
            </w:r>
          </w:p>
        </w:tc>
        <w:tc>
          <w:tcPr>
            <w:tcW w:w="2552" w:type="dxa"/>
          </w:tcPr>
          <w:p w14:paraId="5D656D7F" w14:textId="4DC01440" w:rsidR="00810E96" w:rsidRPr="003B4125" w:rsidRDefault="00810E96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>Institutional logic:</w:t>
            </w:r>
          </w:p>
          <w:p w14:paraId="67F98868" w14:textId="77777777" w:rsidR="00DA7D88" w:rsidRPr="003B4125" w:rsidRDefault="00BE3FA0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US"/>
              </w:rPr>
              <w:t>Westermann-</w:t>
            </w:r>
            <w:proofErr w:type="spellStart"/>
            <w:r w:rsidRPr="003B4125">
              <w:rPr>
                <w:i/>
                <w:iCs/>
                <w:lang w:val="en-US"/>
              </w:rPr>
              <w:t>Behaylo</w:t>
            </w:r>
            <w:proofErr w:type="spellEnd"/>
            <w:r w:rsidRPr="003B4125">
              <w:rPr>
                <w:i/>
                <w:iCs/>
                <w:lang w:val="en-US"/>
              </w:rPr>
              <w:t xml:space="preserve"> et al. (2014)</w:t>
            </w:r>
            <w:r w:rsidR="0053020D" w:rsidRPr="003B4125">
              <w:rPr>
                <w:i/>
                <w:iCs/>
                <w:lang w:val="en-US"/>
              </w:rPr>
              <w:t>; Hathaway and Askvik (2021)</w:t>
            </w:r>
            <w:r w:rsidR="00D14C46" w:rsidRPr="003B4125">
              <w:rPr>
                <w:i/>
                <w:iCs/>
                <w:lang w:val="en-US"/>
              </w:rPr>
              <w:t xml:space="preserve">; Osei-Amponsah et al. </w:t>
            </w:r>
            <w:r w:rsidR="00D14C46" w:rsidRPr="003B4125">
              <w:rPr>
                <w:i/>
                <w:iCs/>
                <w:lang w:val="nl-NL"/>
              </w:rPr>
              <w:t>(2018)</w:t>
            </w:r>
            <w:r w:rsidR="00F63AE3" w:rsidRPr="003B4125">
              <w:rPr>
                <w:i/>
                <w:iCs/>
                <w:lang w:val="nl-NL"/>
              </w:rPr>
              <w:t xml:space="preserve">; </w:t>
            </w:r>
            <w:r w:rsidR="00F63AE3" w:rsidRPr="003B4125">
              <w:rPr>
                <w:i/>
                <w:iCs/>
                <w:lang w:val="en-US"/>
              </w:rPr>
              <w:t>Gugerty et al. (2021)</w:t>
            </w:r>
          </w:p>
          <w:p w14:paraId="037A2717" w14:textId="77777777" w:rsidR="00CA0C93" w:rsidRDefault="00CA0C93">
            <w:pPr>
              <w:rPr>
                <w:lang w:val="en-US"/>
              </w:rPr>
            </w:pPr>
          </w:p>
          <w:p w14:paraId="7F5B1A18" w14:textId="5CD5BBE8" w:rsidR="00CA0C93" w:rsidRPr="003B4125" w:rsidRDefault="00CA0C93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 xml:space="preserve">Mental models: </w:t>
            </w:r>
          </w:p>
          <w:p w14:paraId="0590C0A0" w14:textId="60B6B85A" w:rsidR="00CA0C93" w:rsidRPr="003B4125" w:rsidRDefault="00CA0C93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US"/>
              </w:rPr>
              <w:t>Rosenbaum (2021)</w:t>
            </w:r>
          </w:p>
        </w:tc>
      </w:tr>
      <w:tr w:rsidR="00DA7D88" w:rsidRPr="003B4125" w14:paraId="4716F924" w14:textId="4151FDAA" w:rsidTr="003B4125">
        <w:tc>
          <w:tcPr>
            <w:tcW w:w="2547" w:type="dxa"/>
          </w:tcPr>
          <w:p w14:paraId="083327DC" w14:textId="3268EBA7" w:rsidR="00DA7D88" w:rsidRPr="00D77CA3" w:rsidRDefault="00DA7D88">
            <w:pPr>
              <w:rPr>
                <w:u w:val="single"/>
              </w:rPr>
            </w:pPr>
            <w:proofErr w:type="spellStart"/>
            <w:r w:rsidRPr="00D77CA3">
              <w:rPr>
                <w:u w:val="single"/>
              </w:rPr>
              <w:t>Roles</w:t>
            </w:r>
            <w:proofErr w:type="spellEnd"/>
            <w:r w:rsidRPr="00D77CA3">
              <w:rPr>
                <w:u w:val="single"/>
              </w:rPr>
              <w:t xml:space="preserve"> and </w:t>
            </w:r>
            <w:proofErr w:type="spellStart"/>
            <w:r w:rsidRPr="00D77CA3">
              <w:rPr>
                <w:u w:val="single"/>
              </w:rPr>
              <w:t>responsibilities</w:t>
            </w:r>
            <w:proofErr w:type="spellEnd"/>
          </w:p>
        </w:tc>
        <w:tc>
          <w:tcPr>
            <w:tcW w:w="4111" w:type="dxa"/>
          </w:tcPr>
          <w:p w14:paraId="2D8CCB4F" w14:textId="23D850B2" w:rsidR="00DA7D88" w:rsidRPr="00776898" w:rsidRDefault="00DA7D88">
            <w:pPr>
              <w:rPr>
                <w:lang w:val="en-US"/>
              </w:rPr>
            </w:pPr>
            <w:r w:rsidRPr="00776898">
              <w:rPr>
                <w:lang w:val="en-US"/>
              </w:rPr>
              <w:t xml:space="preserve">Outlining </w:t>
            </w:r>
            <w:r>
              <w:rPr>
                <w:lang w:val="en-US"/>
              </w:rPr>
              <w:t xml:space="preserve">roles and responsibilities in development projects include the distribution of </w:t>
            </w:r>
            <w:r w:rsidRPr="00776898">
              <w:rPr>
                <w:lang w:val="en-US"/>
              </w:rPr>
              <w:t xml:space="preserve">tasks, obligations, and accountabilities within </w:t>
            </w:r>
            <w:r>
              <w:rPr>
                <w:lang w:val="en-US"/>
              </w:rPr>
              <w:t xml:space="preserve">and across project partners. In the context of project </w:t>
            </w:r>
            <w:r w:rsidR="00F0380E">
              <w:rPr>
                <w:lang w:val="en-US"/>
              </w:rPr>
              <w:t>management,</w:t>
            </w:r>
            <w:r>
              <w:rPr>
                <w:lang w:val="en-US"/>
              </w:rPr>
              <w:t xml:space="preserve"> it also involves determining the level of individual authority and autonomy in management decisions.</w:t>
            </w:r>
          </w:p>
        </w:tc>
        <w:tc>
          <w:tcPr>
            <w:tcW w:w="4110" w:type="dxa"/>
          </w:tcPr>
          <w:p w14:paraId="33894080" w14:textId="38A5445F" w:rsidR="00DA7D88" w:rsidRPr="00D102F0" w:rsidRDefault="00DA7D88">
            <w:pPr>
              <w:rPr>
                <w:lang w:val="en-US"/>
              </w:rPr>
            </w:pPr>
            <w:r w:rsidRPr="00D102F0">
              <w:rPr>
                <w:lang w:val="en-US"/>
              </w:rPr>
              <w:t xml:space="preserve">The distribution of </w:t>
            </w:r>
            <w:r>
              <w:rPr>
                <w:lang w:val="en-US"/>
              </w:rPr>
              <w:t xml:space="preserve">roles and responsibilities, </w:t>
            </w:r>
            <w:r w:rsidRPr="00D102F0">
              <w:rPr>
                <w:lang w:val="en-US"/>
              </w:rPr>
              <w:t>power and status</w:t>
            </w:r>
            <w:r>
              <w:rPr>
                <w:lang w:val="en-US"/>
              </w:rPr>
              <w:t>,</w:t>
            </w:r>
            <w:r w:rsidRPr="00D102F0">
              <w:rPr>
                <w:lang w:val="en-US"/>
              </w:rPr>
              <w:t xml:space="preserve"> </w:t>
            </w:r>
            <w:r w:rsidR="00F0380E">
              <w:rPr>
                <w:lang w:val="en-US"/>
              </w:rPr>
              <w:t>affect</w:t>
            </w:r>
            <w:r w:rsidRPr="00D102F0">
              <w:rPr>
                <w:lang w:val="en-US"/>
              </w:rPr>
              <w:t xml:space="preserve"> decision-making processes, resource allocation, and overall dynamics, which, in turn, shape working conditions.</w:t>
            </w:r>
          </w:p>
        </w:tc>
        <w:tc>
          <w:tcPr>
            <w:tcW w:w="2552" w:type="dxa"/>
          </w:tcPr>
          <w:p w14:paraId="17BB4CE2" w14:textId="0E969943" w:rsidR="00810E96" w:rsidRPr="003B4125" w:rsidRDefault="00810E96">
            <w:pPr>
              <w:rPr>
                <w:u w:val="single"/>
                <w:lang w:val="en-GB"/>
              </w:rPr>
            </w:pPr>
            <w:r w:rsidRPr="003B4125">
              <w:rPr>
                <w:u w:val="single"/>
                <w:lang w:val="en-GB"/>
              </w:rPr>
              <w:t>Institutional logic:</w:t>
            </w:r>
          </w:p>
          <w:p w14:paraId="3024AAC7" w14:textId="77777777" w:rsidR="00DA7D88" w:rsidRPr="003B4125" w:rsidRDefault="00CC5916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GB"/>
              </w:rPr>
              <w:t xml:space="preserve">Høiland and </w:t>
            </w:r>
            <w:proofErr w:type="spellStart"/>
            <w:r w:rsidRPr="003B4125">
              <w:rPr>
                <w:i/>
                <w:iCs/>
                <w:lang w:val="en-GB"/>
              </w:rPr>
              <w:t>Klemsdal</w:t>
            </w:r>
            <w:proofErr w:type="spellEnd"/>
            <w:r w:rsidRPr="003B4125">
              <w:rPr>
                <w:i/>
                <w:iCs/>
                <w:lang w:val="en-GB"/>
              </w:rPr>
              <w:t xml:space="preserve"> (2022)</w:t>
            </w:r>
            <w:r w:rsidR="00B14958" w:rsidRPr="003B4125">
              <w:rPr>
                <w:i/>
                <w:iCs/>
                <w:lang w:val="en-GB"/>
              </w:rPr>
              <w:t xml:space="preserve">; </w:t>
            </w:r>
            <w:proofErr w:type="spellStart"/>
            <w:r w:rsidR="00B14958" w:rsidRPr="003B4125">
              <w:rPr>
                <w:i/>
                <w:iCs/>
                <w:lang w:val="en-US"/>
              </w:rPr>
              <w:t>Pernicka</w:t>
            </w:r>
            <w:proofErr w:type="spellEnd"/>
            <w:r w:rsidR="00B14958" w:rsidRPr="003B4125">
              <w:rPr>
                <w:i/>
                <w:iCs/>
                <w:lang w:val="en-US"/>
              </w:rPr>
              <w:t xml:space="preserve"> and Reichel (2014)</w:t>
            </w:r>
            <w:r w:rsidR="00BE3FA0" w:rsidRPr="003B4125">
              <w:rPr>
                <w:i/>
                <w:iCs/>
                <w:lang w:val="en-US"/>
              </w:rPr>
              <w:t>; Westermann-</w:t>
            </w:r>
            <w:proofErr w:type="spellStart"/>
            <w:r w:rsidR="00BE3FA0" w:rsidRPr="003B4125">
              <w:rPr>
                <w:i/>
                <w:iCs/>
                <w:lang w:val="en-US"/>
              </w:rPr>
              <w:t>Behaylo</w:t>
            </w:r>
            <w:proofErr w:type="spellEnd"/>
            <w:r w:rsidR="00BE3FA0" w:rsidRPr="003B4125">
              <w:rPr>
                <w:i/>
                <w:iCs/>
                <w:lang w:val="en-US"/>
              </w:rPr>
              <w:t xml:space="preserve"> et al. (2014)</w:t>
            </w:r>
          </w:p>
          <w:p w14:paraId="0457552A" w14:textId="77777777" w:rsidR="00813A0E" w:rsidRDefault="00813A0E">
            <w:pPr>
              <w:rPr>
                <w:lang w:val="en-US"/>
              </w:rPr>
            </w:pPr>
          </w:p>
          <w:p w14:paraId="39CBBBEE" w14:textId="42825AFC" w:rsidR="00813A0E" w:rsidRPr="003B4125" w:rsidRDefault="00813A0E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>Mental models:</w:t>
            </w:r>
          </w:p>
          <w:p w14:paraId="017D2DFD" w14:textId="0841BF7F" w:rsidR="00151D69" w:rsidRPr="003B4125" w:rsidRDefault="00810C66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US"/>
              </w:rPr>
              <w:t>Altman (2023)</w:t>
            </w:r>
            <w:r w:rsidR="00B3393E" w:rsidRPr="003B4125">
              <w:rPr>
                <w:i/>
                <w:iCs/>
                <w:lang w:val="en-US"/>
              </w:rPr>
              <w:t>;</w:t>
            </w:r>
            <w:r w:rsidR="003B4125" w:rsidRPr="003B4125">
              <w:rPr>
                <w:i/>
                <w:iCs/>
                <w:lang w:val="en-US"/>
              </w:rPr>
              <w:t xml:space="preserve"> </w:t>
            </w:r>
            <w:r w:rsidR="00B3393E" w:rsidRPr="003B4125">
              <w:rPr>
                <w:i/>
                <w:iCs/>
                <w:lang w:val="en-US"/>
              </w:rPr>
              <w:t>Rosenbaum (2021)</w:t>
            </w:r>
          </w:p>
        </w:tc>
      </w:tr>
      <w:tr w:rsidR="008105C5" w:rsidRPr="009A1962" w14:paraId="7483276D" w14:textId="77777777" w:rsidTr="003B4125">
        <w:tc>
          <w:tcPr>
            <w:tcW w:w="13320" w:type="dxa"/>
            <w:gridSpan w:val="4"/>
          </w:tcPr>
          <w:p w14:paraId="31D932EB" w14:textId="49497D84" w:rsidR="008105C5" w:rsidRPr="00AF03C8" w:rsidRDefault="00AF03C8">
            <w:pPr>
              <w:rPr>
                <w:b/>
                <w:bCs/>
                <w:lang w:val="en-GB"/>
              </w:rPr>
            </w:pPr>
            <w:r w:rsidRPr="00AF03C8">
              <w:rPr>
                <w:b/>
                <w:bCs/>
                <w:lang w:val="en-GB"/>
              </w:rPr>
              <w:t>Individual mentalities</w:t>
            </w:r>
          </w:p>
        </w:tc>
      </w:tr>
      <w:tr w:rsidR="00DA7D88" w:rsidRPr="003B4125" w14:paraId="47CA97C3" w14:textId="4FF0E683" w:rsidTr="003B4125">
        <w:tc>
          <w:tcPr>
            <w:tcW w:w="2547" w:type="dxa"/>
          </w:tcPr>
          <w:p w14:paraId="30974528" w14:textId="5EF09208" w:rsidR="00DA7D88" w:rsidRPr="00D77CA3" w:rsidRDefault="00DA7D88">
            <w:pPr>
              <w:rPr>
                <w:u w:val="single"/>
              </w:rPr>
            </w:pPr>
            <w:proofErr w:type="spellStart"/>
            <w:r w:rsidRPr="00D77CA3">
              <w:rPr>
                <w:u w:val="single"/>
              </w:rPr>
              <w:t>Capacity</w:t>
            </w:r>
            <w:proofErr w:type="spellEnd"/>
            <w:r w:rsidRPr="00D77CA3">
              <w:rPr>
                <w:u w:val="single"/>
              </w:rPr>
              <w:t xml:space="preserve"> and </w:t>
            </w:r>
            <w:proofErr w:type="spellStart"/>
            <w:r w:rsidRPr="00D77CA3">
              <w:rPr>
                <w:u w:val="single"/>
              </w:rPr>
              <w:t>knowledge</w:t>
            </w:r>
            <w:proofErr w:type="spellEnd"/>
          </w:p>
        </w:tc>
        <w:tc>
          <w:tcPr>
            <w:tcW w:w="4111" w:type="dxa"/>
          </w:tcPr>
          <w:p w14:paraId="3644D07F" w14:textId="519F8418" w:rsidR="00DA7D88" w:rsidRPr="00F203CA" w:rsidRDefault="00DA7D88">
            <w:pPr>
              <w:rPr>
                <w:lang w:val="en-US"/>
              </w:rPr>
            </w:pPr>
            <w:r w:rsidRPr="000C5B07">
              <w:rPr>
                <w:lang w:val="en-US"/>
              </w:rPr>
              <w:t>Ca</w:t>
            </w:r>
            <w:r>
              <w:rPr>
                <w:lang w:val="en-US"/>
              </w:rPr>
              <w:t>pacity and knowledge encompass the</w:t>
            </w:r>
            <w:r w:rsidRPr="009E533C">
              <w:rPr>
                <w:lang w:val="en-US"/>
              </w:rPr>
              <w:t xml:space="preserve"> skills, expertise, and understanding, including technical capabilities and </w:t>
            </w:r>
            <w:r w:rsidRPr="009E533C">
              <w:rPr>
                <w:lang w:val="en-US"/>
              </w:rPr>
              <w:lastRenderedPageBreak/>
              <w:t>cognitive capacity</w:t>
            </w:r>
            <w:r>
              <w:rPr>
                <w:lang w:val="en-US"/>
              </w:rPr>
              <w:t xml:space="preserve"> of project stakeholders</w:t>
            </w:r>
            <w:r w:rsidRPr="009E533C">
              <w:rPr>
                <w:lang w:val="en-US"/>
              </w:rPr>
              <w:t>.</w:t>
            </w:r>
            <w:r>
              <w:rPr>
                <w:lang w:val="en-US"/>
              </w:rPr>
              <w:t xml:space="preserve"> Project </w:t>
            </w:r>
            <w:r w:rsidR="00AA5C40">
              <w:rPr>
                <w:lang w:val="en-US"/>
              </w:rPr>
              <w:t>managers'</w:t>
            </w:r>
            <w:r>
              <w:rPr>
                <w:lang w:val="en-US"/>
              </w:rPr>
              <w:t xml:space="preserve"> capacity to collaborate with target communities </w:t>
            </w:r>
            <w:r w:rsidR="00AA5C40">
              <w:rPr>
                <w:lang w:val="en-US"/>
              </w:rPr>
              <w:t>is influenced</w:t>
            </w:r>
            <w:r>
              <w:rPr>
                <w:lang w:val="en-US"/>
              </w:rPr>
              <w:t xml:space="preserve"> by their cognitive and operational capabilities.</w:t>
            </w:r>
            <w:r w:rsidRPr="00F203CA">
              <w:rPr>
                <w:rFonts w:ascii="Segoe UI" w:hAnsi="Segoe UI" w:cs="Segoe UI"/>
                <w:color w:val="374151"/>
                <w:lang w:val="en-US"/>
              </w:rPr>
              <w:t xml:space="preserve"> </w:t>
            </w:r>
          </w:p>
        </w:tc>
        <w:tc>
          <w:tcPr>
            <w:tcW w:w="4110" w:type="dxa"/>
          </w:tcPr>
          <w:p w14:paraId="65579CEB" w14:textId="3741930E" w:rsidR="00DA7D88" w:rsidRPr="00224F54" w:rsidRDefault="00DA7D88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Capacity and k</w:t>
            </w:r>
            <w:r w:rsidRPr="00224F54">
              <w:rPr>
                <w:lang w:val="en-US"/>
              </w:rPr>
              <w:t xml:space="preserve">nowledge </w:t>
            </w:r>
            <w:r>
              <w:rPr>
                <w:lang w:val="en-US"/>
              </w:rPr>
              <w:t>can be viewed as the individual</w:t>
            </w:r>
            <w:r w:rsidRPr="00224F54">
              <w:rPr>
                <w:lang w:val="en-US"/>
              </w:rPr>
              <w:t xml:space="preserve"> manifestation of the cognitive </w:t>
            </w:r>
            <w:r>
              <w:rPr>
                <w:lang w:val="en-US"/>
              </w:rPr>
              <w:t xml:space="preserve">and operational </w:t>
            </w:r>
            <w:r w:rsidR="00AA5C40">
              <w:rPr>
                <w:lang w:val="en-US"/>
              </w:rPr>
              <w:t>dimensions</w:t>
            </w:r>
            <w:r w:rsidRPr="00224F54">
              <w:rPr>
                <w:lang w:val="en-US"/>
              </w:rPr>
              <w:t xml:space="preserve"> of </w:t>
            </w:r>
            <w:r w:rsidRPr="00224F54">
              <w:rPr>
                <w:lang w:val="en-US"/>
              </w:rPr>
              <w:lastRenderedPageBreak/>
              <w:t>institutional logic</w:t>
            </w:r>
            <w:r>
              <w:rPr>
                <w:lang w:val="en-US"/>
              </w:rPr>
              <w:t xml:space="preserve">. Together with individual orientation, motivation and expectation, capacity and knowledge guide </w:t>
            </w:r>
            <w:r w:rsidR="00D3072E">
              <w:rPr>
                <w:lang w:val="en-US"/>
              </w:rPr>
              <w:t>how roles and responsibilities are met</w:t>
            </w:r>
            <w:r w:rsidR="00015062">
              <w:rPr>
                <w:lang w:val="en-US"/>
              </w:rPr>
              <w:t>.</w:t>
            </w:r>
            <w:r w:rsidR="004D1B17">
              <w:rPr>
                <w:lang w:val="en-US"/>
              </w:rPr>
              <w:t xml:space="preserve"> Finally, rationality</w:t>
            </w:r>
            <w:r w:rsidR="00DF1BFA">
              <w:rPr>
                <w:lang w:val="en-US"/>
              </w:rPr>
              <w:t xml:space="preserve"> itself can vary depending on the organizational structure and institutional context.</w:t>
            </w:r>
          </w:p>
        </w:tc>
        <w:tc>
          <w:tcPr>
            <w:tcW w:w="2552" w:type="dxa"/>
          </w:tcPr>
          <w:p w14:paraId="1FF95B96" w14:textId="1DE93F81" w:rsidR="00810E96" w:rsidRPr="003B4125" w:rsidRDefault="00810E96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lastRenderedPageBreak/>
              <w:t xml:space="preserve">Institutional logic: </w:t>
            </w:r>
          </w:p>
          <w:p w14:paraId="4B9859FC" w14:textId="77777777" w:rsidR="00DA7D88" w:rsidRPr="003B4125" w:rsidRDefault="00B14958">
            <w:pPr>
              <w:rPr>
                <w:i/>
                <w:iCs/>
                <w:lang w:val="en-GB"/>
              </w:rPr>
            </w:pPr>
            <w:proofErr w:type="spellStart"/>
            <w:r w:rsidRPr="003B4125">
              <w:rPr>
                <w:i/>
                <w:iCs/>
                <w:lang w:val="en-US"/>
              </w:rPr>
              <w:t>Pernicka</w:t>
            </w:r>
            <w:proofErr w:type="spellEnd"/>
            <w:r w:rsidRPr="003B4125">
              <w:rPr>
                <w:i/>
                <w:iCs/>
                <w:lang w:val="en-US"/>
              </w:rPr>
              <w:t xml:space="preserve"> and Reichel (2014)</w:t>
            </w:r>
            <w:r w:rsidR="00E35D75" w:rsidRPr="003B4125">
              <w:rPr>
                <w:i/>
                <w:iCs/>
                <w:lang w:val="en-US"/>
              </w:rPr>
              <w:t xml:space="preserve">; Suddaby and </w:t>
            </w:r>
            <w:proofErr w:type="spellStart"/>
            <w:r w:rsidR="00E35D75" w:rsidRPr="003B4125">
              <w:rPr>
                <w:i/>
                <w:iCs/>
                <w:lang w:val="en-US"/>
              </w:rPr>
              <w:lastRenderedPageBreak/>
              <w:t>Bévort</w:t>
            </w:r>
            <w:proofErr w:type="spellEnd"/>
            <w:r w:rsidR="00E35D75" w:rsidRPr="003B4125">
              <w:rPr>
                <w:i/>
                <w:iCs/>
                <w:lang w:val="en-US"/>
              </w:rPr>
              <w:t xml:space="preserve"> (2015)</w:t>
            </w:r>
            <w:r w:rsidR="00820533" w:rsidRPr="003B4125">
              <w:rPr>
                <w:i/>
                <w:iCs/>
                <w:lang w:val="en-US"/>
              </w:rPr>
              <w:t xml:space="preserve">; </w:t>
            </w:r>
            <w:r w:rsidR="00820533" w:rsidRPr="003B4125">
              <w:rPr>
                <w:i/>
                <w:iCs/>
                <w:lang w:val="en-GB"/>
              </w:rPr>
              <w:t>Turner et al. (2016)</w:t>
            </w:r>
          </w:p>
          <w:p w14:paraId="3AE61439" w14:textId="77777777" w:rsidR="00810E96" w:rsidRDefault="00810E96">
            <w:pPr>
              <w:rPr>
                <w:lang w:val="en-GB"/>
              </w:rPr>
            </w:pPr>
          </w:p>
          <w:p w14:paraId="4E09B284" w14:textId="1835F60E" w:rsidR="00810E96" w:rsidRPr="003B4125" w:rsidRDefault="00810E96">
            <w:pPr>
              <w:rPr>
                <w:u w:val="single"/>
                <w:lang w:val="en-GB"/>
              </w:rPr>
            </w:pPr>
            <w:r w:rsidRPr="003B4125">
              <w:rPr>
                <w:u w:val="single"/>
                <w:lang w:val="en-GB"/>
              </w:rPr>
              <w:t xml:space="preserve">Mental models: </w:t>
            </w:r>
          </w:p>
          <w:p w14:paraId="67C815DD" w14:textId="359D756C" w:rsidR="00810E96" w:rsidRPr="003B4125" w:rsidRDefault="00810E96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US"/>
              </w:rPr>
              <w:t>Lynam et al. (2012)</w:t>
            </w:r>
            <w:r w:rsidR="00FE3753" w:rsidRPr="003B4125">
              <w:rPr>
                <w:i/>
                <w:iCs/>
                <w:lang w:val="en-US"/>
              </w:rPr>
              <w:t xml:space="preserve">; Scholz, G., </w:t>
            </w:r>
            <w:proofErr w:type="spellStart"/>
            <w:r w:rsidR="00FE3753" w:rsidRPr="003B4125">
              <w:rPr>
                <w:i/>
                <w:iCs/>
                <w:lang w:val="en-US"/>
              </w:rPr>
              <w:t>Dewulf</w:t>
            </w:r>
            <w:proofErr w:type="spellEnd"/>
            <w:r w:rsidR="00FE3753" w:rsidRPr="003B4125">
              <w:rPr>
                <w:i/>
                <w:iCs/>
                <w:lang w:val="en-US"/>
              </w:rPr>
              <w:t>, A., &amp; Pahl-Wostl, C. (2014)</w:t>
            </w:r>
            <w:r w:rsidR="004F18E1" w:rsidRPr="003B4125">
              <w:rPr>
                <w:i/>
                <w:iCs/>
                <w:lang w:val="en-US"/>
              </w:rPr>
              <w:t xml:space="preserve">; </w:t>
            </w:r>
            <w:proofErr w:type="spellStart"/>
            <w:r w:rsidR="004F18E1" w:rsidRPr="003B4125">
              <w:rPr>
                <w:i/>
                <w:iCs/>
                <w:lang w:val="en-US"/>
              </w:rPr>
              <w:t>D’armengol</w:t>
            </w:r>
            <w:proofErr w:type="spellEnd"/>
            <w:r w:rsidR="004F18E1" w:rsidRPr="003B4125">
              <w:rPr>
                <w:i/>
                <w:iCs/>
                <w:lang w:val="en-US"/>
              </w:rPr>
              <w:t xml:space="preserve"> et al., 2021</w:t>
            </w:r>
          </w:p>
        </w:tc>
      </w:tr>
      <w:tr w:rsidR="00DA7D88" w:rsidRPr="0009339F" w14:paraId="499CCF3E" w14:textId="35995C69" w:rsidTr="003B4125">
        <w:tc>
          <w:tcPr>
            <w:tcW w:w="2547" w:type="dxa"/>
          </w:tcPr>
          <w:p w14:paraId="422CFF23" w14:textId="0A089F43" w:rsidR="00DA7D88" w:rsidRPr="00D77CA3" w:rsidRDefault="00DA7D88">
            <w:pPr>
              <w:rPr>
                <w:u w:val="single"/>
              </w:rPr>
            </w:pPr>
            <w:r w:rsidRPr="00D77CA3">
              <w:rPr>
                <w:u w:val="single"/>
                <w:lang w:val="en-US"/>
              </w:rPr>
              <w:lastRenderedPageBreak/>
              <w:t>Motivation and expectations</w:t>
            </w:r>
          </w:p>
        </w:tc>
        <w:tc>
          <w:tcPr>
            <w:tcW w:w="4111" w:type="dxa"/>
          </w:tcPr>
          <w:p w14:paraId="5344BFC0" w14:textId="1DADCBE1" w:rsidR="00DA7D88" w:rsidRPr="002469D8" w:rsidRDefault="00DA7D88">
            <w:pPr>
              <w:rPr>
                <w:lang w:val="en-US"/>
              </w:rPr>
            </w:pPr>
            <w:r>
              <w:rPr>
                <w:lang w:val="en-US"/>
              </w:rPr>
              <w:t xml:space="preserve">Motivation and expectation </w:t>
            </w:r>
            <w:r w:rsidR="00AA5C40">
              <w:rPr>
                <w:lang w:val="en-US"/>
              </w:rPr>
              <w:t>involve</w:t>
            </w:r>
            <w:r>
              <w:rPr>
                <w:lang w:val="en-US"/>
              </w:rPr>
              <w:t xml:space="preserve"> i</w:t>
            </w:r>
            <w:r w:rsidRPr="0009339F">
              <w:rPr>
                <w:lang w:val="en-US"/>
              </w:rPr>
              <w:t xml:space="preserve">nternal drives, incentives, and anticipated outcomes </w:t>
            </w:r>
            <w:r>
              <w:rPr>
                <w:lang w:val="en-US"/>
              </w:rPr>
              <w:t>of roles and responsibilities. In a project management context, m</w:t>
            </w:r>
            <w:r w:rsidRPr="002469D8">
              <w:rPr>
                <w:lang w:val="en-US"/>
              </w:rPr>
              <w:t>otivations and expectations</w:t>
            </w:r>
            <w:r>
              <w:rPr>
                <w:lang w:val="en-US"/>
              </w:rPr>
              <w:t xml:space="preserve"> are strongly</w:t>
            </w:r>
            <w:r w:rsidRPr="002469D8">
              <w:rPr>
                <w:lang w:val="en-US"/>
              </w:rPr>
              <w:t xml:space="preserve"> influenced by political, economic, social, and career-oriented factors.</w:t>
            </w:r>
          </w:p>
        </w:tc>
        <w:tc>
          <w:tcPr>
            <w:tcW w:w="4110" w:type="dxa"/>
          </w:tcPr>
          <w:p w14:paraId="14B17C38" w14:textId="11431FA5" w:rsidR="00DA7D88" w:rsidRPr="0009339F" w:rsidRDefault="00DA7D88">
            <w:pPr>
              <w:rPr>
                <w:lang w:val="en-US"/>
              </w:rPr>
            </w:pPr>
            <w:r>
              <w:rPr>
                <w:lang w:val="en-US"/>
              </w:rPr>
              <w:t>Together with individual orientation, motivation and expectations mediate the most normative aspects of institutional logic. Both variables reflect attitudes and the more unconscious levels of reasoning.</w:t>
            </w:r>
          </w:p>
        </w:tc>
        <w:tc>
          <w:tcPr>
            <w:tcW w:w="2552" w:type="dxa"/>
          </w:tcPr>
          <w:p w14:paraId="02D10BCC" w14:textId="692D47C8" w:rsidR="00810E96" w:rsidRPr="003B4125" w:rsidRDefault="00810E96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>Institutional logic:</w:t>
            </w:r>
          </w:p>
          <w:p w14:paraId="25B90769" w14:textId="77777777" w:rsidR="00DA7D88" w:rsidRPr="003B4125" w:rsidRDefault="00B14958">
            <w:pPr>
              <w:rPr>
                <w:i/>
                <w:iCs/>
              </w:rPr>
            </w:pPr>
            <w:proofErr w:type="spellStart"/>
            <w:r w:rsidRPr="003B4125">
              <w:rPr>
                <w:i/>
                <w:iCs/>
                <w:lang w:val="en-US"/>
              </w:rPr>
              <w:t>Pernicka</w:t>
            </w:r>
            <w:proofErr w:type="spellEnd"/>
            <w:r w:rsidRPr="003B4125">
              <w:rPr>
                <w:i/>
                <w:iCs/>
                <w:lang w:val="en-US"/>
              </w:rPr>
              <w:t xml:space="preserve"> and Reichel (2014)</w:t>
            </w:r>
            <w:r w:rsidR="00A3561F" w:rsidRPr="003B4125">
              <w:rPr>
                <w:i/>
                <w:iCs/>
                <w:lang w:val="en-US"/>
              </w:rPr>
              <w:t>; Westermann-</w:t>
            </w:r>
            <w:proofErr w:type="spellStart"/>
            <w:r w:rsidR="00A3561F" w:rsidRPr="003B4125">
              <w:rPr>
                <w:i/>
                <w:iCs/>
                <w:lang w:val="en-US"/>
              </w:rPr>
              <w:t>Behaylo</w:t>
            </w:r>
            <w:proofErr w:type="spellEnd"/>
            <w:r w:rsidR="00A3561F" w:rsidRPr="003B4125">
              <w:rPr>
                <w:i/>
                <w:iCs/>
                <w:lang w:val="en-US"/>
              </w:rPr>
              <w:t xml:space="preserve"> et al. </w:t>
            </w:r>
            <w:r w:rsidR="00A3561F" w:rsidRPr="003B4125">
              <w:rPr>
                <w:i/>
                <w:iCs/>
              </w:rPr>
              <w:t>(2014)</w:t>
            </w:r>
            <w:r w:rsidR="00F4246B" w:rsidRPr="003B4125">
              <w:rPr>
                <w:i/>
                <w:iCs/>
              </w:rPr>
              <w:t>; Osei-Amponsah et al. (2018)</w:t>
            </w:r>
            <w:r w:rsidR="00E35D75" w:rsidRPr="003B4125">
              <w:rPr>
                <w:i/>
                <w:iCs/>
              </w:rPr>
              <w:t>; Suddaby and Bévort (2015)</w:t>
            </w:r>
          </w:p>
          <w:p w14:paraId="21DCAF79" w14:textId="77777777" w:rsidR="00810E96" w:rsidRPr="00F62C61" w:rsidRDefault="00810E96"/>
          <w:p w14:paraId="4C37A3E2" w14:textId="0927B58D" w:rsidR="00810E96" w:rsidRPr="003B4125" w:rsidRDefault="00810E96" w:rsidP="00810E96">
            <w:pPr>
              <w:rPr>
                <w:u w:val="single"/>
              </w:rPr>
            </w:pPr>
            <w:r w:rsidRPr="003B4125">
              <w:rPr>
                <w:u w:val="single"/>
              </w:rPr>
              <w:t xml:space="preserve">Mental models: </w:t>
            </w:r>
          </w:p>
          <w:p w14:paraId="577B01C2" w14:textId="51C14150" w:rsidR="00810E96" w:rsidRPr="003B4125" w:rsidRDefault="00810E96" w:rsidP="00810E96">
            <w:pPr>
              <w:rPr>
                <w:i/>
                <w:iCs/>
              </w:rPr>
            </w:pPr>
            <w:proofErr w:type="spellStart"/>
            <w:r w:rsidRPr="003B4125">
              <w:rPr>
                <w:i/>
                <w:iCs/>
              </w:rPr>
              <w:t>Lynam</w:t>
            </w:r>
            <w:proofErr w:type="spellEnd"/>
            <w:r w:rsidRPr="003B4125">
              <w:rPr>
                <w:i/>
                <w:iCs/>
              </w:rPr>
              <w:t xml:space="preserve"> et al. (2012)</w:t>
            </w:r>
            <w:r w:rsidR="004F18E1" w:rsidRPr="003B4125">
              <w:rPr>
                <w:i/>
                <w:iCs/>
              </w:rPr>
              <w:t>; D’armengol et al., (2021)</w:t>
            </w:r>
          </w:p>
        </w:tc>
      </w:tr>
      <w:tr w:rsidR="00DA7D88" w:rsidRPr="00F0380E" w14:paraId="08F81CCB" w14:textId="0DF034EB" w:rsidTr="003B4125">
        <w:tc>
          <w:tcPr>
            <w:tcW w:w="2547" w:type="dxa"/>
          </w:tcPr>
          <w:p w14:paraId="37965818" w14:textId="0A482EDC" w:rsidR="00DA7D88" w:rsidRPr="00D77CA3" w:rsidRDefault="00DA7D88">
            <w:pPr>
              <w:rPr>
                <w:u w:val="single"/>
              </w:rPr>
            </w:pPr>
            <w:r w:rsidRPr="00D77CA3">
              <w:rPr>
                <w:u w:val="single"/>
                <w:lang w:val="en-US"/>
              </w:rPr>
              <w:t>Individual orientation</w:t>
            </w:r>
          </w:p>
        </w:tc>
        <w:tc>
          <w:tcPr>
            <w:tcW w:w="4111" w:type="dxa"/>
          </w:tcPr>
          <w:p w14:paraId="1DBE64A4" w14:textId="72F5F151" w:rsidR="00DA7D88" w:rsidRPr="003F2EC7" w:rsidRDefault="0083717E">
            <w:pPr>
              <w:rPr>
                <w:lang w:val="en-US"/>
              </w:rPr>
            </w:pPr>
            <w:r>
              <w:rPr>
                <w:lang w:val="en-US"/>
              </w:rPr>
              <w:t>Individual orientation is understood here as the personal combination of political and social</w:t>
            </w:r>
            <w:r w:rsidR="00C01873">
              <w:rPr>
                <w:lang w:val="en-US"/>
              </w:rPr>
              <w:t xml:space="preserve"> belief </w:t>
            </w:r>
            <w:r w:rsidR="00AA5C40">
              <w:rPr>
                <w:lang w:val="en-US"/>
              </w:rPr>
              <w:t>systems</w:t>
            </w:r>
            <w:r w:rsidR="00C01873">
              <w:rPr>
                <w:lang w:val="en-US"/>
              </w:rPr>
              <w:t xml:space="preserve"> guiding individual mentalities</w:t>
            </w:r>
            <w:r w:rsidR="00222D1A">
              <w:rPr>
                <w:lang w:val="en-US"/>
              </w:rPr>
              <w:t xml:space="preserve"> of development professionals</w:t>
            </w:r>
            <w:r w:rsidR="00C01873">
              <w:rPr>
                <w:lang w:val="en-US"/>
              </w:rPr>
              <w:t xml:space="preserve">. </w:t>
            </w:r>
          </w:p>
        </w:tc>
        <w:tc>
          <w:tcPr>
            <w:tcW w:w="4110" w:type="dxa"/>
          </w:tcPr>
          <w:p w14:paraId="31058EF6" w14:textId="009BC791" w:rsidR="00DA7D88" w:rsidRPr="003F2EC7" w:rsidRDefault="00FD2D83">
            <w:pPr>
              <w:rPr>
                <w:lang w:val="en-US"/>
              </w:rPr>
            </w:pPr>
            <w:r>
              <w:rPr>
                <w:lang w:val="en-US"/>
              </w:rPr>
              <w:t>Individual orientat</w:t>
            </w:r>
            <w:r w:rsidR="00F71A98">
              <w:rPr>
                <w:lang w:val="en-US"/>
              </w:rPr>
              <w:t xml:space="preserve">ion, motivation and expectations shape how the organizational structure is interpreted. </w:t>
            </w:r>
            <w:r w:rsidR="00222D1A" w:rsidRPr="00222D1A">
              <w:rPr>
                <w:lang w:val="en-US"/>
              </w:rPr>
              <w:t xml:space="preserve">It represents the broader mindset, values, and attitudes within an organization, including unconscious levels of reasoning. Individual orientation informs the political, economic, social and career-oriented factors. </w:t>
            </w:r>
            <w:r w:rsidR="00DA7D88">
              <w:rPr>
                <w:lang w:val="en-US"/>
              </w:rPr>
              <w:t>Depending on motivation and expectations, i</w:t>
            </w:r>
            <w:r w:rsidR="00DA7D88" w:rsidRPr="009D5018">
              <w:rPr>
                <w:lang w:val="en-US"/>
              </w:rPr>
              <w:t>ndividuals may</w:t>
            </w:r>
            <w:r w:rsidR="00DA7D88">
              <w:rPr>
                <w:lang w:val="en-US"/>
              </w:rPr>
              <w:t xml:space="preserve"> </w:t>
            </w:r>
            <w:r w:rsidR="00DA7D88" w:rsidRPr="009D5018">
              <w:rPr>
                <w:lang w:val="en-US"/>
              </w:rPr>
              <w:t>align their capacities with the prevailing institutional logic to enhance their careers.</w:t>
            </w:r>
          </w:p>
        </w:tc>
        <w:tc>
          <w:tcPr>
            <w:tcW w:w="2552" w:type="dxa"/>
          </w:tcPr>
          <w:p w14:paraId="50C4B52D" w14:textId="77777777" w:rsidR="003B4125" w:rsidRPr="003B4125" w:rsidRDefault="003B4125" w:rsidP="003B4125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>Institutional logic:</w:t>
            </w:r>
          </w:p>
          <w:p w14:paraId="74AB8671" w14:textId="77777777" w:rsidR="00DA7D88" w:rsidRPr="003B4125" w:rsidRDefault="0083717E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GB"/>
              </w:rPr>
              <w:t xml:space="preserve">Høiland and </w:t>
            </w:r>
            <w:proofErr w:type="spellStart"/>
            <w:r w:rsidRPr="003B4125">
              <w:rPr>
                <w:i/>
                <w:iCs/>
                <w:lang w:val="en-GB"/>
              </w:rPr>
              <w:t>Klemsdal</w:t>
            </w:r>
            <w:proofErr w:type="spellEnd"/>
            <w:r w:rsidRPr="003B4125">
              <w:rPr>
                <w:i/>
                <w:iCs/>
                <w:lang w:val="en-GB"/>
              </w:rPr>
              <w:t xml:space="preserve"> (2022)</w:t>
            </w:r>
            <w:r w:rsidR="003D3441" w:rsidRPr="003B4125">
              <w:rPr>
                <w:i/>
                <w:iCs/>
                <w:lang w:val="en-GB"/>
              </w:rPr>
              <w:t xml:space="preserve">; </w:t>
            </w:r>
            <w:r w:rsidR="003D3441" w:rsidRPr="003B4125">
              <w:rPr>
                <w:i/>
                <w:iCs/>
                <w:lang w:val="en-US"/>
              </w:rPr>
              <w:t>Hathaway and Askvik (2021)</w:t>
            </w:r>
            <w:r w:rsidR="00F4246B" w:rsidRPr="003B4125">
              <w:rPr>
                <w:i/>
                <w:iCs/>
                <w:lang w:val="en-US"/>
              </w:rPr>
              <w:t>; Osei-Amponsah et al. (2018)</w:t>
            </w:r>
            <w:r w:rsidR="00E35D75" w:rsidRPr="003B4125">
              <w:rPr>
                <w:i/>
                <w:iCs/>
                <w:lang w:val="en-US"/>
              </w:rPr>
              <w:t xml:space="preserve">; Suddaby and </w:t>
            </w:r>
            <w:proofErr w:type="spellStart"/>
            <w:r w:rsidR="00E35D75" w:rsidRPr="003B4125">
              <w:rPr>
                <w:i/>
                <w:iCs/>
                <w:lang w:val="en-US"/>
              </w:rPr>
              <w:t>Bévort</w:t>
            </w:r>
            <w:proofErr w:type="spellEnd"/>
            <w:r w:rsidR="00E35D75" w:rsidRPr="003B4125">
              <w:rPr>
                <w:i/>
                <w:iCs/>
                <w:lang w:val="en-US"/>
              </w:rPr>
              <w:t xml:space="preserve"> (2015)</w:t>
            </w:r>
          </w:p>
          <w:p w14:paraId="1CE25A2C" w14:textId="77777777" w:rsidR="00810E96" w:rsidRDefault="00810E96">
            <w:pPr>
              <w:rPr>
                <w:lang w:val="en-US"/>
              </w:rPr>
            </w:pPr>
          </w:p>
          <w:p w14:paraId="163C6E06" w14:textId="50BC8097" w:rsidR="00ED44E8" w:rsidRPr="003B4125" w:rsidRDefault="00810E96" w:rsidP="00810E96">
            <w:pPr>
              <w:rPr>
                <w:u w:val="single"/>
                <w:lang w:val="en-US"/>
              </w:rPr>
            </w:pPr>
            <w:r w:rsidRPr="003B4125">
              <w:rPr>
                <w:u w:val="single"/>
                <w:lang w:val="en-US"/>
              </w:rPr>
              <w:t xml:space="preserve">Mental models: </w:t>
            </w:r>
          </w:p>
          <w:p w14:paraId="24EFBB35" w14:textId="6A9E0854" w:rsidR="004F18E1" w:rsidRPr="003B4125" w:rsidRDefault="00ED44E8" w:rsidP="00810E96">
            <w:pPr>
              <w:rPr>
                <w:i/>
                <w:iCs/>
                <w:lang w:val="en-US"/>
              </w:rPr>
            </w:pPr>
            <w:r w:rsidRPr="003B4125">
              <w:rPr>
                <w:i/>
                <w:iCs/>
                <w:lang w:val="en-US"/>
              </w:rPr>
              <w:t>Morris Altman (2023)</w:t>
            </w:r>
          </w:p>
          <w:p w14:paraId="532ACB66" w14:textId="33CC1A3B" w:rsidR="00810E96" w:rsidRPr="00F62C61" w:rsidRDefault="00810E96" w:rsidP="00810E96">
            <w:pPr>
              <w:rPr>
                <w:lang w:val="en-US"/>
              </w:rPr>
            </w:pPr>
            <w:r w:rsidRPr="003B4125">
              <w:rPr>
                <w:i/>
                <w:iCs/>
                <w:lang w:val="en-US"/>
              </w:rPr>
              <w:t>Lynam et al. (2012)</w:t>
            </w:r>
            <w:r w:rsidR="00FE3753" w:rsidRPr="003B4125">
              <w:rPr>
                <w:i/>
                <w:iCs/>
                <w:lang w:val="en-US"/>
              </w:rPr>
              <w:t>; Scholz, G., Dewulf, A., &amp; Pahl-Wostl, C. (2014)</w:t>
            </w:r>
            <w:r w:rsidR="004F18E1" w:rsidRPr="003B4125">
              <w:rPr>
                <w:i/>
                <w:iCs/>
                <w:lang w:val="en-US"/>
              </w:rPr>
              <w:t>; D’armengol et al., (2021)</w:t>
            </w:r>
          </w:p>
        </w:tc>
      </w:tr>
    </w:tbl>
    <w:p w14:paraId="0912016C" w14:textId="77777777" w:rsidR="00FA3A7B" w:rsidRPr="00F62C61" w:rsidRDefault="00FA3A7B">
      <w:pPr>
        <w:rPr>
          <w:lang w:val="en-US"/>
        </w:rPr>
      </w:pPr>
    </w:p>
    <w:sectPr w:rsidR="00FA3A7B" w:rsidRPr="00F62C61" w:rsidSect="00D87583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027A"/>
    <w:rsid w:val="00015062"/>
    <w:rsid w:val="00035DE6"/>
    <w:rsid w:val="0005642E"/>
    <w:rsid w:val="00082D5E"/>
    <w:rsid w:val="0009339F"/>
    <w:rsid w:val="000A13E5"/>
    <w:rsid w:val="000C5B07"/>
    <w:rsid w:val="001172C7"/>
    <w:rsid w:val="0012560A"/>
    <w:rsid w:val="00151D69"/>
    <w:rsid w:val="00186C34"/>
    <w:rsid w:val="001C581F"/>
    <w:rsid w:val="001F01DF"/>
    <w:rsid w:val="00213D1A"/>
    <w:rsid w:val="002146F0"/>
    <w:rsid w:val="00222D1A"/>
    <w:rsid w:val="00224F54"/>
    <w:rsid w:val="00235884"/>
    <w:rsid w:val="00243A13"/>
    <w:rsid w:val="002469D8"/>
    <w:rsid w:val="002713BE"/>
    <w:rsid w:val="00292ED9"/>
    <w:rsid w:val="00295214"/>
    <w:rsid w:val="002C147D"/>
    <w:rsid w:val="002F5EA4"/>
    <w:rsid w:val="00315B61"/>
    <w:rsid w:val="00317667"/>
    <w:rsid w:val="00327DD2"/>
    <w:rsid w:val="003653E9"/>
    <w:rsid w:val="003B4125"/>
    <w:rsid w:val="003B5261"/>
    <w:rsid w:val="003C6F9B"/>
    <w:rsid w:val="003D3441"/>
    <w:rsid w:val="003E4EF3"/>
    <w:rsid w:val="003F2EC7"/>
    <w:rsid w:val="0042595F"/>
    <w:rsid w:val="0042663C"/>
    <w:rsid w:val="004347BA"/>
    <w:rsid w:val="00477F4D"/>
    <w:rsid w:val="004958AB"/>
    <w:rsid w:val="004B0350"/>
    <w:rsid w:val="004D1B17"/>
    <w:rsid w:val="004D2AEE"/>
    <w:rsid w:val="004F18E1"/>
    <w:rsid w:val="0053020D"/>
    <w:rsid w:val="005619D0"/>
    <w:rsid w:val="005D4D39"/>
    <w:rsid w:val="005D5FB5"/>
    <w:rsid w:val="00607719"/>
    <w:rsid w:val="00632B7F"/>
    <w:rsid w:val="006352CD"/>
    <w:rsid w:val="00685263"/>
    <w:rsid w:val="006A6B8D"/>
    <w:rsid w:val="006B4BE5"/>
    <w:rsid w:val="00776898"/>
    <w:rsid w:val="007B1599"/>
    <w:rsid w:val="008069F0"/>
    <w:rsid w:val="008105C5"/>
    <w:rsid w:val="00810C66"/>
    <w:rsid w:val="00810E96"/>
    <w:rsid w:val="00813A0E"/>
    <w:rsid w:val="00820533"/>
    <w:rsid w:val="008338EA"/>
    <w:rsid w:val="0083717E"/>
    <w:rsid w:val="0084500C"/>
    <w:rsid w:val="00850454"/>
    <w:rsid w:val="008530D3"/>
    <w:rsid w:val="008B5660"/>
    <w:rsid w:val="0094027A"/>
    <w:rsid w:val="009558D5"/>
    <w:rsid w:val="0097671D"/>
    <w:rsid w:val="0098192E"/>
    <w:rsid w:val="00991626"/>
    <w:rsid w:val="0099416B"/>
    <w:rsid w:val="009A1962"/>
    <w:rsid w:val="009C09FA"/>
    <w:rsid w:val="009D5018"/>
    <w:rsid w:val="009E533C"/>
    <w:rsid w:val="009F6367"/>
    <w:rsid w:val="00A01FDF"/>
    <w:rsid w:val="00A3561F"/>
    <w:rsid w:val="00A43FF2"/>
    <w:rsid w:val="00A52562"/>
    <w:rsid w:val="00AA5C40"/>
    <w:rsid w:val="00AD6931"/>
    <w:rsid w:val="00AF03C8"/>
    <w:rsid w:val="00B14958"/>
    <w:rsid w:val="00B3393E"/>
    <w:rsid w:val="00B40DBB"/>
    <w:rsid w:val="00B57C05"/>
    <w:rsid w:val="00B6098A"/>
    <w:rsid w:val="00BB3BC1"/>
    <w:rsid w:val="00BC6776"/>
    <w:rsid w:val="00BD029C"/>
    <w:rsid w:val="00BE3FA0"/>
    <w:rsid w:val="00C01873"/>
    <w:rsid w:val="00C04EBA"/>
    <w:rsid w:val="00C059BB"/>
    <w:rsid w:val="00C161C9"/>
    <w:rsid w:val="00C364D7"/>
    <w:rsid w:val="00C70685"/>
    <w:rsid w:val="00C716E2"/>
    <w:rsid w:val="00CA0C93"/>
    <w:rsid w:val="00CB2640"/>
    <w:rsid w:val="00CC5916"/>
    <w:rsid w:val="00CF5ED5"/>
    <w:rsid w:val="00D028D7"/>
    <w:rsid w:val="00D102F0"/>
    <w:rsid w:val="00D14C46"/>
    <w:rsid w:val="00D3072E"/>
    <w:rsid w:val="00D6185E"/>
    <w:rsid w:val="00D76681"/>
    <w:rsid w:val="00D77CA3"/>
    <w:rsid w:val="00D87583"/>
    <w:rsid w:val="00DA7D88"/>
    <w:rsid w:val="00DB459F"/>
    <w:rsid w:val="00DB4860"/>
    <w:rsid w:val="00DC6C4C"/>
    <w:rsid w:val="00DE2A0D"/>
    <w:rsid w:val="00DF1BFA"/>
    <w:rsid w:val="00E3121D"/>
    <w:rsid w:val="00E35D75"/>
    <w:rsid w:val="00E46FE3"/>
    <w:rsid w:val="00E47222"/>
    <w:rsid w:val="00ED44E8"/>
    <w:rsid w:val="00F0380E"/>
    <w:rsid w:val="00F203CA"/>
    <w:rsid w:val="00F3659F"/>
    <w:rsid w:val="00F4246B"/>
    <w:rsid w:val="00F60D97"/>
    <w:rsid w:val="00F62C61"/>
    <w:rsid w:val="00F63AE3"/>
    <w:rsid w:val="00F71A98"/>
    <w:rsid w:val="00F814D1"/>
    <w:rsid w:val="00FA3A7B"/>
    <w:rsid w:val="00FD2D83"/>
    <w:rsid w:val="00FE3753"/>
    <w:rsid w:val="00FE64C9"/>
    <w:rsid w:val="00FF4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009D04"/>
  <w15:chartTrackingRefBased/>
  <w15:docId w15:val="{52F30C02-1361-4B78-A661-EFB437620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4347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henvisning">
    <w:name w:val="annotation reference"/>
    <w:basedOn w:val="Standardskrifttypeiafsnit"/>
    <w:uiPriority w:val="99"/>
    <w:semiHidden/>
    <w:unhideWhenUsed/>
    <w:rsid w:val="00F62C61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F62C61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F62C61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F62C61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F62C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627</Words>
  <Characters>4280</Characters>
  <Application>Microsoft Office Word</Application>
  <DocSecurity>0</DocSecurity>
  <Lines>167</Lines>
  <Paragraphs>49</Paragraphs>
  <ScaleCrop>false</ScaleCrop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Lumholt</dc:creator>
  <cp:keywords/>
  <dc:description/>
  <cp:lastModifiedBy>Louise Marie Busck Lumholt</cp:lastModifiedBy>
  <cp:revision>4</cp:revision>
  <dcterms:created xsi:type="dcterms:W3CDTF">2024-01-24T09:58:00Z</dcterms:created>
  <dcterms:modified xsi:type="dcterms:W3CDTF">2024-01-29T21:09:00Z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a6aba65e2245cc4e2e4d96c0293d390934c9e1c2e6a205295f06e6e8b4d11cc9</vt:lpwstr>
  </property>
</Properties>
</file>