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0E215" w14:textId="326469DF" w:rsidR="006F7FC4" w:rsidRDefault="00000BA3" w:rsidP="006F7FC4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Appendix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 xml:space="preserve"> 1</w:t>
      </w:r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</w:t>
      </w:r>
      <w:proofErr w:type="spellStart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NRCs</w:t>
      </w:r>
      <w:proofErr w:type="spellEnd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</w:t>
      </w:r>
      <w:proofErr w:type="spellStart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and</w:t>
      </w:r>
      <w:proofErr w:type="spellEnd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associated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</w:t>
      </w:r>
      <w:proofErr w:type="spellStart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sources</w:t>
      </w:r>
      <w:proofErr w:type="spellEnd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(</w:t>
      </w:r>
      <w:proofErr w:type="spellStart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alphabetic</w:t>
      </w:r>
      <w:proofErr w:type="spellEnd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 </w:t>
      </w:r>
      <w:proofErr w:type="spellStart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order</w:t>
      </w:r>
      <w:proofErr w:type="spellEnd"/>
      <w:r w:rsidR="006F7FC4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 xml:space="preserve">) </w:t>
      </w:r>
    </w:p>
    <w:tbl>
      <w:tblPr>
        <w:tblStyle w:val="KlavuzTablo2-Vurgu3"/>
        <w:tblW w:w="0" w:type="auto"/>
        <w:tblLook w:val="04A0" w:firstRow="1" w:lastRow="0" w:firstColumn="1" w:lastColumn="0" w:noHBand="0" w:noVBand="1"/>
      </w:tblPr>
      <w:tblGrid>
        <w:gridCol w:w="2268"/>
        <w:gridCol w:w="6804"/>
      </w:tblGrid>
      <w:tr w:rsidR="006F7FC4" w14:paraId="7AE46538" w14:textId="77777777" w:rsidTr="00000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94E23A8" w14:textId="77777777" w:rsidR="006F7FC4" w:rsidRDefault="006F7FC4" w:rsidP="00E30CD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r-TR" w:eastAsia="tr-TR"/>
              </w:rPr>
              <w:t>NRCs</w:t>
            </w:r>
            <w:proofErr w:type="spellEnd"/>
          </w:p>
        </w:tc>
        <w:tc>
          <w:tcPr>
            <w:tcW w:w="6804" w:type="dxa"/>
            <w:hideMark/>
          </w:tcPr>
          <w:p w14:paraId="55BAD0AD" w14:textId="77777777" w:rsidR="006F7FC4" w:rsidRDefault="006F7FC4" w:rsidP="00E30CDF">
            <w:pPr>
              <w:spacing w:line="3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Sources</w:t>
            </w:r>
          </w:p>
        </w:tc>
      </w:tr>
      <w:tr w:rsidR="006F7FC4" w14:paraId="078319F9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270C1686" w14:textId="09E07324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Active independent</w:t>
            </w:r>
          </w:p>
        </w:tc>
        <w:tc>
          <w:tcPr>
            <w:tcW w:w="6804" w:type="dxa"/>
            <w:vAlign w:val="center"/>
          </w:tcPr>
          <w:p w14:paraId="53413460" w14:textId="02ADF390" w:rsidR="006F7FC4" w:rsidRDefault="006F7FC4" w:rsidP="00000BA3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anti-bloc attitudes; economic needs-trade expansion; geographic location</w:t>
            </w:r>
          </w:p>
        </w:tc>
      </w:tr>
      <w:tr w:rsidR="006F7FC4" w14:paraId="4F4CA4ED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4B8829CB" w14:textId="666599BA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Liberator supporter</w:t>
            </w:r>
          </w:p>
        </w:tc>
        <w:tc>
          <w:tcPr>
            <w:tcW w:w="6804" w:type="dxa"/>
            <w:vAlign w:val="center"/>
            <w:hideMark/>
          </w:tcPr>
          <w:p w14:paraId="41B81D66" w14:textId="62C75A2C" w:rsidR="006F7FC4" w:rsidRDefault="006F7FC4" w:rsidP="00000BA3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anti-colonial attitudes; ideological principles</w:t>
            </w:r>
          </w:p>
        </w:tc>
      </w:tr>
      <w:tr w:rsidR="006F7FC4" w14:paraId="7FFD5C36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4A5FEDE4" w14:textId="14DB4685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Anti-imperialist agent</w:t>
            </w:r>
          </w:p>
        </w:tc>
        <w:tc>
          <w:tcPr>
            <w:tcW w:w="6804" w:type="dxa"/>
            <w:vAlign w:val="center"/>
            <w:hideMark/>
          </w:tcPr>
          <w:p w14:paraId="5D361CD7" w14:textId="3B2D0B72" w:rsidR="006F7FC4" w:rsidRDefault="006F7FC4" w:rsidP="00000BA3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ideological principles; perception of threat; anti-colonial attitudes</w:t>
            </w:r>
          </w:p>
        </w:tc>
      </w:tr>
      <w:tr w:rsidR="006F7FC4" w14:paraId="496ED2FC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35C78A57" w14:textId="4A1CF7EB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Defender of the faith</w:t>
            </w:r>
          </w:p>
        </w:tc>
        <w:tc>
          <w:tcPr>
            <w:tcW w:w="6804" w:type="dxa"/>
            <w:vAlign w:val="center"/>
            <w:hideMark/>
          </w:tcPr>
          <w:p w14:paraId="4312F5DC" w14:textId="545FD49A" w:rsidR="006F7FC4" w:rsidRDefault="006F7FC4" w:rsidP="00000BA3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perceptions of threat; ideological principles; traditional national role</w:t>
            </w:r>
          </w:p>
        </w:tc>
      </w:tr>
      <w:tr w:rsidR="006F7FC4" w14:paraId="3E9DA204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3BA0F420" w14:textId="77777777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Mediator-integrator</w:t>
            </w:r>
          </w:p>
        </w:tc>
        <w:tc>
          <w:tcPr>
            <w:tcW w:w="6804" w:type="dxa"/>
            <w:vAlign w:val="center"/>
            <w:hideMark/>
          </w:tcPr>
          <w:p w14:paraId="28C23CA7" w14:textId="7B6BF6CD" w:rsidR="006F7FC4" w:rsidRDefault="006F7FC4" w:rsidP="00000BA3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traditional national role; cultural-ethnic composition of state; traditional non-involvement in conflicts; geographic location</w:t>
            </w:r>
          </w:p>
        </w:tc>
      </w:tr>
      <w:tr w:rsidR="006F7FC4" w14:paraId="37714DC1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405D5B01" w14:textId="77E81506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Regional-subsystem collaborator</w:t>
            </w:r>
          </w:p>
        </w:tc>
        <w:tc>
          <w:tcPr>
            <w:tcW w:w="6804" w:type="dxa"/>
            <w:vAlign w:val="center"/>
            <w:hideMark/>
          </w:tcPr>
          <w:p w14:paraId="58791040" w14:textId="1D7B7F71" w:rsidR="006F7FC4" w:rsidRDefault="006F7FC4" w:rsidP="00000B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economic needs; sense of "belonging" to region; common political-ideological traditions; geographic location</w:t>
            </w:r>
          </w:p>
        </w:tc>
      </w:tr>
      <w:tr w:rsidR="006F7FC4" w14:paraId="4D936B51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10C0AB2D" w14:textId="25D4DA0F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Developer</w:t>
            </w:r>
          </w:p>
        </w:tc>
        <w:tc>
          <w:tcPr>
            <w:tcW w:w="6804" w:type="dxa"/>
            <w:vAlign w:val="center"/>
            <w:hideMark/>
          </w:tcPr>
          <w:p w14:paraId="4A738A74" w14:textId="71BE3A47" w:rsidR="006F7FC4" w:rsidRDefault="006F7FC4" w:rsidP="00000B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humanitarian concern; anticipated consequences of underdevelopment; superior economic capabilities; balance U.S.-U.S.S.R. competition in under- developed areas</w:t>
            </w:r>
          </w:p>
        </w:tc>
      </w:tr>
      <w:tr w:rsidR="006F7FC4" w14:paraId="006AED99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2B88E0D6" w14:textId="29CEA4EA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Faithful ally</w:t>
            </w:r>
          </w:p>
        </w:tc>
        <w:tc>
          <w:tcPr>
            <w:tcW w:w="6804" w:type="dxa"/>
            <w:vAlign w:val="center"/>
            <w:hideMark/>
          </w:tcPr>
          <w:p w14:paraId="3D26467D" w14:textId="779966DE" w:rsidR="006F7FC4" w:rsidRDefault="006F7FC4" w:rsidP="00000B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perception of threat; insufficient capabilities; traditional policies; ideological compatibility</w:t>
            </w:r>
          </w:p>
        </w:tc>
      </w:tr>
      <w:tr w:rsidR="006F7FC4" w14:paraId="6767CCC0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2129C54D" w14:textId="77777777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  <w:t>Bastion of revolution-liberator</w:t>
            </w:r>
          </w:p>
        </w:tc>
        <w:tc>
          <w:tcPr>
            <w:tcW w:w="6804" w:type="dxa"/>
            <w:vAlign w:val="center"/>
            <w:hideMark/>
          </w:tcPr>
          <w:p w14:paraId="5A82CFB9" w14:textId="77777777" w:rsidR="006F7FC4" w:rsidRDefault="006F7FC4" w:rsidP="00000BA3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ideological principles; anti-colonial attitudes; desire for ethnic unity</w:t>
            </w:r>
          </w:p>
        </w:tc>
      </w:tr>
      <w:tr w:rsidR="006F7FC4" w14:paraId="5822B8ED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1426D07F" w14:textId="530C45E3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Bridge</w:t>
            </w:r>
          </w:p>
        </w:tc>
        <w:tc>
          <w:tcPr>
            <w:tcW w:w="6804" w:type="dxa"/>
            <w:vAlign w:val="center"/>
            <w:hideMark/>
          </w:tcPr>
          <w:p w14:paraId="30195D72" w14:textId="18E1FD65" w:rsidR="006F7FC4" w:rsidRDefault="006F7FC4" w:rsidP="00000B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geographic location; multi-ethnic composition of state;</w:t>
            </w:r>
          </w:p>
        </w:tc>
      </w:tr>
      <w:tr w:rsidR="006F7FC4" w14:paraId="360F6EB2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471D461F" w14:textId="77777777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Example</w:t>
            </w:r>
          </w:p>
        </w:tc>
        <w:tc>
          <w:tcPr>
            <w:tcW w:w="6804" w:type="dxa"/>
            <w:vAlign w:val="center"/>
            <w:hideMark/>
          </w:tcPr>
          <w:p w14:paraId="4917EDED" w14:textId="30C2BCB2" w:rsidR="006F7FC4" w:rsidRDefault="006F7FC4" w:rsidP="00000B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No revealed sources</w:t>
            </w:r>
          </w:p>
        </w:tc>
      </w:tr>
      <w:tr w:rsidR="006F7FC4" w14:paraId="566B97FB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09167517" w14:textId="77777777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Independent</w:t>
            </w:r>
          </w:p>
        </w:tc>
        <w:tc>
          <w:tcPr>
            <w:tcW w:w="6804" w:type="dxa"/>
            <w:vAlign w:val="center"/>
            <w:hideMark/>
          </w:tcPr>
          <w:p w14:paraId="3D969F57" w14:textId="39CDCA90" w:rsidR="006F7FC4" w:rsidRDefault="006F7FC4" w:rsidP="00000B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Anti-bloc sentiments; anti-colonial sentiments; economic needs; threat perception</w:t>
            </w:r>
          </w:p>
        </w:tc>
      </w:tr>
      <w:tr w:rsidR="006F7FC4" w14:paraId="2BBE14B2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78B26E0B" w14:textId="26E0BE3F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Internal developer</w:t>
            </w:r>
          </w:p>
        </w:tc>
        <w:tc>
          <w:tcPr>
            <w:tcW w:w="6804" w:type="dxa"/>
            <w:vAlign w:val="center"/>
            <w:hideMark/>
          </w:tcPr>
          <w:p w14:paraId="7034917B" w14:textId="16EF38C0" w:rsidR="006F7FC4" w:rsidRDefault="006F7FC4" w:rsidP="00000B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socio-economic needs;  perception of threat through involvement</w:t>
            </w:r>
          </w:p>
        </w:tc>
      </w:tr>
      <w:tr w:rsidR="006F7FC4" w14:paraId="086E7576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362CB1A1" w14:textId="7260EAA0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Isolate</w:t>
            </w:r>
          </w:p>
        </w:tc>
        <w:tc>
          <w:tcPr>
            <w:tcW w:w="6804" w:type="dxa"/>
            <w:vAlign w:val="center"/>
            <w:hideMark/>
          </w:tcPr>
          <w:p w14:paraId="6BA73378" w14:textId="0B15E3E7" w:rsidR="006F7FC4" w:rsidRDefault="006F7FC4" w:rsidP="00000B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perception of threat; insufficient capabilities</w:t>
            </w:r>
          </w:p>
        </w:tc>
      </w:tr>
      <w:tr w:rsidR="006F7FC4" w14:paraId="57DFCF62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109CF4E1" w14:textId="61D4DE6C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Protectee</w:t>
            </w:r>
            <w:proofErr w:type="spellEnd"/>
          </w:p>
        </w:tc>
        <w:tc>
          <w:tcPr>
            <w:tcW w:w="6804" w:type="dxa"/>
            <w:vAlign w:val="center"/>
            <w:hideMark/>
          </w:tcPr>
          <w:p w14:paraId="706B1A60" w14:textId="3E65B658" w:rsidR="006F7FC4" w:rsidRDefault="006F7FC4" w:rsidP="00000B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perception of threat; insufficient capabilities</w:t>
            </w:r>
          </w:p>
        </w:tc>
      </w:tr>
      <w:tr w:rsidR="006F7FC4" w14:paraId="6F1E9F78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4023BBD7" w14:textId="77777777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  <w:t>Regional leader</w:t>
            </w:r>
          </w:p>
        </w:tc>
        <w:tc>
          <w:tcPr>
            <w:tcW w:w="6804" w:type="dxa"/>
            <w:vAlign w:val="center"/>
            <w:hideMark/>
          </w:tcPr>
          <w:p w14:paraId="35EA0DC2" w14:textId="77777777" w:rsidR="006F7FC4" w:rsidRDefault="006F7FC4" w:rsidP="00000BA3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superior capabilities; traditional national role</w:t>
            </w:r>
          </w:p>
        </w:tc>
      </w:tr>
      <w:tr w:rsidR="006F7FC4" w14:paraId="7F704E5D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04D8B030" w14:textId="77777777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  <w:t>Regional protector</w:t>
            </w:r>
          </w:p>
        </w:tc>
        <w:tc>
          <w:tcPr>
            <w:tcW w:w="6804" w:type="dxa"/>
            <w:vAlign w:val="center"/>
            <w:hideMark/>
          </w:tcPr>
          <w:p w14:paraId="07EBE301" w14:textId="5F111107" w:rsidR="006F7FC4" w:rsidRDefault="006F7FC4" w:rsidP="00000BA3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perception of threat; geographic location; traditional policies; needs of threatened states</w:t>
            </w:r>
          </w:p>
        </w:tc>
      </w:tr>
    </w:tbl>
    <w:p w14:paraId="127B3E0C" w14:textId="77777777" w:rsidR="006F7FC4" w:rsidRDefault="006F7FC4" w:rsidP="006F7FC4">
      <w:pPr>
        <w:spacing w:after="96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Source: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Holsti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1970: 296-297. </w:t>
      </w:r>
    </w:p>
    <w:p w14:paraId="1D081A5E" w14:textId="77777777" w:rsidR="006F7FC4" w:rsidRDefault="006F7FC4" w:rsidP="006F7FC4"/>
    <w:p w14:paraId="5AE850FA" w14:textId="2B119312" w:rsidR="006F7FC4" w:rsidRDefault="00000BA3" w:rsidP="006F7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</w:t>
      </w:r>
      <w:r w:rsidR="006F7FC4">
        <w:rPr>
          <w:rFonts w:ascii="Times New Roman" w:hAnsi="Times New Roman" w:cs="Times New Roman"/>
          <w:sz w:val="24"/>
          <w:szCs w:val="24"/>
        </w:rPr>
        <w:t xml:space="preserve"> Date-set and references for Kosovo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7FC4" w14:paraId="0AF46057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75F1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(2008) Kosovo declaration of independence.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Available at: https://www.files.ethz.ch/isn/125409/8009_Kosovo_Independence.pdf (accessed 20 February 2025).</w:t>
            </w:r>
          </w:p>
        </w:tc>
      </w:tr>
      <w:tr w:rsidR="006F7FC4" w14:paraId="6CFA207C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AF83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(2009) Report of the Secretary-General on the United Nations Interim Administration Mission in Kosovo (Security Council) S/PV.6202, 2009-10-15, Speeches. Available at: https://docs.un.org/en/S/PV.6202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(accessed 20 February 2025).</w:t>
            </w:r>
          </w:p>
        </w:tc>
      </w:tr>
      <w:tr w:rsidR="006F7FC4" w14:paraId="3D2CC6F7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2477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(2010) Joint press conference of Prime Minister of Republic of Kosovo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Hashim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Thaçi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US Secretary of State Hillary Clinton. Available at: https://kryeministri.rks-gov.net/en/news/joint-press-conference-of-prime-minister-of-republic-of-kosovo-hashim-thaci-and-us-secretary-of-state-hillary-clinton/ (accessed on 20 February 2025). </w:t>
            </w:r>
          </w:p>
        </w:tc>
      </w:tr>
      <w:tr w:rsidR="006F7FC4" w14:paraId="34B98252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D47C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(2011) Report of the Secretary-General on the United Nations Interim Administration Mission in Kosovo (Security Council) S/PV.6670, 2011-11-29, Speeches. Available at: https://docs.un.org/S/PV.6670 (accessed on 20 February 2025). </w:t>
            </w:r>
          </w:p>
        </w:tc>
      </w:tr>
      <w:tr w:rsidR="006F7FC4" w14:paraId="084A6D75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6592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(2012) Report of the Secretary-General on the United Nations Interim Administration Mission in Kosovo (Security Council) S/PV.6713, 2012-2-8, Speeches. Available at: https://docs.un.org/en/S/pv.6713 (accessed on 20 February 2025). </w:t>
            </w:r>
          </w:p>
        </w:tc>
      </w:tr>
      <w:tr w:rsidR="006F7FC4" w14:paraId="378E0D3D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C5B2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Kosovo (2013) Speech by the Prime Minister of the Republic of Kosovo,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Hashim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Thaçi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the UN Security Council meeting. Available at: https://docs.un.org/en/S/pv.6713 https://kryeministri.rks-gov.net/en/news/speech-by-the-prime-minister-of-the-republic-of-kosovo-hashim-thaci-at-the-un-security-council-meeting/ (accessed on 20 February 2025). </w:t>
            </w:r>
          </w:p>
        </w:tc>
      </w:tr>
      <w:tr w:rsidR="006F7FC4" w14:paraId="664F9323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B340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(2014)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Speech of the President of the Republic of Kosovo at the United Nations Security Council meeting on Kosovo. Available at: https://president-ksgov.net/en/speech-of-the-president-of-the-republic-of-kosovo-at-the-united-nations-security-council-meeting-on-kosovo/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(accessed on 20 February 2025). </w:t>
            </w:r>
          </w:p>
        </w:tc>
      </w:tr>
      <w:tr w:rsidR="006F7FC4" w14:paraId="63572476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8D58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(2015) President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Jahjaga’s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speech at the Ambassadors’ conference.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Available at: https://president-ksgov.net/en/president-jahjagas-speech-at-the-ambassadors-conference-2/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(accessed on 20 February 2025). </w:t>
            </w:r>
          </w:p>
        </w:tc>
      </w:tr>
      <w:tr w:rsidR="006F7FC4" w14:paraId="2FB64EAF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A540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(2016) President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Thaçi’s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speech at the 93rd Rose Roth seminar of the NATO Parliamentary Assembly.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Available at: https://president-ksgov.net/en/president-thacis-speech-at-the-93rd-rose-roth-seminar-of-the-nato-parliamentary-assembly/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(accessed on 20 February 2025). </w:t>
            </w:r>
          </w:p>
        </w:tc>
      </w:tr>
      <w:tr w:rsidR="006F7FC4" w14:paraId="035E6A41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5F85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(2017) President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Thaçi's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address at the consultative meeting on the establishment of the Truth and Reconciliation Commission.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Available at: https://president-ksgov.net/en/president-thacis-address-at-the-consultative-meeting-on-the-establishment-of-the-truth-and-reconciliation-commission/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(accessed on 20 February 2025). </w:t>
            </w:r>
          </w:p>
        </w:tc>
      </w:tr>
      <w:tr w:rsidR="006F7FC4" w14:paraId="375D7FA6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F9AE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(2018) Report of the Secretary-General on the United Nations Interim Administration Mission in Kosovo (Security Council) S/PV.8427, 2018-12-17, Speeches. Available at: https://docs.un.org/en/S/PV.8427 (accessed on 20 February 2025). </w:t>
            </w:r>
          </w:p>
        </w:tc>
      </w:tr>
      <w:tr w:rsidR="006F7FC4" w14:paraId="4EE284E4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CB50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(2019) A conversation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Hashim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Thaçi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Council on Foreign Relations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February 5. Available at: https://www.cfr.org/event/conversation-hashim-thaci (accessed on 20 February 2025). </w:t>
            </w:r>
          </w:p>
        </w:tc>
      </w:tr>
      <w:tr w:rsidR="006F7FC4" w14:paraId="2050E511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0DF2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(2020) Report of the Secretary-General on the United Nations Interim Administration Mission in Kosovo (Security Council) S/2020/339, 2020-4-29, Speeches. Available at: https://docs.un.org/en/S/2020/339 (accessed on 20 February 2025). </w:t>
            </w:r>
          </w:p>
        </w:tc>
      </w:tr>
      <w:tr w:rsidR="006F7FC4" w14:paraId="2961A887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8315" w14:textId="77777777" w:rsidR="006F7FC4" w:rsidRDefault="006F7FC4" w:rsidP="00E30CD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(2021) Report of the Secretary-General on the United Nations Interim Administration Mission in Kosovo (Security Council) S/PV.8880, 2021-10-15, Speeches. Available at: https://docs.un.org/en/S/PV.8880 (accessed on 20 February 2025). </w:t>
            </w:r>
          </w:p>
        </w:tc>
      </w:tr>
      <w:tr w:rsidR="006F7FC4" w14:paraId="4B5BF8BE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0C1A" w14:textId="77777777" w:rsidR="006F7FC4" w:rsidRDefault="006F7FC4" w:rsidP="00E30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(2022) President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Vjosa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Osmani’s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address at the summit of the leaders of the European Union and the Western Balkan countries. Available at: https://president-ksgov.net/en/president-vjosa-osmanis-address-at-the-summit-of-the-leaders-of-the-european-union-and-the-western-balkan-countries/ (accessed on 20 February 2025). </w:t>
            </w:r>
          </w:p>
        </w:tc>
      </w:tr>
      <w:tr w:rsidR="006F7FC4" w14:paraId="34F52E98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6CD0" w14:textId="77777777" w:rsidR="006F7FC4" w:rsidRDefault="006F7FC4" w:rsidP="00E30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(2023) Formal sitting: Address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Vjosa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Osmani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President of the Republic of Kosovo to European Parliament. Available at: https://www.europarl.europa.eu/doceo/document/CRE-9-2023-06-14-ITM-007_EN.html (accessed on 20 February 2025). </w:t>
            </w:r>
          </w:p>
        </w:tc>
      </w:tr>
      <w:tr w:rsidR="006F7FC4" w14:paraId="2B7D1F31" w14:textId="77777777" w:rsidTr="00E30CD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5E8D" w14:textId="77777777" w:rsidR="006F7FC4" w:rsidRDefault="006F7FC4" w:rsidP="00E30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Kosovo (2024). Available at: Prime Minister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Kurti’s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address during the UN Security Council session of January 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Available at: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https://kryeministri.rks-gov.net/en/blog/prime-minister-albin-kurtis-address-during-the-un-security-councils-session-of-january-8th/</w:t>
            </w:r>
            <w:r>
              <w:rPr>
                <w:rStyle w:val="Vurgu"/>
                <w:rFonts w:ascii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(accessed on 20 February 2025). </w:t>
            </w:r>
          </w:p>
        </w:tc>
      </w:tr>
    </w:tbl>
    <w:p w14:paraId="7A2257B7" w14:textId="77777777" w:rsidR="006F7FC4" w:rsidRDefault="006F7FC4" w:rsidP="006F7FC4"/>
    <w:p w14:paraId="128BFB2C" w14:textId="77777777" w:rsidR="006F7FC4" w:rsidRDefault="006F7FC4" w:rsidP="006F7FC4"/>
    <w:p w14:paraId="1F2F8BD9" w14:textId="637AF5D7" w:rsidR="006F7FC4" w:rsidRDefault="00000BA3" w:rsidP="006F7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3</w:t>
      </w:r>
      <w:r>
        <w:rPr>
          <w:rFonts w:ascii="Times New Roman" w:hAnsi="Times New Roman" w:cs="Times New Roman"/>
          <w:sz w:val="24"/>
          <w:szCs w:val="24"/>
        </w:rPr>
        <w:t xml:space="preserve"> Textual i</w:t>
      </w:r>
      <w:r w:rsidR="006F7FC4">
        <w:rPr>
          <w:rFonts w:ascii="Times New Roman" w:hAnsi="Times New Roman" w:cs="Times New Roman"/>
          <w:sz w:val="24"/>
          <w:szCs w:val="24"/>
        </w:rPr>
        <w:t xml:space="preserve">ndicators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F7FC4">
        <w:rPr>
          <w:rFonts w:ascii="Times New Roman" w:hAnsi="Times New Roman" w:cs="Times New Roman"/>
          <w:sz w:val="24"/>
          <w:szCs w:val="24"/>
        </w:rPr>
        <w:t>codebook</w:t>
      </w:r>
    </w:p>
    <w:tbl>
      <w:tblPr>
        <w:tblStyle w:val="KlavuzTablo2-Vurgu3"/>
        <w:tblW w:w="0" w:type="auto"/>
        <w:tblLook w:val="04A0" w:firstRow="1" w:lastRow="0" w:firstColumn="1" w:lastColumn="0" w:noHBand="0" w:noVBand="1"/>
      </w:tblPr>
      <w:tblGrid>
        <w:gridCol w:w="1253"/>
        <w:gridCol w:w="2500"/>
        <w:gridCol w:w="1948"/>
        <w:gridCol w:w="3371"/>
      </w:tblGrid>
      <w:tr w:rsidR="006F7FC4" w14:paraId="6EA79B91" w14:textId="77777777" w:rsidTr="00000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  <w:hideMark/>
          </w:tcPr>
          <w:p w14:paraId="7E14B488" w14:textId="77777777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r-TR" w:eastAsia="tr-TR"/>
              </w:rPr>
              <w:t>NRCs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14:paraId="7B5EC827" w14:textId="77777777" w:rsidR="006F7FC4" w:rsidRDefault="006F7FC4" w:rsidP="00000BA3">
            <w:pPr>
              <w:spacing w:line="3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Operational Definition</w:t>
            </w:r>
          </w:p>
        </w:tc>
        <w:tc>
          <w:tcPr>
            <w:tcW w:w="0" w:type="auto"/>
            <w:vAlign w:val="bottom"/>
            <w:hideMark/>
          </w:tcPr>
          <w:p w14:paraId="7E317F05" w14:textId="77777777" w:rsidR="006F7FC4" w:rsidRDefault="006F7FC4" w:rsidP="00000B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Textual Indicators: Keywords</w:t>
            </w:r>
          </w:p>
        </w:tc>
        <w:tc>
          <w:tcPr>
            <w:tcW w:w="0" w:type="auto"/>
            <w:vAlign w:val="bottom"/>
          </w:tcPr>
          <w:p w14:paraId="4BE2D096" w14:textId="77777777" w:rsidR="006F7FC4" w:rsidRDefault="006F7FC4" w:rsidP="00000BA3">
            <w:pPr>
              <w:spacing w:line="3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68E860" w14:textId="77777777" w:rsidR="006F7FC4" w:rsidRDefault="006F7FC4" w:rsidP="00000BA3">
            <w:pPr>
              <w:spacing w:line="3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Examples</w:t>
            </w:r>
          </w:p>
        </w:tc>
      </w:tr>
      <w:tr w:rsidR="006F7FC4" w14:paraId="2CC213F5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07EAB6" w14:textId="77777777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Active independent</w:t>
            </w:r>
          </w:p>
        </w:tc>
        <w:tc>
          <w:tcPr>
            <w:tcW w:w="0" w:type="auto"/>
            <w:vAlign w:val="center"/>
            <w:hideMark/>
          </w:tcPr>
          <w:p w14:paraId="5DC40448" w14:textId="77777777" w:rsidR="006F7FC4" w:rsidRDefault="006F7FC4" w:rsidP="00000BA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The role conception underscores independence, self-determination, potential mediation roles, and proactive foreign policy initiatives to build diplomatic and commercial ties across alternative regions.</w:t>
            </w:r>
          </w:p>
        </w:tc>
        <w:tc>
          <w:tcPr>
            <w:tcW w:w="0" w:type="auto"/>
            <w:vAlign w:val="center"/>
            <w:hideMark/>
          </w:tcPr>
          <w:p w14:paraId="43E538E4" w14:textId="77777777" w:rsidR="006F7FC4" w:rsidRDefault="006F7FC4" w:rsidP="00000B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Independence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,</w:t>
            </w:r>
          </w:p>
          <w:p w14:paraId="4BC44A89" w14:textId="77777777" w:rsidR="006F7FC4" w:rsidRDefault="006F7FC4" w:rsidP="00000B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sovereignty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,</w:t>
            </w:r>
          </w:p>
          <w:p w14:paraId="446C3D17" w14:textId="77777777" w:rsidR="006F7FC4" w:rsidRDefault="006F7FC4" w:rsidP="00000B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territorial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integrity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,</w:t>
            </w:r>
          </w:p>
          <w:p w14:paraId="07707499" w14:textId="77777777" w:rsidR="006F7FC4" w:rsidRDefault="006F7FC4" w:rsidP="00000B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international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agreements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constitutive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treaty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, self-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determination</w:t>
            </w:r>
            <w:proofErr w:type="spellEnd"/>
          </w:p>
          <w:p w14:paraId="0035D1E0" w14:textId="77777777" w:rsidR="006F7FC4" w:rsidRDefault="006F7FC4" w:rsidP="00000B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non-intervention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domestic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affairs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recognition, and partnership diversification</w:t>
            </w:r>
          </w:p>
        </w:tc>
        <w:tc>
          <w:tcPr>
            <w:tcW w:w="0" w:type="auto"/>
            <w:vAlign w:val="center"/>
            <w:hideMark/>
          </w:tcPr>
          <w:p w14:paraId="2BC12C02" w14:textId="77777777" w:rsidR="006F7FC4" w:rsidRDefault="006F7FC4" w:rsidP="00000BA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Kosovo’s independence and international recognition, the territorial integrity of BiH and Serbia, recognition of North Macedonia’s declared nam</w:t>
            </w:r>
            <w:bookmarkStart w:id="0" w:name="_GoBack"/>
            <w:bookmarkEnd w:id="0"/>
            <w:r>
              <w:rPr>
                <w:color w:val="000000" w:themeColor="text1"/>
                <w:sz w:val="20"/>
                <w:szCs w:val="20"/>
                <w:lang w:val="en-GB"/>
              </w:rPr>
              <w:t>e, the Dayton Agreement, the Interim Accord, Non-Aligned Movement</w:t>
            </w:r>
          </w:p>
        </w:tc>
      </w:tr>
      <w:tr w:rsidR="006F7FC4" w14:paraId="15F37828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846DF4" w14:textId="77777777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Liberator supporter</w:t>
            </w:r>
          </w:p>
        </w:tc>
        <w:tc>
          <w:tcPr>
            <w:tcW w:w="0" w:type="auto"/>
            <w:vAlign w:val="center"/>
            <w:hideMark/>
          </w:tcPr>
          <w:p w14:paraId="6F7AFC36" w14:textId="77777777" w:rsidR="006F7FC4" w:rsidRDefault="006F7FC4" w:rsidP="00000BA3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 appears as formal and routine support for liberation movements, but with no indication of formal roles for planning, directing, or providing physical support.</w:t>
            </w:r>
          </w:p>
        </w:tc>
        <w:tc>
          <w:tcPr>
            <w:tcW w:w="0" w:type="auto"/>
            <w:vAlign w:val="center"/>
            <w:hideMark/>
          </w:tcPr>
          <w:p w14:paraId="5C2A83E6" w14:textId="77777777" w:rsidR="006F7FC4" w:rsidRDefault="006F7FC4" w:rsidP="00000B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Direct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reference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liberation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movements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,</w:t>
            </w:r>
          </w:p>
          <w:p w14:paraId="6612F820" w14:textId="77777777" w:rsidR="006F7FC4" w:rsidRDefault="006F7FC4" w:rsidP="00000B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Minority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rights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, kin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state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,</w:t>
            </w:r>
          </w:p>
          <w:p w14:paraId="00C5E136" w14:textId="77777777" w:rsidR="006F7FC4" w:rsidRDefault="006F7FC4" w:rsidP="00000B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movements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uprisings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, anti-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war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anti-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occupation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sentiment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14:paraId="425D7237" w14:textId="77777777" w:rsidR="006F7FC4" w:rsidRDefault="006F7FC4" w:rsidP="00000BA3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Palestine, Arab Spring, Russian occupation of Ukraine, Serbian minority in Kosovo, Albanian support for Kosovo.</w:t>
            </w:r>
          </w:p>
        </w:tc>
      </w:tr>
      <w:tr w:rsidR="006F7FC4" w14:paraId="612B3562" w14:textId="77777777" w:rsidTr="0000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55631C" w14:textId="77777777" w:rsidR="006F7FC4" w:rsidRDefault="006F7FC4" w:rsidP="00000BA3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Anti-imperialist agent</w:t>
            </w:r>
          </w:p>
        </w:tc>
        <w:tc>
          <w:tcPr>
            <w:tcW w:w="0" w:type="auto"/>
            <w:vAlign w:val="center"/>
            <w:hideMark/>
          </w:tcPr>
          <w:p w14:paraId="3EC7F513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Perception of imperialism as a serious threat</w:t>
            </w:r>
          </w:p>
        </w:tc>
        <w:tc>
          <w:tcPr>
            <w:tcW w:w="0" w:type="auto"/>
            <w:vAlign w:val="center"/>
            <w:hideMark/>
          </w:tcPr>
          <w:p w14:paraId="1811B3D2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Power politics</w:t>
            </w:r>
          </w:p>
          <w:p w14:paraId="7A2C3190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Ideological narratives (capitalism, colonialism, imperialism)</w:t>
            </w:r>
          </w:p>
          <w:p w14:paraId="0C765CF3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Development gaps,</w:t>
            </w:r>
          </w:p>
          <w:p w14:paraId="33D87EAA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War and occupation</w:t>
            </w:r>
          </w:p>
          <w:p w14:paraId="138015EE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Intervention in domestic affairs</w:t>
            </w:r>
          </w:p>
        </w:tc>
        <w:tc>
          <w:tcPr>
            <w:tcW w:w="0" w:type="auto"/>
            <w:vAlign w:val="center"/>
            <w:hideMark/>
          </w:tcPr>
          <w:p w14:paraId="33D5FA98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Weak Serbia vs strong West,</w:t>
            </w:r>
          </w:p>
          <w:p w14:paraId="32FB565D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Western capitalism/neo-colonialism/imperialism,</w:t>
            </w:r>
          </w:p>
          <w:p w14:paraId="6F2CE9A6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Rich vs poor, developed vs undeveloped, north vs south,</w:t>
            </w:r>
          </w:p>
          <w:p w14:paraId="290C8A87" w14:textId="77777777" w:rsidR="006F7FC4" w:rsidRDefault="006F7FC4" w:rsidP="00000BA3">
            <w:pPr>
              <w:spacing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 NATO bombardment, Unilateral declaration of Kosovo’s independence,</w:t>
            </w:r>
          </w:p>
        </w:tc>
      </w:tr>
      <w:tr w:rsidR="006F7FC4" w14:paraId="50A53F47" w14:textId="77777777" w:rsidTr="00000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ABD05C" w14:textId="77777777" w:rsidR="006F7FC4" w:rsidRDefault="006F7FC4" w:rsidP="00000BA3">
            <w:pPr>
              <w:pStyle w:val="Default"/>
              <w:jc w:val="center"/>
              <w:rPr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GB"/>
              </w:rPr>
              <w:t>Faithful ally</w:t>
            </w:r>
          </w:p>
        </w:tc>
        <w:tc>
          <w:tcPr>
            <w:tcW w:w="0" w:type="auto"/>
            <w:vAlign w:val="center"/>
            <w:hideMark/>
          </w:tcPr>
          <w:p w14:paraId="47653881" w14:textId="77777777" w:rsidR="006F7FC4" w:rsidRDefault="006F7FC4" w:rsidP="00000BA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A specific commitment to support the policies of another government and/or alliance.</w:t>
            </w:r>
          </w:p>
        </w:tc>
        <w:tc>
          <w:tcPr>
            <w:tcW w:w="0" w:type="auto"/>
            <w:vAlign w:val="center"/>
            <w:hideMark/>
          </w:tcPr>
          <w:p w14:paraId="113599F6" w14:textId="77777777" w:rsidR="006F7FC4" w:rsidRDefault="006F7FC4" w:rsidP="00000BA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Reference to the EU and NATO</w:t>
            </w:r>
          </w:p>
          <w:p w14:paraId="506037D3" w14:textId="77777777" w:rsidR="006F7FC4" w:rsidRDefault="006F7FC4" w:rsidP="00000BA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Reference to Europe/Euro-Atlantic geography, norms and values, identity, interests, membership conditions,</w:t>
            </w:r>
          </w:p>
        </w:tc>
        <w:tc>
          <w:tcPr>
            <w:tcW w:w="0" w:type="auto"/>
            <w:vAlign w:val="center"/>
          </w:tcPr>
          <w:p w14:paraId="164A821B" w14:textId="77777777" w:rsidR="006F7FC4" w:rsidRDefault="006F7FC4" w:rsidP="00000BA3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Membership aim,</w:t>
            </w:r>
          </w:p>
          <w:p w14:paraId="436E013A" w14:textId="77777777" w:rsidR="006F7FC4" w:rsidRDefault="006F7FC4" w:rsidP="00000BA3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Copenhagen criteria,</w:t>
            </w:r>
          </w:p>
          <w:p w14:paraId="6E31E97B" w14:textId="77777777" w:rsidR="006F7FC4" w:rsidRDefault="006F7FC4" w:rsidP="00000BA3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Negotiation process,</w:t>
            </w:r>
          </w:p>
          <w:p w14:paraId="0BD7049B" w14:textId="77777777" w:rsidR="006F7FC4" w:rsidRDefault="006F7FC4" w:rsidP="00000BA3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Europeanness (ideational and geographical)</w:t>
            </w:r>
          </w:p>
          <w:p w14:paraId="52D85798" w14:textId="77777777" w:rsidR="006F7FC4" w:rsidRDefault="006F7FC4" w:rsidP="00000BA3">
            <w:pPr>
              <w:spacing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E79778F" w14:textId="77777777" w:rsidR="006F7FC4" w:rsidRDefault="006F7FC4" w:rsidP="006F7FC4">
      <w:pPr>
        <w:rPr>
          <w:rFonts w:ascii="Times New Roman" w:hAnsi="Times New Roman" w:cs="Times New Roman"/>
        </w:rPr>
      </w:pPr>
    </w:p>
    <w:p w14:paraId="44EC90F3" w14:textId="77777777" w:rsidR="006F7FC4" w:rsidRPr="002E5CF1" w:rsidRDefault="006F7FC4" w:rsidP="006F7FC4">
      <w:pPr>
        <w:pStyle w:val="DipnotMetni"/>
        <w:spacing w:line="48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3C3058" w14:textId="77777777" w:rsidR="00B54B30" w:rsidRDefault="00B54B30"/>
    <w:sectPr w:rsidR="00B54B30" w:rsidSect="00D37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48"/>
    <w:rsid w:val="00000BA3"/>
    <w:rsid w:val="00164948"/>
    <w:rsid w:val="006F7FC4"/>
    <w:rsid w:val="00B54B30"/>
    <w:rsid w:val="00D370B0"/>
    <w:rsid w:val="00DB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49EEB"/>
  <w15:chartTrackingRefBased/>
  <w15:docId w15:val="{283192A4-1029-4CC3-B1EC-129EBB19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F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F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6F7FC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6F7FC4"/>
    <w:rPr>
      <w:sz w:val="20"/>
      <w:szCs w:val="20"/>
    </w:rPr>
  </w:style>
  <w:style w:type="paragraph" w:customStyle="1" w:styleId="Default">
    <w:name w:val="Default"/>
    <w:rsid w:val="006F7F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styleId="Vurgu">
    <w:name w:val="Emphasis"/>
    <w:basedOn w:val="VarsaylanParagrafYazTipi"/>
    <w:uiPriority w:val="20"/>
    <w:qFormat/>
    <w:rsid w:val="006F7FC4"/>
    <w:rPr>
      <w:i/>
      <w:iCs/>
    </w:rPr>
  </w:style>
  <w:style w:type="table" w:styleId="KlavuzTablo2-Vurgu1">
    <w:name w:val="Grid Table 2 Accent 1"/>
    <w:basedOn w:val="NormalTablo"/>
    <w:uiPriority w:val="47"/>
    <w:rsid w:val="006F7FC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KlavuzTablo2-Vurgu3">
    <w:name w:val="Grid Table 2 Accent 3"/>
    <w:basedOn w:val="NormalTablo"/>
    <w:uiPriority w:val="47"/>
    <w:rsid w:val="00000BA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 CANVEREN</dc:creator>
  <cp:keywords/>
  <dc:description/>
  <cp:lastModifiedBy>Administrator</cp:lastModifiedBy>
  <cp:revision>3</cp:revision>
  <dcterms:created xsi:type="dcterms:W3CDTF">2026-02-05T13:47:00Z</dcterms:created>
  <dcterms:modified xsi:type="dcterms:W3CDTF">2026-02-05T13:50:00Z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0d3a7442-f0ec-4154-96ff-0b61f5b04e42</vt:lpwstr>
  </property>
</Properties>
</file>