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7172F9" w:rsidRDefault="006005D8">
      <w:pPr>
        <w:spacing w:line="480" w:lineRule="auto"/>
        <w:rPr>
          <w:rFonts w:ascii="Calibri" w:hAnsi="Calibri"/>
        </w:rPr>
      </w:pPr>
      <w:r>
        <w:rPr>
          <w:rFonts w:ascii="Calibri" w:hAnsi="Calibri"/>
          <w:b/>
        </w:rPr>
        <w:t>Supplemental Information</w:t>
      </w:r>
      <w:bookmarkStart w:id="0" w:name="_GoBack"/>
      <w:bookmarkEnd w:id="0"/>
    </w:p>
    <w:p w:rsidR="007172F9" w:rsidRDefault="007172F9">
      <w:pPr>
        <w:spacing w:line="480" w:lineRule="auto"/>
        <w:rPr>
          <w:rFonts w:ascii="Calibri" w:hAnsi="Calibri"/>
        </w:rPr>
      </w:pPr>
    </w:p>
    <w:p w:rsidR="007172F9" w:rsidRDefault="006005D8">
      <w:pPr>
        <w:pStyle w:val="ListParagraph"/>
        <w:numPr>
          <w:ilvl w:val="0"/>
          <w:numId w:val="2"/>
        </w:numPr>
        <w:spacing w:line="480" w:lineRule="auto"/>
        <w:rPr>
          <w:rFonts w:ascii="Calibri" w:hAnsi="Calibri"/>
        </w:rPr>
      </w:pPr>
      <w:r>
        <w:rPr>
          <w:rFonts w:ascii="Calibri" w:hAnsi="Calibri"/>
        </w:rPr>
        <w:t>I. Theory and Methods</w:t>
      </w:r>
    </w:p>
    <w:p w:rsidR="007172F9" w:rsidRDefault="006005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720"/>
        <w:rPr>
          <w:rFonts w:ascii="Calibri" w:hAnsi="Calibri" w:cs="Calibri"/>
          <w:color w:val="000000"/>
        </w:rPr>
      </w:pPr>
      <w:r>
        <w:rPr>
          <w:rFonts w:ascii="Calibri" w:hAnsi="Calibri" w:cs="Calibri"/>
          <w:color w:val="000000"/>
        </w:rPr>
        <w:t xml:space="preserve">The interviewees, who wished to stay anonymous, consisted of fifteen congressional staffers or former staffers, three from Republican members, nine from Democrats, one staffer from the Committee on Foreign </w:t>
      </w:r>
      <w:r>
        <w:rPr>
          <w:rFonts w:ascii="Calibri" w:hAnsi="Calibri" w:cs="Calibri"/>
          <w:color w:val="000000"/>
        </w:rPr>
        <w:t>Affairs, one from the Armed Services Committee, and one from the Committee on Homeland Security – two of the Committee staffer were Republicans. Interviews with six interest group representatives were conducted with the employees or former employees of J S</w:t>
      </w:r>
      <w:r>
        <w:rPr>
          <w:rFonts w:ascii="Calibri" w:hAnsi="Calibri" w:cs="Calibri"/>
          <w:color w:val="000000"/>
        </w:rPr>
        <w:t xml:space="preserve">treet, the Arms Control Association, Republican Jewish Coalition, Americans for Peace Now, AIPAC, and the National Iranian American Council. Additional interviews were also conducted with Iran experts from governmental institutions, think tanks as well as </w:t>
      </w:r>
      <w:r>
        <w:rPr>
          <w:rFonts w:ascii="Calibri" w:hAnsi="Calibri" w:cs="Calibri"/>
          <w:color w:val="000000"/>
        </w:rPr>
        <w:t>a media outlet.</w:t>
      </w:r>
    </w:p>
    <w:p w:rsidR="007172F9" w:rsidRDefault="007172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720"/>
        <w:rPr>
          <w:rFonts w:ascii="Calibri" w:hAnsi="Calibri" w:cs="Calibri"/>
          <w:color w:val="000000"/>
        </w:rPr>
      </w:pPr>
    </w:p>
    <w:p w:rsidR="007172F9" w:rsidRDefault="006005D8">
      <w:pPr>
        <w:numPr>
          <w:ilvl w:val="1"/>
          <w:numId w:val="2"/>
        </w:numPr>
        <w:spacing w:line="480" w:lineRule="auto"/>
        <w:rPr>
          <w:rFonts w:ascii="Calibri" w:hAnsi="Calibri"/>
        </w:rPr>
      </w:pPr>
      <w:r>
        <w:rPr>
          <w:rFonts w:ascii="Calibri" w:hAnsi="Calibri" w:cs="Calibri"/>
          <w:color w:val="000000"/>
        </w:rPr>
        <w:t>Questionnaire for Interest Group Representatives</w:t>
      </w:r>
    </w:p>
    <w:p w:rsidR="007172F9" w:rsidRDefault="006005D8">
      <w:pPr>
        <w:spacing w:line="480" w:lineRule="auto"/>
        <w:rPr>
          <w:rFonts w:ascii="Calibri" w:hAnsi="Calibri"/>
        </w:rPr>
      </w:pPr>
      <w:r>
        <w:rPr>
          <w:rFonts w:ascii="Calibri" w:hAnsi="Calibri" w:cs="Calibri"/>
          <w:color w:val="000000"/>
        </w:rPr>
        <w:t>1. What kind of work are you doing and what are you trying to accomplish?</w:t>
      </w:r>
    </w:p>
    <w:p w:rsidR="007172F9" w:rsidRDefault="006005D8">
      <w:pPr>
        <w:spacing w:line="480" w:lineRule="auto"/>
        <w:rPr>
          <w:rFonts w:ascii="Calibri" w:hAnsi="Calibri"/>
        </w:rPr>
      </w:pPr>
      <w:r>
        <w:rPr>
          <w:rFonts w:ascii="Calibri" w:hAnsi="Calibri" w:cs="Calibri"/>
          <w:color w:val="000000"/>
        </w:rPr>
        <w:t>2. Why is it necessary to move forward on US foreign policy with Iran?</w:t>
      </w:r>
    </w:p>
    <w:p w:rsidR="007172F9" w:rsidRDefault="006005D8">
      <w:pPr>
        <w:spacing w:line="480" w:lineRule="auto"/>
        <w:rPr>
          <w:rFonts w:ascii="Calibri" w:hAnsi="Calibri"/>
        </w:rPr>
      </w:pPr>
      <w:r>
        <w:rPr>
          <w:rFonts w:ascii="Calibri" w:hAnsi="Calibri" w:cs="Calibri"/>
          <w:color w:val="000000"/>
        </w:rPr>
        <w:t>3. How do you lobby in specific?</w:t>
      </w:r>
    </w:p>
    <w:p w:rsidR="007172F9" w:rsidRDefault="006005D8">
      <w:pPr>
        <w:spacing w:line="480" w:lineRule="auto"/>
        <w:rPr>
          <w:rFonts w:ascii="Calibri" w:hAnsi="Calibri"/>
        </w:rPr>
      </w:pPr>
      <w:r>
        <w:rPr>
          <w:rFonts w:ascii="Calibri" w:hAnsi="Calibri" w:cs="Calibri"/>
          <w:color w:val="000000"/>
        </w:rPr>
        <w:t>4. What is s</w:t>
      </w:r>
      <w:r>
        <w:rPr>
          <w:rFonts w:ascii="Calibri" w:hAnsi="Calibri" w:cs="Calibri"/>
          <w:color w:val="000000"/>
        </w:rPr>
        <w:t>tanding in your way? What arguments do you often hear?</w:t>
      </w:r>
    </w:p>
    <w:p w:rsidR="007172F9" w:rsidRDefault="006005D8">
      <w:pPr>
        <w:spacing w:line="480" w:lineRule="auto"/>
        <w:rPr>
          <w:rFonts w:ascii="Calibri" w:hAnsi="Calibri"/>
        </w:rPr>
      </w:pPr>
      <w:r>
        <w:rPr>
          <w:rFonts w:ascii="Calibri" w:hAnsi="Calibri" w:cs="Calibri"/>
          <w:color w:val="000000"/>
        </w:rPr>
        <w:t>5. How is your organization using research when you communicate</w:t>
      </w:r>
    </w:p>
    <w:p w:rsidR="007172F9" w:rsidRDefault="006005D8">
      <w:pPr>
        <w:spacing w:line="480" w:lineRule="auto"/>
        <w:rPr>
          <w:rFonts w:ascii="Calibri" w:hAnsi="Calibri"/>
        </w:rPr>
      </w:pPr>
      <w:r>
        <w:rPr>
          <w:rFonts w:ascii="Calibri" w:hAnsi="Calibri" w:cs="Calibri"/>
          <w:color w:val="000000"/>
        </w:rPr>
        <w:t>with other organizations or public officials? Do you rely a lot on</w:t>
      </w:r>
    </w:p>
    <w:p w:rsidR="007172F9" w:rsidRDefault="006005D8">
      <w:pPr>
        <w:spacing w:line="480" w:lineRule="auto"/>
        <w:rPr>
          <w:rFonts w:ascii="Calibri" w:hAnsi="Calibri"/>
        </w:rPr>
      </w:pPr>
      <w:r>
        <w:rPr>
          <w:rFonts w:ascii="Calibri" w:hAnsi="Calibri" w:cs="Calibri"/>
          <w:color w:val="000000"/>
        </w:rPr>
        <w:t>research? Do you do much research in-house?</w:t>
      </w:r>
    </w:p>
    <w:p w:rsidR="007172F9" w:rsidRDefault="006005D8">
      <w:pPr>
        <w:spacing w:line="480" w:lineRule="auto"/>
        <w:rPr>
          <w:rFonts w:ascii="Calibri" w:hAnsi="Calibri"/>
        </w:rPr>
      </w:pPr>
      <w:r>
        <w:rPr>
          <w:rFonts w:ascii="Calibri" w:hAnsi="Calibri" w:cs="Calibri"/>
          <w:color w:val="000000"/>
        </w:rPr>
        <w:t>6. How are you organized i</w:t>
      </w:r>
      <w:r>
        <w:rPr>
          <w:rFonts w:ascii="Calibri" w:hAnsi="Calibri" w:cs="Calibri"/>
          <w:color w:val="000000"/>
        </w:rPr>
        <w:t>n terms of people and units that are involved in public affairs and advocacy?</w:t>
      </w:r>
    </w:p>
    <w:p w:rsidR="007172F9" w:rsidRDefault="006005D8">
      <w:pPr>
        <w:spacing w:line="480" w:lineRule="auto"/>
        <w:rPr>
          <w:rFonts w:ascii="Calibri" w:hAnsi="Calibri"/>
        </w:rPr>
      </w:pPr>
      <w:r>
        <w:rPr>
          <w:rFonts w:ascii="Calibri" w:hAnsi="Calibri" w:cs="Calibri"/>
          <w:color w:val="000000"/>
        </w:rPr>
        <w:t>7. Could you tell me about yourself and how you came to work at this organization?</w:t>
      </w:r>
    </w:p>
    <w:p w:rsidR="007172F9" w:rsidRDefault="006005D8">
      <w:pPr>
        <w:spacing w:line="480" w:lineRule="auto"/>
        <w:rPr>
          <w:rFonts w:ascii="Calibri" w:hAnsi="Calibri"/>
        </w:rPr>
      </w:pPr>
      <w:r>
        <w:rPr>
          <w:rFonts w:ascii="Calibri" w:hAnsi="Calibri" w:cs="Calibri"/>
          <w:color w:val="000000"/>
        </w:rPr>
        <w:t>8. In regard to US foreign policy with Iran, how do you lobby in specific?</w:t>
      </w:r>
    </w:p>
    <w:p w:rsidR="007172F9" w:rsidRDefault="006005D8">
      <w:pPr>
        <w:spacing w:line="480" w:lineRule="auto"/>
        <w:rPr>
          <w:rFonts w:ascii="Calibri" w:hAnsi="Calibri"/>
        </w:rPr>
      </w:pPr>
      <w:r>
        <w:rPr>
          <w:rFonts w:ascii="Calibri" w:hAnsi="Calibri" w:cs="Calibri"/>
          <w:color w:val="000000"/>
        </w:rPr>
        <w:t>9. Who are the major</w:t>
      </w:r>
      <w:r>
        <w:rPr>
          <w:rFonts w:ascii="Calibri" w:hAnsi="Calibri" w:cs="Calibri"/>
          <w:color w:val="000000"/>
        </w:rPr>
        <w:t xml:space="preserve"> players in regard to US foreign policy with Iran?</w:t>
      </w:r>
    </w:p>
    <w:p w:rsidR="007172F9" w:rsidRDefault="006005D8">
      <w:pPr>
        <w:spacing w:line="480" w:lineRule="auto"/>
        <w:rPr>
          <w:rFonts w:ascii="Calibri" w:hAnsi="Calibri"/>
        </w:rPr>
      </w:pPr>
      <w:r>
        <w:rPr>
          <w:rFonts w:ascii="Calibri" w:hAnsi="Calibri" w:cs="Calibri"/>
          <w:color w:val="000000"/>
        </w:rPr>
        <w:t>10. Do you target representatives of the House in favor of, against the interest groups' goals, or when she/he is undecided?</w:t>
      </w:r>
    </w:p>
    <w:p w:rsidR="007172F9" w:rsidRDefault="006005D8">
      <w:pPr>
        <w:spacing w:line="480" w:lineRule="auto"/>
        <w:rPr>
          <w:rFonts w:ascii="Calibri" w:hAnsi="Calibri"/>
        </w:rPr>
      </w:pPr>
      <w:r>
        <w:rPr>
          <w:rFonts w:ascii="Calibri" w:hAnsi="Calibri" w:cs="Calibri"/>
          <w:color w:val="000000"/>
        </w:rPr>
        <w:t>11. How would you rate the influence of each of the interest groups you mentione</w:t>
      </w:r>
      <w:r>
        <w:rPr>
          <w:rFonts w:ascii="Calibri" w:hAnsi="Calibri" w:cs="Calibri"/>
          <w:color w:val="000000"/>
        </w:rPr>
        <w:t>d on a scale of 1-10 (1 is least important, 10 is most important)?</w:t>
      </w:r>
    </w:p>
    <w:p w:rsidR="007172F9" w:rsidRDefault="006005D8">
      <w:pPr>
        <w:spacing w:line="480" w:lineRule="auto"/>
        <w:rPr>
          <w:rFonts w:ascii="Calibri" w:hAnsi="Calibri"/>
        </w:rPr>
      </w:pPr>
      <w:r>
        <w:rPr>
          <w:rFonts w:ascii="Calibri" w:hAnsi="Calibri" w:cs="Calibri"/>
          <w:color w:val="000000"/>
        </w:rPr>
        <w:t>12. Does your lobbying activity change the way a representative voted on Iran resolutions?</w:t>
      </w:r>
    </w:p>
    <w:p w:rsidR="007172F9" w:rsidRDefault="006005D8">
      <w:pPr>
        <w:spacing w:line="480" w:lineRule="auto"/>
        <w:rPr>
          <w:rFonts w:ascii="Calibri" w:hAnsi="Calibri"/>
        </w:rPr>
      </w:pPr>
      <w:r>
        <w:rPr>
          <w:rFonts w:ascii="Calibri" w:hAnsi="Calibri" w:cs="Calibri"/>
          <w:color w:val="000000"/>
        </w:rPr>
        <w:t>13. How frequently do you meet with representatives?</w:t>
      </w:r>
    </w:p>
    <w:p w:rsidR="007172F9" w:rsidRDefault="006005D8">
      <w:pPr>
        <w:spacing w:line="480" w:lineRule="auto"/>
        <w:rPr>
          <w:rFonts w:ascii="Calibri" w:hAnsi="Calibri"/>
        </w:rPr>
      </w:pPr>
      <w:r>
        <w:rPr>
          <w:rFonts w:ascii="Calibri" w:hAnsi="Calibri" w:cs="Calibri"/>
          <w:color w:val="000000"/>
        </w:rPr>
        <w:lastRenderedPageBreak/>
        <w:t>14. How would you rate the success rate of Pr</w:t>
      </w:r>
      <w:r>
        <w:rPr>
          <w:rFonts w:ascii="Calibri" w:hAnsi="Calibri" w:cs="Calibri"/>
          <w:color w:val="000000"/>
        </w:rPr>
        <w:t>o-Diplomacy initiatives in regard to Iran on a scale of 1-10 (1 is least successful, 10 is most successful)?</w:t>
      </w:r>
    </w:p>
    <w:p w:rsidR="007172F9" w:rsidRDefault="006005D8">
      <w:pPr>
        <w:spacing w:line="480" w:lineRule="auto"/>
        <w:rPr>
          <w:rFonts w:ascii="Calibri" w:hAnsi="Calibri"/>
        </w:rPr>
      </w:pPr>
      <w:r>
        <w:rPr>
          <w:rFonts w:ascii="Calibri" w:hAnsi="Calibri" w:cs="Calibri"/>
          <w:color w:val="000000"/>
        </w:rPr>
        <w:t>15. How did the shift in US foreign policy towards Iran come about? What conditions changed prior to the agreement of the nuclear deal?</w:t>
      </w:r>
    </w:p>
    <w:p w:rsidR="007172F9" w:rsidRDefault="006005D8">
      <w:pPr>
        <w:spacing w:line="480" w:lineRule="auto"/>
        <w:rPr>
          <w:rFonts w:ascii="Calibri" w:hAnsi="Calibri"/>
        </w:rPr>
      </w:pPr>
      <w:r>
        <w:rPr>
          <w:rFonts w:ascii="Calibri" w:hAnsi="Calibri" w:cs="Calibri"/>
          <w:color w:val="000000"/>
        </w:rPr>
        <w:t xml:space="preserve">16. Has </w:t>
      </w:r>
      <w:r>
        <w:rPr>
          <w:rFonts w:ascii="Calibri" w:hAnsi="Calibri" w:cs="Calibri"/>
          <w:color w:val="000000"/>
        </w:rPr>
        <w:t>there been a shift in the influence of lobby groups?</w:t>
      </w:r>
    </w:p>
    <w:p w:rsidR="007172F9" w:rsidRDefault="006005D8">
      <w:pPr>
        <w:spacing w:line="480" w:lineRule="auto"/>
        <w:rPr>
          <w:rFonts w:ascii="Calibri" w:hAnsi="Calibri"/>
        </w:rPr>
      </w:pPr>
      <w:r>
        <w:rPr>
          <w:rFonts w:ascii="Calibri" w:hAnsi="Calibri" w:cs="Calibri"/>
          <w:color w:val="000000"/>
        </w:rPr>
        <w:t>17. How would you rate the shift in US foreign policy as a result of lobbying activities on a scale from 1 to 10 (1 is least likely, 10 is most likely)?</w:t>
      </w:r>
    </w:p>
    <w:p w:rsidR="007172F9" w:rsidRDefault="006005D8">
      <w:pPr>
        <w:spacing w:line="480" w:lineRule="auto"/>
        <w:rPr>
          <w:rFonts w:ascii="Calibri" w:hAnsi="Calibri"/>
        </w:rPr>
      </w:pPr>
      <w:r>
        <w:rPr>
          <w:rFonts w:ascii="Calibri" w:hAnsi="Calibri" w:cs="Calibri"/>
          <w:color w:val="000000"/>
        </w:rPr>
        <w:t>18. Do Pro-Diplomacy lobby groups or Pro-Sanctions</w:t>
      </w:r>
      <w:r>
        <w:rPr>
          <w:rFonts w:ascii="Calibri" w:hAnsi="Calibri" w:cs="Calibri"/>
          <w:color w:val="000000"/>
        </w:rPr>
        <w:t xml:space="preserve"> groups get more or less attention now? Why?</w:t>
      </w:r>
    </w:p>
    <w:p w:rsidR="007172F9" w:rsidRDefault="006005D8">
      <w:pPr>
        <w:spacing w:line="480" w:lineRule="auto"/>
        <w:rPr>
          <w:rFonts w:ascii="Calibri" w:hAnsi="Calibri"/>
        </w:rPr>
      </w:pPr>
      <w:r>
        <w:rPr>
          <w:rFonts w:ascii="Calibri" w:hAnsi="Calibri" w:cs="Calibri"/>
          <w:color w:val="000000"/>
        </w:rPr>
        <w:t>19. To what extent is Iran a matter of party policy?</w:t>
      </w:r>
    </w:p>
    <w:p w:rsidR="007172F9" w:rsidRDefault="006005D8">
      <w:pPr>
        <w:spacing w:line="480" w:lineRule="auto"/>
        <w:rPr>
          <w:rFonts w:ascii="Calibri" w:hAnsi="Calibri"/>
        </w:rPr>
      </w:pPr>
      <w:r>
        <w:rPr>
          <w:rFonts w:ascii="Calibri" w:hAnsi="Calibri" w:cs="Calibri"/>
          <w:color w:val="000000"/>
        </w:rPr>
        <w:t>20. Is there anyone else I should speak to in regard to this issue?</w:t>
      </w:r>
    </w:p>
    <w:p w:rsidR="007172F9" w:rsidRDefault="007172F9">
      <w:pPr>
        <w:spacing w:line="480" w:lineRule="auto"/>
        <w:rPr>
          <w:rFonts w:ascii="Calibri" w:hAnsi="Calibri"/>
        </w:rPr>
      </w:pPr>
    </w:p>
    <w:p w:rsidR="007172F9" w:rsidRDefault="006005D8">
      <w:pPr>
        <w:numPr>
          <w:ilvl w:val="1"/>
          <w:numId w:val="2"/>
        </w:numPr>
        <w:spacing w:line="480" w:lineRule="auto"/>
        <w:rPr>
          <w:rFonts w:ascii="Calibri" w:hAnsi="Calibri"/>
        </w:rPr>
      </w:pPr>
      <w:r>
        <w:rPr>
          <w:rFonts w:ascii="Calibri" w:hAnsi="Calibri" w:cs="Calibri"/>
          <w:color w:val="000000"/>
        </w:rPr>
        <w:t>Questionnaire for Congressional Staffers</w:t>
      </w:r>
    </w:p>
    <w:p w:rsidR="007172F9" w:rsidRDefault="006005D8">
      <w:pPr>
        <w:spacing w:line="480" w:lineRule="auto"/>
        <w:rPr>
          <w:rFonts w:ascii="Calibri" w:hAnsi="Calibri"/>
        </w:rPr>
      </w:pPr>
      <w:r>
        <w:rPr>
          <w:rFonts w:ascii="Calibri" w:hAnsi="Calibri" w:cs="Calibri"/>
          <w:color w:val="000000"/>
        </w:rPr>
        <w:t>1. What are the differences among interest group</w:t>
      </w:r>
      <w:r>
        <w:rPr>
          <w:rFonts w:ascii="Calibri" w:hAnsi="Calibri" w:cs="Calibri"/>
          <w:color w:val="000000"/>
        </w:rPr>
        <w:t>s lobbying in regard to foreign policy and domestic policy?</w:t>
      </w:r>
    </w:p>
    <w:p w:rsidR="007172F9" w:rsidRDefault="006005D8">
      <w:pPr>
        <w:spacing w:line="480" w:lineRule="auto"/>
        <w:rPr>
          <w:rFonts w:ascii="Calibri" w:hAnsi="Calibri"/>
        </w:rPr>
      </w:pPr>
      <w:r>
        <w:rPr>
          <w:rFonts w:ascii="Calibri" w:hAnsi="Calibri" w:cs="Calibri"/>
          <w:color w:val="000000"/>
        </w:rPr>
        <w:t>2. Who are the major players in regard to US foreign policy with Iran?</w:t>
      </w:r>
    </w:p>
    <w:p w:rsidR="007172F9" w:rsidRDefault="006005D8">
      <w:pPr>
        <w:spacing w:line="480" w:lineRule="auto"/>
        <w:rPr>
          <w:rFonts w:ascii="Calibri" w:hAnsi="Calibri"/>
        </w:rPr>
      </w:pPr>
      <w:r>
        <w:rPr>
          <w:rFonts w:ascii="Calibri" w:hAnsi="Calibri" w:cs="Calibri"/>
          <w:color w:val="000000"/>
        </w:rPr>
        <w:t>3. How do they lobby in specific?</w:t>
      </w:r>
    </w:p>
    <w:p w:rsidR="007172F9" w:rsidRDefault="006005D8">
      <w:pPr>
        <w:spacing w:line="480" w:lineRule="auto"/>
        <w:rPr>
          <w:rFonts w:ascii="Calibri" w:hAnsi="Calibri"/>
        </w:rPr>
      </w:pPr>
      <w:r>
        <w:rPr>
          <w:rFonts w:ascii="Calibri" w:hAnsi="Calibri" w:cs="Calibri"/>
          <w:color w:val="000000"/>
        </w:rPr>
        <w:t xml:space="preserve">4. Do lobby groups target representatives in favor of, against the interest groups' goals, </w:t>
      </w:r>
      <w:r>
        <w:rPr>
          <w:rFonts w:ascii="Calibri" w:hAnsi="Calibri" w:cs="Calibri"/>
          <w:color w:val="000000"/>
        </w:rPr>
        <w:t>or when she/he is undecided?</w:t>
      </w:r>
    </w:p>
    <w:p w:rsidR="007172F9" w:rsidRDefault="006005D8">
      <w:pPr>
        <w:spacing w:line="480" w:lineRule="auto"/>
        <w:rPr>
          <w:rFonts w:ascii="Calibri" w:hAnsi="Calibri"/>
        </w:rPr>
      </w:pPr>
      <w:r>
        <w:rPr>
          <w:rFonts w:ascii="Calibri" w:hAnsi="Calibri" w:cs="Calibri"/>
          <w:color w:val="000000"/>
        </w:rPr>
        <w:t>5. How would you rate the influence of each of the interest groups you mentioned on a scale of 1-10 (1 is least important, 10 is most important)?</w:t>
      </w:r>
    </w:p>
    <w:p w:rsidR="007172F9" w:rsidRDefault="006005D8">
      <w:pPr>
        <w:spacing w:line="480" w:lineRule="auto"/>
        <w:rPr>
          <w:rFonts w:ascii="Calibri" w:hAnsi="Calibri"/>
        </w:rPr>
      </w:pPr>
      <w:r>
        <w:rPr>
          <w:rFonts w:ascii="Calibri" w:hAnsi="Calibri" w:cs="Calibri"/>
          <w:color w:val="000000"/>
        </w:rPr>
        <w:t>6. In regard to the most influential interest group you mentioned in US foreign p</w:t>
      </w:r>
      <w:r>
        <w:rPr>
          <w:rFonts w:ascii="Calibri" w:hAnsi="Calibri" w:cs="Calibri"/>
          <w:color w:val="000000"/>
        </w:rPr>
        <w:t>olicy with Iran, did its lobbying activity change the way the representative you worked for voted on Iran resolutions?</w:t>
      </w:r>
    </w:p>
    <w:p w:rsidR="007172F9" w:rsidRDefault="006005D8">
      <w:pPr>
        <w:spacing w:line="480" w:lineRule="auto"/>
        <w:rPr>
          <w:rFonts w:ascii="Calibri" w:hAnsi="Calibri"/>
        </w:rPr>
      </w:pPr>
      <w:r>
        <w:rPr>
          <w:rFonts w:ascii="Calibri" w:hAnsi="Calibri" w:cs="Calibri"/>
          <w:color w:val="000000"/>
        </w:rPr>
        <w:t>[Left out in interviews with committee staffers]</w:t>
      </w:r>
    </w:p>
    <w:p w:rsidR="007172F9" w:rsidRDefault="006005D8">
      <w:pPr>
        <w:spacing w:line="480" w:lineRule="auto"/>
        <w:rPr>
          <w:rFonts w:ascii="Calibri" w:hAnsi="Calibri"/>
        </w:rPr>
      </w:pPr>
      <w:r>
        <w:rPr>
          <w:rFonts w:ascii="Calibri" w:hAnsi="Calibri" w:cs="Calibri"/>
          <w:color w:val="000000"/>
        </w:rPr>
        <w:t>7. How would you describe your personal/your representative's relationship to this inter</w:t>
      </w:r>
      <w:r>
        <w:rPr>
          <w:rFonts w:ascii="Calibri" w:hAnsi="Calibri" w:cs="Calibri"/>
          <w:color w:val="000000"/>
        </w:rPr>
        <w:t>est group? How frequently did you meet?</w:t>
      </w:r>
    </w:p>
    <w:p w:rsidR="007172F9" w:rsidRDefault="006005D8">
      <w:pPr>
        <w:spacing w:line="480" w:lineRule="auto"/>
        <w:rPr>
          <w:rFonts w:ascii="Calibri" w:hAnsi="Calibri"/>
        </w:rPr>
      </w:pPr>
      <w:r>
        <w:rPr>
          <w:rFonts w:ascii="Calibri" w:hAnsi="Calibri" w:cs="Calibri"/>
          <w:color w:val="000000"/>
        </w:rPr>
        <w:t>[Left out in interviews with committee staffers]</w:t>
      </w:r>
    </w:p>
    <w:p w:rsidR="007172F9" w:rsidRDefault="006005D8">
      <w:pPr>
        <w:spacing w:line="480" w:lineRule="auto"/>
        <w:rPr>
          <w:rFonts w:ascii="Calibri" w:hAnsi="Calibri"/>
        </w:rPr>
      </w:pPr>
      <w:r>
        <w:rPr>
          <w:rFonts w:ascii="Calibri" w:hAnsi="Calibri" w:cs="Calibri"/>
          <w:color w:val="000000"/>
        </w:rPr>
        <w:t>8. Did the lobbying activity affect the voting behavior of other representatives to your knowledge?</w:t>
      </w:r>
    </w:p>
    <w:p w:rsidR="007172F9" w:rsidRDefault="006005D8">
      <w:pPr>
        <w:spacing w:line="480" w:lineRule="auto"/>
        <w:rPr>
          <w:rFonts w:ascii="Calibri" w:hAnsi="Calibri"/>
        </w:rPr>
      </w:pPr>
      <w:r>
        <w:rPr>
          <w:rFonts w:ascii="Calibri" w:hAnsi="Calibri" w:cs="Calibri"/>
          <w:color w:val="000000"/>
        </w:rPr>
        <w:t>9. How would you rate the success rate of Pro-Diplomacy initiatives</w:t>
      </w:r>
      <w:r>
        <w:rPr>
          <w:rFonts w:ascii="Calibri" w:hAnsi="Calibri" w:cs="Calibri"/>
          <w:color w:val="000000"/>
        </w:rPr>
        <w:t xml:space="preserve"> in regard to Iran on a scale of 1-10 (1 is least successful, 10 is most</w:t>
      </w:r>
    </w:p>
    <w:p w:rsidR="007172F9" w:rsidRDefault="006005D8">
      <w:pPr>
        <w:spacing w:line="480" w:lineRule="auto"/>
        <w:rPr>
          <w:rFonts w:ascii="Calibri" w:hAnsi="Calibri"/>
        </w:rPr>
      </w:pPr>
      <w:r>
        <w:rPr>
          <w:rFonts w:ascii="Calibri" w:hAnsi="Calibri" w:cs="Calibri"/>
          <w:color w:val="000000"/>
        </w:rPr>
        <w:t>successful)?</w:t>
      </w:r>
    </w:p>
    <w:p w:rsidR="007172F9" w:rsidRDefault="006005D8">
      <w:pPr>
        <w:spacing w:line="480" w:lineRule="auto"/>
        <w:rPr>
          <w:rFonts w:ascii="Calibri" w:hAnsi="Calibri"/>
        </w:rPr>
      </w:pPr>
      <w:r>
        <w:rPr>
          <w:rFonts w:ascii="Calibri" w:hAnsi="Calibri" w:cs="Calibri"/>
          <w:color w:val="000000"/>
        </w:rPr>
        <w:lastRenderedPageBreak/>
        <w:t>10. Generally speaking, do you know of successful lobbying activities</w:t>
      </w:r>
    </w:p>
    <w:p w:rsidR="007172F9" w:rsidRDefault="006005D8">
      <w:pPr>
        <w:spacing w:line="480" w:lineRule="auto"/>
        <w:rPr>
          <w:rFonts w:ascii="Calibri" w:hAnsi="Calibri"/>
        </w:rPr>
      </w:pPr>
      <w:r>
        <w:rPr>
          <w:rFonts w:ascii="Calibri" w:hAnsi="Calibri" w:cs="Calibri"/>
          <w:color w:val="000000"/>
        </w:rPr>
        <w:t>that target national security issues if they are contrary to the position of Congress?</w:t>
      </w:r>
    </w:p>
    <w:p w:rsidR="007172F9" w:rsidRDefault="006005D8">
      <w:pPr>
        <w:spacing w:line="480" w:lineRule="auto"/>
        <w:rPr>
          <w:rFonts w:ascii="Calibri" w:hAnsi="Calibri"/>
        </w:rPr>
      </w:pPr>
      <w:r>
        <w:rPr>
          <w:rFonts w:ascii="Calibri" w:hAnsi="Calibri" w:cs="Calibri"/>
          <w:color w:val="000000"/>
        </w:rPr>
        <w:t>11. How did t</w:t>
      </w:r>
      <w:r>
        <w:rPr>
          <w:rFonts w:ascii="Calibri" w:hAnsi="Calibri" w:cs="Calibri"/>
          <w:color w:val="000000"/>
        </w:rPr>
        <w:t>he shift in US foreign policy towards Iran come about? What conditions changed prior to the agreement of the nuclear deal?</w:t>
      </w:r>
    </w:p>
    <w:p w:rsidR="007172F9" w:rsidRDefault="006005D8">
      <w:pPr>
        <w:spacing w:line="480" w:lineRule="auto"/>
        <w:rPr>
          <w:rFonts w:ascii="Calibri" w:hAnsi="Calibri"/>
        </w:rPr>
      </w:pPr>
      <w:r>
        <w:rPr>
          <w:rFonts w:ascii="Calibri" w:hAnsi="Calibri" w:cs="Calibri"/>
          <w:color w:val="000000"/>
        </w:rPr>
        <w:t>12. Has there been a shift in the influence of lobby groups?</w:t>
      </w:r>
    </w:p>
    <w:p w:rsidR="007172F9" w:rsidRDefault="006005D8">
      <w:pPr>
        <w:spacing w:line="480" w:lineRule="auto"/>
        <w:rPr>
          <w:rFonts w:ascii="Calibri" w:hAnsi="Calibri"/>
        </w:rPr>
      </w:pPr>
      <w:r>
        <w:rPr>
          <w:rFonts w:ascii="Calibri" w:hAnsi="Calibri" w:cs="Calibri"/>
          <w:color w:val="000000"/>
        </w:rPr>
        <w:t>13. How would you rate the shift in US foreign policy as a result of lob</w:t>
      </w:r>
      <w:r>
        <w:rPr>
          <w:rFonts w:ascii="Calibri" w:hAnsi="Calibri" w:cs="Calibri"/>
          <w:color w:val="000000"/>
        </w:rPr>
        <w:t>bying activities on a scale from 1 to 10 (1 is least likely, 10 is most likely)?</w:t>
      </w:r>
    </w:p>
    <w:p w:rsidR="007172F9" w:rsidRDefault="006005D8">
      <w:pPr>
        <w:spacing w:line="480" w:lineRule="auto"/>
        <w:rPr>
          <w:rFonts w:ascii="Calibri" w:hAnsi="Calibri"/>
        </w:rPr>
      </w:pPr>
      <w:r>
        <w:rPr>
          <w:rFonts w:ascii="Calibri" w:hAnsi="Calibri" w:cs="Calibri"/>
          <w:color w:val="000000"/>
        </w:rPr>
        <w:t>14. Do Pro-Diplomacy lobby groups or Pro-Sanctions groups get more or less attention now? Why?</w:t>
      </w:r>
    </w:p>
    <w:p w:rsidR="007172F9" w:rsidRDefault="006005D8">
      <w:pPr>
        <w:spacing w:line="480" w:lineRule="auto"/>
        <w:rPr>
          <w:rFonts w:ascii="Calibri" w:hAnsi="Calibri"/>
        </w:rPr>
      </w:pPr>
      <w:r>
        <w:rPr>
          <w:rFonts w:ascii="Calibri" w:hAnsi="Calibri" w:cs="Calibri"/>
          <w:color w:val="000000"/>
        </w:rPr>
        <w:t>15. To what extent is Iran a matter of party policy?</w:t>
      </w:r>
    </w:p>
    <w:p w:rsidR="007172F9" w:rsidRDefault="006005D8">
      <w:pPr>
        <w:spacing w:line="480" w:lineRule="auto"/>
        <w:rPr>
          <w:rFonts w:ascii="Calibri" w:hAnsi="Calibri"/>
        </w:rPr>
      </w:pPr>
      <w:r>
        <w:rPr>
          <w:rFonts w:ascii="Calibri" w:hAnsi="Calibri" w:cs="Calibri"/>
          <w:color w:val="000000"/>
        </w:rPr>
        <w:t xml:space="preserve">16. Is there anyone else I </w:t>
      </w:r>
      <w:r>
        <w:rPr>
          <w:rFonts w:ascii="Calibri" w:hAnsi="Calibri" w:cs="Calibri"/>
          <w:color w:val="000000"/>
        </w:rPr>
        <w:t>should speak to in regard to this issue?</w:t>
      </w:r>
    </w:p>
    <w:p w:rsidR="007172F9" w:rsidRDefault="007172F9">
      <w:pPr>
        <w:spacing w:line="480" w:lineRule="auto"/>
        <w:rPr>
          <w:rFonts w:ascii="Calibri" w:hAnsi="Calibri"/>
        </w:rPr>
      </w:pPr>
    </w:p>
    <w:p w:rsidR="007172F9" w:rsidRDefault="006005D8">
      <w:pPr>
        <w:pStyle w:val="ListParagraph"/>
        <w:numPr>
          <w:ilvl w:val="0"/>
          <w:numId w:val="2"/>
        </w:numPr>
        <w:spacing w:line="480" w:lineRule="auto"/>
        <w:rPr>
          <w:rFonts w:ascii="Calibri" w:hAnsi="Calibri"/>
        </w:rPr>
      </w:pPr>
      <w:r>
        <w:rPr>
          <w:rFonts w:ascii="Calibri" w:hAnsi="Calibri"/>
        </w:rPr>
        <w:t>II. Research Design</w:t>
      </w:r>
    </w:p>
    <w:p w:rsidR="007172F9" w:rsidRDefault="006005D8">
      <w:pPr>
        <w:spacing w:line="480" w:lineRule="auto"/>
        <w:rPr>
          <w:rFonts w:ascii="Calibri" w:hAnsi="Calibri"/>
        </w:rPr>
      </w:pPr>
      <w:r>
        <w:rPr>
          <w:rFonts w:ascii="Calibri" w:hAnsi="Calibri" w:cs="Calibri"/>
          <w:color w:val="000000"/>
        </w:rPr>
        <w:t>"Present-Votes" were counted as "Yes-" or "No-Votes" depending on whether the legislator corrected the original vote in additional official statements in the congressional record. If legislators</w:t>
      </w:r>
      <w:r>
        <w:rPr>
          <w:rFonts w:ascii="Calibri" w:hAnsi="Calibri" w:cs="Calibri"/>
          <w:color w:val="000000"/>
        </w:rPr>
        <w:t xml:space="preserve"> missed a vote but wanted to have their statement recorded on how they would have voted, these statements were included as votes.</w:t>
      </w:r>
    </w:p>
    <w:p w:rsidR="007172F9" w:rsidRDefault="007172F9">
      <w:pPr>
        <w:pStyle w:val="ListParagraph"/>
        <w:numPr>
          <w:ilvl w:val="0"/>
          <w:numId w:val="2"/>
        </w:numPr>
        <w:spacing w:line="480" w:lineRule="auto"/>
        <w:rPr>
          <w:rFonts w:ascii="Calibri" w:eastAsiaTheme="minorEastAsia" w:hAnsi="Calibri" w:cstheme="minorBidi"/>
          <w:sz w:val="24"/>
          <w:szCs w:val="24"/>
        </w:rPr>
      </w:pPr>
    </w:p>
    <w:p w:rsidR="007172F9" w:rsidRDefault="006005D8">
      <w:pPr>
        <w:pStyle w:val="ListParagraph"/>
        <w:numPr>
          <w:ilvl w:val="0"/>
          <w:numId w:val="2"/>
        </w:numPr>
        <w:spacing w:line="480" w:lineRule="auto"/>
      </w:pPr>
      <w:r>
        <w:rPr>
          <w:rFonts w:ascii="Calibri" w:hAnsi="Calibri" w:cs="Calibri"/>
          <w:color w:val="000000"/>
        </w:rPr>
        <w:t>III. Selection of Interest Groups</w:t>
      </w:r>
    </w:p>
    <w:p w:rsidR="007172F9" w:rsidRDefault="006005D8">
      <w:pPr>
        <w:spacing w:line="480" w:lineRule="auto"/>
        <w:rPr>
          <w:rFonts w:ascii="Calibri" w:hAnsi="Calibri"/>
        </w:rPr>
      </w:pPr>
      <w:r>
        <w:rPr>
          <w:rFonts w:ascii="Calibri" w:hAnsi="Calibri"/>
        </w:rPr>
        <w:t>Asked in respect to the most important interest groups in US foreign policy towards Iran, f</w:t>
      </w:r>
      <w:r>
        <w:rPr>
          <w:rFonts w:ascii="Calibri" w:hAnsi="Calibri"/>
        </w:rPr>
        <w:t>ourteen out of fifteen congressional House staffers named AIPAC, followed by J Street with nine out of fifteen. A couple of staffers named FCNL, the National Iranian American Council (NIAC), and the Arms Control Association. All six interviewed interest gr</w:t>
      </w:r>
      <w:r>
        <w:rPr>
          <w:rFonts w:ascii="Calibri" w:hAnsi="Calibri"/>
        </w:rPr>
        <w:t>oup representatives named AIPAC as the most influential group; four representatives also named J Street as well as the Ploughshares Fund. Half of the six interest group representatives also named NIAC. NIAC as well as the Ploughshares Fund did not meet the</w:t>
      </w:r>
      <w:r>
        <w:rPr>
          <w:rFonts w:ascii="Calibri" w:hAnsi="Calibri"/>
        </w:rPr>
        <w:t xml:space="preserve"> criteria of this research in order to be selected as relevant interest group but as they, nevertheless, had an important impact in respect to the JCPOA, they will be discussed in the section on coalition-building.</w:t>
      </w:r>
    </w:p>
    <w:p w:rsidR="007172F9" w:rsidRDefault="006005D8">
      <w:pPr>
        <w:spacing w:line="480" w:lineRule="auto"/>
        <w:rPr>
          <w:rFonts w:ascii="Calibri" w:hAnsi="Calibri"/>
        </w:rPr>
      </w:pPr>
      <w:r>
        <w:rPr>
          <w:rFonts w:ascii="Calibri" w:hAnsi="Calibri" w:cs="Calibri"/>
          <w:color w:val="000000"/>
        </w:rPr>
        <w:t>The selected Pro-Diplomacy and Pro-Sancti</w:t>
      </w:r>
      <w:r>
        <w:rPr>
          <w:rFonts w:ascii="Calibri" w:hAnsi="Calibri" w:cs="Calibri"/>
          <w:color w:val="000000"/>
        </w:rPr>
        <w:t>ons interest group clusters do not contain business groups, as they did not provide sufficient data for the analysis. The lack of data con</w:t>
      </w:r>
      <w:r>
        <w:rPr>
          <w:rFonts w:ascii="Calibri" w:hAnsi="Calibri" w:cs="Calibri"/>
          <w:color w:val="000000"/>
        </w:rPr>
        <w:t xml:space="preserve">cerned, for example, official positions on </w:t>
      </w:r>
      <w:r>
        <w:rPr>
          <w:rFonts w:ascii="Calibri" w:hAnsi="Calibri" w:cs="Calibri"/>
          <w:color w:val="000000"/>
        </w:rPr>
        <w:lastRenderedPageBreak/>
        <w:t xml:space="preserve">Iran as well as data for the factor organizational strength such as salary </w:t>
      </w:r>
      <w:r>
        <w:rPr>
          <w:rFonts w:ascii="Calibri" w:hAnsi="Calibri" w:cs="Calibri"/>
          <w:color w:val="000000"/>
        </w:rPr>
        <w:t>levels and number of personnel. Even though the literature names business groups as very important lobby groups (</w:t>
      </w:r>
      <w:r>
        <w:rPr>
          <w:rFonts w:ascii="Calibri" w:hAnsi="Calibri"/>
        </w:rPr>
        <w:t xml:space="preserve">Huntington, Samuel P. 1997. </w:t>
      </w:r>
      <w:r>
        <w:rPr>
          <w:rFonts w:ascii="Calibri" w:hAnsi="Calibri"/>
          <w:i/>
        </w:rPr>
        <w:t>The clash of civilizations and the remaking of world order.</w:t>
      </w:r>
      <w:r>
        <w:rPr>
          <w:rFonts w:ascii="Calibri" w:hAnsi="Calibri"/>
        </w:rPr>
        <w:t xml:space="preserve"> Penguin Books India</w:t>
      </w:r>
      <w:r>
        <w:rPr>
          <w:rFonts w:ascii="Calibri" w:hAnsi="Calibri" w:cs="Calibri"/>
          <w:color w:val="000000"/>
        </w:rPr>
        <w:t>: 37-40), the choice of excluding bu</w:t>
      </w:r>
      <w:r>
        <w:rPr>
          <w:rFonts w:ascii="Calibri" w:hAnsi="Calibri" w:cs="Calibri"/>
          <w:color w:val="000000"/>
        </w:rPr>
        <w:t>siness groups is supported by the fact that despite high business contributions there was very little change in regard to Iran sanctions policy prior to the 114th Congress period. In addition, in respect to business groups the lack of transparency is funda</w:t>
      </w:r>
      <w:r>
        <w:rPr>
          <w:rFonts w:ascii="Calibri" w:hAnsi="Calibri" w:cs="Calibri"/>
          <w:color w:val="000000"/>
        </w:rPr>
        <w:t>mental, this became obvious when contacting business representatives in relation to their companies’ relations to Iran: Some institutions, such as the National Association of Manufacturers, the US Chamber of Commerce, BP, the American Association of Export</w:t>
      </w:r>
      <w:r>
        <w:rPr>
          <w:rFonts w:ascii="Calibri" w:hAnsi="Calibri" w:cs="Calibri"/>
          <w:color w:val="000000"/>
        </w:rPr>
        <w:t>ers and Importers, and ABB Ltd even denied that their company was involved in matters concerning Iran despite publicly available lobby reports submitted to the Lobbying Disclosure Act Database by these businesses, which listed Iran as an issue the respecti</w:t>
      </w:r>
      <w:r>
        <w:rPr>
          <w:rFonts w:ascii="Calibri" w:hAnsi="Calibri" w:cs="Calibri"/>
          <w:color w:val="000000"/>
        </w:rPr>
        <w:t>ve company spent money on.</w:t>
      </w:r>
      <w:r>
        <w:rPr>
          <w:rStyle w:val="Funotenanker"/>
          <w:rFonts w:ascii="Calibri" w:hAnsi="Calibri" w:cs="Calibri"/>
          <w:color w:val="000000"/>
        </w:rPr>
        <w:footnoteReference w:id="1"/>
      </w:r>
    </w:p>
    <w:p w:rsidR="007172F9" w:rsidRDefault="006005D8">
      <w:pPr>
        <w:spacing w:line="480" w:lineRule="auto"/>
        <w:rPr>
          <w:rFonts w:ascii="Calibri" w:hAnsi="Calibri"/>
        </w:rPr>
      </w:pPr>
      <w:r>
        <w:rPr>
          <w:rFonts w:ascii="Calibri" w:hAnsi="Calibri"/>
        </w:rPr>
        <w:t xml:space="preserve">For business groups at least an estimate of their district representation could be made. To gather data for these groups relevant businesses were selected with an obvious interest in Iranian issues. Relevance was conditioned by </w:t>
      </w:r>
      <w:r>
        <w:rPr>
          <w:rFonts w:ascii="Calibri" w:hAnsi="Calibri"/>
        </w:rPr>
        <w:t>two characteristics: The first was to have submitted at least twice, four lobby reports to the Lobby Disclosure Database in one legislative period within the 110</w:t>
      </w:r>
      <w:r>
        <w:rPr>
          <w:rFonts w:ascii="Calibri" w:hAnsi="Calibri"/>
          <w:vertAlign w:val="superscript"/>
        </w:rPr>
        <w:t>th</w:t>
      </w:r>
      <w:r>
        <w:rPr>
          <w:rFonts w:ascii="Calibri" w:hAnsi="Calibri"/>
        </w:rPr>
        <w:t>-113</w:t>
      </w:r>
      <w:r>
        <w:rPr>
          <w:rFonts w:ascii="Calibri" w:hAnsi="Calibri"/>
          <w:vertAlign w:val="superscript"/>
        </w:rPr>
        <w:t>th</w:t>
      </w:r>
      <w:r>
        <w:rPr>
          <w:rFonts w:ascii="Calibri" w:hAnsi="Calibri"/>
        </w:rPr>
        <w:t xml:space="preserve"> Congress periods. The second condition was that the business group listed in the respe</w:t>
      </w:r>
      <w:r>
        <w:rPr>
          <w:rFonts w:ascii="Calibri" w:hAnsi="Calibri"/>
        </w:rPr>
        <w:t>ctive lobby reports at least once a minimum of $500.000 as lobbying expenditure between 2007-2014. Both conditions underline the relevance of the business in terms of activity and financial strength.</w:t>
      </w:r>
    </w:p>
    <w:p w:rsidR="007172F9" w:rsidRDefault="007172F9">
      <w:pPr>
        <w:pStyle w:val="ListParagraph"/>
        <w:spacing w:line="480" w:lineRule="auto"/>
        <w:ind w:firstLine="60"/>
        <w:rPr>
          <w:rFonts w:ascii="Calibri" w:hAnsi="Calibri"/>
        </w:rPr>
      </w:pPr>
    </w:p>
    <w:p w:rsidR="007172F9" w:rsidRDefault="006005D8">
      <w:pPr>
        <w:spacing w:line="480" w:lineRule="auto"/>
        <w:rPr>
          <w:rFonts w:ascii="Calibri" w:hAnsi="Calibri"/>
        </w:rPr>
      </w:pPr>
      <w:r>
        <w:rPr>
          <w:rFonts w:ascii="Calibri" w:hAnsi="Calibri"/>
        </w:rPr>
        <w:t>The selected businesses under these conditions were:</w:t>
      </w:r>
    </w:p>
    <w:p w:rsidR="007172F9" w:rsidRDefault="006005D8">
      <w:pPr>
        <w:pStyle w:val="ListParagraph"/>
        <w:numPr>
          <w:ilvl w:val="1"/>
          <w:numId w:val="2"/>
        </w:numPr>
        <w:spacing w:line="480" w:lineRule="auto"/>
        <w:rPr>
          <w:rFonts w:ascii="Calibri" w:hAnsi="Calibri"/>
        </w:rPr>
      </w:pPr>
      <w:r>
        <w:rPr>
          <w:rFonts w:ascii="Calibri" w:hAnsi="Calibri"/>
        </w:rPr>
        <w:t>The U.S. Chamber of Commerce</w:t>
      </w:r>
    </w:p>
    <w:p w:rsidR="007172F9" w:rsidRDefault="006005D8">
      <w:pPr>
        <w:pStyle w:val="ListParagraph"/>
        <w:numPr>
          <w:ilvl w:val="1"/>
          <w:numId w:val="2"/>
        </w:numPr>
        <w:spacing w:line="480" w:lineRule="auto"/>
        <w:rPr>
          <w:rFonts w:ascii="Calibri" w:hAnsi="Calibri"/>
        </w:rPr>
      </w:pPr>
      <w:r>
        <w:rPr>
          <w:rFonts w:ascii="Calibri" w:hAnsi="Calibri"/>
        </w:rPr>
        <w:t>The Boeing Company</w:t>
      </w:r>
    </w:p>
    <w:p w:rsidR="007172F9" w:rsidRDefault="006005D8">
      <w:pPr>
        <w:pStyle w:val="ListParagraph"/>
        <w:numPr>
          <w:ilvl w:val="1"/>
          <w:numId w:val="2"/>
        </w:numPr>
        <w:spacing w:line="480" w:lineRule="auto"/>
        <w:rPr>
          <w:rFonts w:ascii="Calibri" w:hAnsi="Calibri"/>
        </w:rPr>
      </w:pPr>
      <w:r>
        <w:rPr>
          <w:rFonts w:ascii="Calibri" w:hAnsi="Calibri"/>
        </w:rPr>
        <w:t>General Electric</w:t>
      </w:r>
    </w:p>
    <w:p w:rsidR="007172F9" w:rsidRDefault="006005D8">
      <w:pPr>
        <w:pStyle w:val="ListParagraph"/>
        <w:numPr>
          <w:ilvl w:val="1"/>
          <w:numId w:val="2"/>
        </w:numPr>
        <w:spacing w:line="480" w:lineRule="auto"/>
        <w:rPr>
          <w:rFonts w:ascii="Calibri" w:hAnsi="Calibri"/>
        </w:rPr>
      </w:pPr>
      <w:r>
        <w:rPr>
          <w:rFonts w:ascii="Calibri" w:hAnsi="Calibri"/>
        </w:rPr>
        <w:t>The Procter and Gamble Company</w:t>
      </w:r>
    </w:p>
    <w:p w:rsidR="007172F9" w:rsidRDefault="006005D8">
      <w:pPr>
        <w:pStyle w:val="ListParagraph"/>
        <w:numPr>
          <w:ilvl w:val="1"/>
          <w:numId w:val="2"/>
        </w:numPr>
        <w:spacing w:line="480" w:lineRule="auto"/>
        <w:rPr>
          <w:rFonts w:ascii="Calibri" w:hAnsi="Calibri"/>
        </w:rPr>
      </w:pPr>
      <w:r>
        <w:rPr>
          <w:rFonts w:ascii="Calibri" w:hAnsi="Calibri"/>
        </w:rPr>
        <w:t>Investment Company Institute</w:t>
      </w:r>
    </w:p>
    <w:p w:rsidR="007172F9" w:rsidRDefault="006005D8">
      <w:pPr>
        <w:pStyle w:val="ListParagraph"/>
        <w:numPr>
          <w:ilvl w:val="1"/>
          <w:numId w:val="2"/>
        </w:numPr>
        <w:spacing w:line="480" w:lineRule="auto"/>
        <w:rPr>
          <w:rFonts w:ascii="Calibri" w:hAnsi="Calibri"/>
        </w:rPr>
      </w:pPr>
      <w:r>
        <w:rPr>
          <w:rFonts w:ascii="Calibri" w:hAnsi="Calibri"/>
        </w:rPr>
        <w:t>The Society for Worldwide Interbank Financial Telecommunication, SCRL</w:t>
      </w:r>
    </w:p>
    <w:p w:rsidR="007172F9" w:rsidRDefault="006005D8">
      <w:pPr>
        <w:pStyle w:val="ListParagraph"/>
        <w:numPr>
          <w:ilvl w:val="1"/>
          <w:numId w:val="2"/>
        </w:numPr>
        <w:spacing w:line="480" w:lineRule="auto"/>
        <w:rPr>
          <w:rFonts w:ascii="Calibri" w:hAnsi="Calibri"/>
        </w:rPr>
      </w:pPr>
      <w:r>
        <w:rPr>
          <w:rFonts w:ascii="Calibri" w:hAnsi="Calibri"/>
        </w:rPr>
        <w:t>CITGO Petroleum Corporation</w:t>
      </w:r>
    </w:p>
    <w:p w:rsidR="007172F9" w:rsidRDefault="006005D8">
      <w:pPr>
        <w:pStyle w:val="ListParagraph"/>
        <w:numPr>
          <w:ilvl w:val="1"/>
          <w:numId w:val="2"/>
        </w:numPr>
        <w:spacing w:line="480" w:lineRule="auto"/>
        <w:rPr>
          <w:rFonts w:ascii="Calibri" w:hAnsi="Calibri"/>
        </w:rPr>
      </w:pPr>
      <w:r>
        <w:rPr>
          <w:rFonts w:ascii="Calibri" w:hAnsi="Calibri"/>
        </w:rPr>
        <w:lastRenderedPageBreak/>
        <w:t>Louis Dreyfus Commodities LLC</w:t>
      </w:r>
    </w:p>
    <w:p w:rsidR="007172F9" w:rsidRDefault="006005D8">
      <w:pPr>
        <w:pStyle w:val="ListParagraph"/>
        <w:numPr>
          <w:ilvl w:val="1"/>
          <w:numId w:val="2"/>
        </w:numPr>
        <w:spacing w:line="480" w:lineRule="auto"/>
        <w:rPr>
          <w:rFonts w:ascii="Calibri" w:hAnsi="Calibri"/>
        </w:rPr>
      </w:pPr>
      <w:r>
        <w:rPr>
          <w:rFonts w:ascii="Calibri" w:hAnsi="Calibri"/>
        </w:rPr>
        <w:t>Hal</w:t>
      </w:r>
      <w:r>
        <w:rPr>
          <w:rFonts w:ascii="Calibri" w:hAnsi="Calibri"/>
        </w:rPr>
        <w:t>liburton Company</w:t>
      </w:r>
    </w:p>
    <w:p w:rsidR="007172F9" w:rsidRDefault="007172F9">
      <w:pPr>
        <w:pStyle w:val="ListParagraph"/>
        <w:spacing w:line="480" w:lineRule="auto"/>
        <w:ind w:firstLine="60"/>
        <w:rPr>
          <w:rFonts w:ascii="Calibri" w:hAnsi="Calibri"/>
        </w:rPr>
      </w:pPr>
    </w:p>
    <w:p w:rsidR="007172F9" w:rsidRDefault="006005D8">
      <w:pPr>
        <w:spacing w:line="480" w:lineRule="auto"/>
        <w:rPr>
          <w:rFonts w:ascii="Calibri" w:hAnsi="Calibri"/>
        </w:rPr>
      </w:pPr>
      <w:r>
        <w:rPr>
          <w:rFonts w:ascii="Calibri" w:hAnsi="Calibri"/>
        </w:rPr>
        <w:t xml:space="preserve">The data of the concentration in a district stems from official numbers provided by the businesses or, if that was unavailable, the amount of listings in job engines from a selected business. The listings at least offered the data of the </w:t>
      </w:r>
      <w:r>
        <w:rPr>
          <w:rFonts w:ascii="Calibri" w:hAnsi="Calibri"/>
        </w:rPr>
        <w:t xml:space="preserve">respective business’s job vacancies per district. </w:t>
      </w:r>
    </w:p>
    <w:p w:rsidR="007172F9" w:rsidRDefault="007172F9">
      <w:pPr>
        <w:spacing w:line="480" w:lineRule="auto"/>
        <w:rPr>
          <w:rFonts w:ascii="Calibri" w:hAnsi="Calibri"/>
        </w:rPr>
      </w:pPr>
    </w:p>
    <w:p w:rsidR="007172F9" w:rsidRDefault="006005D8">
      <w:pPr>
        <w:pStyle w:val="ListParagraph"/>
        <w:numPr>
          <w:ilvl w:val="0"/>
          <w:numId w:val="2"/>
        </w:numPr>
        <w:spacing w:line="480" w:lineRule="auto"/>
        <w:rPr>
          <w:rFonts w:ascii="Calibri" w:hAnsi="Calibri"/>
        </w:rPr>
      </w:pPr>
      <w:r>
        <w:rPr>
          <w:rFonts w:ascii="Calibri" w:hAnsi="Calibri"/>
        </w:rPr>
        <w:t>IV. Financial Contributions</w:t>
      </w:r>
    </w:p>
    <w:p w:rsidR="007172F9" w:rsidRDefault="006005D8">
      <w:pPr>
        <w:pStyle w:val="ListParagraph"/>
        <w:spacing w:line="480" w:lineRule="auto"/>
        <w:ind w:left="0"/>
        <w:rPr>
          <w:rFonts w:ascii="Calibri" w:hAnsi="Calibri"/>
        </w:rPr>
      </w:pPr>
      <w:r>
        <w:rPr>
          <w:rFonts w:ascii="Calibri" w:hAnsi="Calibri" w:cs="Calibri"/>
          <w:color w:val="000000"/>
        </w:rPr>
        <w:t xml:space="preserve">The data of the interest groups’ financial contributions stemmed from official donations by interest groups and PACs to individual representatives of the House as submitted to </w:t>
      </w:r>
      <w:r>
        <w:rPr>
          <w:rFonts w:ascii="Calibri" w:hAnsi="Calibri" w:cs="Calibri"/>
          <w:color w:val="000000"/>
        </w:rPr>
        <w:t>the Federal Election Commission and was provided by the Center for Responsive Politics (OpenSecrets.org). It should be considered that, apart from official contributions to political candidates and parties, there are non-traceable contributions, which cann</w:t>
      </w:r>
      <w:r>
        <w:rPr>
          <w:rFonts w:ascii="Calibri" w:hAnsi="Calibri" w:cs="Calibri"/>
          <w:color w:val="000000"/>
        </w:rPr>
        <w:t xml:space="preserve">ot be drawn upon in the analysis. In the interviews only one staffer of a Democratic member of the House and one committee staffer as well as two interest group representatives from J Street and AIPAC openly mentioned financial contributions as a lobbying </w:t>
      </w:r>
      <w:r>
        <w:rPr>
          <w:rFonts w:ascii="Calibri" w:hAnsi="Calibri" w:cs="Calibri"/>
          <w:color w:val="000000"/>
        </w:rPr>
        <w:t xml:space="preserve">technique </w:t>
      </w:r>
      <w:r>
        <w:rPr>
          <w:rFonts w:ascii="Calibri" w:hAnsi="Calibri"/>
        </w:rPr>
        <w:t>despite the dependency on money for legislators to win elections.</w:t>
      </w:r>
      <w:r>
        <w:rPr>
          <w:rStyle w:val="Funotenanker"/>
          <w:rFonts w:ascii="Calibri" w:hAnsi="Calibri"/>
        </w:rPr>
        <w:footnoteReference w:id="2"/>
      </w:r>
    </w:p>
    <w:p w:rsidR="007172F9" w:rsidRDefault="006005D8">
      <w:pPr>
        <w:spacing w:line="480" w:lineRule="auto"/>
        <w:rPr>
          <w:rFonts w:ascii="Calibri" w:hAnsi="Calibri"/>
        </w:rPr>
      </w:pPr>
      <w:r>
        <w:rPr>
          <w:rFonts w:ascii="Calibri" w:hAnsi="Calibri"/>
        </w:rPr>
        <w:t>The nonprofit organization MapLight structured the data into searchable categories such as indust</w:t>
      </w:r>
      <w:r>
        <w:rPr>
          <w:rFonts w:ascii="Calibri" w:hAnsi="Calibri" w:cs="Calibri"/>
          <w:color w:val="000000"/>
        </w:rPr>
        <w:t>ry, candidate name, election cycle, contributor name, and contributor employer. Th</w:t>
      </w:r>
      <w:r>
        <w:rPr>
          <w:rFonts w:ascii="Calibri" w:hAnsi="Calibri" w:cs="Calibri"/>
          <w:color w:val="000000"/>
        </w:rPr>
        <w:t>e 114th Congress period from 2015-2016 was not considered for the factor financial contributions. This period would have distorted the average donation per candidate due to the significant change in the voting behavior starting with the vote on approval of</w:t>
      </w:r>
      <w:r>
        <w:rPr>
          <w:rFonts w:ascii="Calibri" w:hAnsi="Calibri" w:cs="Calibri"/>
          <w:color w:val="000000"/>
        </w:rPr>
        <w:t xml:space="preserve"> the JCPOA in September 2015 when almost 50% of the members turned against the previous bipartisan sanctions strategy. For the script, which was used to process and analyze the data, see Koch 2020: 96-110.</w:t>
      </w:r>
      <w:r>
        <w:rPr>
          <w:rStyle w:val="Funotenanker"/>
          <w:rFonts w:ascii="Calibri" w:hAnsi="Calibri" w:cs="Calibri"/>
          <w:color w:val="000000"/>
        </w:rPr>
        <w:footnoteReference w:id="3"/>
      </w:r>
    </w:p>
    <w:p w:rsidR="007172F9" w:rsidRDefault="007172F9">
      <w:pPr>
        <w:spacing w:line="480" w:lineRule="auto"/>
        <w:rPr>
          <w:rFonts w:ascii="Calibri" w:hAnsi="Calibri"/>
        </w:rPr>
      </w:pPr>
    </w:p>
    <w:p w:rsidR="007172F9" w:rsidRDefault="006005D8">
      <w:pPr>
        <w:pStyle w:val="ListParagraph"/>
        <w:numPr>
          <w:ilvl w:val="0"/>
          <w:numId w:val="2"/>
        </w:numPr>
        <w:spacing w:line="480" w:lineRule="auto"/>
        <w:rPr>
          <w:rFonts w:ascii="Calibri" w:hAnsi="Calibri"/>
        </w:rPr>
      </w:pPr>
      <w:r>
        <w:rPr>
          <w:rFonts w:ascii="Calibri" w:hAnsi="Calibri"/>
        </w:rPr>
        <w:t>V. Organizational Strength</w:t>
      </w:r>
    </w:p>
    <w:p w:rsidR="007172F9" w:rsidRDefault="006005D8">
      <w:pPr>
        <w:spacing w:line="480" w:lineRule="auto"/>
        <w:rPr>
          <w:rFonts w:ascii="Calibri" w:hAnsi="Calibri"/>
        </w:rPr>
      </w:pPr>
      <w:r>
        <w:rPr>
          <w:rFonts w:ascii="Calibri" w:hAnsi="Calibri"/>
        </w:rPr>
        <w:lastRenderedPageBreak/>
        <w:t xml:space="preserve">The factor strength </w:t>
      </w:r>
      <w:r>
        <w:rPr>
          <w:rFonts w:ascii="Calibri" w:hAnsi="Calibri"/>
        </w:rPr>
        <w:t xml:space="preserve">is made up of the components lobbying expenditures, revenue, salary levels, staff, and foundation year. The lobbying expenditures are derived from submitted lobby reports to the Lobbying Disclosure Act Database during the 110th-114th Congress periods. The </w:t>
      </w:r>
      <w:r>
        <w:rPr>
          <w:rFonts w:ascii="Calibri" w:hAnsi="Calibri"/>
        </w:rPr>
        <w:t>annually filed “Return of Organization Exempt From Income Tax” to the United States Internal Revenue Service provided the remaining information.</w:t>
      </w:r>
    </w:p>
    <w:p w:rsidR="007172F9" w:rsidRDefault="006005D8">
      <w:pPr>
        <w:spacing w:line="480" w:lineRule="auto"/>
        <w:rPr>
          <w:rFonts w:ascii="Calibri" w:hAnsi="Calibri"/>
        </w:rPr>
      </w:pPr>
      <w:r>
        <w:rPr>
          <w:rFonts w:ascii="Calibri" w:hAnsi="Calibri"/>
        </w:rPr>
        <w:t>The lobbying expenditures are derived from the amount stated in the lobby reports of the selected interest grou</w:t>
      </w:r>
      <w:r>
        <w:rPr>
          <w:rFonts w:ascii="Calibri" w:hAnsi="Calibri"/>
        </w:rPr>
        <w:t xml:space="preserve">ps with the keyword “Iran”, which were submitted to the Lobbying Disclosure Act Database during the 110th-114th Congress periods. The information for the remaining </w:t>
      </w:r>
      <w:r>
        <w:rPr>
          <w:rFonts w:ascii="Calibri" w:hAnsi="Calibri" w:cs="Calibri"/>
          <w:color w:val="000000"/>
        </w:rPr>
        <w:t>components stems from the annually filed “Return of Organization Exempt From Income Tax”, fo</w:t>
      </w:r>
      <w:r>
        <w:rPr>
          <w:rFonts w:ascii="Calibri" w:hAnsi="Calibri" w:cs="Calibri"/>
          <w:color w:val="000000"/>
        </w:rPr>
        <w:t xml:space="preserve">rm 990, to the United States Internal Revenue Service made available by GuideStar's Directory of Charities and Nonprofit Organizations. The forms were not accessible to all years during the selected time frame of 2007-2016; this is why the data only shows </w:t>
      </w:r>
      <w:r>
        <w:rPr>
          <w:rFonts w:ascii="Calibri" w:hAnsi="Calibri" w:cs="Calibri"/>
          <w:color w:val="000000"/>
        </w:rPr>
        <w:t>the years 2011, 2013, and 2015, which is sufficient to underline the differences between the Pro-Sanctions side and the Pro-Diplomacy side as well as their development.</w:t>
      </w:r>
    </w:p>
    <w:p w:rsidR="007172F9" w:rsidRDefault="007172F9">
      <w:pPr>
        <w:spacing w:line="480" w:lineRule="auto"/>
        <w:rPr>
          <w:rFonts w:ascii="Calibri" w:hAnsi="Calibri"/>
        </w:rPr>
      </w:pPr>
    </w:p>
    <w:p w:rsidR="007172F9" w:rsidRDefault="006005D8">
      <w:pPr>
        <w:pStyle w:val="ListParagraph"/>
        <w:numPr>
          <w:ilvl w:val="0"/>
          <w:numId w:val="2"/>
        </w:numPr>
        <w:spacing w:line="480" w:lineRule="auto"/>
        <w:rPr>
          <w:rFonts w:ascii="Calibri" w:hAnsi="Calibri"/>
        </w:rPr>
      </w:pPr>
      <w:r>
        <w:rPr>
          <w:rFonts w:ascii="Calibri" w:hAnsi="Calibri"/>
        </w:rPr>
        <w:t>VI. Coalition-Building</w:t>
      </w:r>
    </w:p>
    <w:p w:rsidR="007172F9" w:rsidRDefault="006005D8">
      <w:pPr>
        <w:pStyle w:val="ListParagraph"/>
        <w:spacing w:line="480" w:lineRule="auto"/>
        <w:ind w:left="0"/>
        <w:rPr>
          <w:rFonts w:ascii="Calibri" w:hAnsi="Calibri"/>
        </w:rPr>
      </w:pPr>
      <w:r>
        <w:rPr>
          <w:rFonts w:ascii="Calibri" w:hAnsi="Calibri"/>
        </w:rPr>
        <w:t>In 2008, NIAC became the coordinator of the newly formed coalit</w:t>
      </w:r>
      <w:r>
        <w:rPr>
          <w:rFonts w:ascii="Calibri" w:hAnsi="Calibri"/>
        </w:rPr>
        <w:t>ion “Campaign for New American Policy with Iran” (CNAPI), which brought together USA*Engage, the Center for Arms Control and Nonproliferation as well as left, peace and religious groups. NIAC also formed another alliance with APN, FCNL, and other groups. S</w:t>
      </w:r>
      <w:r>
        <w:rPr>
          <w:rFonts w:ascii="Calibri" w:hAnsi="Calibri"/>
        </w:rPr>
        <w:t xml:space="preserve">everal interview partners for this research have named NIAC as one of the relevant interest groups in US foreign policy with Iran, i.e. two out of fifteen congressional staffers and three out of six interest group representatives. </w:t>
      </w:r>
    </w:p>
    <w:p w:rsidR="007172F9" w:rsidRDefault="007172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uto"/>
        <w:rPr>
          <w:rFonts w:ascii="Calibri" w:hAnsi="Calibri"/>
        </w:rPr>
      </w:pPr>
    </w:p>
    <w:p w:rsidR="007172F9" w:rsidRDefault="006005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uto"/>
        <w:rPr>
          <w:rFonts w:ascii="Calibri" w:hAnsi="Calibri"/>
        </w:rPr>
      </w:pPr>
      <w:r>
        <w:rPr>
          <w:rFonts w:ascii="Calibri" w:hAnsi="Calibri"/>
        </w:rPr>
        <w:t>Coalitions of the Pro-D</w:t>
      </w:r>
      <w:r>
        <w:rPr>
          <w:rFonts w:ascii="Calibri" w:hAnsi="Calibri"/>
        </w:rPr>
        <w:t>iplomacy Side</w:t>
      </w:r>
    </w:p>
    <w:p w:rsidR="007172F9" w:rsidRDefault="006005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uto"/>
        <w:rPr>
          <w:rFonts w:ascii="Calibri" w:hAnsi="Calibri"/>
        </w:rPr>
      </w:pPr>
      <w:r>
        <w:rPr>
          <w:rFonts w:ascii="Calibri" w:hAnsi="Calibri"/>
        </w:rPr>
        <w:t>- Americans for Peace Now (APN): Member of the Ploughshares Fund coalition; part of a joint letter campaign</w:t>
      </w:r>
    </w:p>
    <w:p w:rsidR="007172F9" w:rsidRDefault="006005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uto"/>
        <w:rPr>
          <w:rFonts w:ascii="Calibri" w:hAnsi="Calibri"/>
        </w:rPr>
      </w:pPr>
      <w:r>
        <w:rPr>
          <w:rFonts w:ascii="Calibri" w:hAnsi="Calibri"/>
        </w:rPr>
        <w:t>- Center for Arms Control &amp; Non-Proliferation: Part of a joint letter campaign; member of the former coalition Campaign for New Americ</w:t>
      </w:r>
      <w:r>
        <w:rPr>
          <w:rFonts w:ascii="Calibri" w:hAnsi="Calibri"/>
        </w:rPr>
        <w:t>an Policy with Iran</w:t>
      </w:r>
    </w:p>
    <w:p w:rsidR="007172F9" w:rsidRDefault="006005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uto"/>
        <w:rPr>
          <w:rFonts w:ascii="Calibri" w:hAnsi="Calibri"/>
        </w:rPr>
      </w:pPr>
      <w:r>
        <w:rPr>
          <w:rFonts w:ascii="Calibri" w:hAnsi="Calibri"/>
        </w:rPr>
        <w:t>- Friends Committee on National Legislation (FCNL): Member of the Ploughshares Fund coalition; part of a joint letter campaign</w:t>
      </w:r>
    </w:p>
    <w:p w:rsidR="007172F9" w:rsidRDefault="006005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uto"/>
        <w:rPr>
          <w:rFonts w:ascii="Calibri" w:hAnsi="Calibri"/>
        </w:rPr>
      </w:pPr>
      <w:r>
        <w:rPr>
          <w:rFonts w:ascii="Calibri" w:hAnsi="Calibri"/>
        </w:rPr>
        <w:t xml:space="preserve">- J Street: Member of the Ploughshares Fund coalition; part of a joint letter campaign </w:t>
      </w:r>
    </w:p>
    <w:p w:rsidR="007172F9" w:rsidRDefault="006005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uto"/>
        <w:rPr>
          <w:rFonts w:ascii="Calibri" w:hAnsi="Calibri"/>
        </w:rPr>
      </w:pPr>
      <w:r>
        <w:rPr>
          <w:rFonts w:ascii="Calibri" w:hAnsi="Calibri"/>
        </w:rPr>
        <w:lastRenderedPageBreak/>
        <w:t>- National Foreign Tr</w:t>
      </w:r>
      <w:r>
        <w:rPr>
          <w:rFonts w:ascii="Calibri" w:hAnsi="Calibri"/>
        </w:rPr>
        <w:t>ade Council Inc.: The group's lobby arm USA*Engage</w:t>
      </w:r>
      <w:r>
        <w:rPr>
          <w:rStyle w:val="Funotenanker"/>
          <w:rFonts w:ascii="Calibri" w:hAnsi="Calibri"/>
        </w:rPr>
        <w:footnoteReference w:id="4"/>
      </w:r>
      <w:r>
        <w:rPr>
          <w:rFonts w:ascii="Calibri" w:hAnsi="Calibri"/>
        </w:rPr>
        <w:t xml:space="preserve"> worked together with NIAC, such as in the former coalition Campaign for New American Policy with Iran</w:t>
      </w:r>
    </w:p>
    <w:p w:rsidR="007172F9" w:rsidRDefault="007172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Calibri" w:hAnsi="Calibri"/>
        </w:rPr>
      </w:pPr>
    </w:p>
    <w:p w:rsidR="007172F9" w:rsidRDefault="006005D8">
      <w:pPr>
        <w:spacing w:line="480" w:lineRule="auto"/>
        <w:rPr>
          <w:rFonts w:ascii="Calibri" w:hAnsi="Calibri"/>
        </w:rPr>
      </w:pPr>
      <w:r>
        <w:rPr>
          <w:rFonts w:ascii="Calibri" w:hAnsi="Calibri"/>
        </w:rPr>
        <w:t>The Ploughshares Fund'</w:t>
      </w:r>
      <w:r>
        <w:rPr>
          <w:rFonts w:ascii="Calibri" w:hAnsi="Calibri"/>
        </w:rPr>
        <w:t xml:space="preserve">s dedication in favor of a diplomatic solution can also be seen by its formation of the Iran Project, which brought together more than 30 bipartisan senior national security experts to produce a study on the costs and benefits of a military strike against </w:t>
      </w:r>
      <w:r>
        <w:rPr>
          <w:rFonts w:ascii="Calibri" w:hAnsi="Calibri"/>
        </w:rPr>
        <w:t xml:space="preserve">Iran (Cochran 2012). </w:t>
      </w:r>
    </w:p>
    <w:p w:rsidR="007172F9" w:rsidRDefault="006005D8">
      <w:pPr>
        <w:spacing w:line="480" w:lineRule="auto"/>
        <w:rPr>
          <w:rFonts w:ascii="Calibri" w:hAnsi="Calibri"/>
        </w:rPr>
      </w:pPr>
      <w:r>
        <w:rPr>
          <w:rFonts w:ascii="Calibri" w:hAnsi="Calibri"/>
        </w:rPr>
        <w:t>On the Pro-Sanctions side there was no coordinated approach to join forces in a coalition. There is only one umbrella organization that could be considered a coalition: the Conference of Presidents of Major American Jewish Organizatio</w:t>
      </w:r>
      <w:r>
        <w:rPr>
          <w:rFonts w:ascii="Calibri" w:hAnsi="Calibri"/>
        </w:rPr>
        <w:t>ns. Amongst its 51 member organizations, AIPAC, AJC, ADL, and APN are part of this research. Because the Conference of Presidents does not speak united with one voice and is rather loosely organized it is not considered in this analysis (Miglietta, John P.</w:t>
      </w:r>
      <w:r>
        <w:rPr>
          <w:rFonts w:ascii="Calibri" w:hAnsi="Calibri"/>
        </w:rPr>
        <w:t xml:space="preserve"> 2002. </w:t>
      </w:r>
      <w:r>
        <w:rPr>
          <w:rFonts w:ascii="Calibri" w:hAnsi="Calibri"/>
          <w:i/>
        </w:rPr>
        <w:t>American Alliance Policy in the Middle East, 1945-1992: Iran, Israel, and Saudi Arabia</w:t>
      </w:r>
      <w:r>
        <w:rPr>
          <w:rFonts w:ascii="Calibri" w:hAnsi="Calibri"/>
        </w:rPr>
        <w:t>. Lanham: Lexington Books: 150). For example, one of the member organizations, APN, is part of the Pro-Diplomacy group cluster for this research.</w:t>
      </w:r>
    </w:p>
    <w:p w:rsidR="007172F9" w:rsidRDefault="006005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uto"/>
        <w:rPr>
          <w:rFonts w:ascii="Calibri" w:hAnsi="Calibri"/>
        </w:rPr>
      </w:pPr>
      <w:r>
        <w:rPr>
          <w:rFonts w:ascii="Calibri" w:hAnsi="Calibri"/>
        </w:rPr>
        <w:t>In the interviews</w:t>
      </w:r>
      <w:r>
        <w:rPr>
          <w:rFonts w:ascii="Calibri" w:hAnsi="Calibri"/>
        </w:rPr>
        <w:t xml:space="preserve"> two congressional staffers and half of the six interest group representatives named the initiatives by the international community as one of the reasons for the shift in US foreign policy with Iran. Four out of fifteen congressional staffers named the inf</w:t>
      </w:r>
      <w:r>
        <w:rPr>
          <w:rFonts w:ascii="Calibri" w:hAnsi="Calibri"/>
        </w:rPr>
        <w:t>luence of Israel's Likud party, and a couple of staffers pointed to the sophisticated Iranian nuclear program as well as President Rouhani's election as reasons for the shift in US foreign policy. Three out of six interest group representatives confirmed t</w:t>
      </w:r>
      <w:r>
        <w:rPr>
          <w:rFonts w:ascii="Calibri" w:hAnsi="Calibri"/>
        </w:rPr>
        <w:t xml:space="preserve">he latter. </w:t>
      </w:r>
    </w:p>
    <w:p w:rsidR="007172F9" w:rsidRDefault="007172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uto"/>
        <w:rPr>
          <w:rFonts w:ascii="Calibri" w:hAnsi="Calibri"/>
        </w:rPr>
      </w:pPr>
    </w:p>
    <w:p w:rsidR="007172F9" w:rsidRDefault="006005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uto"/>
        <w:rPr>
          <w:rFonts w:ascii="Calibri" w:hAnsi="Calibri"/>
        </w:rPr>
      </w:pPr>
      <w:r>
        <w:rPr>
          <w:rFonts w:ascii="Calibri" w:hAnsi="Calibri"/>
        </w:rPr>
        <w:t>VII. Presidential Support</w:t>
      </w:r>
    </w:p>
    <w:p w:rsidR="007172F9" w:rsidRDefault="006005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uto"/>
        <w:rPr>
          <w:rFonts w:ascii="Calibri" w:hAnsi="Calibri"/>
        </w:rPr>
      </w:pPr>
      <w:r>
        <w:rPr>
          <w:rFonts w:ascii="Calibri" w:hAnsi="Calibri"/>
        </w:rPr>
        <w:t xml:space="preserve">The president's rising support of a diplomatic solution can be seen in the number of respective presidential initiatives (see Table I.). </w:t>
      </w:r>
    </w:p>
    <w:p w:rsidR="007172F9" w:rsidRDefault="006005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uto"/>
        <w:rPr>
          <w:rFonts w:ascii="Calibri" w:hAnsi="Calibri"/>
        </w:rPr>
      </w:pPr>
      <w:r>
        <w:rPr>
          <w:rFonts w:ascii="Calibri" w:hAnsi="Calibri"/>
          <w:i/>
        </w:rPr>
        <w:t>Pro-Sanctions Presidential Initiatives</w:t>
      </w:r>
      <w:r>
        <w:rPr>
          <w:rFonts w:ascii="Calibri" w:hAnsi="Calibri"/>
        </w:rPr>
        <w:t xml:space="preserve"> include Executive Orders sanctioning Iran or cyber sabotage on Iran's nuclear program using the Flame and Stuxnet malware. </w:t>
      </w:r>
      <w:r>
        <w:rPr>
          <w:rFonts w:ascii="Calibri" w:hAnsi="Calibri"/>
          <w:i/>
        </w:rPr>
        <w:t>Pro-Diplomacy Presidential Initiatives</w:t>
      </w:r>
      <w:r>
        <w:rPr>
          <w:rFonts w:ascii="Calibri" w:hAnsi="Calibri"/>
        </w:rPr>
        <w:t xml:space="preserve"> include milestones like first formal talks, the start of US engagement in the P5+1 talks, the</w:t>
      </w:r>
      <w:r>
        <w:rPr>
          <w:rFonts w:ascii="Calibri" w:hAnsi="Calibri"/>
        </w:rPr>
        <w:t xml:space="preserve"> revocation of Executive Orders, and measures promoting the Iran nuclear deal.</w:t>
      </w:r>
    </w:p>
    <w:p w:rsidR="007172F9" w:rsidRDefault="006005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uto"/>
        <w:rPr>
          <w:rFonts w:ascii="Calibri" w:hAnsi="Calibri"/>
        </w:rPr>
      </w:pPr>
      <w:r>
        <w:rPr>
          <w:rFonts w:ascii="Calibri" w:hAnsi="Calibri"/>
        </w:rPr>
        <w:lastRenderedPageBreak/>
        <w:t>The following incident underlines very clearly the failure of AIPAC. The Senators Robert Menendez (D-NJ), Mark Kirk (R-IL), and Chuck Schumer (D-NY) introduced a new sanctions r</w:t>
      </w:r>
      <w:r>
        <w:rPr>
          <w:rFonts w:ascii="Calibri" w:hAnsi="Calibri"/>
        </w:rPr>
        <w:t>esolution on December 20, 2013, just after the interim deal with Iran was reached. AIPAC pushed for the bill and for Democratic co-sponsors even though the bill openly confronted the president. The group expected that in view of the midterm elections Democ</w:t>
      </w:r>
      <w:r>
        <w:rPr>
          <w:rFonts w:ascii="Calibri" w:hAnsi="Calibri"/>
        </w:rPr>
        <w:t>rats would side with the Republicans and break with the, at that time, rather unpopular president (Bruck 2014, Samore 2013). “‘There are a lot of Democratic senators who are up for election this year,’ one Republican Senate staff member said. ‘I bet they w</w:t>
      </w:r>
      <w:r>
        <w:rPr>
          <w:rFonts w:ascii="Calibri" w:hAnsi="Calibri"/>
        </w:rPr>
        <w:t>ould vote against the White House if AIPAC pushed for a vote.’” (Lake 2014)</w:t>
      </w:r>
    </w:p>
    <w:p w:rsidR="007172F9" w:rsidRDefault="006005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uto"/>
        <w:rPr>
          <w:rFonts w:ascii="Calibri" w:hAnsi="Calibri"/>
        </w:rPr>
      </w:pPr>
      <w:r>
        <w:rPr>
          <w:rFonts w:ascii="Calibri" w:hAnsi="Calibri"/>
        </w:rPr>
        <w:t>The strong opposition of the administration against the bill, however, influenced the Democrats. A senior administration official underlined: “Members of Congress pressing for this</w:t>
      </w:r>
      <w:r>
        <w:rPr>
          <w:rFonts w:ascii="Calibri" w:hAnsi="Calibri"/>
        </w:rPr>
        <w:t xml:space="preserve"> bill are effectively choosing to close the door on diplomacy, making it far more likely that we'll be left only with a military option.” (Hersh and Grim 2013) A RJC representative and an employee of the Foreign Policy Initiative confirmed that the rhetori</w:t>
      </w:r>
      <w:r>
        <w:rPr>
          <w:rFonts w:ascii="Calibri" w:hAnsi="Calibri"/>
        </w:rPr>
        <w:t>c of the administration left war as the only alternative to a deal with Iran.</w:t>
      </w:r>
      <w:r>
        <w:rPr>
          <w:rStyle w:val="Funotenanker"/>
          <w:rFonts w:ascii="Calibri" w:hAnsi="Calibri"/>
        </w:rPr>
        <w:footnoteReference w:id="5"/>
      </w:r>
      <w:r>
        <w:rPr>
          <w:rFonts w:ascii="Calibri" w:hAnsi="Calibri"/>
        </w:rPr>
        <w:t xml:space="preserve"> “‘It was clear as day Democrats were going to give them the chance to do the negotiations [with Iran],’ one AIPAC official admitted.” (Rosen 2017) Confronted with the Democratic</w:t>
      </w:r>
      <w:r>
        <w:rPr>
          <w:rFonts w:ascii="Calibri" w:hAnsi="Calibri"/>
        </w:rPr>
        <w:t xml:space="preserve"> opposition AIPAC tried to call the vote off. What they did not expect was that Republican senators did not cease to push for the bill (Rogin 2014). The partisan divide supporting the administration's choice for a diplomatic solution was a blow to AIPAC, a</w:t>
      </w:r>
      <w:r>
        <w:rPr>
          <w:rFonts w:ascii="Calibri" w:hAnsi="Calibri"/>
        </w:rPr>
        <w:t>nd it certainly reduced its impact on the decision making process in regard to Iran. John Yarmuth, one of the Jewish members in support for the deal, said: “I think there is a growing sense among members that things are done just to placate AIPAC, and that</w:t>
      </w:r>
      <w:r>
        <w:rPr>
          <w:rFonts w:ascii="Calibri" w:hAnsi="Calibri"/>
        </w:rPr>
        <w:t xml:space="preserve"> AIPAC is not really working to advance what is in the interest of the United States. [...].” (Bruck 2014) The changed balance of power is described by Lara Friedman, a lobbyist for APN: “Clearly, the ground has shifted, dealing a huge defeat to AIPAC and </w:t>
      </w:r>
      <w:r>
        <w:rPr>
          <w:rFonts w:ascii="Calibri" w:hAnsi="Calibri"/>
        </w:rPr>
        <w:t>other groups who have been aggressively lobbying for [the new sanctions bill].” (Lobe 2014) In the end, the vote on the Kirk-Menendez bill was postponed and the Pro-Sanctions front turned silent.</w:t>
      </w:r>
    </w:p>
    <w:p w:rsidR="007172F9" w:rsidRDefault="007172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uto"/>
        <w:rPr>
          <w:rFonts w:ascii="Calibri" w:hAnsi="Calibri"/>
        </w:rPr>
      </w:pPr>
    </w:p>
    <w:p w:rsidR="007172F9" w:rsidRDefault="006005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uto"/>
        <w:rPr>
          <w:rFonts w:ascii="Calibri" w:hAnsi="Calibri"/>
        </w:rPr>
      </w:pPr>
      <w:r>
        <w:rPr>
          <w:rFonts w:ascii="Calibri" w:hAnsi="Calibri"/>
        </w:rPr>
        <w:t>VIII. Policy Windows</w:t>
      </w:r>
    </w:p>
    <w:p w:rsidR="007172F9" w:rsidRDefault="006005D8">
      <w:pPr>
        <w:pStyle w:val="ListParagraph"/>
        <w:spacing w:line="480" w:lineRule="auto"/>
        <w:ind w:left="0"/>
        <w:rPr>
          <w:rFonts w:ascii="Calibri" w:hAnsi="Calibri"/>
        </w:rPr>
      </w:pPr>
      <w:r>
        <w:rPr>
          <w:rFonts w:ascii="Calibri" w:hAnsi="Calibri"/>
        </w:rPr>
        <w:lastRenderedPageBreak/>
        <w:t>These policy windows are categorized i</w:t>
      </w:r>
      <w:r>
        <w:rPr>
          <w:rFonts w:ascii="Calibri" w:hAnsi="Calibri"/>
        </w:rPr>
        <w:t xml:space="preserve">nto measures directed by the Iranian regime or triggered by international involvement and set in relation to Pro-Sanctions or Pro-Diplomacy legislation of the respective Congress periods. </w:t>
      </w:r>
    </w:p>
    <w:p w:rsidR="007172F9" w:rsidRDefault="006005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uto"/>
        <w:rPr>
          <w:rFonts w:ascii="Calibri" w:hAnsi="Calibri"/>
        </w:rPr>
      </w:pPr>
      <w:r>
        <w:rPr>
          <w:rFonts w:ascii="Calibri" w:hAnsi="Calibri"/>
        </w:rPr>
        <w:t>The Pro-Sanctions Iranian Events include essential progress in Iran</w:t>
      </w:r>
      <w:r>
        <w:rPr>
          <w:rFonts w:ascii="Calibri" w:hAnsi="Calibri"/>
        </w:rPr>
        <w:t>'s nuclear program or discoveries of facilities or developments kept secret by the Iranian administration, missile tests and satellite launches, backing down from agreements as well as inner political changes such as the reelection of President Mahmoud Ahm</w:t>
      </w:r>
      <w:r>
        <w:rPr>
          <w:rFonts w:ascii="Calibri" w:hAnsi="Calibri"/>
        </w:rPr>
        <w:t>adinejad. Pro-Diplomacy Iranian Events include indications for the halt of Iran's nuclear program like agreements to international proposals, essential steps towards dialogue like the first official meeting with US officials and the first visit to Iran's u</w:t>
      </w:r>
      <w:r>
        <w:rPr>
          <w:rFonts w:ascii="Calibri" w:hAnsi="Calibri"/>
        </w:rPr>
        <w:t xml:space="preserve">nofficial embassy in the United States by Iranian officials as well as the election of President Hassan Rouhani. </w:t>
      </w:r>
      <w:r>
        <w:rPr>
          <w:rFonts w:ascii="Calibri" w:hAnsi="Calibri"/>
          <w:i/>
        </w:rPr>
        <w:t>Pro-Sanctions International Involvement</w:t>
      </w:r>
      <w:r>
        <w:rPr>
          <w:rFonts w:ascii="Calibri" w:hAnsi="Calibri"/>
        </w:rPr>
        <w:t xml:space="preserve"> includes UN resolutions, resolutions and reports by the International Atomic Energy Agency (IAEA). </w:t>
      </w:r>
      <w:r>
        <w:rPr>
          <w:rFonts w:ascii="Calibri" w:hAnsi="Calibri"/>
          <w:i/>
        </w:rPr>
        <w:t>Pro-</w:t>
      </w:r>
      <w:r>
        <w:rPr>
          <w:rFonts w:ascii="Calibri" w:hAnsi="Calibri"/>
          <w:i/>
        </w:rPr>
        <w:t>Diplomacy International Involvement</w:t>
      </w:r>
      <w:r>
        <w:rPr>
          <w:rFonts w:ascii="Calibri" w:hAnsi="Calibri"/>
        </w:rPr>
        <w:t xml:space="preserve"> includes UN resolutions in favor of the nuclear deal, P5+1 proposals, and IAEA work plans and reports. Only measures were taken into account that could be taken as milestones for either the Pro-Sanctions side or the Pro-</w:t>
      </w:r>
      <w:r>
        <w:rPr>
          <w:rFonts w:ascii="Calibri" w:hAnsi="Calibri"/>
        </w:rPr>
        <w:t xml:space="preserve">Diplomacy side. </w:t>
      </w:r>
    </w:p>
    <w:p w:rsidR="007172F9" w:rsidRDefault="006005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uto"/>
        <w:rPr>
          <w:rFonts w:ascii="Calibri" w:hAnsi="Calibri"/>
        </w:rPr>
      </w:pPr>
      <w:r>
        <w:rPr>
          <w:rFonts w:ascii="Calibri" w:hAnsi="Calibri"/>
        </w:rPr>
        <w:t>In addition, there were two occasions when the meddling of an outside state, or more directly by Israel's Prime Minister Benjamin Netanyahu, influenced the balance between the Pro-Sanctions and the Pro-Diplomacy side, as described in the a</w:t>
      </w:r>
      <w:r>
        <w:rPr>
          <w:rFonts w:ascii="Calibri" w:hAnsi="Calibri"/>
        </w:rPr>
        <w:t>nalysis.</w:t>
      </w:r>
    </w:p>
    <w:p w:rsidR="007172F9" w:rsidRDefault="006005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uto"/>
        <w:rPr>
          <w:rFonts w:ascii="Calibri" w:hAnsi="Calibri"/>
        </w:rPr>
      </w:pPr>
      <w:r>
        <w:rPr>
          <w:rFonts w:ascii="Calibri" w:hAnsi="Calibri"/>
        </w:rPr>
        <w:t>Table II. and Table III. present the events from the outside in comparison to the number of Pro-Diplomacy (Pro-D) and Pro-Sanctions (Pro-S) resolutions introduced, passed, passed as bills, and the dead ones.</w:t>
      </w:r>
      <w:r>
        <w:rPr>
          <w:rStyle w:val="Funotenanker"/>
          <w:rFonts w:ascii="Calibri" w:hAnsi="Calibri"/>
        </w:rPr>
        <w:footnoteReference w:id="6"/>
      </w:r>
      <w:r>
        <w:rPr>
          <w:rFonts w:ascii="Calibri" w:hAnsi="Calibri"/>
        </w:rPr>
        <w:t xml:space="preserve"> On the path towards the nuclear deal i</w:t>
      </w:r>
      <w:r>
        <w:rPr>
          <w:rFonts w:ascii="Calibri" w:hAnsi="Calibri"/>
        </w:rPr>
        <w:t xml:space="preserve">mportant policy windows created by the international context opened up opportunities for the Pro-Diplomacy groups and the Pro-Sanctions groups to push for their goals. </w:t>
      </w:r>
      <w:r>
        <w:br w:type="page"/>
      </w:r>
    </w:p>
    <w:p w:rsidR="007172F9" w:rsidRDefault="006005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Calibri" w:hAnsi="Calibri"/>
          <w:b/>
          <w:bCs/>
        </w:rPr>
      </w:pPr>
      <w:r>
        <w:rPr>
          <w:rFonts w:ascii="Calibri" w:hAnsi="Calibri"/>
          <w:b/>
          <w:bCs/>
          <w:sz w:val="24"/>
          <w:szCs w:val="24"/>
        </w:rPr>
        <w:lastRenderedPageBreak/>
        <w:t>List of Tables</w:t>
      </w:r>
    </w:p>
    <w:p w:rsidR="007172F9" w:rsidRDefault="007172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Calibri" w:hAnsi="Calibri"/>
        </w:rPr>
      </w:pPr>
    </w:p>
    <w:p w:rsidR="007172F9" w:rsidRDefault="006005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Calibri" w:hAnsi="Calibri"/>
        </w:rPr>
      </w:pPr>
      <w:r>
        <w:rPr>
          <w:rFonts w:ascii="Calibri" w:hAnsi="Calibri"/>
          <w:b/>
          <w:sz w:val="24"/>
          <w:szCs w:val="24"/>
        </w:rPr>
        <w:t xml:space="preserve">Table </w:t>
      </w:r>
      <w:r>
        <w:rPr>
          <w:rFonts w:ascii="Calibri" w:eastAsiaTheme="minorEastAsia" w:hAnsi="Calibri" w:cstheme="minorBidi"/>
          <w:b/>
          <w:sz w:val="24"/>
          <w:szCs w:val="24"/>
        </w:rPr>
        <w:t>I</w:t>
      </w:r>
      <w:r>
        <w:rPr>
          <w:rFonts w:ascii="Calibri" w:hAnsi="Calibri"/>
          <w:b/>
          <w:sz w:val="24"/>
          <w:szCs w:val="24"/>
        </w:rPr>
        <w:t xml:space="preserve">. Presidential Initiatives During the 110th-114th Congress </w:t>
      </w:r>
      <w:r>
        <w:rPr>
          <w:rFonts w:ascii="Calibri" w:hAnsi="Calibri"/>
          <w:b/>
          <w:sz w:val="24"/>
          <w:szCs w:val="24"/>
        </w:rPr>
        <w:t>Periods</w:t>
      </w:r>
    </w:p>
    <w:tbl>
      <w:tblPr>
        <w:tblW w:w="6062" w:type="dxa"/>
        <w:tblLook w:val="04A0" w:firstRow="1" w:lastRow="0" w:firstColumn="1" w:lastColumn="0" w:noHBand="0" w:noVBand="1"/>
      </w:tblPr>
      <w:tblGrid>
        <w:gridCol w:w="1807"/>
        <w:gridCol w:w="2129"/>
        <w:gridCol w:w="2126"/>
      </w:tblGrid>
      <w:tr w:rsidR="007172F9">
        <w:tc>
          <w:tcPr>
            <w:tcW w:w="1807" w:type="dxa"/>
            <w:tcBorders>
              <w:top w:val="single" w:sz="4" w:space="0" w:color="000000"/>
              <w:left w:val="single" w:sz="4" w:space="0" w:color="000000"/>
              <w:bottom w:val="single" w:sz="4" w:space="0" w:color="000000"/>
              <w:right w:val="single" w:sz="4" w:space="0" w:color="000000"/>
            </w:tcBorders>
            <w:vAlign w:val="bottom"/>
          </w:tcPr>
          <w:p w:rsidR="007172F9" w:rsidRDefault="006005D8">
            <w:pPr>
              <w:suppressAutoHyphens w:val="0"/>
              <w:spacing w:line="360" w:lineRule="auto"/>
              <w:rPr>
                <w:rFonts w:ascii="Calibri" w:hAnsi="Calibri"/>
              </w:rPr>
            </w:pPr>
            <w:r>
              <w:rPr>
                <w:rFonts w:ascii="Calibri" w:hAnsi="Calibri"/>
                <w:b/>
                <w:bCs/>
                <w:sz w:val="24"/>
                <w:szCs w:val="24"/>
              </w:rPr>
              <w:t>Congress Period</w:t>
            </w:r>
          </w:p>
        </w:tc>
        <w:tc>
          <w:tcPr>
            <w:tcW w:w="2129" w:type="dxa"/>
            <w:tcBorders>
              <w:top w:val="single" w:sz="4" w:space="0" w:color="000000"/>
              <w:left w:val="single" w:sz="4" w:space="0" w:color="000000"/>
              <w:bottom w:val="single" w:sz="4" w:space="0" w:color="000000"/>
              <w:right w:val="single" w:sz="4" w:space="0" w:color="000000"/>
            </w:tcBorders>
            <w:vAlign w:val="bottom"/>
          </w:tcPr>
          <w:p w:rsidR="007172F9" w:rsidRDefault="006005D8">
            <w:pPr>
              <w:suppressAutoHyphens w:val="0"/>
              <w:spacing w:line="360" w:lineRule="auto"/>
              <w:rPr>
                <w:rFonts w:ascii="Calibri" w:hAnsi="Calibri"/>
              </w:rPr>
            </w:pPr>
            <w:r>
              <w:rPr>
                <w:rFonts w:ascii="Calibri" w:hAnsi="Calibri"/>
                <w:b/>
                <w:bCs/>
                <w:sz w:val="24"/>
                <w:szCs w:val="24"/>
              </w:rPr>
              <w:t>Pro-Sanctions Presidential Initiative</w:t>
            </w:r>
          </w:p>
        </w:tc>
        <w:tc>
          <w:tcPr>
            <w:tcW w:w="2126" w:type="dxa"/>
            <w:tcBorders>
              <w:top w:val="single" w:sz="4" w:space="0" w:color="000000"/>
              <w:left w:val="single" w:sz="4" w:space="0" w:color="000000"/>
              <w:bottom w:val="single" w:sz="4" w:space="0" w:color="000000"/>
              <w:right w:val="single" w:sz="4" w:space="0" w:color="000000"/>
            </w:tcBorders>
            <w:vAlign w:val="bottom"/>
          </w:tcPr>
          <w:p w:rsidR="007172F9" w:rsidRDefault="006005D8">
            <w:pPr>
              <w:suppressAutoHyphens w:val="0"/>
              <w:spacing w:line="360" w:lineRule="auto"/>
              <w:rPr>
                <w:rFonts w:ascii="Calibri" w:hAnsi="Calibri"/>
              </w:rPr>
            </w:pPr>
            <w:r>
              <w:rPr>
                <w:rFonts w:ascii="Calibri" w:hAnsi="Calibri"/>
                <w:b/>
                <w:bCs/>
                <w:sz w:val="24"/>
                <w:szCs w:val="24"/>
              </w:rPr>
              <w:t>Pro-Diplomacy Presidential Initiative</w:t>
            </w:r>
          </w:p>
        </w:tc>
      </w:tr>
      <w:tr w:rsidR="007172F9">
        <w:tc>
          <w:tcPr>
            <w:tcW w:w="1807" w:type="dxa"/>
            <w:tcBorders>
              <w:top w:val="single" w:sz="4" w:space="0" w:color="000000"/>
              <w:left w:val="single" w:sz="4" w:space="0" w:color="000000"/>
              <w:bottom w:val="single" w:sz="4" w:space="0" w:color="000000"/>
              <w:right w:val="single" w:sz="4" w:space="0" w:color="000000"/>
            </w:tcBorders>
            <w:vAlign w:val="bottom"/>
          </w:tcPr>
          <w:p w:rsidR="007172F9" w:rsidRDefault="006005D8">
            <w:pPr>
              <w:suppressAutoHyphens w:val="0"/>
              <w:spacing w:line="360" w:lineRule="auto"/>
              <w:rPr>
                <w:rFonts w:ascii="Calibri" w:hAnsi="Calibri"/>
              </w:rPr>
            </w:pPr>
            <w:r>
              <w:rPr>
                <w:rFonts w:ascii="Calibri" w:hAnsi="Calibri"/>
                <w:sz w:val="24"/>
                <w:szCs w:val="24"/>
              </w:rPr>
              <w:t>110</w:t>
            </w:r>
          </w:p>
        </w:tc>
        <w:tc>
          <w:tcPr>
            <w:tcW w:w="2129" w:type="dxa"/>
            <w:tcBorders>
              <w:top w:val="single" w:sz="4" w:space="0" w:color="000000"/>
              <w:left w:val="single" w:sz="4" w:space="0" w:color="000000"/>
              <w:bottom w:val="single" w:sz="4" w:space="0" w:color="000000"/>
              <w:right w:val="single" w:sz="4" w:space="0" w:color="000000"/>
            </w:tcBorders>
            <w:vAlign w:val="bottom"/>
          </w:tcPr>
          <w:p w:rsidR="007172F9" w:rsidRDefault="006005D8">
            <w:pPr>
              <w:suppressAutoHyphens w:val="0"/>
              <w:spacing w:line="360" w:lineRule="auto"/>
              <w:rPr>
                <w:rFonts w:ascii="Calibri" w:hAnsi="Calibri"/>
              </w:rPr>
            </w:pPr>
            <w:r>
              <w:rPr>
                <w:rFonts w:ascii="Calibri" w:hAnsi="Calibri"/>
                <w:sz w:val="24"/>
                <w:szCs w:val="24"/>
              </w:rPr>
              <w:t>0</w:t>
            </w:r>
          </w:p>
        </w:tc>
        <w:tc>
          <w:tcPr>
            <w:tcW w:w="2126" w:type="dxa"/>
            <w:tcBorders>
              <w:top w:val="single" w:sz="4" w:space="0" w:color="000000"/>
              <w:left w:val="single" w:sz="4" w:space="0" w:color="000000"/>
              <w:bottom w:val="single" w:sz="4" w:space="0" w:color="000000"/>
              <w:right w:val="single" w:sz="4" w:space="0" w:color="000000"/>
            </w:tcBorders>
            <w:vAlign w:val="bottom"/>
          </w:tcPr>
          <w:p w:rsidR="007172F9" w:rsidRDefault="006005D8">
            <w:pPr>
              <w:suppressAutoHyphens w:val="0"/>
              <w:spacing w:line="360" w:lineRule="auto"/>
              <w:rPr>
                <w:rFonts w:ascii="Calibri" w:hAnsi="Calibri"/>
              </w:rPr>
            </w:pPr>
            <w:r>
              <w:rPr>
                <w:rFonts w:ascii="Calibri" w:hAnsi="Calibri"/>
                <w:sz w:val="24"/>
                <w:szCs w:val="24"/>
              </w:rPr>
              <w:t>1</w:t>
            </w:r>
          </w:p>
        </w:tc>
      </w:tr>
      <w:tr w:rsidR="007172F9">
        <w:tc>
          <w:tcPr>
            <w:tcW w:w="1807" w:type="dxa"/>
            <w:tcBorders>
              <w:top w:val="single" w:sz="4" w:space="0" w:color="000000"/>
              <w:left w:val="single" w:sz="4" w:space="0" w:color="000000"/>
              <w:bottom w:val="single" w:sz="4" w:space="0" w:color="000000"/>
              <w:right w:val="single" w:sz="4" w:space="0" w:color="000000"/>
            </w:tcBorders>
            <w:vAlign w:val="bottom"/>
          </w:tcPr>
          <w:p w:rsidR="007172F9" w:rsidRDefault="006005D8">
            <w:pPr>
              <w:suppressAutoHyphens w:val="0"/>
              <w:spacing w:line="360" w:lineRule="auto"/>
              <w:rPr>
                <w:rFonts w:ascii="Calibri" w:hAnsi="Calibri"/>
              </w:rPr>
            </w:pPr>
            <w:r>
              <w:rPr>
                <w:rFonts w:ascii="Calibri" w:hAnsi="Calibri"/>
                <w:sz w:val="24"/>
                <w:szCs w:val="24"/>
              </w:rPr>
              <w:t>111</w:t>
            </w:r>
          </w:p>
        </w:tc>
        <w:tc>
          <w:tcPr>
            <w:tcW w:w="2129" w:type="dxa"/>
            <w:tcBorders>
              <w:top w:val="single" w:sz="4" w:space="0" w:color="000000"/>
              <w:left w:val="single" w:sz="4" w:space="0" w:color="000000"/>
              <w:bottom w:val="single" w:sz="4" w:space="0" w:color="000000"/>
              <w:right w:val="single" w:sz="4" w:space="0" w:color="000000"/>
            </w:tcBorders>
            <w:vAlign w:val="bottom"/>
          </w:tcPr>
          <w:p w:rsidR="007172F9" w:rsidRDefault="006005D8">
            <w:pPr>
              <w:suppressAutoHyphens w:val="0"/>
              <w:spacing w:line="360" w:lineRule="auto"/>
              <w:rPr>
                <w:rFonts w:ascii="Calibri" w:hAnsi="Calibri"/>
              </w:rPr>
            </w:pPr>
            <w:r>
              <w:rPr>
                <w:rFonts w:ascii="Calibri" w:hAnsi="Calibri"/>
                <w:sz w:val="24"/>
                <w:szCs w:val="24"/>
              </w:rPr>
              <w:t>1</w:t>
            </w:r>
          </w:p>
        </w:tc>
        <w:tc>
          <w:tcPr>
            <w:tcW w:w="2126" w:type="dxa"/>
            <w:tcBorders>
              <w:top w:val="single" w:sz="4" w:space="0" w:color="000000"/>
              <w:left w:val="single" w:sz="4" w:space="0" w:color="000000"/>
              <w:bottom w:val="single" w:sz="4" w:space="0" w:color="000000"/>
              <w:right w:val="single" w:sz="4" w:space="0" w:color="000000"/>
            </w:tcBorders>
            <w:vAlign w:val="bottom"/>
          </w:tcPr>
          <w:p w:rsidR="007172F9" w:rsidRDefault="006005D8">
            <w:pPr>
              <w:suppressAutoHyphens w:val="0"/>
              <w:spacing w:line="360" w:lineRule="auto"/>
              <w:rPr>
                <w:rFonts w:ascii="Calibri" w:hAnsi="Calibri"/>
              </w:rPr>
            </w:pPr>
            <w:r>
              <w:rPr>
                <w:rFonts w:ascii="Calibri" w:hAnsi="Calibri"/>
                <w:sz w:val="24"/>
                <w:szCs w:val="24"/>
              </w:rPr>
              <w:t>1</w:t>
            </w:r>
          </w:p>
        </w:tc>
      </w:tr>
      <w:tr w:rsidR="007172F9">
        <w:tc>
          <w:tcPr>
            <w:tcW w:w="1807" w:type="dxa"/>
            <w:tcBorders>
              <w:top w:val="single" w:sz="4" w:space="0" w:color="000000"/>
              <w:left w:val="single" w:sz="4" w:space="0" w:color="000000"/>
              <w:bottom w:val="single" w:sz="4" w:space="0" w:color="000000"/>
              <w:right w:val="single" w:sz="4" w:space="0" w:color="000000"/>
            </w:tcBorders>
            <w:vAlign w:val="bottom"/>
          </w:tcPr>
          <w:p w:rsidR="007172F9" w:rsidRDefault="006005D8">
            <w:pPr>
              <w:suppressAutoHyphens w:val="0"/>
              <w:spacing w:line="360" w:lineRule="auto"/>
              <w:rPr>
                <w:rFonts w:ascii="Calibri" w:hAnsi="Calibri"/>
              </w:rPr>
            </w:pPr>
            <w:r>
              <w:rPr>
                <w:rFonts w:ascii="Calibri" w:hAnsi="Calibri"/>
                <w:sz w:val="24"/>
                <w:szCs w:val="24"/>
              </w:rPr>
              <w:t>112</w:t>
            </w:r>
          </w:p>
        </w:tc>
        <w:tc>
          <w:tcPr>
            <w:tcW w:w="2129" w:type="dxa"/>
            <w:tcBorders>
              <w:top w:val="single" w:sz="4" w:space="0" w:color="000000"/>
              <w:left w:val="single" w:sz="4" w:space="0" w:color="000000"/>
              <w:bottom w:val="single" w:sz="4" w:space="0" w:color="000000"/>
              <w:right w:val="single" w:sz="4" w:space="0" w:color="000000"/>
            </w:tcBorders>
            <w:vAlign w:val="bottom"/>
          </w:tcPr>
          <w:p w:rsidR="007172F9" w:rsidRDefault="006005D8">
            <w:pPr>
              <w:suppressAutoHyphens w:val="0"/>
              <w:spacing w:line="360" w:lineRule="auto"/>
              <w:rPr>
                <w:rFonts w:ascii="Calibri" w:hAnsi="Calibri"/>
              </w:rPr>
            </w:pPr>
            <w:r>
              <w:rPr>
                <w:rFonts w:ascii="Calibri" w:hAnsi="Calibri"/>
                <w:sz w:val="24"/>
                <w:szCs w:val="24"/>
              </w:rPr>
              <w:t>7</w:t>
            </w:r>
          </w:p>
        </w:tc>
        <w:tc>
          <w:tcPr>
            <w:tcW w:w="2126" w:type="dxa"/>
            <w:tcBorders>
              <w:top w:val="single" w:sz="4" w:space="0" w:color="000000"/>
              <w:left w:val="single" w:sz="4" w:space="0" w:color="000000"/>
              <w:bottom w:val="single" w:sz="4" w:space="0" w:color="000000"/>
              <w:right w:val="single" w:sz="4" w:space="0" w:color="000000"/>
            </w:tcBorders>
            <w:vAlign w:val="bottom"/>
          </w:tcPr>
          <w:p w:rsidR="007172F9" w:rsidRDefault="006005D8">
            <w:pPr>
              <w:suppressAutoHyphens w:val="0"/>
              <w:spacing w:line="360" w:lineRule="auto"/>
              <w:rPr>
                <w:rFonts w:ascii="Calibri" w:hAnsi="Calibri"/>
              </w:rPr>
            </w:pPr>
            <w:r>
              <w:rPr>
                <w:rFonts w:ascii="Calibri" w:hAnsi="Calibri"/>
                <w:sz w:val="24"/>
                <w:szCs w:val="24"/>
              </w:rPr>
              <w:t>0</w:t>
            </w:r>
          </w:p>
        </w:tc>
      </w:tr>
      <w:tr w:rsidR="007172F9">
        <w:tc>
          <w:tcPr>
            <w:tcW w:w="1807" w:type="dxa"/>
            <w:tcBorders>
              <w:top w:val="single" w:sz="4" w:space="0" w:color="000000"/>
              <w:left w:val="single" w:sz="4" w:space="0" w:color="000000"/>
              <w:bottom w:val="single" w:sz="4" w:space="0" w:color="000000"/>
              <w:right w:val="single" w:sz="4" w:space="0" w:color="000000"/>
            </w:tcBorders>
            <w:vAlign w:val="bottom"/>
          </w:tcPr>
          <w:p w:rsidR="007172F9" w:rsidRDefault="006005D8">
            <w:pPr>
              <w:suppressAutoHyphens w:val="0"/>
              <w:spacing w:line="360" w:lineRule="auto"/>
              <w:rPr>
                <w:rFonts w:ascii="Calibri" w:hAnsi="Calibri"/>
              </w:rPr>
            </w:pPr>
            <w:r>
              <w:rPr>
                <w:rFonts w:ascii="Calibri" w:hAnsi="Calibri"/>
                <w:sz w:val="24"/>
                <w:szCs w:val="24"/>
              </w:rPr>
              <w:t>113</w:t>
            </w:r>
          </w:p>
        </w:tc>
        <w:tc>
          <w:tcPr>
            <w:tcW w:w="2129" w:type="dxa"/>
            <w:tcBorders>
              <w:top w:val="single" w:sz="4" w:space="0" w:color="000000"/>
              <w:left w:val="single" w:sz="4" w:space="0" w:color="000000"/>
              <w:bottom w:val="single" w:sz="4" w:space="0" w:color="000000"/>
              <w:right w:val="single" w:sz="4" w:space="0" w:color="000000"/>
            </w:tcBorders>
            <w:vAlign w:val="bottom"/>
          </w:tcPr>
          <w:p w:rsidR="007172F9" w:rsidRDefault="006005D8">
            <w:pPr>
              <w:suppressAutoHyphens w:val="0"/>
              <w:spacing w:line="360" w:lineRule="auto"/>
              <w:rPr>
                <w:rFonts w:ascii="Calibri" w:hAnsi="Calibri"/>
              </w:rPr>
            </w:pPr>
            <w:r>
              <w:rPr>
                <w:rFonts w:ascii="Calibri" w:hAnsi="Calibri"/>
                <w:sz w:val="24"/>
                <w:szCs w:val="24"/>
              </w:rPr>
              <w:t>3</w:t>
            </w:r>
          </w:p>
        </w:tc>
        <w:tc>
          <w:tcPr>
            <w:tcW w:w="2126" w:type="dxa"/>
            <w:tcBorders>
              <w:top w:val="single" w:sz="4" w:space="0" w:color="000000"/>
              <w:left w:val="single" w:sz="4" w:space="0" w:color="000000"/>
              <w:bottom w:val="single" w:sz="4" w:space="0" w:color="000000"/>
              <w:right w:val="single" w:sz="4" w:space="0" w:color="000000"/>
            </w:tcBorders>
            <w:vAlign w:val="bottom"/>
          </w:tcPr>
          <w:p w:rsidR="007172F9" w:rsidRDefault="006005D8">
            <w:pPr>
              <w:suppressAutoHyphens w:val="0"/>
              <w:spacing w:line="360" w:lineRule="auto"/>
              <w:rPr>
                <w:rFonts w:ascii="Calibri" w:hAnsi="Calibri"/>
              </w:rPr>
            </w:pPr>
            <w:r>
              <w:rPr>
                <w:rFonts w:ascii="Calibri" w:hAnsi="Calibri"/>
                <w:sz w:val="24"/>
                <w:szCs w:val="24"/>
              </w:rPr>
              <w:t>7</w:t>
            </w:r>
          </w:p>
        </w:tc>
      </w:tr>
      <w:tr w:rsidR="007172F9">
        <w:tc>
          <w:tcPr>
            <w:tcW w:w="1807" w:type="dxa"/>
            <w:tcBorders>
              <w:top w:val="single" w:sz="4" w:space="0" w:color="000000"/>
              <w:left w:val="single" w:sz="4" w:space="0" w:color="000000"/>
              <w:bottom w:val="single" w:sz="4" w:space="0" w:color="000000"/>
              <w:right w:val="single" w:sz="4" w:space="0" w:color="000000"/>
            </w:tcBorders>
            <w:vAlign w:val="bottom"/>
          </w:tcPr>
          <w:p w:rsidR="007172F9" w:rsidRDefault="006005D8">
            <w:pPr>
              <w:suppressAutoHyphens w:val="0"/>
              <w:spacing w:line="360" w:lineRule="auto"/>
              <w:rPr>
                <w:rFonts w:ascii="Calibri" w:hAnsi="Calibri"/>
              </w:rPr>
            </w:pPr>
            <w:r>
              <w:rPr>
                <w:rFonts w:ascii="Calibri" w:hAnsi="Calibri"/>
                <w:sz w:val="24"/>
                <w:szCs w:val="24"/>
              </w:rPr>
              <w:t>114</w:t>
            </w:r>
          </w:p>
        </w:tc>
        <w:tc>
          <w:tcPr>
            <w:tcW w:w="2129" w:type="dxa"/>
            <w:tcBorders>
              <w:top w:val="single" w:sz="4" w:space="0" w:color="000000"/>
              <w:left w:val="single" w:sz="4" w:space="0" w:color="000000"/>
              <w:bottom w:val="single" w:sz="4" w:space="0" w:color="000000"/>
              <w:right w:val="single" w:sz="4" w:space="0" w:color="000000"/>
            </w:tcBorders>
            <w:vAlign w:val="bottom"/>
          </w:tcPr>
          <w:p w:rsidR="007172F9" w:rsidRDefault="006005D8">
            <w:pPr>
              <w:suppressAutoHyphens w:val="0"/>
              <w:spacing w:line="360" w:lineRule="auto"/>
              <w:rPr>
                <w:rFonts w:ascii="Calibri" w:hAnsi="Calibri"/>
              </w:rPr>
            </w:pPr>
            <w:r>
              <w:rPr>
                <w:rFonts w:ascii="Calibri" w:hAnsi="Calibri"/>
                <w:sz w:val="24"/>
                <w:szCs w:val="24"/>
              </w:rPr>
              <w:t>0</w:t>
            </w:r>
          </w:p>
        </w:tc>
        <w:tc>
          <w:tcPr>
            <w:tcW w:w="2126" w:type="dxa"/>
            <w:tcBorders>
              <w:top w:val="single" w:sz="4" w:space="0" w:color="000000"/>
              <w:left w:val="single" w:sz="4" w:space="0" w:color="000000"/>
              <w:bottom w:val="single" w:sz="4" w:space="0" w:color="000000"/>
              <w:right w:val="single" w:sz="4" w:space="0" w:color="000000"/>
            </w:tcBorders>
            <w:vAlign w:val="bottom"/>
          </w:tcPr>
          <w:p w:rsidR="007172F9" w:rsidRDefault="006005D8">
            <w:pPr>
              <w:suppressAutoHyphens w:val="0"/>
              <w:spacing w:line="360" w:lineRule="auto"/>
              <w:rPr>
                <w:rFonts w:ascii="Calibri" w:hAnsi="Calibri"/>
              </w:rPr>
            </w:pPr>
            <w:r>
              <w:rPr>
                <w:rFonts w:ascii="Calibri" w:hAnsi="Calibri"/>
                <w:sz w:val="24"/>
                <w:szCs w:val="24"/>
              </w:rPr>
              <w:t>1</w:t>
            </w:r>
          </w:p>
        </w:tc>
      </w:tr>
    </w:tbl>
    <w:p w:rsidR="007172F9" w:rsidRDefault="006005D8">
      <w:pPr>
        <w:spacing w:line="360" w:lineRule="auto"/>
        <w:rPr>
          <w:rFonts w:ascii="Calibri" w:hAnsi="Calibri"/>
          <w:sz w:val="24"/>
          <w:szCs w:val="24"/>
        </w:rPr>
      </w:pPr>
      <w:r>
        <w:br w:type="page"/>
      </w:r>
    </w:p>
    <w:p w:rsidR="007172F9" w:rsidRDefault="006005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Calibri" w:hAnsi="Calibri"/>
        </w:rPr>
      </w:pPr>
      <w:r>
        <w:rPr>
          <w:rFonts w:ascii="Calibri" w:hAnsi="Calibri"/>
          <w:b/>
          <w:sz w:val="24"/>
          <w:szCs w:val="24"/>
        </w:rPr>
        <w:lastRenderedPageBreak/>
        <w:t xml:space="preserve">Table </w:t>
      </w:r>
      <w:r>
        <w:rPr>
          <w:rFonts w:ascii="Calibri" w:eastAsiaTheme="minorEastAsia" w:hAnsi="Calibri" w:cstheme="minorBidi"/>
          <w:b/>
          <w:sz w:val="24"/>
          <w:szCs w:val="24"/>
        </w:rPr>
        <w:t>I</w:t>
      </w:r>
      <w:r>
        <w:rPr>
          <w:rFonts w:ascii="Calibri" w:hAnsi="Calibri"/>
          <w:b/>
          <w:sz w:val="24"/>
          <w:szCs w:val="24"/>
        </w:rPr>
        <w:t xml:space="preserve">I. Number of Pro-Sanctions and Pro-Diplomacy Initiatives by Iran and the International Community </w:t>
      </w:r>
      <w:r>
        <w:rPr>
          <w:rFonts w:ascii="Calibri" w:hAnsi="Calibri"/>
          <w:b/>
          <w:sz w:val="24"/>
          <w:szCs w:val="24"/>
        </w:rPr>
        <w:t>Between the 110th-114th Congress Periods</w:t>
      </w:r>
    </w:p>
    <w:tbl>
      <w:tblPr>
        <w:tblW w:w="9210" w:type="dxa"/>
        <w:tblLook w:val="04A0" w:firstRow="1" w:lastRow="0" w:firstColumn="1" w:lastColumn="0" w:noHBand="0" w:noVBand="1"/>
      </w:tblPr>
      <w:tblGrid>
        <w:gridCol w:w="1842"/>
        <w:gridCol w:w="1842"/>
        <w:gridCol w:w="1842"/>
        <w:gridCol w:w="1842"/>
        <w:gridCol w:w="1842"/>
      </w:tblGrid>
      <w:tr w:rsidR="007172F9">
        <w:tc>
          <w:tcPr>
            <w:tcW w:w="1842" w:type="dxa"/>
            <w:tcBorders>
              <w:top w:val="single" w:sz="4" w:space="0" w:color="000000"/>
              <w:left w:val="single" w:sz="4" w:space="0" w:color="000000"/>
              <w:bottom w:val="single" w:sz="4" w:space="0" w:color="000000"/>
              <w:right w:val="single" w:sz="4" w:space="0" w:color="000000"/>
            </w:tcBorders>
            <w:vAlign w:val="bottom"/>
          </w:tcPr>
          <w:p w:rsidR="007172F9" w:rsidRDefault="006005D8">
            <w:pPr>
              <w:suppressAutoHyphens w:val="0"/>
              <w:spacing w:line="360" w:lineRule="auto"/>
              <w:rPr>
                <w:rFonts w:ascii="Calibri" w:hAnsi="Calibri"/>
              </w:rPr>
            </w:pPr>
            <w:r>
              <w:rPr>
                <w:rFonts w:ascii="Calibri" w:hAnsi="Calibri"/>
                <w:b/>
                <w:bCs/>
                <w:sz w:val="24"/>
                <w:szCs w:val="24"/>
              </w:rPr>
              <w:t>Congress Period</w:t>
            </w:r>
          </w:p>
        </w:tc>
        <w:tc>
          <w:tcPr>
            <w:tcW w:w="1842" w:type="dxa"/>
            <w:tcBorders>
              <w:top w:val="single" w:sz="4" w:space="0" w:color="000000"/>
              <w:left w:val="single" w:sz="4" w:space="0" w:color="000000"/>
              <w:bottom w:val="single" w:sz="4" w:space="0" w:color="000000"/>
              <w:right w:val="single" w:sz="4" w:space="0" w:color="000000"/>
            </w:tcBorders>
            <w:vAlign w:val="bottom"/>
          </w:tcPr>
          <w:p w:rsidR="007172F9" w:rsidRDefault="006005D8">
            <w:pPr>
              <w:suppressAutoHyphens w:val="0"/>
              <w:spacing w:line="360" w:lineRule="auto"/>
              <w:rPr>
                <w:rFonts w:ascii="Calibri" w:hAnsi="Calibri"/>
              </w:rPr>
            </w:pPr>
            <w:r>
              <w:rPr>
                <w:rFonts w:ascii="Calibri" w:hAnsi="Calibri"/>
                <w:b/>
                <w:bCs/>
                <w:sz w:val="24"/>
                <w:szCs w:val="24"/>
              </w:rPr>
              <w:t>Pro-S Iranian Event</w:t>
            </w:r>
          </w:p>
        </w:tc>
        <w:tc>
          <w:tcPr>
            <w:tcW w:w="1842" w:type="dxa"/>
            <w:tcBorders>
              <w:top w:val="single" w:sz="4" w:space="0" w:color="000000"/>
              <w:left w:val="single" w:sz="4" w:space="0" w:color="000000"/>
              <w:bottom w:val="single" w:sz="4" w:space="0" w:color="000000"/>
              <w:right w:val="single" w:sz="4" w:space="0" w:color="000000"/>
            </w:tcBorders>
            <w:vAlign w:val="bottom"/>
          </w:tcPr>
          <w:p w:rsidR="007172F9" w:rsidRDefault="006005D8">
            <w:pPr>
              <w:suppressAutoHyphens w:val="0"/>
              <w:spacing w:line="360" w:lineRule="auto"/>
              <w:rPr>
                <w:rFonts w:ascii="Calibri" w:hAnsi="Calibri"/>
              </w:rPr>
            </w:pPr>
            <w:r>
              <w:rPr>
                <w:rFonts w:ascii="Calibri" w:hAnsi="Calibri"/>
                <w:b/>
                <w:bCs/>
                <w:sz w:val="24"/>
                <w:szCs w:val="24"/>
              </w:rPr>
              <w:t>Pro-D Iranian Event</w:t>
            </w:r>
          </w:p>
        </w:tc>
        <w:tc>
          <w:tcPr>
            <w:tcW w:w="1842" w:type="dxa"/>
            <w:tcBorders>
              <w:top w:val="single" w:sz="4" w:space="0" w:color="000000"/>
              <w:left w:val="single" w:sz="4" w:space="0" w:color="000000"/>
              <w:bottom w:val="single" w:sz="4" w:space="0" w:color="000000"/>
              <w:right w:val="single" w:sz="4" w:space="0" w:color="000000"/>
            </w:tcBorders>
            <w:vAlign w:val="bottom"/>
          </w:tcPr>
          <w:p w:rsidR="007172F9" w:rsidRDefault="006005D8">
            <w:pPr>
              <w:suppressAutoHyphens w:val="0"/>
              <w:spacing w:line="360" w:lineRule="auto"/>
              <w:rPr>
                <w:rFonts w:ascii="Calibri" w:hAnsi="Calibri"/>
              </w:rPr>
            </w:pPr>
            <w:r>
              <w:rPr>
                <w:rFonts w:ascii="Calibri" w:hAnsi="Calibri"/>
                <w:b/>
                <w:bCs/>
                <w:sz w:val="24"/>
                <w:szCs w:val="24"/>
              </w:rPr>
              <w:t>Pro-S Int. Involvement (+UN)</w:t>
            </w:r>
          </w:p>
        </w:tc>
        <w:tc>
          <w:tcPr>
            <w:tcW w:w="1842" w:type="dxa"/>
            <w:tcBorders>
              <w:top w:val="single" w:sz="4" w:space="0" w:color="000000"/>
              <w:left w:val="single" w:sz="4" w:space="0" w:color="000000"/>
              <w:bottom w:val="single" w:sz="4" w:space="0" w:color="000000"/>
              <w:right w:val="single" w:sz="4" w:space="0" w:color="000000"/>
            </w:tcBorders>
            <w:vAlign w:val="bottom"/>
          </w:tcPr>
          <w:p w:rsidR="007172F9" w:rsidRDefault="006005D8">
            <w:pPr>
              <w:suppressAutoHyphens w:val="0"/>
              <w:spacing w:line="360" w:lineRule="auto"/>
              <w:rPr>
                <w:rFonts w:ascii="Calibri" w:hAnsi="Calibri"/>
              </w:rPr>
            </w:pPr>
            <w:r>
              <w:rPr>
                <w:rFonts w:ascii="Calibri" w:hAnsi="Calibri"/>
                <w:b/>
                <w:bCs/>
                <w:sz w:val="24"/>
                <w:szCs w:val="24"/>
              </w:rPr>
              <w:t>Pro-D Int. Involvement (+UN)</w:t>
            </w:r>
          </w:p>
        </w:tc>
      </w:tr>
      <w:tr w:rsidR="007172F9">
        <w:tc>
          <w:tcPr>
            <w:tcW w:w="1842" w:type="dxa"/>
            <w:tcBorders>
              <w:top w:val="single" w:sz="4" w:space="0" w:color="000000"/>
              <w:left w:val="single" w:sz="4" w:space="0" w:color="000000"/>
              <w:bottom w:val="single" w:sz="4" w:space="0" w:color="000000"/>
              <w:right w:val="single" w:sz="4" w:space="0" w:color="000000"/>
            </w:tcBorders>
            <w:vAlign w:val="bottom"/>
          </w:tcPr>
          <w:p w:rsidR="007172F9" w:rsidRDefault="006005D8">
            <w:pPr>
              <w:suppressAutoHyphens w:val="0"/>
              <w:spacing w:line="360" w:lineRule="auto"/>
              <w:rPr>
                <w:rFonts w:ascii="Calibri" w:hAnsi="Calibri"/>
              </w:rPr>
            </w:pPr>
            <w:r>
              <w:rPr>
                <w:rFonts w:ascii="Calibri" w:hAnsi="Calibri"/>
                <w:sz w:val="24"/>
                <w:szCs w:val="24"/>
              </w:rPr>
              <w:t>110</w:t>
            </w:r>
          </w:p>
        </w:tc>
        <w:tc>
          <w:tcPr>
            <w:tcW w:w="1842" w:type="dxa"/>
            <w:tcBorders>
              <w:top w:val="single" w:sz="4" w:space="0" w:color="000000"/>
              <w:left w:val="single" w:sz="4" w:space="0" w:color="000000"/>
              <w:bottom w:val="single" w:sz="4" w:space="0" w:color="000000"/>
              <w:right w:val="single" w:sz="4" w:space="0" w:color="000000"/>
            </w:tcBorders>
            <w:vAlign w:val="bottom"/>
          </w:tcPr>
          <w:p w:rsidR="007172F9" w:rsidRDefault="006005D8">
            <w:pPr>
              <w:suppressAutoHyphens w:val="0"/>
              <w:spacing w:line="360" w:lineRule="auto"/>
              <w:rPr>
                <w:rFonts w:ascii="Calibri" w:hAnsi="Calibri"/>
              </w:rPr>
            </w:pPr>
            <w:r>
              <w:rPr>
                <w:rFonts w:ascii="Calibri" w:hAnsi="Calibri"/>
                <w:sz w:val="24"/>
                <w:szCs w:val="24"/>
              </w:rPr>
              <w:t>1</w:t>
            </w:r>
          </w:p>
        </w:tc>
        <w:tc>
          <w:tcPr>
            <w:tcW w:w="1842" w:type="dxa"/>
            <w:tcBorders>
              <w:top w:val="single" w:sz="4" w:space="0" w:color="000000"/>
              <w:left w:val="single" w:sz="4" w:space="0" w:color="000000"/>
              <w:bottom w:val="single" w:sz="4" w:space="0" w:color="000000"/>
              <w:right w:val="single" w:sz="4" w:space="0" w:color="000000"/>
            </w:tcBorders>
            <w:vAlign w:val="bottom"/>
          </w:tcPr>
          <w:p w:rsidR="007172F9" w:rsidRDefault="006005D8">
            <w:pPr>
              <w:suppressAutoHyphens w:val="0"/>
              <w:spacing w:line="360" w:lineRule="auto"/>
              <w:rPr>
                <w:rFonts w:ascii="Calibri" w:hAnsi="Calibri"/>
              </w:rPr>
            </w:pPr>
            <w:r>
              <w:rPr>
                <w:rFonts w:ascii="Calibri" w:hAnsi="Calibri"/>
                <w:sz w:val="24"/>
                <w:szCs w:val="24"/>
              </w:rPr>
              <w:t>0</w:t>
            </w:r>
          </w:p>
        </w:tc>
        <w:tc>
          <w:tcPr>
            <w:tcW w:w="1842" w:type="dxa"/>
            <w:tcBorders>
              <w:top w:val="single" w:sz="4" w:space="0" w:color="000000"/>
              <w:left w:val="single" w:sz="4" w:space="0" w:color="000000"/>
              <w:bottom w:val="single" w:sz="4" w:space="0" w:color="000000"/>
              <w:right w:val="single" w:sz="4" w:space="0" w:color="000000"/>
            </w:tcBorders>
            <w:vAlign w:val="bottom"/>
          </w:tcPr>
          <w:p w:rsidR="007172F9" w:rsidRDefault="006005D8">
            <w:pPr>
              <w:suppressAutoHyphens w:val="0"/>
              <w:spacing w:line="360" w:lineRule="auto"/>
              <w:rPr>
                <w:rFonts w:ascii="Calibri" w:hAnsi="Calibri"/>
              </w:rPr>
            </w:pPr>
            <w:r>
              <w:rPr>
                <w:rFonts w:ascii="Calibri" w:hAnsi="Calibri"/>
                <w:sz w:val="24"/>
                <w:szCs w:val="24"/>
              </w:rPr>
              <w:t>5</w:t>
            </w:r>
          </w:p>
        </w:tc>
        <w:tc>
          <w:tcPr>
            <w:tcW w:w="1842" w:type="dxa"/>
            <w:tcBorders>
              <w:top w:val="single" w:sz="4" w:space="0" w:color="000000"/>
              <w:left w:val="single" w:sz="4" w:space="0" w:color="000000"/>
              <w:bottom w:val="single" w:sz="4" w:space="0" w:color="000000"/>
              <w:right w:val="single" w:sz="4" w:space="0" w:color="000000"/>
            </w:tcBorders>
            <w:vAlign w:val="bottom"/>
          </w:tcPr>
          <w:p w:rsidR="007172F9" w:rsidRDefault="006005D8">
            <w:pPr>
              <w:suppressAutoHyphens w:val="0"/>
              <w:spacing w:line="360" w:lineRule="auto"/>
              <w:rPr>
                <w:rFonts w:ascii="Calibri" w:hAnsi="Calibri"/>
              </w:rPr>
            </w:pPr>
            <w:r>
              <w:rPr>
                <w:rFonts w:ascii="Calibri" w:hAnsi="Calibri"/>
                <w:sz w:val="24"/>
                <w:szCs w:val="24"/>
              </w:rPr>
              <w:t>3</w:t>
            </w:r>
          </w:p>
        </w:tc>
      </w:tr>
      <w:tr w:rsidR="007172F9">
        <w:tc>
          <w:tcPr>
            <w:tcW w:w="1842" w:type="dxa"/>
            <w:tcBorders>
              <w:top w:val="single" w:sz="4" w:space="0" w:color="000000"/>
              <w:left w:val="single" w:sz="4" w:space="0" w:color="000000"/>
              <w:bottom w:val="single" w:sz="4" w:space="0" w:color="000000"/>
              <w:right w:val="single" w:sz="4" w:space="0" w:color="000000"/>
            </w:tcBorders>
            <w:vAlign w:val="bottom"/>
          </w:tcPr>
          <w:p w:rsidR="007172F9" w:rsidRDefault="006005D8">
            <w:pPr>
              <w:suppressAutoHyphens w:val="0"/>
              <w:spacing w:line="360" w:lineRule="auto"/>
              <w:rPr>
                <w:rFonts w:ascii="Calibri" w:hAnsi="Calibri"/>
              </w:rPr>
            </w:pPr>
            <w:r>
              <w:rPr>
                <w:rFonts w:ascii="Calibri" w:hAnsi="Calibri"/>
                <w:sz w:val="24"/>
                <w:szCs w:val="24"/>
              </w:rPr>
              <w:t>111</w:t>
            </w:r>
          </w:p>
        </w:tc>
        <w:tc>
          <w:tcPr>
            <w:tcW w:w="1842" w:type="dxa"/>
            <w:tcBorders>
              <w:top w:val="single" w:sz="4" w:space="0" w:color="000000"/>
              <w:left w:val="single" w:sz="4" w:space="0" w:color="000000"/>
              <w:bottom w:val="single" w:sz="4" w:space="0" w:color="000000"/>
              <w:right w:val="single" w:sz="4" w:space="0" w:color="000000"/>
            </w:tcBorders>
            <w:vAlign w:val="bottom"/>
          </w:tcPr>
          <w:p w:rsidR="007172F9" w:rsidRDefault="006005D8">
            <w:pPr>
              <w:suppressAutoHyphens w:val="0"/>
              <w:spacing w:line="360" w:lineRule="auto"/>
              <w:rPr>
                <w:rFonts w:ascii="Calibri" w:hAnsi="Calibri"/>
              </w:rPr>
            </w:pPr>
            <w:r>
              <w:rPr>
                <w:rFonts w:ascii="Calibri" w:hAnsi="Calibri"/>
                <w:sz w:val="24"/>
                <w:szCs w:val="24"/>
              </w:rPr>
              <w:t>8</w:t>
            </w:r>
          </w:p>
        </w:tc>
        <w:tc>
          <w:tcPr>
            <w:tcW w:w="1842" w:type="dxa"/>
            <w:tcBorders>
              <w:top w:val="single" w:sz="4" w:space="0" w:color="000000"/>
              <w:left w:val="single" w:sz="4" w:space="0" w:color="000000"/>
              <w:bottom w:val="single" w:sz="4" w:space="0" w:color="000000"/>
              <w:right w:val="single" w:sz="4" w:space="0" w:color="000000"/>
            </w:tcBorders>
            <w:vAlign w:val="bottom"/>
          </w:tcPr>
          <w:p w:rsidR="007172F9" w:rsidRDefault="006005D8">
            <w:pPr>
              <w:suppressAutoHyphens w:val="0"/>
              <w:spacing w:line="360" w:lineRule="auto"/>
              <w:rPr>
                <w:rFonts w:ascii="Calibri" w:hAnsi="Calibri"/>
              </w:rPr>
            </w:pPr>
            <w:r>
              <w:rPr>
                <w:rFonts w:ascii="Calibri" w:hAnsi="Calibri"/>
                <w:sz w:val="24"/>
                <w:szCs w:val="24"/>
              </w:rPr>
              <w:t>1</w:t>
            </w:r>
          </w:p>
        </w:tc>
        <w:tc>
          <w:tcPr>
            <w:tcW w:w="1842" w:type="dxa"/>
            <w:tcBorders>
              <w:top w:val="single" w:sz="4" w:space="0" w:color="000000"/>
              <w:left w:val="single" w:sz="4" w:space="0" w:color="000000"/>
              <w:bottom w:val="single" w:sz="4" w:space="0" w:color="000000"/>
              <w:right w:val="single" w:sz="4" w:space="0" w:color="000000"/>
            </w:tcBorders>
            <w:vAlign w:val="bottom"/>
          </w:tcPr>
          <w:p w:rsidR="007172F9" w:rsidRDefault="006005D8">
            <w:pPr>
              <w:suppressAutoHyphens w:val="0"/>
              <w:spacing w:line="360" w:lineRule="auto"/>
              <w:rPr>
                <w:rFonts w:ascii="Calibri" w:hAnsi="Calibri"/>
              </w:rPr>
            </w:pPr>
            <w:r>
              <w:rPr>
                <w:rFonts w:ascii="Calibri" w:hAnsi="Calibri"/>
                <w:sz w:val="24"/>
                <w:szCs w:val="24"/>
              </w:rPr>
              <w:t>5</w:t>
            </w:r>
          </w:p>
        </w:tc>
        <w:tc>
          <w:tcPr>
            <w:tcW w:w="1842" w:type="dxa"/>
            <w:tcBorders>
              <w:top w:val="single" w:sz="4" w:space="0" w:color="000000"/>
              <w:left w:val="single" w:sz="4" w:space="0" w:color="000000"/>
              <w:bottom w:val="single" w:sz="4" w:space="0" w:color="000000"/>
              <w:right w:val="single" w:sz="4" w:space="0" w:color="000000"/>
            </w:tcBorders>
            <w:vAlign w:val="bottom"/>
          </w:tcPr>
          <w:p w:rsidR="007172F9" w:rsidRDefault="006005D8">
            <w:pPr>
              <w:suppressAutoHyphens w:val="0"/>
              <w:spacing w:line="360" w:lineRule="auto"/>
              <w:rPr>
                <w:rFonts w:ascii="Calibri" w:hAnsi="Calibri"/>
              </w:rPr>
            </w:pPr>
            <w:r>
              <w:rPr>
                <w:rFonts w:ascii="Calibri" w:hAnsi="Calibri"/>
                <w:sz w:val="24"/>
                <w:szCs w:val="24"/>
              </w:rPr>
              <w:t>3</w:t>
            </w:r>
          </w:p>
        </w:tc>
      </w:tr>
      <w:tr w:rsidR="007172F9">
        <w:tc>
          <w:tcPr>
            <w:tcW w:w="1842" w:type="dxa"/>
            <w:tcBorders>
              <w:top w:val="single" w:sz="4" w:space="0" w:color="000000"/>
              <w:left w:val="single" w:sz="4" w:space="0" w:color="000000"/>
              <w:bottom w:val="single" w:sz="4" w:space="0" w:color="000000"/>
              <w:right w:val="single" w:sz="4" w:space="0" w:color="000000"/>
            </w:tcBorders>
            <w:vAlign w:val="bottom"/>
          </w:tcPr>
          <w:p w:rsidR="007172F9" w:rsidRDefault="006005D8">
            <w:pPr>
              <w:suppressAutoHyphens w:val="0"/>
              <w:spacing w:line="360" w:lineRule="auto"/>
              <w:rPr>
                <w:rFonts w:ascii="Calibri" w:hAnsi="Calibri"/>
              </w:rPr>
            </w:pPr>
            <w:r>
              <w:rPr>
                <w:rFonts w:ascii="Calibri" w:hAnsi="Calibri"/>
                <w:sz w:val="24"/>
                <w:szCs w:val="24"/>
              </w:rPr>
              <w:t>112</w:t>
            </w:r>
          </w:p>
        </w:tc>
        <w:tc>
          <w:tcPr>
            <w:tcW w:w="1842" w:type="dxa"/>
            <w:tcBorders>
              <w:top w:val="single" w:sz="4" w:space="0" w:color="000000"/>
              <w:left w:val="single" w:sz="4" w:space="0" w:color="000000"/>
              <w:bottom w:val="single" w:sz="4" w:space="0" w:color="000000"/>
              <w:right w:val="single" w:sz="4" w:space="0" w:color="000000"/>
            </w:tcBorders>
            <w:vAlign w:val="bottom"/>
          </w:tcPr>
          <w:p w:rsidR="007172F9" w:rsidRDefault="006005D8">
            <w:pPr>
              <w:suppressAutoHyphens w:val="0"/>
              <w:spacing w:line="360" w:lineRule="auto"/>
              <w:rPr>
                <w:rFonts w:ascii="Calibri" w:hAnsi="Calibri"/>
              </w:rPr>
            </w:pPr>
            <w:r>
              <w:rPr>
                <w:rFonts w:ascii="Calibri" w:hAnsi="Calibri"/>
                <w:sz w:val="24"/>
                <w:szCs w:val="24"/>
              </w:rPr>
              <w:t>4</w:t>
            </w:r>
          </w:p>
        </w:tc>
        <w:tc>
          <w:tcPr>
            <w:tcW w:w="1842" w:type="dxa"/>
            <w:tcBorders>
              <w:top w:val="single" w:sz="4" w:space="0" w:color="000000"/>
              <w:left w:val="single" w:sz="4" w:space="0" w:color="000000"/>
              <w:bottom w:val="single" w:sz="4" w:space="0" w:color="000000"/>
              <w:right w:val="single" w:sz="4" w:space="0" w:color="000000"/>
            </w:tcBorders>
            <w:vAlign w:val="bottom"/>
          </w:tcPr>
          <w:p w:rsidR="007172F9" w:rsidRDefault="006005D8">
            <w:pPr>
              <w:suppressAutoHyphens w:val="0"/>
              <w:spacing w:line="360" w:lineRule="auto"/>
              <w:rPr>
                <w:rFonts w:ascii="Calibri" w:hAnsi="Calibri"/>
              </w:rPr>
            </w:pPr>
            <w:r>
              <w:rPr>
                <w:rFonts w:ascii="Calibri" w:hAnsi="Calibri"/>
                <w:sz w:val="24"/>
                <w:szCs w:val="24"/>
              </w:rPr>
              <w:t>1</w:t>
            </w:r>
          </w:p>
        </w:tc>
        <w:tc>
          <w:tcPr>
            <w:tcW w:w="1842" w:type="dxa"/>
            <w:tcBorders>
              <w:top w:val="single" w:sz="4" w:space="0" w:color="000000"/>
              <w:left w:val="single" w:sz="4" w:space="0" w:color="000000"/>
              <w:bottom w:val="single" w:sz="4" w:space="0" w:color="000000"/>
              <w:right w:val="single" w:sz="4" w:space="0" w:color="000000"/>
            </w:tcBorders>
            <w:vAlign w:val="bottom"/>
          </w:tcPr>
          <w:p w:rsidR="007172F9" w:rsidRDefault="006005D8">
            <w:pPr>
              <w:suppressAutoHyphens w:val="0"/>
              <w:spacing w:line="360" w:lineRule="auto"/>
              <w:rPr>
                <w:rFonts w:ascii="Calibri" w:hAnsi="Calibri"/>
              </w:rPr>
            </w:pPr>
            <w:r>
              <w:rPr>
                <w:rFonts w:ascii="Calibri" w:hAnsi="Calibri"/>
                <w:sz w:val="24"/>
                <w:szCs w:val="24"/>
              </w:rPr>
              <w:t>9</w:t>
            </w:r>
          </w:p>
        </w:tc>
        <w:tc>
          <w:tcPr>
            <w:tcW w:w="1842" w:type="dxa"/>
            <w:tcBorders>
              <w:top w:val="single" w:sz="4" w:space="0" w:color="000000"/>
              <w:left w:val="single" w:sz="4" w:space="0" w:color="000000"/>
              <w:bottom w:val="single" w:sz="4" w:space="0" w:color="000000"/>
              <w:right w:val="single" w:sz="4" w:space="0" w:color="000000"/>
            </w:tcBorders>
            <w:vAlign w:val="bottom"/>
          </w:tcPr>
          <w:p w:rsidR="007172F9" w:rsidRDefault="006005D8">
            <w:pPr>
              <w:suppressAutoHyphens w:val="0"/>
              <w:spacing w:line="360" w:lineRule="auto"/>
              <w:rPr>
                <w:rFonts w:ascii="Calibri" w:hAnsi="Calibri"/>
              </w:rPr>
            </w:pPr>
            <w:r>
              <w:rPr>
                <w:rFonts w:ascii="Calibri" w:hAnsi="Calibri"/>
                <w:sz w:val="24"/>
                <w:szCs w:val="24"/>
              </w:rPr>
              <w:t>2</w:t>
            </w:r>
          </w:p>
        </w:tc>
      </w:tr>
      <w:tr w:rsidR="007172F9">
        <w:tc>
          <w:tcPr>
            <w:tcW w:w="1842" w:type="dxa"/>
            <w:tcBorders>
              <w:top w:val="single" w:sz="4" w:space="0" w:color="000000"/>
              <w:left w:val="single" w:sz="4" w:space="0" w:color="000000"/>
              <w:bottom w:val="single" w:sz="4" w:space="0" w:color="000000"/>
              <w:right w:val="single" w:sz="4" w:space="0" w:color="000000"/>
            </w:tcBorders>
            <w:vAlign w:val="bottom"/>
          </w:tcPr>
          <w:p w:rsidR="007172F9" w:rsidRDefault="006005D8">
            <w:pPr>
              <w:suppressAutoHyphens w:val="0"/>
              <w:spacing w:line="360" w:lineRule="auto"/>
              <w:rPr>
                <w:rFonts w:ascii="Calibri" w:hAnsi="Calibri"/>
              </w:rPr>
            </w:pPr>
            <w:r>
              <w:rPr>
                <w:rFonts w:ascii="Calibri" w:hAnsi="Calibri"/>
                <w:sz w:val="24"/>
                <w:szCs w:val="24"/>
              </w:rPr>
              <w:t>113</w:t>
            </w:r>
          </w:p>
        </w:tc>
        <w:tc>
          <w:tcPr>
            <w:tcW w:w="1842" w:type="dxa"/>
            <w:tcBorders>
              <w:top w:val="single" w:sz="4" w:space="0" w:color="000000"/>
              <w:left w:val="single" w:sz="4" w:space="0" w:color="000000"/>
              <w:bottom w:val="single" w:sz="4" w:space="0" w:color="000000"/>
              <w:right w:val="single" w:sz="4" w:space="0" w:color="000000"/>
            </w:tcBorders>
            <w:vAlign w:val="bottom"/>
          </w:tcPr>
          <w:p w:rsidR="007172F9" w:rsidRDefault="006005D8">
            <w:pPr>
              <w:suppressAutoHyphens w:val="0"/>
              <w:spacing w:line="360" w:lineRule="auto"/>
              <w:rPr>
                <w:rFonts w:ascii="Calibri" w:hAnsi="Calibri"/>
              </w:rPr>
            </w:pPr>
            <w:r>
              <w:rPr>
                <w:rFonts w:ascii="Calibri" w:hAnsi="Calibri"/>
                <w:sz w:val="24"/>
                <w:szCs w:val="24"/>
              </w:rPr>
              <w:t>0</w:t>
            </w:r>
          </w:p>
        </w:tc>
        <w:tc>
          <w:tcPr>
            <w:tcW w:w="1842" w:type="dxa"/>
            <w:tcBorders>
              <w:top w:val="single" w:sz="4" w:space="0" w:color="000000"/>
              <w:left w:val="single" w:sz="4" w:space="0" w:color="000000"/>
              <w:bottom w:val="single" w:sz="4" w:space="0" w:color="000000"/>
              <w:right w:val="single" w:sz="4" w:space="0" w:color="000000"/>
            </w:tcBorders>
            <w:vAlign w:val="bottom"/>
          </w:tcPr>
          <w:p w:rsidR="007172F9" w:rsidRDefault="006005D8">
            <w:pPr>
              <w:suppressAutoHyphens w:val="0"/>
              <w:spacing w:line="360" w:lineRule="auto"/>
              <w:rPr>
                <w:rFonts w:ascii="Calibri" w:hAnsi="Calibri"/>
              </w:rPr>
            </w:pPr>
            <w:r>
              <w:rPr>
                <w:rFonts w:ascii="Calibri" w:hAnsi="Calibri"/>
                <w:sz w:val="24"/>
                <w:szCs w:val="24"/>
              </w:rPr>
              <w:t>1</w:t>
            </w:r>
          </w:p>
        </w:tc>
        <w:tc>
          <w:tcPr>
            <w:tcW w:w="1842" w:type="dxa"/>
            <w:tcBorders>
              <w:top w:val="single" w:sz="4" w:space="0" w:color="000000"/>
              <w:left w:val="single" w:sz="4" w:space="0" w:color="000000"/>
              <w:bottom w:val="single" w:sz="4" w:space="0" w:color="000000"/>
              <w:right w:val="single" w:sz="4" w:space="0" w:color="000000"/>
            </w:tcBorders>
            <w:vAlign w:val="bottom"/>
          </w:tcPr>
          <w:p w:rsidR="007172F9" w:rsidRDefault="006005D8">
            <w:pPr>
              <w:suppressAutoHyphens w:val="0"/>
              <w:spacing w:line="360" w:lineRule="auto"/>
              <w:rPr>
                <w:rFonts w:ascii="Calibri" w:hAnsi="Calibri"/>
              </w:rPr>
            </w:pPr>
            <w:r>
              <w:rPr>
                <w:rFonts w:ascii="Calibri" w:hAnsi="Calibri"/>
                <w:sz w:val="24"/>
                <w:szCs w:val="24"/>
              </w:rPr>
              <w:t>2</w:t>
            </w:r>
          </w:p>
        </w:tc>
        <w:tc>
          <w:tcPr>
            <w:tcW w:w="1842" w:type="dxa"/>
            <w:tcBorders>
              <w:top w:val="single" w:sz="4" w:space="0" w:color="000000"/>
              <w:left w:val="single" w:sz="4" w:space="0" w:color="000000"/>
              <w:bottom w:val="single" w:sz="4" w:space="0" w:color="000000"/>
              <w:right w:val="single" w:sz="4" w:space="0" w:color="000000"/>
            </w:tcBorders>
            <w:vAlign w:val="bottom"/>
          </w:tcPr>
          <w:p w:rsidR="007172F9" w:rsidRDefault="006005D8">
            <w:pPr>
              <w:suppressAutoHyphens w:val="0"/>
              <w:spacing w:line="360" w:lineRule="auto"/>
              <w:rPr>
                <w:rFonts w:ascii="Calibri" w:hAnsi="Calibri"/>
              </w:rPr>
            </w:pPr>
            <w:r>
              <w:rPr>
                <w:rFonts w:ascii="Calibri" w:hAnsi="Calibri"/>
                <w:sz w:val="24"/>
                <w:szCs w:val="24"/>
              </w:rPr>
              <w:t>16</w:t>
            </w:r>
          </w:p>
        </w:tc>
      </w:tr>
      <w:tr w:rsidR="007172F9">
        <w:tc>
          <w:tcPr>
            <w:tcW w:w="1842" w:type="dxa"/>
            <w:tcBorders>
              <w:top w:val="single" w:sz="4" w:space="0" w:color="000000"/>
              <w:left w:val="single" w:sz="4" w:space="0" w:color="000000"/>
              <w:bottom w:val="single" w:sz="4" w:space="0" w:color="000000"/>
              <w:right w:val="single" w:sz="4" w:space="0" w:color="000000"/>
            </w:tcBorders>
            <w:vAlign w:val="bottom"/>
          </w:tcPr>
          <w:p w:rsidR="007172F9" w:rsidRDefault="006005D8">
            <w:pPr>
              <w:suppressAutoHyphens w:val="0"/>
              <w:spacing w:line="360" w:lineRule="auto"/>
              <w:rPr>
                <w:rFonts w:ascii="Calibri" w:hAnsi="Calibri"/>
              </w:rPr>
            </w:pPr>
            <w:r>
              <w:rPr>
                <w:rFonts w:ascii="Calibri" w:hAnsi="Calibri"/>
                <w:sz w:val="24"/>
                <w:szCs w:val="24"/>
              </w:rPr>
              <w:t>114</w:t>
            </w:r>
          </w:p>
        </w:tc>
        <w:tc>
          <w:tcPr>
            <w:tcW w:w="1842" w:type="dxa"/>
            <w:tcBorders>
              <w:top w:val="single" w:sz="4" w:space="0" w:color="000000"/>
              <w:left w:val="single" w:sz="4" w:space="0" w:color="000000"/>
              <w:bottom w:val="single" w:sz="4" w:space="0" w:color="000000"/>
              <w:right w:val="single" w:sz="4" w:space="0" w:color="000000"/>
            </w:tcBorders>
            <w:vAlign w:val="bottom"/>
          </w:tcPr>
          <w:p w:rsidR="007172F9" w:rsidRDefault="006005D8">
            <w:pPr>
              <w:suppressAutoHyphens w:val="0"/>
              <w:spacing w:line="360" w:lineRule="auto"/>
              <w:rPr>
                <w:rFonts w:ascii="Calibri" w:hAnsi="Calibri"/>
              </w:rPr>
            </w:pPr>
            <w:r>
              <w:rPr>
                <w:rFonts w:ascii="Calibri" w:hAnsi="Calibri"/>
                <w:sz w:val="24"/>
                <w:szCs w:val="24"/>
              </w:rPr>
              <w:t>1</w:t>
            </w:r>
          </w:p>
        </w:tc>
        <w:tc>
          <w:tcPr>
            <w:tcW w:w="1842" w:type="dxa"/>
            <w:tcBorders>
              <w:top w:val="single" w:sz="4" w:space="0" w:color="000000"/>
              <w:left w:val="single" w:sz="4" w:space="0" w:color="000000"/>
              <w:bottom w:val="single" w:sz="4" w:space="0" w:color="000000"/>
              <w:right w:val="single" w:sz="4" w:space="0" w:color="000000"/>
            </w:tcBorders>
            <w:vAlign w:val="bottom"/>
          </w:tcPr>
          <w:p w:rsidR="007172F9" w:rsidRDefault="006005D8">
            <w:pPr>
              <w:suppressAutoHyphens w:val="0"/>
              <w:spacing w:line="360" w:lineRule="auto"/>
              <w:rPr>
                <w:rFonts w:ascii="Calibri" w:hAnsi="Calibri"/>
              </w:rPr>
            </w:pPr>
            <w:r>
              <w:rPr>
                <w:rFonts w:ascii="Calibri" w:hAnsi="Calibri"/>
                <w:sz w:val="24"/>
                <w:szCs w:val="24"/>
              </w:rPr>
              <w:t>4</w:t>
            </w:r>
          </w:p>
        </w:tc>
        <w:tc>
          <w:tcPr>
            <w:tcW w:w="1842" w:type="dxa"/>
            <w:tcBorders>
              <w:top w:val="single" w:sz="4" w:space="0" w:color="000000"/>
              <w:left w:val="single" w:sz="4" w:space="0" w:color="000000"/>
              <w:bottom w:val="single" w:sz="4" w:space="0" w:color="000000"/>
              <w:right w:val="single" w:sz="4" w:space="0" w:color="000000"/>
            </w:tcBorders>
            <w:vAlign w:val="bottom"/>
          </w:tcPr>
          <w:p w:rsidR="007172F9" w:rsidRDefault="006005D8">
            <w:pPr>
              <w:suppressAutoHyphens w:val="0"/>
              <w:spacing w:line="360" w:lineRule="auto"/>
              <w:rPr>
                <w:rFonts w:ascii="Calibri" w:hAnsi="Calibri"/>
              </w:rPr>
            </w:pPr>
            <w:r>
              <w:rPr>
                <w:rFonts w:ascii="Calibri" w:hAnsi="Calibri"/>
                <w:sz w:val="24"/>
                <w:szCs w:val="24"/>
              </w:rPr>
              <w:t>0</w:t>
            </w:r>
          </w:p>
        </w:tc>
        <w:tc>
          <w:tcPr>
            <w:tcW w:w="1842" w:type="dxa"/>
            <w:tcBorders>
              <w:top w:val="single" w:sz="4" w:space="0" w:color="000000"/>
              <w:left w:val="single" w:sz="4" w:space="0" w:color="000000"/>
              <w:bottom w:val="single" w:sz="4" w:space="0" w:color="000000"/>
              <w:right w:val="single" w:sz="4" w:space="0" w:color="000000"/>
            </w:tcBorders>
            <w:vAlign w:val="bottom"/>
          </w:tcPr>
          <w:p w:rsidR="007172F9" w:rsidRDefault="006005D8">
            <w:pPr>
              <w:suppressAutoHyphens w:val="0"/>
              <w:spacing w:line="360" w:lineRule="auto"/>
              <w:rPr>
                <w:rFonts w:ascii="Calibri" w:hAnsi="Calibri"/>
              </w:rPr>
            </w:pPr>
            <w:r>
              <w:rPr>
                <w:rFonts w:ascii="Calibri" w:hAnsi="Calibri"/>
                <w:sz w:val="24"/>
                <w:szCs w:val="24"/>
              </w:rPr>
              <w:t>7</w:t>
            </w:r>
          </w:p>
        </w:tc>
      </w:tr>
    </w:tbl>
    <w:p w:rsidR="007172F9" w:rsidRDefault="007172F9">
      <w:pPr>
        <w:spacing w:line="360" w:lineRule="auto"/>
        <w:rPr>
          <w:rFonts w:ascii="Calibri" w:hAnsi="Calibri"/>
          <w:sz w:val="24"/>
          <w:szCs w:val="24"/>
        </w:rPr>
      </w:pPr>
    </w:p>
    <w:p w:rsidR="007172F9" w:rsidRDefault="006005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Calibri" w:hAnsi="Calibri"/>
        </w:rPr>
      </w:pPr>
      <w:r>
        <w:rPr>
          <w:rFonts w:ascii="Calibri" w:hAnsi="Calibri"/>
          <w:b/>
          <w:sz w:val="24"/>
          <w:szCs w:val="24"/>
        </w:rPr>
        <w:t xml:space="preserve">Table </w:t>
      </w:r>
      <w:r>
        <w:rPr>
          <w:rFonts w:ascii="Calibri" w:eastAsiaTheme="minorEastAsia" w:hAnsi="Calibri" w:cstheme="minorBidi"/>
          <w:b/>
          <w:sz w:val="24"/>
          <w:szCs w:val="24"/>
        </w:rPr>
        <w:t>I</w:t>
      </w:r>
      <w:r>
        <w:rPr>
          <w:rFonts w:ascii="Calibri" w:hAnsi="Calibri"/>
          <w:b/>
          <w:sz w:val="24"/>
          <w:szCs w:val="24"/>
        </w:rPr>
        <w:t xml:space="preserve">II. Overview of </w:t>
      </w:r>
      <w:r>
        <w:rPr>
          <w:rFonts w:ascii="Calibri" w:hAnsi="Calibri"/>
          <w:b/>
          <w:sz w:val="24"/>
          <w:szCs w:val="24"/>
        </w:rPr>
        <w:t>Resolutions Regarding Iran During the 110th-114th Congress Periods</w:t>
      </w:r>
    </w:p>
    <w:tbl>
      <w:tblPr>
        <w:tblW w:w="7763" w:type="dxa"/>
        <w:tblLook w:val="04A0" w:firstRow="1" w:lastRow="0" w:firstColumn="1" w:lastColumn="0" w:noHBand="0" w:noVBand="1"/>
      </w:tblPr>
      <w:tblGrid>
        <w:gridCol w:w="1384"/>
        <w:gridCol w:w="1558"/>
        <w:gridCol w:w="1701"/>
        <w:gridCol w:w="1561"/>
        <w:gridCol w:w="1559"/>
      </w:tblGrid>
      <w:tr w:rsidR="007172F9">
        <w:tc>
          <w:tcPr>
            <w:tcW w:w="1384" w:type="dxa"/>
            <w:tcBorders>
              <w:top w:val="single" w:sz="4" w:space="0" w:color="000000"/>
              <w:left w:val="single" w:sz="4" w:space="0" w:color="000000"/>
              <w:bottom w:val="single" w:sz="4" w:space="0" w:color="000000"/>
              <w:right w:val="single" w:sz="4" w:space="0" w:color="000000"/>
            </w:tcBorders>
            <w:vAlign w:val="bottom"/>
          </w:tcPr>
          <w:p w:rsidR="007172F9" w:rsidRDefault="006005D8">
            <w:pPr>
              <w:suppressAutoHyphens w:val="0"/>
              <w:spacing w:line="360" w:lineRule="auto"/>
              <w:rPr>
                <w:rFonts w:ascii="Calibri" w:hAnsi="Calibri"/>
              </w:rPr>
            </w:pPr>
            <w:r>
              <w:rPr>
                <w:rFonts w:ascii="Calibri" w:hAnsi="Calibri"/>
                <w:b/>
                <w:bCs/>
                <w:sz w:val="24"/>
                <w:szCs w:val="24"/>
              </w:rPr>
              <w:t>Total Amount</w:t>
            </w:r>
          </w:p>
        </w:tc>
        <w:tc>
          <w:tcPr>
            <w:tcW w:w="1558" w:type="dxa"/>
            <w:tcBorders>
              <w:top w:val="single" w:sz="4" w:space="0" w:color="000000"/>
              <w:left w:val="single" w:sz="4" w:space="0" w:color="000000"/>
              <w:bottom w:val="single" w:sz="4" w:space="0" w:color="000000"/>
              <w:right w:val="single" w:sz="4" w:space="0" w:color="000000"/>
            </w:tcBorders>
            <w:vAlign w:val="bottom"/>
          </w:tcPr>
          <w:p w:rsidR="007172F9" w:rsidRDefault="006005D8">
            <w:pPr>
              <w:suppressAutoHyphens w:val="0"/>
              <w:spacing w:line="360" w:lineRule="auto"/>
              <w:rPr>
                <w:rFonts w:ascii="Calibri" w:hAnsi="Calibri"/>
              </w:rPr>
            </w:pPr>
            <w:r>
              <w:rPr>
                <w:rFonts w:ascii="Calibri" w:hAnsi="Calibri"/>
                <w:b/>
                <w:bCs/>
                <w:sz w:val="24"/>
                <w:szCs w:val="24"/>
              </w:rPr>
              <w:t>Pro-D Res. Died</w:t>
            </w:r>
          </w:p>
        </w:tc>
        <w:tc>
          <w:tcPr>
            <w:tcW w:w="1701" w:type="dxa"/>
            <w:tcBorders>
              <w:top w:val="single" w:sz="4" w:space="0" w:color="000000"/>
              <w:left w:val="single" w:sz="4" w:space="0" w:color="000000"/>
              <w:bottom w:val="single" w:sz="4" w:space="0" w:color="000000"/>
              <w:right w:val="single" w:sz="4" w:space="0" w:color="000000"/>
            </w:tcBorders>
            <w:vAlign w:val="bottom"/>
          </w:tcPr>
          <w:p w:rsidR="007172F9" w:rsidRDefault="006005D8">
            <w:pPr>
              <w:suppressAutoHyphens w:val="0"/>
              <w:spacing w:line="360" w:lineRule="auto"/>
              <w:rPr>
                <w:rFonts w:ascii="Calibri" w:hAnsi="Calibri"/>
              </w:rPr>
            </w:pPr>
            <w:r>
              <w:rPr>
                <w:rFonts w:ascii="Calibri" w:hAnsi="Calibri"/>
                <w:b/>
                <w:bCs/>
                <w:sz w:val="24"/>
                <w:szCs w:val="24"/>
              </w:rPr>
              <w:t>Pro-S Res. Passed</w:t>
            </w:r>
          </w:p>
        </w:tc>
        <w:tc>
          <w:tcPr>
            <w:tcW w:w="1561" w:type="dxa"/>
            <w:tcBorders>
              <w:top w:val="single" w:sz="4" w:space="0" w:color="000000"/>
              <w:left w:val="single" w:sz="4" w:space="0" w:color="000000"/>
              <w:bottom w:val="single" w:sz="4" w:space="0" w:color="000000"/>
              <w:right w:val="single" w:sz="4" w:space="0" w:color="000000"/>
            </w:tcBorders>
            <w:vAlign w:val="bottom"/>
          </w:tcPr>
          <w:p w:rsidR="007172F9" w:rsidRDefault="006005D8">
            <w:pPr>
              <w:suppressAutoHyphens w:val="0"/>
              <w:spacing w:line="360" w:lineRule="auto"/>
              <w:rPr>
                <w:rFonts w:ascii="Calibri" w:hAnsi="Calibri"/>
              </w:rPr>
            </w:pPr>
            <w:r>
              <w:rPr>
                <w:rFonts w:ascii="Calibri" w:hAnsi="Calibri"/>
                <w:b/>
                <w:bCs/>
                <w:sz w:val="24"/>
                <w:szCs w:val="24"/>
              </w:rPr>
              <w:t>Pro-S Res. Died</w:t>
            </w:r>
          </w:p>
        </w:tc>
        <w:tc>
          <w:tcPr>
            <w:tcW w:w="1559" w:type="dxa"/>
            <w:tcBorders>
              <w:top w:val="single" w:sz="4" w:space="0" w:color="000000"/>
              <w:left w:val="single" w:sz="4" w:space="0" w:color="000000"/>
              <w:bottom w:val="single" w:sz="4" w:space="0" w:color="000000"/>
              <w:right w:val="single" w:sz="4" w:space="0" w:color="000000"/>
            </w:tcBorders>
            <w:vAlign w:val="bottom"/>
          </w:tcPr>
          <w:p w:rsidR="007172F9" w:rsidRDefault="006005D8">
            <w:pPr>
              <w:suppressAutoHyphens w:val="0"/>
              <w:spacing w:line="360" w:lineRule="auto"/>
              <w:rPr>
                <w:rFonts w:ascii="Calibri" w:hAnsi="Calibri"/>
              </w:rPr>
            </w:pPr>
            <w:r>
              <w:rPr>
                <w:rFonts w:ascii="Calibri" w:hAnsi="Calibri"/>
                <w:b/>
                <w:bCs/>
                <w:sz w:val="24"/>
                <w:szCs w:val="24"/>
              </w:rPr>
              <w:t>Pro-S Res. Bills</w:t>
            </w:r>
          </w:p>
        </w:tc>
      </w:tr>
      <w:tr w:rsidR="007172F9">
        <w:tc>
          <w:tcPr>
            <w:tcW w:w="1384" w:type="dxa"/>
            <w:tcBorders>
              <w:top w:val="single" w:sz="4" w:space="0" w:color="000000"/>
              <w:left w:val="single" w:sz="4" w:space="0" w:color="000000"/>
              <w:bottom w:val="single" w:sz="4" w:space="0" w:color="000000"/>
              <w:right w:val="single" w:sz="4" w:space="0" w:color="000000"/>
            </w:tcBorders>
            <w:vAlign w:val="bottom"/>
          </w:tcPr>
          <w:p w:rsidR="007172F9" w:rsidRDefault="006005D8">
            <w:pPr>
              <w:suppressAutoHyphens w:val="0"/>
              <w:spacing w:line="360" w:lineRule="auto"/>
              <w:jc w:val="right"/>
              <w:rPr>
                <w:rFonts w:ascii="Calibri" w:hAnsi="Calibri"/>
              </w:rPr>
            </w:pPr>
            <w:r>
              <w:rPr>
                <w:rFonts w:ascii="Calibri" w:hAnsi="Calibri"/>
                <w:sz w:val="24"/>
                <w:szCs w:val="24"/>
              </w:rPr>
              <w:t>110</w:t>
            </w:r>
          </w:p>
        </w:tc>
        <w:tc>
          <w:tcPr>
            <w:tcW w:w="1558" w:type="dxa"/>
            <w:tcBorders>
              <w:top w:val="single" w:sz="4" w:space="0" w:color="000000"/>
              <w:left w:val="single" w:sz="4" w:space="0" w:color="000000"/>
              <w:bottom w:val="single" w:sz="4" w:space="0" w:color="000000"/>
              <w:right w:val="single" w:sz="4" w:space="0" w:color="000000"/>
            </w:tcBorders>
            <w:vAlign w:val="bottom"/>
          </w:tcPr>
          <w:p w:rsidR="007172F9" w:rsidRDefault="006005D8">
            <w:pPr>
              <w:suppressAutoHyphens w:val="0"/>
              <w:spacing w:line="360" w:lineRule="auto"/>
              <w:jc w:val="right"/>
              <w:rPr>
                <w:rFonts w:ascii="Calibri" w:hAnsi="Calibri"/>
              </w:rPr>
            </w:pPr>
            <w:r>
              <w:rPr>
                <w:rFonts w:ascii="Calibri" w:hAnsi="Calibri"/>
                <w:sz w:val="24"/>
                <w:szCs w:val="24"/>
              </w:rPr>
              <w:t>4</w:t>
            </w:r>
          </w:p>
        </w:tc>
        <w:tc>
          <w:tcPr>
            <w:tcW w:w="1701" w:type="dxa"/>
            <w:tcBorders>
              <w:top w:val="single" w:sz="4" w:space="0" w:color="000000"/>
              <w:left w:val="single" w:sz="4" w:space="0" w:color="000000"/>
              <w:bottom w:val="single" w:sz="4" w:space="0" w:color="000000"/>
              <w:right w:val="single" w:sz="4" w:space="0" w:color="000000"/>
            </w:tcBorders>
            <w:vAlign w:val="bottom"/>
          </w:tcPr>
          <w:p w:rsidR="007172F9" w:rsidRDefault="006005D8">
            <w:pPr>
              <w:suppressAutoHyphens w:val="0"/>
              <w:spacing w:line="360" w:lineRule="auto"/>
              <w:jc w:val="right"/>
              <w:rPr>
                <w:rFonts w:ascii="Calibri" w:hAnsi="Calibri"/>
              </w:rPr>
            </w:pPr>
            <w:r>
              <w:rPr>
                <w:rFonts w:ascii="Calibri" w:hAnsi="Calibri"/>
                <w:sz w:val="24"/>
                <w:szCs w:val="24"/>
              </w:rPr>
              <w:t>5</w:t>
            </w:r>
          </w:p>
        </w:tc>
        <w:tc>
          <w:tcPr>
            <w:tcW w:w="1561" w:type="dxa"/>
            <w:tcBorders>
              <w:top w:val="single" w:sz="4" w:space="0" w:color="000000"/>
              <w:left w:val="single" w:sz="4" w:space="0" w:color="000000"/>
              <w:bottom w:val="single" w:sz="4" w:space="0" w:color="000000"/>
              <w:right w:val="single" w:sz="4" w:space="0" w:color="000000"/>
            </w:tcBorders>
            <w:vAlign w:val="bottom"/>
          </w:tcPr>
          <w:p w:rsidR="007172F9" w:rsidRDefault="006005D8">
            <w:pPr>
              <w:suppressAutoHyphens w:val="0"/>
              <w:spacing w:line="360" w:lineRule="auto"/>
              <w:jc w:val="right"/>
              <w:rPr>
                <w:rFonts w:ascii="Calibri" w:hAnsi="Calibri"/>
              </w:rPr>
            </w:pPr>
            <w:r>
              <w:rPr>
                <w:rFonts w:ascii="Calibri" w:hAnsi="Calibri"/>
                <w:sz w:val="24"/>
                <w:szCs w:val="24"/>
              </w:rPr>
              <w:t>5</w:t>
            </w:r>
          </w:p>
        </w:tc>
        <w:tc>
          <w:tcPr>
            <w:tcW w:w="1559" w:type="dxa"/>
            <w:tcBorders>
              <w:top w:val="single" w:sz="4" w:space="0" w:color="000000"/>
              <w:left w:val="single" w:sz="4" w:space="0" w:color="000000"/>
              <w:bottom w:val="single" w:sz="4" w:space="0" w:color="000000"/>
              <w:right w:val="single" w:sz="4" w:space="0" w:color="000000"/>
            </w:tcBorders>
            <w:vAlign w:val="bottom"/>
          </w:tcPr>
          <w:p w:rsidR="007172F9" w:rsidRDefault="006005D8">
            <w:pPr>
              <w:suppressAutoHyphens w:val="0"/>
              <w:spacing w:line="360" w:lineRule="auto"/>
              <w:jc w:val="right"/>
              <w:rPr>
                <w:rFonts w:ascii="Calibri" w:hAnsi="Calibri"/>
              </w:rPr>
            </w:pPr>
            <w:r>
              <w:rPr>
                <w:rFonts w:ascii="Calibri" w:hAnsi="Calibri"/>
                <w:sz w:val="24"/>
                <w:szCs w:val="24"/>
              </w:rPr>
              <w:t>0</w:t>
            </w:r>
          </w:p>
        </w:tc>
      </w:tr>
      <w:tr w:rsidR="007172F9">
        <w:tc>
          <w:tcPr>
            <w:tcW w:w="1384" w:type="dxa"/>
            <w:tcBorders>
              <w:top w:val="single" w:sz="4" w:space="0" w:color="000000"/>
              <w:left w:val="single" w:sz="4" w:space="0" w:color="000000"/>
              <w:bottom w:val="single" w:sz="4" w:space="0" w:color="000000"/>
              <w:right w:val="single" w:sz="4" w:space="0" w:color="000000"/>
            </w:tcBorders>
            <w:vAlign w:val="bottom"/>
          </w:tcPr>
          <w:p w:rsidR="007172F9" w:rsidRDefault="006005D8">
            <w:pPr>
              <w:suppressAutoHyphens w:val="0"/>
              <w:spacing w:line="360" w:lineRule="auto"/>
              <w:jc w:val="right"/>
              <w:rPr>
                <w:rFonts w:ascii="Calibri" w:hAnsi="Calibri"/>
              </w:rPr>
            </w:pPr>
            <w:r>
              <w:rPr>
                <w:rFonts w:ascii="Calibri" w:hAnsi="Calibri"/>
                <w:sz w:val="24"/>
                <w:szCs w:val="24"/>
              </w:rPr>
              <w:t>111</w:t>
            </w:r>
          </w:p>
        </w:tc>
        <w:tc>
          <w:tcPr>
            <w:tcW w:w="1558" w:type="dxa"/>
            <w:tcBorders>
              <w:top w:val="single" w:sz="4" w:space="0" w:color="000000"/>
              <w:left w:val="single" w:sz="4" w:space="0" w:color="000000"/>
              <w:bottom w:val="single" w:sz="4" w:space="0" w:color="000000"/>
              <w:right w:val="single" w:sz="4" w:space="0" w:color="000000"/>
            </w:tcBorders>
            <w:vAlign w:val="bottom"/>
          </w:tcPr>
          <w:p w:rsidR="007172F9" w:rsidRDefault="006005D8">
            <w:pPr>
              <w:suppressAutoHyphens w:val="0"/>
              <w:spacing w:line="360" w:lineRule="auto"/>
              <w:jc w:val="right"/>
              <w:rPr>
                <w:rFonts w:ascii="Calibri" w:hAnsi="Calibri"/>
              </w:rPr>
            </w:pPr>
            <w:r>
              <w:rPr>
                <w:rFonts w:ascii="Calibri" w:hAnsi="Calibri"/>
                <w:sz w:val="24"/>
                <w:szCs w:val="24"/>
              </w:rPr>
              <w:t>1</w:t>
            </w:r>
          </w:p>
        </w:tc>
        <w:tc>
          <w:tcPr>
            <w:tcW w:w="1701" w:type="dxa"/>
            <w:tcBorders>
              <w:top w:val="single" w:sz="4" w:space="0" w:color="000000"/>
              <w:left w:val="single" w:sz="4" w:space="0" w:color="000000"/>
              <w:bottom w:val="single" w:sz="4" w:space="0" w:color="000000"/>
              <w:right w:val="single" w:sz="4" w:space="0" w:color="000000"/>
            </w:tcBorders>
            <w:vAlign w:val="bottom"/>
          </w:tcPr>
          <w:p w:rsidR="007172F9" w:rsidRDefault="006005D8">
            <w:pPr>
              <w:suppressAutoHyphens w:val="0"/>
              <w:spacing w:line="360" w:lineRule="auto"/>
              <w:jc w:val="right"/>
              <w:rPr>
                <w:rFonts w:ascii="Calibri" w:hAnsi="Calibri"/>
              </w:rPr>
            </w:pPr>
            <w:r>
              <w:rPr>
                <w:rFonts w:ascii="Calibri" w:hAnsi="Calibri"/>
                <w:sz w:val="24"/>
                <w:szCs w:val="24"/>
              </w:rPr>
              <w:t>2</w:t>
            </w:r>
          </w:p>
        </w:tc>
        <w:tc>
          <w:tcPr>
            <w:tcW w:w="1561" w:type="dxa"/>
            <w:tcBorders>
              <w:top w:val="single" w:sz="4" w:space="0" w:color="000000"/>
              <w:left w:val="single" w:sz="4" w:space="0" w:color="000000"/>
              <w:bottom w:val="single" w:sz="4" w:space="0" w:color="000000"/>
              <w:right w:val="single" w:sz="4" w:space="0" w:color="000000"/>
            </w:tcBorders>
            <w:vAlign w:val="bottom"/>
          </w:tcPr>
          <w:p w:rsidR="007172F9" w:rsidRDefault="006005D8">
            <w:pPr>
              <w:suppressAutoHyphens w:val="0"/>
              <w:spacing w:line="360" w:lineRule="auto"/>
              <w:jc w:val="right"/>
              <w:rPr>
                <w:rFonts w:ascii="Calibri" w:hAnsi="Calibri"/>
              </w:rPr>
            </w:pPr>
            <w:r>
              <w:rPr>
                <w:rFonts w:ascii="Calibri" w:hAnsi="Calibri"/>
                <w:sz w:val="24"/>
                <w:szCs w:val="24"/>
              </w:rPr>
              <w:t>14</w:t>
            </w:r>
          </w:p>
        </w:tc>
        <w:tc>
          <w:tcPr>
            <w:tcW w:w="1559" w:type="dxa"/>
            <w:tcBorders>
              <w:top w:val="single" w:sz="4" w:space="0" w:color="000000"/>
              <w:left w:val="single" w:sz="4" w:space="0" w:color="000000"/>
              <w:bottom w:val="single" w:sz="4" w:space="0" w:color="000000"/>
              <w:right w:val="single" w:sz="4" w:space="0" w:color="000000"/>
            </w:tcBorders>
            <w:vAlign w:val="bottom"/>
          </w:tcPr>
          <w:p w:rsidR="007172F9" w:rsidRDefault="006005D8">
            <w:pPr>
              <w:suppressAutoHyphens w:val="0"/>
              <w:spacing w:line="360" w:lineRule="auto"/>
              <w:jc w:val="right"/>
              <w:rPr>
                <w:rFonts w:ascii="Calibri" w:hAnsi="Calibri"/>
              </w:rPr>
            </w:pPr>
            <w:r>
              <w:rPr>
                <w:rFonts w:ascii="Calibri" w:hAnsi="Calibri"/>
                <w:sz w:val="24"/>
                <w:szCs w:val="24"/>
              </w:rPr>
              <w:t>1</w:t>
            </w:r>
          </w:p>
        </w:tc>
      </w:tr>
      <w:tr w:rsidR="007172F9">
        <w:tc>
          <w:tcPr>
            <w:tcW w:w="1384" w:type="dxa"/>
            <w:tcBorders>
              <w:top w:val="single" w:sz="4" w:space="0" w:color="000000"/>
              <w:left w:val="single" w:sz="4" w:space="0" w:color="000000"/>
              <w:bottom w:val="single" w:sz="4" w:space="0" w:color="000000"/>
              <w:right w:val="single" w:sz="4" w:space="0" w:color="000000"/>
            </w:tcBorders>
            <w:vAlign w:val="bottom"/>
          </w:tcPr>
          <w:p w:rsidR="007172F9" w:rsidRDefault="006005D8">
            <w:pPr>
              <w:suppressAutoHyphens w:val="0"/>
              <w:spacing w:line="360" w:lineRule="auto"/>
              <w:jc w:val="right"/>
              <w:rPr>
                <w:rFonts w:ascii="Calibri" w:hAnsi="Calibri"/>
              </w:rPr>
            </w:pPr>
            <w:r>
              <w:rPr>
                <w:rFonts w:ascii="Calibri" w:hAnsi="Calibri"/>
                <w:sz w:val="24"/>
                <w:szCs w:val="24"/>
              </w:rPr>
              <w:t>112</w:t>
            </w:r>
          </w:p>
        </w:tc>
        <w:tc>
          <w:tcPr>
            <w:tcW w:w="1558" w:type="dxa"/>
            <w:tcBorders>
              <w:top w:val="single" w:sz="4" w:space="0" w:color="000000"/>
              <w:left w:val="single" w:sz="4" w:space="0" w:color="000000"/>
              <w:bottom w:val="single" w:sz="4" w:space="0" w:color="000000"/>
              <w:right w:val="single" w:sz="4" w:space="0" w:color="000000"/>
            </w:tcBorders>
            <w:vAlign w:val="bottom"/>
          </w:tcPr>
          <w:p w:rsidR="007172F9" w:rsidRDefault="006005D8">
            <w:pPr>
              <w:suppressAutoHyphens w:val="0"/>
              <w:spacing w:line="360" w:lineRule="auto"/>
              <w:jc w:val="right"/>
              <w:rPr>
                <w:rFonts w:ascii="Calibri" w:hAnsi="Calibri"/>
              </w:rPr>
            </w:pPr>
            <w:r>
              <w:rPr>
                <w:rFonts w:ascii="Calibri" w:hAnsi="Calibri"/>
                <w:sz w:val="24"/>
                <w:szCs w:val="24"/>
              </w:rPr>
              <w:t>1</w:t>
            </w:r>
          </w:p>
        </w:tc>
        <w:tc>
          <w:tcPr>
            <w:tcW w:w="1701" w:type="dxa"/>
            <w:tcBorders>
              <w:top w:val="single" w:sz="4" w:space="0" w:color="000000"/>
              <w:left w:val="single" w:sz="4" w:space="0" w:color="000000"/>
              <w:bottom w:val="single" w:sz="4" w:space="0" w:color="000000"/>
              <w:right w:val="single" w:sz="4" w:space="0" w:color="000000"/>
            </w:tcBorders>
            <w:vAlign w:val="bottom"/>
          </w:tcPr>
          <w:p w:rsidR="007172F9" w:rsidRDefault="006005D8">
            <w:pPr>
              <w:suppressAutoHyphens w:val="0"/>
              <w:spacing w:line="360" w:lineRule="auto"/>
              <w:jc w:val="right"/>
              <w:rPr>
                <w:rFonts w:ascii="Calibri" w:hAnsi="Calibri"/>
              </w:rPr>
            </w:pPr>
            <w:r>
              <w:rPr>
                <w:rFonts w:ascii="Calibri" w:hAnsi="Calibri"/>
                <w:sz w:val="24"/>
                <w:szCs w:val="24"/>
              </w:rPr>
              <w:t>2</w:t>
            </w:r>
          </w:p>
        </w:tc>
        <w:tc>
          <w:tcPr>
            <w:tcW w:w="1561" w:type="dxa"/>
            <w:tcBorders>
              <w:top w:val="single" w:sz="4" w:space="0" w:color="000000"/>
              <w:left w:val="single" w:sz="4" w:space="0" w:color="000000"/>
              <w:bottom w:val="single" w:sz="4" w:space="0" w:color="000000"/>
              <w:right w:val="single" w:sz="4" w:space="0" w:color="000000"/>
            </w:tcBorders>
            <w:vAlign w:val="bottom"/>
          </w:tcPr>
          <w:p w:rsidR="007172F9" w:rsidRDefault="006005D8">
            <w:pPr>
              <w:suppressAutoHyphens w:val="0"/>
              <w:spacing w:line="360" w:lineRule="auto"/>
              <w:jc w:val="right"/>
              <w:rPr>
                <w:rFonts w:ascii="Calibri" w:hAnsi="Calibri"/>
              </w:rPr>
            </w:pPr>
            <w:r>
              <w:rPr>
                <w:rFonts w:ascii="Calibri" w:hAnsi="Calibri"/>
                <w:sz w:val="24"/>
                <w:szCs w:val="24"/>
              </w:rPr>
              <w:t>9</w:t>
            </w:r>
          </w:p>
        </w:tc>
        <w:tc>
          <w:tcPr>
            <w:tcW w:w="1559" w:type="dxa"/>
            <w:tcBorders>
              <w:top w:val="single" w:sz="4" w:space="0" w:color="000000"/>
              <w:left w:val="single" w:sz="4" w:space="0" w:color="000000"/>
              <w:bottom w:val="single" w:sz="4" w:space="0" w:color="000000"/>
              <w:right w:val="single" w:sz="4" w:space="0" w:color="000000"/>
            </w:tcBorders>
            <w:vAlign w:val="bottom"/>
          </w:tcPr>
          <w:p w:rsidR="007172F9" w:rsidRDefault="006005D8">
            <w:pPr>
              <w:suppressAutoHyphens w:val="0"/>
              <w:spacing w:line="360" w:lineRule="auto"/>
              <w:jc w:val="right"/>
              <w:rPr>
                <w:rFonts w:ascii="Calibri" w:hAnsi="Calibri"/>
              </w:rPr>
            </w:pPr>
            <w:r>
              <w:rPr>
                <w:rFonts w:ascii="Calibri" w:hAnsi="Calibri"/>
                <w:sz w:val="24"/>
                <w:szCs w:val="24"/>
              </w:rPr>
              <w:t>2</w:t>
            </w:r>
          </w:p>
        </w:tc>
      </w:tr>
      <w:tr w:rsidR="007172F9">
        <w:tc>
          <w:tcPr>
            <w:tcW w:w="1384" w:type="dxa"/>
            <w:tcBorders>
              <w:top w:val="single" w:sz="4" w:space="0" w:color="000000"/>
              <w:left w:val="single" w:sz="4" w:space="0" w:color="000000"/>
              <w:bottom w:val="single" w:sz="4" w:space="0" w:color="000000"/>
              <w:right w:val="single" w:sz="4" w:space="0" w:color="000000"/>
            </w:tcBorders>
            <w:vAlign w:val="bottom"/>
          </w:tcPr>
          <w:p w:rsidR="007172F9" w:rsidRDefault="006005D8">
            <w:pPr>
              <w:suppressAutoHyphens w:val="0"/>
              <w:spacing w:line="360" w:lineRule="auto"/>
              <w:jc w:val="right"/>
              <w:rPr>
                <w:rFonts w:ascii="Calibri" w:hAnsi="Calibri"/>
              </w:rPr>
            </w:pPr>
            <w:r>
              <w:rPr>
                <w:rFonts w:ascii="Calibri" w:hAnsi="Calibri"/>
                <w:sz w:val="24"/>
                <w:szCs w:val="24"/>
              </w:rPr>
              <w:t>113</w:t>
            </w:r>
          </w:p>
        </w:tc>
        <w:tc>
          <w:tcPr>
            <w:tcW w:w="1558" w:type="dxa"/>
            <w:tcBorders>
              <w:top w:val="single" w:sz="4" w:space="0" w:color="000000"/>
              <w:left w:val="single" w:sz="4" w:space="0" w:color="000000"/>
              <w:bottom w:val="single" w:sz="4" w:space="0" w:color="000000"/>
              <w:right w:val="single" w:sz="4" w:space="0" w:color="000000"/>
            </w:tcBorders>
            <w:vAlign w:val="bottom"/>
          </w:tcPr>
          <w:p w:rsidR="007172F9" w:rsidRDefault="006005D8">
            <w:pPr>
              <w:suppressAutoHyphens w:val="0"/>
              <w:spacing w:line="360" w:lineRule="auto"/>
              <w:jc w:val="right"/>
              <w:rPr>
                <w:rFonts w:ascii="Calibri" w:hAnsi="Calibri"/>
              </w:rPr>
            </w:pPr>
            <w:r>
              <w:rPr>
                <w:rFonts w:ascii="Calibri" w:hAnsi="Calibri"/>
                <w:sz w:val="24"/>
                <w:szCs w:val="24"/>
              </w:rPr>
              <w:t>1</w:t>
            </w:r>
          </w:p>
        </w:tc>
        <w:tc>
          <w:tcPr>
            <w:tcW w:w="1701" w:type="dxa"/>
            <w:tcBorders>
              <w:top w:val="single" w:sz="4" w:space="0" w:color="000000"/>
              <w:left w:val="single" w:sz="4" w:space="0" w:color="000000"/>
              <w:bottom w:val="single" w:sz="4" w:space="0" w:color="000000"/>
              <w:right w:val="single" w:sz="4" w:space="0" w:color="000000"/>
            </w:tcBorders>
            <w:vAlign w:val="bottom"/>
          </w:tcPr>
          <w:p w:rsidR="007172F9" w:rsidRDefault="006005D8">
            <w:pPr>
              <w:suppressAutoHyphens w:val="0"/>
              <w:spacing w:line="360" w:lineRule="auto"/>
              <w:jc w:val="right"/>
              <w:rPr>
                <w:rFonts w:ascii="Calibri" w:hAnsi="Calibri"/>
              </w:rPr>
            </w:pPr>
            <w:r>
              <w:rPr>
                <w:rFonts w:ascii="Calibri" w:hAnsi="Calibri"/>
                <w:sz w:val="24"/>
                <w:szCs w:val="24"/>
              </w:rPr>
              <w:t>1</w:t>
            </w:r>
          </w:p>
        </w:tc>
        <w:tc>
          <w:tcPr>
            <w:tcW w:w="1561" w:type="dxa"/>
            <w:tcBorders>
              <w:top w:val="single" w:sz="4" w:space="0" w:color="000000"/>
              <w:left w:val="single" w:sz="4" w:space="0" w:color="000000"/>
              <w:bottom w:val="single" w:sz="4" w:space="0" w:color="000000"/>
              <w:right w:val="single" w:sz="4" w:space="0" w:color="000000"/>
            </w:tcBorders>
            <w:vAlign w:val="bottom"/>
          </w:tcPr>
          <w:p w:rsidR="007172F9" w:rsidRDefault="006005D8">
            <w:pPr>
              <w:suppressAutoHyphens w:val="0"/>
              <w:spacing w:line="360" w:lineRule="auto"/>
              <w:jc w:val="right"/>
              <w:rPr>
                <w:rFonts w:ascii="Calibri" w:hAnsi="Calibri"/>
              </w:rPr>
            </w:pPr>
            <w:r>
              <w:rPr>
                <w:rFonts w:ascii="Calibri" w:hAnsi="Calibri"/>
                <w:sz w:val="24"/>
                <w:szCs w:val="24"/>
              </w:rPr>
              <w:t>3</w:t>
            </w:r>
          </w:p>
        </w:tc>
        <w:tc>
          <w:tcPr>
            <w:tcW w:w="1559" w:type="dxa"/>
            <w:tcBorders>
              <w:top w:val="single" w:sz="4" w:space="0" w:color="000000"/>
              <w:left w:val="single" w:sz="4" w:space="0" w:color="000000"/>
              <w:bottom w:val="single" w:sz="4" w:space="0" w:color="000000"/>
              <w:right w:val="single" w:sz="4" w:space="0" w:color="000000"/>
            </w:tcBorders>
            <w:vAlign w:val="bottom"/>
          </w:tcPr>
          <w:p w:rsidR="007172F9" w:rsidRDefault="006005D8">
            <w:pPr>
              <w:suppressAutoHyphens w:val="0"/>
              <w:spacing w:line="360" w:lineRule="auto"/>
              <w:jc w:val="right"/>
              <w:rPr>
                <w:rFonts w:ascii="Calibri" w:hAnsi="Calibri"/>
              </w:rPr>
            </w:pPr>
            <w:r>
              <w:rPr>
                <w:rFonts w:ascii="Calibri" w:hAnsi="Calibri"/>
                <w:sz w:val="24"/>
                <w:szCs w:val="24"/>
              </w:rPr>
              <w:t>0</w:t>
            </w:r>
          </w:p>
        </w:tc>
      </w:tr>
      <w:tr w:rsidR="007172F9">
        <w:tc>
          <w:tcPr>
            <w:tcW w:w="1384" w:type="dxa"/>
            <w:tcBorders>
              <w:top w:val="single" w:sz="4" w:space="0" w:color="000000"/>
              <w:left w:val="single" w:sz="4" w:space="0" w:color="000000"/>
              <w:bottom w:val="single" w:sz="4" w:space="0" w:color="000000"/>
              <w:right w:val="single" w:sz="4" w:space="0" w:color="000000"/>
            </w:tcBorders>
            <w:vAlign w:val="bottom"/>
          </w:tcPr>
          <w:p w:rsidR="007172F9" w:rsidRDefault="006005D8">
            <w:pPr>
              <w:suppressAutoHyphens w:val="0"/>
              <w:spacing w:line="360" w:lineRule="auto"/>
              <w:jc w:val="right"/>
              <w:rPr>
                <w:rFonts w:ascii="Calibri" w:hAnsi="Calibri"/>
              </w:rPr>
            </w:pPr>
            <w:r>
              <w:rPr>
                <w:rFonts w:ascii="Calibri" w:hAnsi="Calibri"/>
                <w:sz w:val="24"/>
                <w:szCs w:val="24"/>
              </w:rPr>
              <w:t>114</w:t>
            </w:r>
          </w:p>
        </w:tc>
        <w:tc>
          <w:tcPr>
            <w:tcW w:w="1558" w:type="dxa"/>
            <w:tcBorders>
              <w:top w:val="single" w:sz="4" w:space="0" w:color="000000"/>
              <w:left w:val="single" w:sz="4" w:space="0" w:color="000000"/>
              <w:bottom w:val="single" w:sz="4" w:space="0" w:color="000000"/>
              <w:right w:val="single" w:sz="4" w:space="0" w:color="000000"/>
            </w:tcBorders>
            <w:vAlign w:val="bottom"/>
          </w:tcPr>
          <w:p w:rsidR="007172F9" w:rsidRDefault="006005D8">
            <w:pPr>
              <w:suppressAutoHyphens w:val="0"/>
              <w:spacing w:line="360" w:lineRule="auto"/>
              <w:jc w:val="right"/>
              <w:rPr>
                <w:rFonts w:ascii="Calibri" w:hAnsi="Calibri"/>
              </w:rPr>
            </w:pPr>
            <w:r>
              <w:rPr>
                <w:rFonts w:ascii="Calibri" w:hAnsi="Calibri"/>
                <w:sz w:val="24"/>
                <w:szCs w:val="24"/>
              </w:rPr>
              <w:t>1</w:t>
            </w:r>
          </w:p>
        </w:tc>
        <w:tc>
          <w:tcPr>
            <w:tcW w:w="1701" w:type="dxa"/>
            <w:tcBorders>
              <w:top w:val="single" w:sz="4" w:space="0" w:color="000000"/>
              <w:left w:val="single" w:sz="4" w:space="0" w:color="000000"/>
              <w:bottom w:val="single" w:sz="4" w:space="0" w:color="000000"/>
              <w:right w:val="single" w:sz="4" w:space="0" w:color="000000"/>
            </w:tcBorders>
            <w:vAlign w:val="bottom"/>
          </w:tcPr>
          <w:p w:rsidR="007172F9" w:rsidRDefault="006005D8">
            <w:pPr>
              <w:suppressAutoHyphens w:val="0"/>
              <w:spacing w:line="360" w:lineRule="auto"/>
              <w:jc w:val="right"/>
              <w:rPr>
                <w:rFonts w:ascii="Calibri" w:hAnsi="Calibri"/>
              </w:rPr>
            </w:pPr>
            <w:r>
              <w:rPr>
                <w:rFonts w:ascii="Calibri" w:hAnsi="Calibri"/>
                <w:sz w:val="24"/>
                <w:szCs w:val="24"/>
              </w:rPr>
              <w:t>4</w:t>
            </w:r>
          </w:p>
        </w:tc>
        <w:tc>
          <w:tcPr>
            <w:tcW w:w="1561" w:type="dxa"/>
            <w:tcBorders>
              <w:top w:val="single" w:sz="4" w:space="0" w:color="000000"/>
              <w:left w:val="single" w:sz="4" w:space="0" w:color="000000"/>
              <w:bottom w:val="single" w:sz="4" w:space="0" w:color="000000"/>
              <w:right w:val="single" w:sz="4" w:space="0" w:color="000000"/>
            </w:tcBorders>
            <w:vAlign w:val="bottom"/>
          </w:tcPr>
          <w:p w:rsidR="007172F9" w:rsidRDefault="006005D8">
            <w:pPr>
              <w:suppressAutoHyphens w:val="0"/>
              <w:spacing w:line="360" w:lineRule="auto"/>
              <w:jc w:val="right"/>
              <w:rPr>
                <w:rFonts w:ascii="Calibri" w:hAnsi="Calibri"/>
              </w:rPr>
            </w:pPr>
            <w:r>
              <w:rPr>
                <w:rFonts w:ascii="Calibri" w:hAnsi="Calibri"/>
                <w:sz w:val="24"/>
                <w:szCs w:val="24"/>
              </w:rPr>
              <w:t>17</w:t>
            </w:r>
          </w:p>
        </w:tc>
        <w:tc>
          <w:tcPr>
            <w:tcW w:w="1559" w:type="dxa"/>
            <w:tcBorders>
              <w:top w:val="single" w:sz="4" w:space="0" w:color="000000"/>
              <w:left w:val="single" w:sz="4" w:space="0" w:color="000000"/>
              <w:bottom w:val="single" w:sz="4" w:space="0" w:color="000000"/>
              <w:right w:val="single" w:sz="4" w:space="0" w:color="000000"/>
            </w:tcBorders>
            <w:vAlign w:val="bottom"/>
          </w:tcPr>
          <w:p w:rsidR="007172F9" w:rsidRDefault="006005D8">
            <w:pPr>
              <w:suppressAutoHyphens w:val="0"/>
              <w:spacing w:line="360" w:lineRule="auto"/>
              <w:jc w:val="right"/>
              <w:rPr>
                <w:rFonts w:ascii="Calibri" w:hAnsi="Calibri"/>
              </w:rPr>
            </w:pPr>
            <w:r>
              <w:rPr>
                <w:rFonts w:ascii="Calibri" w:hAnsi="Calibri"/>
                <w:sz w:val="24"/>
                <w:szCs w:val="24"/>
              </w:rPr>
              <w:t>0</w:t>
            </w:r>
          </w:p>
        </w:tc>
      </w:tr>
    </w:tbl>
    <w:p w:rsidR="007172F9" w:rsidRDefault="007172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Calibri" w:hAnsi="Calibri"/>
          <w:sz w:val="24"/>
          <w:szCs w:val="24"/>
        </w:rPr>
      </w:pPr>
    </w:p>
    <w:p w:rsidR="007172F9" w:rsidRDefault="007172F9">
      <w:pPr>
        <w:spacing w:line="360" w:lineRule="auto"/>
        <w:rPr>
          <w:rFonts w:ascii="Calibri" w:hAnsi="Calibri"/>
          <w:sz w:val="24"/>
          <w:szCs w:val="24"/>
        </w:rPr>
      </w:pPr>
    </w:p>
    <w:p w:rsidR="007172F9" w:rsidRDefault="006005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Calibri" w:hAnsi="Calibri"/>
        </w:rPr>
      </w:pPr>
      <w:r>
        <w:rPr>
          <w:rFonts w:ascii="Calibri" w:hAnsi="Calibri"/>
          <w:b/>
          <w:color w:val="000000"/>
          <w:sz w:val="24"/>
          <w:szCs w:val="24"/>
        </w:rPr>
        <w:t xml:space="preserve"> </w:t>
      </w:r>
    </w:p>
    <w:sectPr w:rsidR="007172F9">
      <w:footerReference w:type="default" r:id="rId7"/>
      <w:pgSz w:w="11906" w:h="16817"/>
      <w:pgMar w:top="1440" w:right="1440" w:bottom="1440" w:left="1440" w:header="0" w:footer="709" w:gutter="0"/>
      <w:cols w:space="720"/>
      <w:formProt w:val="0"/>
      <w:docGrid w:linePitch="360" w:charSpace="819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6005D8">
      <w:r>
        <w:separator/>
      </w:r>
    </w:p>
  </w:endnote>
  <w:endnote w:type="continuationSeparator" w:id="0">
    <w:p w:rsidR="00000000" w:rsidRDefault="006005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1"/>
    <w:family w:val="roman"/>
    <w:pitch w:val="variable"/>
  </w:font>
  <w:font w:name="DejaVu Sans">
    <w:panose1 w:val="00000000000000000000"/>
    <w:charset w:val="00"/>
    <w:family w:val="roman"/>
    <w:notTrueType/>
    <w:pitch w:val="default"/>
  </w:font>
  <w:font w:name="OpenSymbol">
    <w:altName w:val="Arial Unicode MS"/>
    <w:charset w:val="01"/>
    <w:family w:val="roman"/>
    <w:pitch w:val="variable"/>
  </w:font>
  <w:font w:name="Symbol">
    <w:panose1 w:val="05050102010706020507"/>
    <w:charset w:val="02"/>
    <w:family w:val="roman"/>
    <w:pitch w:val="variable"/>
    <w:sig w:usb0="00000000" w:usb1="10000000" w:usb2="00000000" w:usb3="00000000" w:csb0="80000000" w:csb1="00000000"/>
  </w:font>
  <w:font w:name="Lohit Devanagari">
    <w:panose1 w:val="00000000000000000000"/>
    <w:charset w:val="00"/>
    <w:family w:val="roman"/>
    <w:notTrueType/>
    <w:pitch w:val="default"/>
  </w:font>
  <w:font w:name="Liberation Mono">
    <w:altName w:val="Courier New"/>
    <w:charset w:val="01"/>
    <w:family w:val="roman"/>
    <w:pitch w:val="variable"/>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72F9" w:rsidRDefault="006005D8">
    <w:pPr>
      <w:pStyle w:val="Footer"/>
      <w:ind w:right="360"/>
    </w:pPr>
    <w:r>
      <w:rPr>
        <w:noProof/>
        <w:lang w:val="en-IN" w:eastAsia="en-IN"/>
      </w:rPr>
      <mc:AlternateContent>
        <mc:Choice Requires="wps">
          <w:drawing>
            <wp:anchor distT="635" distB="635" distL="5080" distR="5080" simplePos="0" relativeHeight="13" behindDoc="1" locked="0" layoutInCell="1" allowOverlap="1">
              <wp:simplePos x="0" y="0"/>
              <wp:positionH relativeFrom="page">
                <wp:posOffset>6659880</wp:posOffset>
              </wp:positionH>
              <wp:positionV relativeFrom="paragraph">
                <wp:posOffset>635</wp:posOffset>
              </wp:positionV>
              <wp:extent cx="211455" cy="194945"/>
              <wp:effectExtent l="0" t="0" r="0" b="0"/>
              <wp:wrapSquare wrapText="largest"/>
              <wp:docPr id="1" name="Text Box 1"/>
              <wp:cNvGraphicFramePr/>
              <a:graphic xmlns:a="http://schemas.openxmlformats.org/drawingml/2006/main">
                <a:graphicData uri="http://schemas.microsoft.com/office/word/2010/wordprocessingShape">
                  <wps:wsp>
                    <wps:cNvSpPr/>
                    <wps:spPr>
                      <a:xfrm>
                        <a:off x="0" y="0"/>
                        <a:ext cx="210960" cy="194400"/>
                      </a:xfrm>
                      <a:prstGeom prst="rect">
                        <a:avLst/>
                      </a:prstGeom>
                      <a:solidFill>
                        <a:srgbClr val="FFFFFF"/>
                      </a:solidFill>
                      <a:ln>
                        <a:noFill/>
                      </a:ln>
                    </wps:spPr>
                    <wps:style>
                      <a:lnRef idx="0">
                        <a:scrgbClr r="0" g="0" b="0"/>
                      </a:lnRef>
                      <a:fillRef idx="0">
                        <a:scrgbClr r="0" g="0" b="0"/>
                      </a:fillRef>
                      <a:effectRef idx="0">
                        <a:scrgbClr r="0" g="0" b="0"/>
                      </a:effectRef>
                      <a:fontRef idx="minor"/>
                    </wps:style>
                    <wps:txbx>
                      <w:txbxContent>
                        <w:p w:rsidR="007172F9" w:rsidRDefault="006005D8">
                          <w:pPr>
                            <w:pStyle w:val="Footer"/>
                          </w:pPr>
                          <w:r>
                            <w:rPr>
                              <w:rStyle w:val="PageNumber"/>
                              <w:color w:val="000000"/>
                            </w:rPr>
                            <w:fldChar w:fldCharType="begin"/>
                          </w:r>
                          <w:r>
                            <w:rPr>
                              <w:rStyle w:val="PageNumber"/>
                              <w:color w:val="000000"/>
                            </w:rPr>
                            <w:instrText>PAGE</w:instrText>
                          </w:r>
                          <w:r>
                            <w:rPr>
                              <w:rStyle w:val="PageNumber"/>
                              <w:color w:val="000000"/>
                            </w:rPr>
                            <w:fldChar w:fldCharType="separate"/>
                          </w:r>
                          <w:r>
                            <w:rPr>
                              <w:rStyle w:val="PageNumber"/>
                              <w:noProof/>
                              <w:color w:val="000000"/>
                            </w:rPr>
                            <w:t>1</w:t>
                          </w:r>
                          <w:r>
                            <w:rPr>
                              <w:rStyle w:val="PageNumber"/>
                              <w:color w:val="000000"/>
                            </w:rPr>
                            <w:fldChar w:fldCharType="end"/>
                          </w:r>
                        </w:p>
                      </w:txbxContent>
                    </wps:txbx>
                    <wps:bodyPr lIns="720" tIns="720" rIns="720" bIns="720">
                      <a:noAutofit/>
                    </wps:bodyPr>
                  </wps:wsp>
                </a:graphicData>
              </a:graphic>
            </wp:anchor>
          </w:drawing>
        </mc:Choice>
        <mc:Fallback>
          <w:pict>
            <v:rect id="Text Box 1" o:spid="_x0000_s1026" style="position:absolute;margin-left:524.4pt;margin-top:.05pt;width:16.65pt;height:15.35pt;z-index:-503316467;visibility:visible;mso-wrap-style:square;mso-wrap-distance-left:.4pt;mso-wrap-distance-top:.05pt;mso-wrap-distance-right:.4pt;mso-wrap-distance-bottom:.0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" stroked="f">
              <v:textbox inset=".02mm,.02mm,.02mm,.02mm">
                <w:txbxContent>
                  <w:p w:rsidR="007172F9" w:rsidRDefault="006005D8">
                    <w:pPr>
                      <w:pStyle w:val="Footer"/>
                    </w:pPr>
                    <w:r>
                      <w:rPr>
                        <w:rStyle w:val="PageNumber"/>
                        <w:color w:val="000000"/>
                      </w:rPr>
                      <w:fldChar w:fldCharType="begin"/>
                    </w:r>
                    <w:r>
                      <w:rPr>
                        <w:rStyle w:val="PageNumber"/>
                        <w:color w:val="000000"/>
                      </w:rPr>
                      <w:instrText>PAGE</w:instrText>
                    </w:r>
                    <w:r>
                      <w:rPr>
                        <w:rStyle w:val="PageNumber"/>
                        <w:color w:val="000000"/>
                      </w:rPr>
                      <w:fldChar w:fldCharType="separate"/>
                    </w:r>
                    <w:r>
                      <w:rPr>
                        <w:rStyle w:val="PageNumber"/>
                        <w:noProof/>
                        <w:color w:val="000000"/>
                      </w:rPr>
                      <w:t>1</w:t>
                    </w:r>
                    <w:r>
                      <w:rPr>
                        <w:rStyle w:val="PageNumber"/>
                        <w:color w:val="000000"/>
                      </w:rPr>
                      <w:fldChar w:fldCharType="end"/>
                    </w:r>
                  </w:p>
                </w:txbxContent>
              </v:textbox>
              <w10:wrap type="square" side="largest" anchorx="page"/>
            </v:rec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172F9" w:rsidRDefault="006005D8">
      <w:pPr>
        <w:rPr>
          <w:sz w:val="12"/>
        </w:rPr>
      </w:pPr>
      <w:r>
        <w:separator/>
      </w:r>
    </w:p>
  </w:footnote>
  <w:footnote w:type="continuationSeparator" w:id="0">
    <w:p w:rsidR="007172F9" w:rsidRDefault="006005D8">
      <w:pPr>
        <w:rPr>
          <w:sz w:val="12"/>
        </w:rPr>
      </w:pPr>
      <w:r>
        <w:continuationSeparator/>
      </w:r>
    </w:p>
  </w:footnote>
  <w:footnote w:id="1">
    <w:p w:rsidR="007172F9" w:rsidRDefault="006005D8">
      <w:pPr>
        <w:pStyle w:val="FootnoteText"/>
        <w:ind w:left="142" w:hanging="142"/>
      </w:pPr>
      <w:r>
        <w:rPr>
          <w:rStyle w:val="Funotenzeichen"/>
        </w:rPr>
        <w:footnoteRef/>
      </w:r>
      <w:r>
        <w:rPr>
          <w:rFonts w:eastAsia="Cambria" w:cs="Cambria"/>
        </w:rPr>
        <w:tab/>
        <w:t xml:space="preserve"> </w:t>
      </w:r>
      <w:r>
        <w:rPr>
          <w:rFonts w:ascii="Calibri" w:hAnsi="Calibri" w:cs="Calibri"/>
          <w:color w:val="000000"/>
        </w:rPr>
        <w:t>Email by an employee of the National Association of Manufacturers received on October 26, 2013; email by an employee of the US Chamber of Commerce and BP received on</w:t>
      </w:r>
      <w:r>
        <w:rPr>
          <w:rFonts w:ascii="Calibri" w:hAnsi="Calibri" w:cs="Calibri"/>
          <w:color w:val="000000"/>
        </w:rPr>
        <w:t xml:space="preserve"> October 21, 2013; email by an employee of the American Association of Exporters and Importers and of ABB Ltd received on October 14, 2013.</w:t>
      </w:r>
    </w:p>
  </w:footnote>
  <w:footnote w:id="2">
    <w:p w:rsidR="007172F9" w:rsidRDefault="006005D8">
      <w:pPr>
        <w:pStyle w:val="FootnoteText"/>
        <w:ind w:left="142" w:hanging="142"/>
      </w:pPr>
      <w:r>
        <w:rPr>
          <w:rStyle w:val="Funotenzeichen"/>
        </w:rPr>
        <w:footnoteRef/>
      </w:r>
      <w:r>
        <w:rPr>
          <w:rFonts w:ascii="Calibri" w:eastAsia="Cambria" w:hAnsi="Calibri" w:cs="Cambria"/>
        </w:rPr>
        <w:tab/>
        <w:t xml:space="preserve"> </w:t>
      </w:r>
      <w:r>
        <w:rPr>
          <w:rFonts w:ascii="Calibri" w:hAnsi="Calibri" w:cs="Calibri"/>
          <w:color w:val="000000"/>
        </w:rPr>
        <w:t>The interviews with the staffers were conducted on August 31, 2015 and on September 21, 2015; the interviews with</w:t>
      </w:r>
      <w:r>
        <w:rPr>
          <w:rFonts w:ascii="Calibri" w:hAnsi="Calibri" w:cs="Calibri"/>
          <w:color w:val="000000"/>
        </w:rPr>
        <w:t xml:space="preserve"> the J Street and AIPAC representatives were conducted on September 9, 2015 and on September 11, 2015, respectively.</w:t>
      </w:r>
    </w:p>
  </w:footnote>
  <w:footnote w:id="3">
    <w:p w:rsidR="007172F9" w:rsidRDefault="006005D8">
      <w:pPr>
        <w:pStyle w:val="FootnoteText"/>
      </w:pPr>
      <w:r>
        <w:rPr>
          <w:rStyle w:val="Funotenzeichen"/>
        </w:rPr>
        <w:footnoteRef/>
      </w:r>
      <w:r>
        <w:t xml:space="preserve"> </w:t>
      </w:r>
      <w:r>
        <w:rPr>
          <w:rFonts w:ascii="Calibri" w:hAnsi="Calibri"/>
        </w:rPr>
        <w:t>Koch, Mirijam. 2020. “The Role of Interest Groups in US Sanctions Policy Towards Iran from 2007-2016.” https://refubium.fu-berlin.de/hand</w:t>
      </w:r>
      <w:r>
        <w:rPr>
          <w:rFonts w:ascii="Calibri" w:hAnsi="Calibri"/>
        </w:rPr>
        <w:t>le/fub188/26603.</w:t>
      </w:r>
    </w:p>
  </w:footnote>
  <w:footnote w:id="4">
    <w:p w:rsidR="007172F9" w:rsidRDefault="006005D8">
      <w:pPr>
        <w:pStyle w:val="FootnoteText"/>
        <w:ind w:left="142" w:hanging="142"/>
      </w:pPr>
      <w:r>
        <w:rPr>
          <w:rStyle w:val="Funotenzeichen"/>
        </w:rPr>
        <w:footnoteRef/>
      </w:r>
      <w:r>
        <w:rPr>
          <w:rFonts w:ascii="Calibri" w:hAnsi="Calibri"/>
        </w:rPr>
        <w:tab/>
        <w:t xml:space="preserve"> </w:t>
      </w:r>
      <w:r>
        <w:rPr>
          <w:rFonts w:ascii="Calibri" w:hAnsi="Calibri" w:cs="Calibri"/>
          <w:color w:val="000000"/>
        </w:rPr>
        <w:t>USA*Engage was founded by the National Foreign Trade Council in 1997 to promote business interests against sanctions. The group does not fulfill the conditions of relevance for this study, as its lobbying activity was not high enough du</w:t>
      </w:r>
      <w:r>
        <w:rPr>
          <w:rFonts w:ascii="Calibri" w:hAnsi="Calibri" w:cs="Calibri"/>
          <w:color w:val="000000"/>
        </w:rPr>
        <w:t>ring the selected time frame.</w:t>
      </w:r>
    </w:p>
  </w:footnote>
  <w:footnote w:id="5">
    <w:p w:rsidR="007172F9" w:rsidRDefault="006005D8">
      <w:pPr>
        <w:pStyle w:val="FootnoteText"/>
        <w:ind w:left="142" w:hanging="142"/>
      </w:pPr>
      <w:r>
        <w:rPr>
          <w:rStyle w:val="Funotenzeichen"/>
        </w:rPr>
        <w:footnoteRef/>
      </w:r>
      <w:r>
        <w:rPr>
          <w:rFonts w:ascii="Calibri" w:hAnsi="Calibri"/>
        </w:rPr>
        <w:tab/>
        <w:t xml:space="preserve"> </w:t>
      </w:r>
      <w:r>
        <w:rPr>
          <w:rFonts w:ascii="Calibri" w:hAnsi="Calibri" w:cs="Calibri"/>
          <w:color w:val="000000"/>
        </w:rPr>
        <w:t>The interviews with RJC and the Foreign Policy Initiative were conducted on September 4 and 8, 2015, respectively.</w:t>
      </w:r>
    </w:p>
  </w:footnote>
  <w:footnote w:id="6">
    <w:p w:rsidR="007172F9" w:rsidRDefault="006005D8">
      <w:pPr>
        <w:pStyle w:val="FootnoteText"/>
      </w:pPr>
      <w:r>
        <w:rPr>
          <w:rStyle w:val="Funotenzeichen"/>
        </w:rPr>
        <w:footnoteRef/>
      </w:r>
      <w:r>
        <w:t xml:space="preserve"> </w:t>
      </w:r>
      <w:r>
        <w:rPr>
          <w:rFonts w:ascii="Calibri" w:hAnsi="Calibri" w:cs="Calibri"/>
          <w:color w:val="000000"/>
        </w:rPr>
        <w:t xml:space="preserve">There </w:t>
      </w:r>
      <w:r>
        <w:rPr>
          <w:rFonts w:ascii="Calibri" w:hAnsi="Calibri" w:cs="Calibri"/>
          <w:color w:val="000000"/>
        </w:rPr>
        <w:t>are</w:t>
      </w:r>
      <w:r>
        <w:rPr>
          <w:rFonts w:ascii="Calibri" w:hAnsi="Calibri" w:cs="Calibri"/>
          <w:color w:val="000000"/>
        </w:rPr>
        <w:t xml:space="preserve"> none passed Pro-Diplomacy resolutions.</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C4360C"/>
    <w:multiLevelType w:val="multilevel"/>
    <w:tmpl w:val="3EE8AC08"/>
    <w:lvl w:ilvl="0">
      <w:start w:val="1"/>
      <w:numFmt w:val="none"/>
      <w:pStyle w:val="Heading1"/>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pStyle w:val="Heading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28FA32D9"/>
    <w:multiLevelType w:val="multilevel"/>
    <w:tmpl w:val="F2740FA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isplayBackgroundShape/>
  <w:embedSystemFonts/>
  <w:defaultTabStop w:val="708"/>
  <w:autoHyphenation/>
  <w:characterSpacingControl w:val="doNotCompress"/>
  <w:footnotePr>
    <w:footnote w:id="-1"/>
    <w:footnote w:id="0"/>
  </w:footnotePr>
  <w:endnotePr>
    <w:endnote w:id="-1"/>
    <w:endnote w:id="0"/>
  </w:endnotePr>
  <w:compat>
    <w:compatSetting w:name="compatibilityMode" w:uri="http://schemas.microsoft.com/office/word" w:val="12"/>
  </w:compat>
  <w:rsids>
    <w:rsidRoot w:val="007172F9"/>
    <w:rsid w:val="006005D8"/>
    <w:rsid w:val="007172F9"/>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ADE4139-8068-4573-A01C-CB4942DF80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de-DE"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berschrift"/>
    <w:next w:val="BodyText"/>
    <w:qFormat/>
    <w:pPr>
      <w:numPr>
        <w:numId w:val="1"/>
      </w:numPr>
      <w:outlineLvl w:val="0"/>
    </w:pPr>
    <w:rPr>
      <w:rFonts w:ascii="Liberation Serif" w:eastAsia="DejaVu Sans" w:hAnsi="Liberation Serif" w:cs="DejaVu Sans"/>
      <w:b/>
      <w:bCs/>
      <w:sz w:val="48"/>
      <w:szCs w:val="48"/>
    </w:rPr>
  </w:style>
  <w:style w:type="paragraph" w:styleId="Heading2">
    <w:name w:val="heading 2"/>
    <w:basedOn w:val="berschrift"/>
    <w:next w:val="BodyText"/>
    <w:qFormat/>
    <w:pPr>
      <w:numPr>
        <w:ilvl w:val="1"/>
        <w:numId w:val="1"/>
      </w:numPr>
      <w:spacing w:before="200"/>
      <w:outlineLvl w:val="1"/>
    </w:pPr>
    <w:rPr>
      <w:rFonts w:ascii="Liberation Serif" w:eastAsia="DejaVu Sans" w:hAnsi="Liberation Serif" w:cs="DejaVu Sans"/>
      <w:b/>
      <w:bCs/>
      <w:sz w:val="36"/>
      <w:szCs w:val="36"/>
    </w:rPr>
  </w:style>
  <w:style w:type="paragraph" w:styleId="Heading3">
    <w:name w:val="heading 3"/>
    <w:basedOn w:val="berschrift"/>
    <w:next w:val="BodyText"/>
    <w:qFormat/>
    <w:pPr>
      <w:numPr>
        <w:ilvl w:val="2"/>
        <w:numId w:val="1"/>
      </w:numPr>
      <w:spacing w:before="140"/>
      <w:outlineLvl w:val="2"/>
    </w:pPr>
    <w:rPr>
      <w:rFonts w:ascii="Liberation Serif" w:eastAsia="DejaVu Sans" w:hAnsi="Liberation Serif" w:cs="DejaVu Sans"/>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style>
  <w:style w:type="character" w:customStyle="1" w:styleId="WW8Num1z1">
    <w:name w:val="WW8Num1z1"/>
    <w:qFormat/>
    <w:rPr>
      <w:rFonts w:ascii="OpenSymbol" w:hAnsi="OpenSymbol" w:cs="OpenSymbol"/>
    </w:rPr>
  </w:style>
  <w:style w:type="character" w:customStyle="1" w:styleId="WW8Num2z0">
    <w:name w:val="WW8Num2z0"/>
    <w:qFormat/>
    <w:rPr>
      <w:rFonts w:ascii="Symbol" w:hAnsi="Symbol" w:cs="OpenSymbol"/>
    </w:rPr>
  </w:style>
  <w:style w:type="character" w:customStyle="1" w:styleId="WW8Num2z1">
    <w:name w:val="WW8Num2z1"/>
    <w:qFormat/>
    <w:rPr>
      <w:rFonts w:ascii="OpenSymbol" w:hAnsi="OpenSymbol" w:cs="OpenSymbol"/>
    </w:rPr>
  </w:style>
  <w:style w:type="character" w:customStyle="1" w:styleId="WW8Num3z0">
    <w:name w:val="WW8Num3z0"/>
    <w:qFormat/>
  </w:style>
  <w:style w:type="character" w:customStyle="1" w:styleId="WW8Num3z1">
    <w:name w:val="WW8Num3z1"/>
    <w:qFormat/>
    <w:rPr>
      <w:rFonts w:ascii="OpenSymbol" w:hAnsi="OpenSymbol" w:cs="OpenSymbol"/>
    </w:rPr>
  </w:style>
  <w:style w:type="character" w:customStyle="1" w:styleId="WW8Num4z0">
    <w:name w:val="WW8Num4z0"/>
    <w:qFormat/>
  </w:style>
  <w:style w:type="character" w:customStyle="1" w:styleId="WW8Num4z1">
    <w:name w:val="WW8Num4z1"/>
    <w:qFormat/>
  </w:style>
  <w:style w:type="character" w:customStyle="1" w:styleId="WW8Num4z2">
    <w:name w:val="WW8Num4z2"/>
    <w:qFormat/>
  </w:style>
  <w:style w:type="character" w:customStyle="1" w:styleId="WW8Num4z3">
    <w:name w:val="WW8Num4z3"/>
    <w:qFormat/>
  </w:style>
  <w:style w:type="character" w:customStyle="1" w:styleId="WW8Num4z4">
    <w:name w:val="WW8Num4z4"/>
    <w:qFormat/>
  </w:style>
  <w:style w:type="character" w:customStyle="1" w:styleId="WW8Num4z5">
    <w:name w:val="WW8Num4z5"/>
    <w:qFormat/>
  </w:style>
  <w:style w:type="character" w:customStyle="1" w:styleId="WW8Num4z6">
    <w:name w:val="WW8Num4z6"/>
    <w:qFormat/>
  </w:style>
  <w:style w:type="character" w:customStyle="1" w:styleId="WW8Num4z7">
    <w:name w:val="WW8Num4z7"/>
    <w:qFormat/>
  </w:style>
  <w:style w:type="character" w:customStyle="1" w:styleId="WW8Num4z8">
    <w:name w:val="WW8Num4z8"/>
    <w:qFormat/>
  </w:style>
  <w:style w:type="character" w:customStyle="1" w:styleId="Absatzstandardschriftart1">
    <w:name w:val="Absatzstandardschriftart1"/>
    <w:qFormat/>
  </w:style>
  <w:style w:type="character" w:customStyle="1" w:styleId="HTMLVorformatiertZeichen">
    <w:name w:val="HTML Vorformatiert Zeichen"/>
    <w:qFormat/>
  </w:style>
  <w:style w:type="character" w:customStyle="1" w:styleId="SprechblasentextZeichen">
    <w:name w:val="Sprechblasentext Zeichen"/>
    <w:qFormat/>
  </w:style>
  <w:style w:type="character" w:customStyle="1" w:styleId="FunotentextZeichen">
    <w:name w:val="Fußnotentext Zeichen"/>
    <w:qFormat/>
    <w:rPr>
      <w:sz w:val="24"/>
      <w:szCs w:val="24"/>
    </w:rPr>
  </w:style>
  <w:style w:type="character" w:customStyle="1" w:styleId="Funotenzeichen1">
    <w:name w:val="Fußnotenzeichen1"/>
    <w:qFormat/>
    <w:rPr>
      <w:vertAlign w:val="superscript"/>
    </w:rPr>
  </w:style>
  <w:style w:type="character" w:customStyle="1" w:styleId="Internetverknpfung">
    <w:name w:val="Internetverknüpfung"/>
  </w:style>
  <w:style w:type="character" w:customStyle="1" w:styleId="FuzeileZeichen">
    <w:name w:val="Fußzeile Zeichen"/>
    <w:qFormat/>
    <w:rPr>
      <w:sz w:val="24"/>
      <w:szCs w:val="24"/>
    </w:rPr>
  </w:style>
  <w:style w:type="character" w:styleId="PageNumber">
    <w:name w:val="page number"/>
    <w:qFormat/>
  </w:style>
  <w:style w:type="character" w:customStyle="1" w:styleId="Funotenanker">
    <w:name w:val="Fußnotenanker"/>
    <w:rPr>
      <w:vertAlign w:val="superscript"/>
    </w:rPr>
  </w:style>
  <w:style w:type="character" w:customStyle="1" w:styleId="FootnoteCharacters">
    <w:name w:val="Footnote Characters"/>
    <w:qFormat/>
    <w:rPr>
      <w:vertAlign w:val="superscript"/>
    </w:rPr>
  </w:style>
  <w:style w:type="character" w:customStyle="1" w:styleId="Endnotenzeichen1">
    <w:name w:val="Endnotenzeichen1"/>
    <w:qFormat/>
    <w:rPr>
      <w:vertAlign w:val="superscript"/>
    </w:rPr>
  </w:style>
  <w:style w:type="character" w:customStyle="1" w:styleId="WW-Endnotenzeichen">
    <w:name w:val="WW-Endnotenzeichen"/>
    <w:qFormat/>
  </w:style>
  <w:style w:type="character" w:customStyle="1" w:styleId="Aufzhlungszeichen1">
    <w:name w:val="Aufzählungszeichen1"/>
    <w:qFormat/>
  </w:style>
  <w:style w:type="character" w:customStyle="1" w:styleId="Endnotenanker">
    <w:name w:val="Endnotenanker"/>
    <w:rPr>
      <w:vertAlign w:val="superscript"/>
    </w:rPr>
  </w:style>
  <w:style w:type="character" w:customStyle="1" w:styleId="EndnoteCharacters">
    <w:name w:val="Endnote Characters"/>
    <w:qFormat/>
    <w:rPr>
      <w:vertAlign w:val="superscript"/>
    </w:rPr>
  </w:style>
  <w:style w:type="character" w:customStyle="1" w:styleId="KopfzeileZeichen">
    <w:name w:val="Kopfzeile Zeichen"/>
    <w:basedOn w:val="DefaultParagraphFont"/>
    <w:qFormat/>
  </w:style>
  <w:style w:type="character" w:customStyle="1" w:styleId="Funotenzeichen">
    <w:name w:val="Fußnotenzeichen"/>
    <w:qFormat/>
  </w:style>
  <w:style w:type="character" w:customStyle="1" w:styleId="Endnotenzeichen">
    <w:name w:val="Endnotenzeichen"/>
    <w:qFormat/>
  </w:style>
  <w:style w:type="character" w:customStyle="1" w:styleId="Starkbetont">
    <w:name w:val="Stark betont"/>
    <w:qFormat/>
    <w:rPr>
      <w:b/>
      <w:bCs/>
    </w:rPr>
  </w:style>
  <w:style w:type="character" w:customStyle="1" w:styleId="Betont">
    <w:name w:val="Betont"/>
    <w:qFormat/>
    <w:rPr>
      <w:i/>
      <w:iCs/>
    </w:rPr>
  </w:style>
  <w:style w:type="paragraph" w:customStyle="1" w:styleId="berschrift">
    <w:name w:val="Überschrift"/>
    <w:basedOn w:val="Normal"/>
    <w:next w:val="BodyText"/>
    <w:qFormat/>
    <w:pPr>
      <w:keepNext/>
      <w:spacing w:before="240" w:after="120"/>
    </w:pPr>
  </w:style>
  <w:style w:type="paragraph" w:styleId="BodyText">
    <w:name w:val="Body Text"/>
    <w:basedOn w:val="Normal"/>
    <w:pPr>
      <w:spacing w:after="140" w:line="276" w:lineRule="auto"/>
    </w:pPr>
  </w:style>
  <w:style w:type="paragraph" w:styleId="List">
    <w:name w:val="List"/>
    <w:basedOn w:val="BodyText"/>
    <w:rPr>
      <w:rFonts w:cs="Lohit Devanagari"/>
    </w:rPr>
  </w:style>
  <w:style w:type="paragraph" w:styleId="Caption">
    <w:name w:val="caption"/>
    <w:basedOn w:val="Normal"/>
    <w:qFormat/>
    <w:pPr>
      <w:suppressLineNumbers/>
      <w:spacing w:before="120" w:after="120"/>
    </w:pPr>
  </w:style>
  <w:style w:type="paragraph" w:customStyle="1" w:styleId="Verzeichnis">
    <w:name w:val="Verzeichnis"/>
    <w:basedOn w:val="Normal"/>
    <w:qFormat/>
    <w:pPr>
      <w:suppressLineNumbers/>
    </w:pPr>
    <w:rPr>
      <w:rFonts w:cs="Lohit Devanagari"/>
    </w:rPr>
  </w:style>
  <w:style w:type="paragraph" w:styleId="HTMLPreformatted">
    <w:name w:val="HTML Preformatted"/>
    <w:basedOn w:val="Normal"/>
    <w:qFormat/>
  </w:style>
  <w:style w:type="paragraph" w:styleId="BalloonText">
    <w:name w:val="Balloon Text"/>
    <w:basedOn w:val="Normal"/>
    <w:qFormat/>
  </w:style>
  <w:style w:type="paragraph" w:styleId="FootnoteText">
    <w:name w:val="footnote text"/>
    <w:basedOn w:val="Normal"/>
  </w:style>
  <w:style w:type="paragraph" w:customStyle="1" w:styleId="Kopf-undFuzeile">
    <w:name w:val="Kopf- und Fußzeile"/>
    <w:basedOn w:val="Normal"/>
    <w:qFormat/>
  </w:style>
  <w:style w:type="paragraph" w:styleId="Footer">
    <w:name w:val="footer"/>
    <w:basedOn w:val="Normal"/>
    <w:pPr>
      <w:tabs>
        <w:tab w:val="center" w:pos="4536"/>
        <w:tab w:val="right" w:pos="9072"/>
      </w:tabs>
    </w:pPr>
  </w:style>
  <w:style w:type="paragraph" w:customStyle="1" w:styleId="Rahmeninhalt">
    <w:name w:val="Rahmeninhalt"/>
    <w:basedOn w:val="Normal"/>
    <w:qFormat/>
  </w:style>
  <w:style w:type="paragraph" w:customStyle="1" w:styleId="Tabelleninhalt">
    <w:name w:val="Tabelleninhalt"/>
    <w:basedOn w:val="Normal"/>
    <w:qFormat/>
    <w:pPr>
      <w:suppressLineNumbers/>
    </w:pPr>
  </w:style>
  <w:style w:type="paragraph" w:customStyle="1" w:styleId="Tabellenberschrift">
    <w:name w:val="Tabellenüberschrift"/>
    <w:basedOn w:val="Tabelleninhalt"/>
    <w:qFormat/>
    <w:pPr>
      <w:jc w:val="center"/>
    </w:pPr>
    <w:rPr>
      <w:b/>
      <w:bCs/>
    </w:rPr>
  </w:style>
  <w:style w:type="paragraph" w:styleId="Header">
    <w:name w:val="header"/>
    <w:basedOn w:val="Normal"/>
    <w:pPr>
      <w:tabs>
        <w:tab w:val="center" w:pos="4536"/>
        <w:tab w:val="right" w:pos="9072"/>
      </w:tabs>
    </w:pPr>
  </w:style>
  <w:style w:type="paragraph" w:styleId="NormalWeb">
    <w:name w:val="Normal (Web)"/>
    <w:basedOn w:val="Normal"/>
    <w:qFormat/>
    <w:pPr>
      <w:suppressAutoHyphens w:val="0"/>
      <w:spacing w:before="280" w:after="280"/>
    </w:pPr>
  </w:style>
  <w:style w:type="paragraph" w:customStyle="1" w:styleId="VorformatierterText">
    <w:name w:val="Vorformatierter Text"/>
    <w:basedOn w:val="Normal"/>
    <w:qFormat/>
    <w:rPr>
      <w:rFonts w:ascii="Liberation Mono" w:eastAsia="Liberation Mono" w:hAnsi="Liberation Mono" w:cs="Liberation Mono"/>
    </w:rPr>
  </w:style>
  <w:style w:type="paragraph" w:styleId="ListParagraph">
    <w:name w:val="List Paragraph"/>
    <w:basedOn w:val="Normal"/>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3927</TotalTime>
  <Pages>11</Pages>
  <Words>2952</Words>
  <Characters>16833</Characters>
  <Application>Microsoft Office Word</Application>
  <DocSecurity>0</DocSecurity>
  <Lines>140</Lines>
  <Paragraphs>39</Paragraphs>
  <ScaleCrop>false</ScaleCrop>
  <Company>HP Inc.</Company>
  <LinksUpToDate>false</LinksUpToDate>
  <CharactersWithSpaces>19746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dc:creator>
  <dc:description/>
  <cp:lastModifiedBy>Caroline Rubince G.</cp:lastModifiedBy>
  <cp:revision>41</cp:revision>
  <cp:lastPrinted>2020-03-22T13:37:00Z</cp:lastPrinted>
  <dcterms:created xsi:type="dcterms:W3CDTF">2020-03-22T14:25:00Z</dcterms:created>
  <dcterms:modified xsi:type="dcterms:W3CDTF">2022-12-09T12:48:00Z</dcterms:modified>
  <dc:language>de-DE</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