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5C64" w:rsidRDefault="00FD5C64" w:rsidP="00FD5C64">
      <w:pPr>
        <w:jc w:val="both"/>
        <w:rPr>
          <w:b/>
          <w:sz w:val="28"/>
          <w:szCs w:val="28"/>
        </w:rPr>
      </w:pPr>
      <w:bookmarkStart w:id="0" w:name="_GoBack"/>
      <w:bookmarkEnd w:id="0"/>
      <w:r w:rsidRPr="00FD5C64">
        <w:rPr>
          <w:b/>
          <w:sz w:val="28"/>
          <w:szCs w:val="28"/>
        </w:rPr>
        <w:t xml:space="preserve">Supplementary online material: Method to </w:t>
      </w:r>
      <w:proofErr w:type="spellStart"/>
      <w:r w:rsidRPr="00FD5C64">
        <w:rPr>
          <w:b/>
          <w:sz w:val="28"/>
          <w:szCs w:val="28"/>
        </w:rPr>
        <w:t>analyse</w:t>
      </w:r>
      <w:proofErr w:type="spellEnd"/>
      <w:r w:rsidRPr="00FD5C64">
        <w:rPr>
          <w:b/>
          <w:sz w:val="28"/>
          <w:szCs w:val="28"/>
        </w:rPr>
        <w:t xml:space="preserve"> subtle differentiation in NDCs</w:t>
      </w:r>
    </w:p>
    <w:p w:rsidR="00FD5C64" w:rsidRPr="00FD5C64" w:rsidRDefault="00FD5C64" w:rsidP="00FD5C64">
      <w:pPr>
        <w:jc w:val="both"/>
        <w:rPr>
          <w:b/>
          <w:sz w:val="28"/>
          <w:szCs w:val="28"/>
        </w:rPr>
      </w:pPr>
    </w:p>
    <w:p w:rsidR="00FD5C64" w:rsidRDefault="00FD5C64" w:rsidP="00FD5C64">
      <w:pPr>
        <w:jc w:val="both"/>
      </w:pPr>
      <w:r>
        <w:t>The UN climate negotiations in Warsaw in 2013 invited all parties to submit their intended NDCs</w:t>
      </w:r>
      <w:r>
        <w:rPr>
          <w:rStyle w:val="Funotenzeichen"/>
        </w:rPr>
        <w:footnoteReference w:id="1"/>
      </w:r>
      <w:r>
        <w:t xml:space="preserve"> towards preventing dangerous anthropogenic climate change and to communicate these before the 2015 UN climate summit in Paris in a manner that facilitates clarity, transparency and understanding (UNFCCC, 2013, para. 1b). The UN climate negotiations in 2014 only provided limited additional guidance (Mbeva and Pauw, 2016). For example, countries were invited to consider to communicate about adaptation too (UNFCCC, 2014, para. 12), and Parties were asked to include information on how they considered their (intended) NDCs to be fair and ambitious, in light of their national circumstances (UNFCCC, 2014, para. 14). Overall, 128 NDCs include a specific section on how their NDC is fair and ambitious (Pauw et al., 2016), which highlights that countries deem it important to argue that their contribution is fair - even if there is no convergence on the underlying indicators that explain such fairness (see Winkler et al., 2018).</w:t>
      </w:r>
    </w:p>
    <w:p w:rsidR="00FD5C64" w:rsidRDefault="00FD5C64" w:rsidP="00FD5C64">
      <w:pPr>
        <w:jc w:val="both"/>
      </w:pPr>
      <w:r>
        <w:t xml:space="preserve"> </w:t>
      </w:r>
    </w:p>
    <w:p w:rsidR="00FD5C64" w:rsidRDefault="00FD5C64" w:rsidP="00FD5C64">
      <w:pPr>
        <w:jc w:val="both"/>
      </w:pPr>
      <w:r>
        <w:t xml:space="preserve">The analysis in this article is carried out along the key issues under subtle differentiation in the Paris Agreement (see Table 1), using specific proxies. For example, this article explores the type of mitigation commitment in NDCs, including whether LDCs and SIDS focus on policies and actions. However, it does not </w:t>
      </w:r>
      <w:proofErr w:type="spellStart"/>
      <w:r>
        <w:t>analyse</w:t>
      </w:r>
      <w:proofErr w:type="spellEnd"/>
      <w:r>
        <w:t xml:space="preserve"> whether LDCs and SIDS submit low-carbon development plans, strategies and actions, despite the subtle differentiation under Article 4.6, because it is not relevant for our analysis on consistency. With regard to adaptation (Article 7), this article analyses the inclusion of adaptation priority sectors as a proxy of whether adaptation is a ‘key’ component of and contribution to the response to climate change (see Article 6.6). On finance (Article 9), Article 9.2, 9.5, 9.7 and 9.9 cannot be meaningfully </w:t>
      </w:r>
      <w:proofErr w:type="spellStart"/>
      <w:r>
        <w:t>analysed</w:t>
      </w:r>
      <w:proofErr w:type="spellEnd"/>
      <w:r>
        <w:t xml:space="preserve"> in NDCs. This article therefore analyses whether NDCs include climate finance provision and reception as a proxy. The same holds for capacity building (Article 11). Subtle differentiation on technology transfer does not appear in the dedicated Article 10 (only in the preamble, Article 13.9 and 13.11). Technology transfer is also </w:t>
      </w:r>
      <w:proofErr w:type="spellStart"/>
      <w:r>
        <w:t>analysed</w:t>
      </w:r>
      <w:proofErr w:type="spellEnd"/>
      <w:r>
        <w:t xml:space="preserve"> with regard to the provision of/request for technology transfer. The only subject of subtle differentiation not covered in the analysis is the transparency framework, because only a few countries (e.g. Indonesia and Uruguay) refer to transparency in their NDCs.</w:t>
      </w:r>
    </w:p>
    <w:p w:rsidR="00FD5C64" w:rsidRDefault="00FD5C64" w:rsidP="00FD5C64">
      <w:pPr>
        <w:jc w:val="both"/>
      </w:pPr>
      <w:r>
        <w:t xml:space="preserve"> </w:t>
      </w:r>
    </w:p>
    <w:p w:rsidR="00FD5C64" w:rsidRDefault="00FD5C64" w:rsidP="00FD5C64">
      <w:pPr>
        <w:jc w:val="both"/>
      </w:pPr>
      <w:r>
        <w:t>This article does not provide detailed country analyses against subjective equity indicators. This would require an in-depth assessment of national circumstances, capacities, historical GHG emissions, emission reduction costs, and development needs of all 168 submitted NDCs. Instead, the article creates and compares three country categories. Such an approach proved feasible, for example when assessing the contents of NDCs on sustainable development (</w:t>
      </w:r>
      <w:proofErr w:type="spellStart"/>
      <w:r>
        <w:t>Makomere</w:t>
      </w:r>
      <w:proofErr w:type="spellEnd"/>
      <w:r>
        <w:t xml:space="preserve"> and Mbeva, 2018) and climate finance (Pauw et al., 2018), and as a feature to </w:t>
      </w:r>
      <w:proofErr w:type="spellStart"/>
      <w:r>
        <w:t>analyse</w:t>
      </w:r>
      <w:proofErr w:type="spellEnd"/>
      <w:r>
        <w:t xml:space="preserve"> and compare NDCs with the online tool ‘NDC Explorer’ (see Pauw et al., 2016). The data of this tool </w:t>
      </w:r>
      <w:proofErr w:type="gramStart"/>
      <w:r>
        <w:t>is based</w:t>
      </w:r>
      <w:proofErr w:type="gramEnd"/>
      <w:r>
        <w:t xml:space="preserve"> on NDC contents only, can be downloaded open access, and is used to carry out our analysis.</w:t>
      </w:r>
    </w:p>
    <w:p w:rsidR="00FD5C64" w:rsidRDefault="00FD5C64" w:rsidP="00FD5C64">
      <w:pPr>
        <w:jc w:val="both"/>
      </w:pPr>
      <w:r>
        <w:t xml:space="preserve"> </w:t>
      </w:r>
    </w:p>
    <w:p w:rsidR="00FD5C64" w:rsidRDefault="00FD5C64" w:rsidP="00FD5C64">
      <w:pPr>
        <w:spacing w:after="240"/>
        <w:jc w:val="both"/>
        <w:rPr>
          <w:rFonts w:ascii="Calibri" w:eastAsia="Calibri" w:hAnsi="Calibri" w:cs="Calibri"/>
          <w:sz w:val="36"/>
          <w:szCs w:val="36"/>
          <w:vertAlign w:val="superscript"/>
        </w:rPr>
      </w:pPr>
      <w:r>
        <w:t xml:space="preserve">Because the ‘developed countries’ category as used in the Paris Agreement is not formally defined, we use the Annex I Parties of the UNFCCC to reflect this group of countries. Although </w:t>
      </w:r>
      <w:r>
        <w:lastRenderedPageBreak/>
        <w:t xml:space="preserve">this narrow definition of ‘developed countries’ can be contested, we posit that no better alternative exists that would reflect the UNFCCC context. Using the list of OECD countries would exclude both Russia and the EU Member States of Lithuania and Croatia, because none of them </w:t>
      </w:r>
      <w:proofErr w:type="gramStart"/>
      <w:r>
        <w:t>are</w:t>
      </w:r>
      <w:proofErr w:type="gramEnd"/>
      <w:r>
        <w:t xml:space="preserve"> OECD member countries. The World Bank’s ‘high income countries’ (GNI per capita of $12,056 or more) is not a better alternative, because this group includes SIDS such as Singapore, the Seychelles and the Bahamas. The group of Annex I Parties includes 42 countries that have submitted 15 NDCs (the EU, as one party, represents 28 countries).</w:t>
      </w:r>
      <w:r>
        <w:rPr>
          <w:rStyle w:val="Funotenzeichen"/>
        </w:rPr>
        <w:footnoteReference w:id="2"/>
      </w:r>
    </w:p>
    <w:p w:rsidR="00FD5C64" w:rsidRDefault="00FD5C64" w:rsidP="00FD5C64">
      <w:pPr>
        <w:spacing w:after="240"/>
        <w:jc w:val="both"/>
      </w:pPr>
      <w:r>
        <w:t xml:space="preserve">The second category comprises 79 LDCs and SIDS, given the Paris Agreement’s frequent subtle differentiation with respect to these country groups (Table 1). The SIDS category consists of a group of low-lying islands and coastal states ‘united by the threat that climate change poses to their survival’ that ‘frequently adopt a common stance in negotiations’ (UNFCCC, 2019). The UNFCCC does not provide a list of SIDS. The article therefore draws on a list of SIDS from the UN Educational, Scientific and Cultural Organization, which includes 39 countries (UNESCO, 2018). </w:t>
      </w:r>
      <w:proofErr w:type="gramStart"/>
      <w:r>
        <w:t>LDCs are defined by the UN, based on three criteria</w:t>
      </w:r>
      <w:proofErr w:type="gramEnd"/>
      <w:r>
        <w:t xml:space="preserve">: per capita gross national income; human assets; and economic vulnerability to external shocks (UN-OHLLRS, 2019). Countries can graduate or </w:t>
      </w:r>
      <w:proofErr w:type="gramStart"/>
      <w:r>
        <w:t>be relegated</w:t>
      </w:r>
      <w:proofErr w:type="gramEnd"/>
      <w:r>
        <w:t>. For example, Samoa has graduated from the LDCs (UNFCCC, 2019). However, Samoa is still one of the SIDS, which demonstrates the overlap of the groups: eight countries in our analysis belong to both the SIDS and LDCs categories.</w:t>
      </w:r>
    </w:p>
    <w:p w:rsidR="00FD5C64" w:rsidRDefault="00FD5C64" w:rsidP="00FD5C64">
      <w:pPr>
        <w:jc w:val="both"/>
      </w:pPr>
      <w:r>
        <w:t xml:space="preserve">The third category comprises 65 ‘emerging countries’. This is a heterogeneous mixture of predominantly middle-income countries that fit neither of the above categories and </w:t>
      </w:r>
      <w:proofErr w:type="gramStart"/>
      <w:r>
        <w:t>are thus labelled</w:t>
      </w:r>
      <w:proofErr w:type="gramEnd"/>
      <w:r>
        <w:t xml:space="preserve"> by default. Arguably, a fourth or even a fifth category of countries could be created based the Paris Agreement’s subtle differentiation towards countries whose economies are highly dependent on their fossil fuel industry (see Article 4.15, as well as Article 4.8 of the Convention (see Table 2)) or ‘other’ (non-developed) countries that provide support voluntarily (see Article 9.2, 9.5, 9.7, 13.9). However, no additional categories were created because these groups would be small, not clearly delineated, their position between the other groups would be unclear, and the differentiation applies only to a limited number of issues in the Paris Agreement.</w:t>
      </w:r>
    </w:p>
    <w:p w:rsidR="00FD5C64" w:rsidRDefault="00FD5C64" w:rsidP="00FD5C64">
      <w:pPr>
        <w:jc w:val="both"/>
      </w:pPr>
      <w:r>
        <w:t xml:space="preserve"> </w:t>
      </w:r>
    </w:p>
    <w:p w:rsidR="00FD5C64" w:rsidRDefault="00FD5C64" w:rsidP="00FD5C64">
      <w:pPr>
        <w:jc w:val="both"/>
      </w:pPr>
      <w:r>
        <w:t xml:space="preserve">Discernible cascading outcomes between the three country categories demonstrates self-differentiation through NDCs that could be consistent with the Paris Agreement’s subtle differentiation. By contrast, in the case where emerging countries and LDCs and SIDS would be on the same level as other countries (meaning no cascading </w:t>
      </w:r>
      <w:proofErr w:type="gramStart"/>
      <w:r>
        <w:t>can be observed</w:t>
      </w:r>
      <w:proofErr w:type="gramEnd"/>
      <w:r>
        <w:t>), differentiation continues to be dichotomous.</w:t>
      </w:r>
    </w:p>
    <w:p w:rsidR="00FD5C64" w:rsidRDefault="00FD5C64" w:rsidP="00FD5C64">
      <w:pPr>
        <w:jc w:val="both"/>
      </w:pPr>
      <w:r>
        <w:t xml:space="preserve"> </w:t>
      </w:r>
    </w:p>
    <w:p w:rsidR="00FD5C64" w:rsidRDefault="00FD5C64" w:rsidP="00FD5C64">
      <w:pPr>
        <w:jc w:val="both"/>
      </w:pPr>
      <w:r>
        <w:t xml:space="preserve">This method has some limitations. It is crude, as we are not in a position to judge what ideal cascading would look like. This is bound by the issues (for instance, mitigation, adaptation and the provision of climate finance are very different in their nature), and the fact that we use proxies, because NDCs vary significantly in scope and content. Concomitantly, we preferred data visualization </w:t>
      </w:r>
      <w:proofErr w:type="gramStart"/>
      <w:r>
        <w:t>over</w:t>
      </w:r>
      <w:proofErr w:type="gramEnd"/>
      <w:r>
        <w:t xml:space="preserve"> statistical inference. Apart from more intuitive interpretation, the latter would require a quantification of the qualitative contents of Figures 1 and 3-</w:t>
      </w:r>
      <w:proofErr w:type="gramStart"/>
      <w:r>
        <w:t>6 which</w:t>
      </w:r>
      <w:proofErr w:type="gramEnd"/>
      <w:r>
        <w:t>, in our view, would be questionable.</w:t>
      </w:r>
    </w:p>
    <w:p w:rsidR="00FD5C64" w:rsidRDefault="00FD5C64" w:rsidP="00FD5C64">
      <w:pPr>
        <w:rPr>
          <w:b/>
          <w:sz w:val="34"/>
          <w:szCs w:val="34"/>
        </w:rPr>
      </w:pPr>
    </w:p>
    <w:p w:rsidR="00FD5C64" w:rsidRDefault="00FD5C64" w:rsidP="00FD5C64">
      <w:pPr>
        <w:rPr>
          <w:sz w:val="20"/>
          <w:szCs w:val="20"/>
        </w:rPr>
      </w:pPr>
      <w:r>
        <w:rPr>
          <w:sz w:val="20"/>
          <w:szCs w:val="20"/>
        </w:rPr>
        <w:t>Table 2: subtle differentiation in the 1992 UNFCCC, 1997 Kyoto Protocol and the 2009 Copenhagen Agreement (source: own compilation).</w:t>
      </w:r>
    </w:p>
    <w:tbl>
      <w:tblPr>
        <w:tblW w:w="9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57" w:type="dxa"/>
          <w:left w:w="85" w:type="dxa"/>
          <w:bottom w:w="57" w:type="dxa"/>
          <w:right w:w="85" w:type="dxa"/>
        </w:tblCellMar>
        <w:tblLook w:val="0600" w:firstRow="0" w:lastRow="0" w:firstColumn="0" w:lastColumn="0" w:noHBand="1" w:noVBand="1"/>
      </w:tblPr>
      <w:tblGrid>
        <w:gridCol w:w="557"/>
        <w:gridCol w:w="993"/>
        <w:gridCol w:w="3827"/>
        <w:gridCol w:w="3743"/>
      </w:tblGrid>
      <w:tr w:rsidR="00FD5C64" w:rsidTr="00D27B07">
        <w:trPr>
          <w:trHeight w:val="424"/>
        </w:trPr>
        <w:tc>
          <w:tcPr>
            <w:tcW w:w="55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D5C64" w:rsidRDefault="00FD5C64" w:rsidP="00D27B07">
            <w:pPr>
              <w:rPr>
                <w:rFonts w:ascii="Cambria" w:eastAsia="Cambria" w:hAnsi="Cambria" w:cs="Cambria"/>
              </w:rPr>
            </w:pPr>
            <w:r>
              <w:rPr>
                <w:rFonts w:ascii="Cambria" w:eastAsia="Cambria" w:hAnsi="Cambria" w:cs="Cambria"/>
              </w:rPr>
              <w:t xml:space="preserve"> </w:t>
            </w:r>
          </w:p>
        </w:tc>
        <w:tc>
          <w:tcPr>
            <w:tcW w:w="993" w:type="dxa"/>
            <w:tcBorders>
              <w:top w:val="single" w:sz="8" w:space="0" w:color="000000"/>
              <w:bottom w:val="single" w:sz="8" w:space="0" w:color="000000"/>
              <w:right w:val="single" w:sz="8" w:space="0" w:color="000000"/>
            </w:tcBorders>
            <w:tcMar>
              <w:top w:w="100" w:type="dxa"/>
              <w:left w:w="100" w:type="dxa"/>
              <w:bottom w:w="100" w:type="dxa"/>
              <w:right w:w="100" w:type="dxa"/>
            </w:tcMar>
          </w:tcPr>
          <w:p w:rsidR="00FD5C64" w:rsidRDefault="00FD5C64" w:rsidP="00D27B07">
            <w:pPr>
              <w:rPr>
                <w:rFonts w:ascii="Calibri" w:eastAsia="Calibri" w:hAnsi="Calibri" w:cs="Calibri"/>
                <w:b/>
              </w:rPr>
            </w:pPr>
            <w:r>
              <w:rPr>
                <w:rFonts w:ascii="Calibri" w:eastAsia="Calibri" w:hAnsi="Calibri" w:cs="Calibri"/>
                <w:b/>
              </w:rPr>
              <w:t>Article</w:t>
            </w:r>
          </w:p>
        </w:tc>
        <w:tc>
          <w:tcPr>
            <w:tcW w:w="3827" w:type="dxa"/>
            <w:tcBorders>
              <w:top w:val="single" w:sz="8" w:space="0" w:color="000000"/>
              <w:bottom w:val="single" w:sz="8" w:space="0" w:color="000000"/>
              <w:right w:val="single" w:sz="8" w:space="0" w:color="000000"/>
            </w:tcBorders>
            <w:tcMar>
              <w:top w:w="100" w:type="dxa"/>
              <w:left w:w="100" w:type="dxa"/>
              <w:bottom w:w="100" w:type="dxa"/>
              <w:right w:w="100" w:type="dxa"/>
            </w:tcMar>
          </w:tcPr>
          <w:p w:rsidR="00FD5C64" w:rsidRDefault="00FD5C64" w:rsidP="00D27B07">
            <w:pPr>
              <w:rPr>
                <w:rFonts w:ascii="Calibri" w:eastAsia="Calibri" w:hAnsi="Calibri" w:cs="Calibri"/>
                <w:b/>
              </w:rPr>
            </w:pPr>
            <w:r>
              <w:rPr>
                <w:rFonts w:ascii="Calibri" w:eastAsia="Calibri" w:hAnsi="Calibri" w:cs="Calibri"/>
                <w:b/>
              </w:rPr>
              <w:t>Subtle differentiation with respect to</w:t>
            </w:r>
          </w:p>
        </w:tc>
        <w:tc>
          <w:tcPr>
            <w:tcW w:w="3743" w:type="dxa"/>
            <w:tcBorders>
              <w:top w:val="single" w:sz="8" w:space="0" w:color="000000"/>
              <w:bottom w:val="single" w:sz="8" w:space="0" w:color="000000"/>
              <w:right w:val="single" w:sz="8" w:space="0" w:color="000000"/>
            </w:tcBorders>
            <w:tcMar>
              <w:top w:w="100" w:type="dxa"/>
              <w:left w:w="100" w:type="dxa"/>
              <w:bottom w:w="100" w:type="dxa"/>
              <w:right w:w="100" w:type="dxa"/>
            </w:tcMar>
          </w:tcPr>
          <w:p w:rsidR="00FD5C64" w:rsidRDefault="00FD5C64" w:rsidP="00D27B07">
            <w:pPr>
              <w:rPr>
                <w:rFonts w:ascii="Calibri" w:eastAsia="Calibri" w:hAnsi="Calibri" w:cs="Calibri"/>
                <w:b/>
              </w:rPr>
            </w:pPr>
            <w:r>
              <w:rPr>
                <w:rFonts w:ascii="Calibri" w:eastAsia="Calibri" w:hAnsi="Calibri" w:cs="Calibri"/>
                <w:b/>
              </w:rPr>
              <w:t>Subject and context of subtle differentiation</w:t>
            </w:r>
          </w:p>
        </w:tc>
      </w:tr>
      <w:tr w:rsidR="00FD5C64" w:rsidTr="00D27B07">
        <w:trPr>
          <w:trHeight w:val="300"/>
        </w:trPr>
        <w:tc>
          <w:tcPr>
            <w:tcW w:w="557" w:type="dxa"/>
            <w:vMerge w:val="restart"/>
            <w:tcBorders>
              <w:left w:val="single" w:sz="8" w:space="0" w:color="000000"/>
              <w:bottom w:val="single" w:sz="8" w:space="0" w:color="000000"/>
              <w:right w:val="single" w:sz="8" w:space="0" w:color="000000"/>
            </w:tcBorders>
            <w:tcMar>
              <w:top w:w="100" w:type="dxa"/>
              <w:left w:w="100" w:type="dxa"/>
              <w:bottom w:w="100" w:type="dxa"/>
              <w:right w:w="100" w:type="dxa"/>
            </w:tcMar>
            <w:textDirection w:val="btLr"/>
          </w:tcPr>
          <w:p w:rsidR="00FD5C64" w:rsidRDefault="00FD5C64" w:rsidP="00D27B07">
            <w:pPr>
              <w:ind w:left="120" w:right="120"/>
              <w:jc w:val="center"/>
              <w:rPr>
                <w:rFonts w:ascii="Calibri" w:eastAsia="Calibri" w:hAnsi="Calibri" w:cs="Calibri"/>
                <w:b/>
                <w:sz w:val="20"/>
                <w:szCs w:val="20"/>
              </w:rPr>
            </w:pPr>
            <w:r>
              <w:rPr>
                <w:rFonts w:ascii="Calibri" w:eastAsia="Calibri" w:hAnsi="Calibri" w:cs="Calibri"/>
                <w:b/>
                <w:sz w:val="20"/>
                <w:szCs w:val="20"/>
              </w:rPr>
              <w:t>Framework Convention on Climate Change (25 pages)</w:t>
            </w:r>
          </w:p>
        </w:tc>
        <w:tc>
          <w:tcPr>
            <w:tcW w:w="993" w:type="dxa"/>
            <w:tcBorders>
              <w:bottom w:val="single" w:sz="8" w:space="0" w:color="000000"/>
              <w:right w:val="single" w:sz="8" w:space="0" w:color="000000"/>
            </w:tcBorders>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Preamble</w:t>
            </w:r>
          </w:p>
        </w:tc>
        <w:tc>
          <w:tcPr>
            <w:tcW w:w="3827" w:type="dxa"/>
            <w:tcBorders>
              <w:bottom w:val="single" w:sz="8" w:space="0" w:color="000000"/>
              <w:right w:val="single" w:sz="8" w:space="0" w:color="000000"/>
            </w:tcBorders>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Islands and coastal areas, particularly low-lying coastal areas</w:t>
            </w:r>
          </w:p>
        </w:tc>
        <w:tc>
          <w:tcPr>
            <w:tcW w:w="3743" w:type="dxa"/>
            <w:tcBorders>
              <w:bottom w:val="single" w:sz="8" w:space="0" w:color="000000"/>
              <w:right w:val="single" w:sz="8" w:space="0" w:color="000000"/>
            </w:tcBorders>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Impacts of climate change</w:t>
            </w:r>
          </w:p>
        </w:tc>
      </w:tr>
      <w:tr w:rsidR="00FD5C64" w:rsidTr="00D27B07">
        <w:trPr>
          <w:trHeight w:val="1004"/>
        </w:trPr>
        <w:tc>
          <w:tcPr>
            <w:tcW w:w="557"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jc w:val="center"/>
            </w:pPr>
          </w:p>
        </w:tc>
        <w:tc>
          <w:tcPr>
            <w:tcW w:w="993"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Preamble</w:t>
            </w:r>
          </w:p>
        </w:tc>
        <w:tc>
          <w:tcPr>
            <w:tcW w:w="3827"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Low-lying and other small island countries; countries with low-lying coastal; arid and semi-arid areas or areas liable to floods, drought and desertification; developing countries with fragile mountainous ecosystems</w:t>
            </w:r>
          </w:p>
        </w:tc>
        <w:tc>
          <w:tcPr>
            <w:tcW w:w="3743"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Impacts of climate change</w:t>
            </w:r>
          </w:p>
        </w:tc>
      </w:tr>
      <w:tr w:rsidR="00FD5C64" w:rsidTr="00D27B07">
        <w:trPr>
          <w:trHeight w:val="658"/>
        </w:trPr>
        <w:tc>
          <w:tcPr>
            <w:tcW w:w="557"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jc w:val="center"/>
            </w:pPr>
          </w:p>
        </w:tc>
        <w:tc>
          <w:tcPr>
            <w:tcW w:w="993"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Preamble</w:t>
            </w:r>
          </w:p>
        </w:tc>
        <w:tc>
          <w:tcPr>
            <w:tcW w:w="3827"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Developing countries whose economies are particularly dependent on fossil fuel production, use and exportation</w:t>
            </w:r>
          </w:p>
        </w:tc>
        <w:tc>
          <w:tcPr>
            <w:tcW w:w="3743"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Special difficulties as a consequence of action to limit GHG emissions</w:t>
            </w:r>
          </w:p>
        </w:tc>
      </w:tr>
      <w:tr w:rsidR="00FD5C64" w:rsidTr="00D27B07">
        <w:trPr>
          <w:trHeight w:val="543"/>
        </w:trPr>
        <w:tc>
          <w:tcPr>
            <w:tcW w:w="557"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jc w:val="center"/>
            </w:pPr>
          </w:p>
        </w:tc>
        <w:tc>
          <w:tcPr>
            <w:tcW w:w="993"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3.2</w:t>
            </w:r>
          </w:p>
        </w:tc>
        <w:tc>
          <w:tcPr>
            <w:tcW w:w="3827"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Particularly vulnerable countries; Countries, especially developing countries that would bear a disproportionate or abnormal burden</w:t>
            </w:r>
          </w:p>
        </w:tc>
        <w:tc>
          <w:tcPr>
            <w:tcW w:w="3743"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Full consideration for these countries</w:t>
            </w:r>
          </w:p>
        </w:tc>
      </w:tr>
      <w:tr w:rsidR="00FD5C64" w:rsidTr="00D27B07">
        <w:trPr>
          <w:trHeight w:val="1408"/>
        </w:trPr>
        <w:tc>
          <w:tcPr>
            <w:tcW w:w="557"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jc w:val="center"/>
            </w:pPr>
          </w:p>
        </w:tc>
        <w:tc>
          <w:tcPr>
            <w:tcW w:w="993"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4.1(e)</w:t>
            </w:r>
          </w:p>
        </w:tc>
        <w:tc>
          <w:tcPr>
            <w:tcW w:w="3827"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Particularly in Africa, affected by drought and desertification, as well as floods</w:t>
            </w:r>
          </w:p>
        </w:tc>
        <w:tc>
          <w:tcPr>
            <w:tcW w:w="3743"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Cooperate in preparing for adaptation; develop</w:t>
            </w:r>
          </w:p>
          <w:p w:rsidR="00FD5C64" w:rsidRDefault="00FD5C64" w:rsidP="00D27B07">
            <w:pPr>
              <w:rPr>
                <w:rFonts w:ascii="Calibri" w:eastAsia="Calibri" w:hAnsi="Calibri" w:cs="Calibri"/>
                <w:sz w:val="18"/>
                <w:szCs w:val="18"/>
              </w:rPr>
            </w:pPr>
            <w:r>
              <w:rPr>
                <w:rFonts w:ascii="Calibri" w:eastAsia="Calibri" w:hAnsi="Calibri" w:cs="Calibri"/>
                <w:sz w:val="18"/>
                <w:szCs w:val="18"/>
              </w:rPr>
              <w:t xml:space="preserve">and elaborate (...) plans for coastal zone management, water resources and agriculture, and for the protection and rehabilitation of areas </w:t>
            </w:r>
          </w:p>
        </w:tc>
      </w:tr>
      <w:tr w:rsidR="00FD5C64" w:rsidTr="00D27B07">
        <w:trPr>
          <w:trHeight w:val="680"/>
        </w:trPr>
        <w:tc>
          <w:tcPr>
            <w:tcW w:w="557"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jc w:val="center"/>
            </w:pPr>
          </w:p>
        </w:tc>
        <w:tc>
          <w:tcPr>
            <w:tcW w:w="993"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4.6</w:t>
            </w:r>
          </w:p>
        </w:tc>
        <w:tc>
          <w:tcPr>
            <w:tcW w:w="3827"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Annex I countries undergoing a transition to a market economy</w:t>
            </w:r>
          </w:p>
        </w:tc>
        <w:tc>
          <w:tcPr>
            <w:tcW w:w="3743"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Mitigation: flexibility in implementation</w:t>
            </w:r>
          </w:p>
        </w:tc>
      </w:tr>
      <w:tr w:rsidR="00FD5C64" w:rsidTr="00D27B07">
        <w:trPr>
          <w:trHeight w:val="2780"/>
        </w:trPr>
        <w:tc>
          <w:tcPr>
            <w:tcW w:w="557"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jc w:val="center"/>
            </w:pPr>
          </w:p>
        </w:tc>
        <w:tc>
          <w:tcPr>
            <w:tcW w:w="993"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4.8</w:t>
            </w:r>
          </w:p>
        </w:tc>
        <w:tc>
          <w:tcPr>
            <w:tcW w:w="3827"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Small island countries; countries with low-lying coastal areas; countries with arid and semi-arid areas, forested areas and areas liable to forests; countries with areas prone to natural disasters, countries with areas liable to drought and desertification; countries with areas of high urban atmospheric pollution; countries with areas with fragile ecosystems, including mountainous ecosystems; countries whose economies are highly dependent on fossil fuels; landlocked and transit countries</w:t>
            </w:r>
          </w:p>
        </w:tc>
        <w:tc>
          <w:tcPr>
            <w:tcW w:w="3743"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-Impacts of climate change</w:t>
            </w:r>
          </w:p>
          <w:p w:rsidR="00FD5C64" w:rsidRDefault="00FD5C64" w:rsidP="00D27B07">
            <w:pPr>
              <w:rPr>
                <w:rFonts w:ascii="Calibri" w:eastAsia="Calibri" w:hAnsi="Calibri" w:cs="Calibri"/>
                <w:sz w:val="18"/>
                <w:szCs w:val="18"/>
              </w:rPr>
            </w:pPr>
            <w:r>
              <w:rPr>
                <w:rFonts w:ascii="Calibri" w:eastAsia="Calibri" w:hAnsi="Calibri" w:cs="Calibri"/>
                <w:sz w:val="18"/>
                <w:szCs w:val="18"/>
              </w:rPr>
              <w:t>-Mitigation: impacts of mitigation measures on economies</w:t>
            </w:r>
          </w:p>
        </w:tc>
      </w:tr>
      <w:tr w:rsidR="00FD5C64" w:rsidTr="00D27B07">
        <w:trPr>
          <w:trHeight w:val="20"/>
        </w:trPr>
        <w:tc>
          <w:tcPr>
            <w:tcW w:w="557"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jc w:val="center"/>
            </w:pPr>
          </w:p>
        </w:tc>
        <w:tc>
          <w:tcPr>
            <w:tcW w:w="993"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4.9</w:t>
            </w:r>
          </w:p>
        </w:tc>
        <w:tc>
          <w:tcPr>
            <w:tcW w:w="3827"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LDCs</w:t>
            </w:r>
          </w:p>
        </w:tc>
        <w:tc>
          <w:tcPr>
            <w:tcW w:w="3743"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Finance and technology transfer</w:t>
            </w:r>
          </w:p>
        </w:tc>
      </w:tr>
      <w:tr w:rsidR="00FD5C64" w:rsidTr="00D27B07">
        <w:trPr>
          <w:trHeight w:val="529"/>
        </w:trPr>
        <w:tc>
          <w:tcPr>
            <w:tcW w:w="557"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jc w:val="center"/>
            </w:pPr>
          </w:p>
        </w:tc>
        <w:tc>
          <w:tcPr>
            <w:tcW w:w="993"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4.10</w:t>
            </w:r>
          </w:p>
        </w:tc>
        <w:tc>
          <w:tcPr>
            <w:tcW w:w="3827"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Countries with economies that are vulnerable to the adverse effects of the implementation of measures to respond to climate change.</w:t>
            </w:r>
          </w:p>
        </w:tc>
        <w:tc>
          <w:tcPr>
            <w:tcW w:w="3743"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Mitigation: impacts of mitigation measures on economies</w:t>
            </w:r>
          </w:p>
        </w:tc>
      </w:tr>
      <w:tr w:rsidR="00FD5C64" w:rsidTr="00D27B07">
        <w:trPr>
          <w:trHeight w:val="440"/>
        </w:trPr>
        <w:tc>
          <w:tcPr>
            <w:tcW w:w="557" w:type="dxa"/>
            <w:vMerge w:val="restart"/>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extDirection w:val="btLr"/>
          </w:tcPr>
          <w:p w:rsidR="00FD5C64" w:rsidRDefault="00FD5C64" w:rsidP="00D27B07">
            <w:pPr>
              <w:ind w:left="120" w:right="120"/>
              <w:jc w:val="center"/>
              <w:rPr>
                <w:rFonts w:ascii="Calibri" w:eastAsia="Calibri" w:hAnsi="Calibri" w:cs="Calibri"/>
                <w:b/>
                <w:sz w:val="20"/>
                <w:szCs w:val="20"/>
              </w:rPr>
            </w:pPr>
            <w:r>
              <w:rPr>
                <w:rFonts w:ascii="Calibri" w:eastAsia="Calibri" w:hAnsi="Calibri" w:cs="Calibri"/>
                <w:b/>
                <w:sz w:val="20"/>
                <w:szCs w:val="20"/>
              </w:rPr>
              <w:t>Kyoto Protocol (21 pages)</w:t>
            </w:r>
          </w:p>
        </w:tc>
        <w:tc>
          <w:tcPr>
            <w:tcW w:w="993"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2.3</w:t>
            </w:r>
          </w:p>
        </w:tc>
        <w:tc>
          <w:tcPr>
            <w:tcW w:w="3827"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(Reference to UNFCCC Art 4.8 and 4.9)</w:t>
            </w:r>
          </w:p>
        </w:tc>
        <w:tc>
          <w:tcPr>
            <w:tcW w:w="3743"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Mitigation: while implementing and/or further elaborating policies and measures, Annex I Parties shall strive to minimize adverse effects on other Parties</w:t>
            </w:r>
          </w:p>
        </w:tc>
      </w:tr>
      <w:tr w:rsidR="00FD5C64" w:rsidTr="00D27B07">
        <w:trPr>
          <w:trHeight w:val="210"/>
        </w:trPr>
        <w:tc>
          <w:tcPr>
            <w:tcW w:w="557"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jc w:val="center"/>
            </w:pPr>
          </w:p>
        </w:tc>
        <w:tc>
          <w:tcPr>
            <w:tcW w:w="993"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4.5</w:t>
            </w:r>
          </w:p>
        </w:tc>
        <w:tc>
          <w:tcPr>
            <w:tcW w:w="3827"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Annex I countries undergoing a transition to a market economy</w:t>
            </w:r>
          </w:p>
        </w:tc>
        <w:tc>
          <w:tcPr>
            <w:tcW w:w="3743"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Mitigation: base year for emissions</w:t>
            </w:r>
          </w:p>
        </w:tc>
      </w:tr>
      <w:tr w:rsidR="00FD5C64" w:rsidTr="00D27B07">
        <w:trPr>
          <w:trHeight w:val="64"/>
        </w:trPr>
        <w:tc>
          <w:tcPr>
            <w:tcW w:w="557"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jc w:val="center"/>
            </w:pPr>
          </w:p>
        </w:tc>
        <w:tc>
          <w:tcPr>
            <w:tcW w:w="993"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4.6</w:t>
            </w:r>
          </w:p>
        </w:tc>
        <w:tc>
          <w:tcPr>
            <w:tcW w:w="3827"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Annex I countries undergoing a transition to a market economy</w:t>
            </w:r>
          </w:p>
        </w:tc>
        <w:tc>
          <w:tcPr>
            <w:tcW w:w="3743"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Mitigation: flexibility in implementation</w:t>
            </w:r>
          </w:p>
        </w:tc>
      </w:tr>
      <w:tr w:rsidR="00FD5C64" w:rsidTr="00D27B07">
        <w:trPr>
          <w:trHeight w:val="440"/>
        </w:trPr>
        <w:tc>
          <w:tcPr>
            <w:tcW w:w="557"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jc w:val="center"/>
            </w:pPr>
          </w:p>
        </w:tc>
        <w:tc>
          <w:tcPr>
            <w:tcW w:w="993"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10</w:t>
            </w:r>
          </w:p>
        </w:tc>
        <w:tc>
          <w:tcPr>
            <w:tcW w:w="3827"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 xml:space="preserve">(Reference to UNFCCC Art 4.1. See </w:t>
            </w:r>
            <w:proofErr w:type="gramStart"/>
            <w:r>
              <w:rPr>
                <w:rFonts w:ascii="Calibri" w:eastAsia="Calibri" w:hAnsi="Calibri" w:cs="Calibri"/>
                <w:sz w:val="18"/>
                <w:szCs w:val="18"/>
              </w:rPr>
              <w:t>above:</w:t>
            </w:r>
            <w:proofErr w:type="gramEnd"/>
            <w:r>
              <w:rPr>
                <w:rFonts w:ascii="Calibri" w:eastAsia="Calibri" w:hAnsi="Calibri" w:cs="Calibri"/>
                <w:sz w:val="18"/>
                <w:szCs w:val="18"/>
              </w:rPr>
              <w:t xml:space="preserve"> 4.1(e) is the only paragraph of Art. 4 that includes subtle differentiation)</w:t>
            </w:r>
          </w:p>
        </w:tc>
        <w:tc>
          <w:tcPr>
            <w:tcW w:w="3743"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 xml:space="preserve">E.g. improving national inventories, update national </w:t>
            </w:r>
            <w:proofErr w:type="spellStart"/>
            <w:r>
              <w:rPr>
                <w:rFonts w:ascii="Calibri" w:eastAsia="Calibri" w:hAnsi="Calibri" w:cs="Calibri"/>
                <w:sz w:val="18"/>
                <w:szCs w:val="18"/>
              </w:rPr>
              <w:t>programmes</w:t>
            </w:r>
            <w:proofErr w:type="spellEnd"/>
            <w:r>
              <w:rPr>
                <w:rFonts w:ascii="Calibri" w:eastAsia="Calibri" w:hAnsi="Calibri" w:cs="Calibri"/>
                <w:sz w:val="18"/>
                <w:szCs w:val="18"/>
              </w:rPr>
              <w:t xml:space="preserve"> on mitigation and adaptation; transfer of technologies; observation systems and development of data archives  </w:t>
            </w:r>
          </w:p>
        </w:tc>
      </w:tr>
      <w:tr w:rsidR="00FD5C64" w:rsidTr="00D27B07">
        <w:trPr>
          <w:trHeight w:val="440"/>
        </w:trPr>
        <w:tc>
          <w:tcPr>
            <w:tcW w:w="557"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jc w:val="center"/>
            </w:pPr>
          </w:p>
        </w:tc>
        <w:tc>
          <w:tcPr>
            <w:tcW w:w="993"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11.1</w:t>
            </w:r>
          </w:p>
        </w:tc>
        <w:tc>
          <w:tcPr>
            <w:tcW w:w="3827"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(Reference to UNFCCC Art 4.8 and 4.9. See above)</w:t>
            </w:r>
          </w:p>
        </w:tc>
        <w:tc>
          <w:tcPr>
            <w:tcW w:w="3743"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Finance: new and additional financial resources, including for the transfer of technology, taking into account adequacy and predictability</w:t>
            </w:r>
          </w:p>
        </w:tc>
      </w:tr>
      <w:tr w:rsidR="00FD5C64" w:rsidTr="00D27B07">
        <w:trPr>
          <w:trHeight w:val="440"/>
        </w:trPr>
        <w:tc>
          <w:tcPr>
            <w:tcW w:w="557"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jc w:val="center"/>
            </w:pPr>
          </w:p>
        </w:tc>
        <w:tc>
          <w:tcPr>
            <w:tcW w:w="993"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11.2</w:t>
            </w:r>
          </w:p>
        </w:tc>
        <w:tc>
          <w:tcPr>
            <w:tcW w:w="3827"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 xml:space="preserve">(Reference to UNFCCC Art 4.1. See </w:t>
            </w:r>
            <w:proofErr w:type="gramStart"/>
            <w:r>
              <w:rPr>
                <w:rFonts w:ascii="Calibri" w:eastAsia="Calibri" w:hAnsi="Calibri" w:cs="Calibri"/>
                <w:sz w:val="18"/>
                <w:szCs w:val="18"/>
              </w:rPr>
              <w:t>above:</w:t>
            </w:r>
            <w:proofErr w:type="gramEnd"/>
            <w:r>
              <w:rPr>
                <w:rFonts w:ascii="Calibri" w:eastAsia="Calibri" w:hAnsi="Calibri" w:cs="Calibri"/>
                <w:sz w:val="18"/>
                <w:szCs w:val="18"/>
              </w:rPr>
              <w:t xml:space="preserve"> 4.1(e) is the only paragraph of Art. 4 that includes subtle differentiation)</w:t>
            </w:r>
          </w:p>
        </w:tc>
        <w:tc>
          <w:tcPr>
            <w:tcW w:w="3743"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Finance: new and additional financial resources, including for the transfer of technology, taking into account adequacy and predictability</w:t>
            </w:r>
          </w:p>
        </w:tc>
      </w:tr>
      <w:tr w:rsidR="00FD5C64" w:rsidTr="00D27B07">
        <w:trPr>
          <w:trHeight w:val="20"/>
        </w:trPr>
        <w:tc>
          <w:tcPr>
            <w:tcW w:w="557"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jc w:val="center"/>
            </w:pPr>
          </w:p>
        </w:tc>
        <w:tc>
          <w:tcPr>
            <w:tcW w:w="993"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12.8</w:t>
            </w:r>
          </w:p>
        </w:tc>
        <w:tc>
          <w:tcPr>
            <w:tcW w:w="3827"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Particularly vulnerable countries</w:t>
            </w:r>
          </w:p>
        </w:tc>
        <w:tc>
          <w:tcPr>
            <w:tcW w:w="3743"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Finance: for adaptation</w:t>
            </w:r>
          </w:p>
        </w:tc>
      </w:tr>
      <w:tr w:rsidR="00FD5C64" w:rsidTr="00D27B07">
        <w:trPr>
          <w:trHeight w:val="311"/>
        </w:trPr>
        <w:tc>
          <w:tcPr>
            <w:tcW w:w="557" w:type="dxa"/>
            <w:vMerge w:val="restart"/>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extDirection w:val="btLr"/>
          </w:tcPr>
          <w:p w:rsidR="00FD5C64" w:rsidRDefault="00FD5C64" w:rsidP="00D27B07">
            <w:pPr>
              <w:ind w:left="120" w:right="120"/>
              <w:jc w:val="center"/>
              <w:rPr>
                <w:rFonts w:ascii="Calibri" w:eastAsia="Calibri" w:hAnsi="Calibri" w:cs="Calibri"/>
                <w:b/>
                <w:sz w:val="20"/>
                <w:szCs w:val="20"/>
              </w:rPr>
            </w:pPr>
            <w:r>
              <w:rPr>
                <w:rFonts w:ascii="Calibri" w:eastAsia="Calibri" w:hAnsi="Calibri" w:cs="Calibri"/>
                <w:b/>
                <w:sz w:val="20"/>
                <w:szCs w:val="20"/>
              </w:rPr>
              <w:t>Copenhagen Accord (3 pages)</w:t>
            </w:r>
          </w:p>
        </w:tc>
        <w:tc>
          <w:tcPr>
            <w:tcW w:w="993"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1</w:t>
            </w:r>
          </w:p>
        </w:tc>
        <w:tc>
          <w:tcPr>
            <w:tcW w:w="3827"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Particularly vulnerable countries</w:t>
            </w:r>
          </w:p>
        </w:tc>
        <w:tc>
          <w:tcPr>
            <w:tcW w:w="3743"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Recognition of impacts</w:t>
            </w:r>
          </w:p>
        </w:tc>
      </w:tr>
      <w:tr w:rsidR="00FD5C64" w:rsidTr="00D27B07">
        <w:trPr>
          <w:trHeight w:val="205"/>
        </w:trPr>
        <w:tc>
          <w:tcPr>
            <w:tcW w:w="557"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tc>
        <w:tc>
          <w:tcPr>
            <w:tcW w:w="993"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3</w:t>
            </w:r>
          </w:p>
        </w:tc>
        <w:tc>
          <w:tcPr>
            <w:tcW w:w="3827"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LDCs, SIDS, Africa</w:t>
            </w:r>
          </w:p>
        </w:tc>
        <w:tc>
          <w:tcPr>
            <w:tcW w:w="3743"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Adaptation: enable and support implementation</w:t>
            </w:r>
          </w:p>
        </w:tc>
      </w:tr>
      <w:tr w:rsidR="00FD5C64" w:rsidTr="00D27B07">
        <w:trPr>
          <w:trHeight w:val="510"/>
        </w:trPr>
        <w:tc>
          <w:tcPr>
            <w:tcW w:w="557"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tc>
        <w:tc>
          <w:tcPr>
            <w:tcW w:w="993"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5</w:t>
            </w:r>
          </w:p>
        </w:tc>
        <w:tc>
          <w:tcPr>
            <w:tcW w:w="3827"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LDCs, SIDS</w:t>
            </w:r>
          </w:p>
        </w:tc>
        <w:tc>
          <w:tcPr>
            <w:tcW w:w="3743"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Mitigation: voluntary action on basis of support</w:t>
            </w:r>
          </w:p>
        </w:tc>
      </w:tr>
      <w:tr w:rsidR="00FD5C64" w:rsidTr="00D27B07">
        <w:trPr>
          <w:trHeight w:val="364"/>
        </w:trPr>
        <w:tc>
          <w:tcPr>
            <w:tcW w:w="557"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tc>
        <w:tc>
          <w:tcPr>
            <w:tcW w:w="993"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7</w:t>
            </w:r>
          </w:p>
        </w:tc>
        <w:tc>
          <w:tcPr>
            <w:tcW w:w="3827"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Low-emitting economies</w:t>
            </w:r>
          </w:p>
        </w:tc>
        <w:tc>
          <w:tcPr>
            <w:tcW w:w="3743"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Mitigation: providing incentives</w:t>
            </w:r>
          </w:p>
        </w:tc>
      </w:tr>
      <w:tr w:rsidR="00FD5C64" w:rsidTr="00D27B07">
        <w:trPr>
          <w:trHeight w:val="172"/>
        </w:trPr>
        <w:tc>
          <w:tcPr>
            <w:tcW w:w="557"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tc>
        <w:tc>
          <w:tcPr>
            <w:tcW w:w="993"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8</w:t>
            </w:r>
          </w:p>
        </w:tc>
        <w:tc>
          <w:tcPr>
            <w:tcW w:w="3827"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LDCs, SIDS, Africa</w:t>
            </w:r>
          </w:p>
        </w:tc>
        <w:tc>
          <w:tcPr>
            <w:tcW w:w="3743" w:type="dxa"/>
            <w:tcBorders>
              <w:bottom w:val="single" w:sz="8" w:space="0" w:color="000000"/>
              <w:right w:val="single" w:sz="8" w:space="0" w:color="000000"/>
            </w:tcBorders>
            <w:shd w:val="clear" w:color="auto" w:fill="auto"/>
            <w:tcMar>
              <w:top w:w="100" w:type="dxa"/>
              <w:left w:w="100" w:type="dxa"/>
              <w:bottom w:w="100" w:type="dxa"/>
              <w:right w:w="100" w:type="dxa"/>
            </w:tcMar>
          </w:tcPr>
          <w:p w:rsidR="00FD5C64" w:rsidRDefault="00FD5C64" w:rsidP="00D27B07">
            <w:pPr>
              <w:rPr>
                <w:rFonts w:ascii="Calibri" w:eastAsia="Calibri" w:hAnsi="Calibri" w:cs="Calibri"/>
                <w:sz w:val="18"/>
                <w:szCs w:val="18"/>
              </w:rPr>
            </w:pPr>
            <w:r>
              <w:rPr>
                <w:rFonts w:ascii="Calibri" w:eastAsia="Calibri" w:hAnsi="Calibri" w:cs="Calibri"/>
                <w:sz w:val="18"/>
                <w:szCs w:val="18"/>
              </w:rPr>
              <w:t>Funding: adaptation</w:t>
            </w:r>
          </w:p>
        </w:tc>
      </w:tr>
    </w:tbl>
    <w:p w:rsidR="00FD5C64" w:rsidRDefault="00FD5C64" w:rsidP="00FD5C64">
      <w:r>
        <w:t xml:space="preserve"> </w:t>
      </w:r>
    </w:p>
    <w:p w:rsidR="00281A46" w:rsidRDefault="00281A46"/>
    <w:sectPr w:rsidR="00281A4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095D" w:rsidRDefault="0064095D" w:rsidP="00FD5C64">
      <w:pPr>
        <w:spacing w:line="240" w:lineRule="auto"/>
      </w:pPr>
      <w:r>
        <w:separator/>
      </w:r>
    </w:p>
  </w:endnote>
  <w:endnote w:type="continuationSeparator" w:id="0">
    <w:p w:rsidR="0064095D" w:rsidRDefault="0064095D" w:rsidP="00FD5C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095D" w:rsidRDefault="0064095D" w:rsidP="00FD5C64">
      <w:pPr>
        <w:spacing w:line="240" w:lineRule="auto"/>
      </w:pPr>
      <w:r>
        <w:separator/>
      </w:r>
    </w:p>
  </w:footnote>
  <w:footnote w:type="continuationSeparator" w:id="0">
    <w:p w:rsidR="0064095D" w:rsidRDefault="0064095D" w:rsidP="00FD5C64">
      <w:pPr>
        <w:spacing w:line="240" w:lineRule="auto"/>
      </w:pPr>
      <w:r>
        <w:continuationSeparator/>
      </w:r>
    </w:p>
  </w:footnote>
  <w:footnote w:id="1">
    <w:p w:rsidR="00FD5C64" w:rsidRPr="00D52781" w:rsidRDefault="00FD5C64" w:rsidP="00FD5C64">
      <w:pPr>
        <w:pStyle w:val="Funotentext"/>
        <w:jc w:val="both"/>
        <w:rPr>
          <w:sz w:val="18"/>
          <w:szCs w:val="18"/>
          <w:lang w:val="en-GB"/>
        </w:rPr>
      </w:pPr>
      <w:r w:rsidRPr="003A3CC5">
        <w:rPr>
          <w:rStyle w:val="Funotenzeichen"/>
          <w:sz w:val="18"/>
          <w:szCs w:val="18"/>
        </w:rPr>
        <w:footnoteRef/>
      </w:r>
      <w:r w:rsidRPr="003A3CC5">
        <w:rPr>
          <w:sz w:val="18"/>
          <w:szCs w:val="18"/>
        </w:rPr>
        <w:t xml:space="preserve"> Once a party to the UNFCCC ratifies the 2015 Paris Agreement it </w:t>
      </w:r>
      <w:proofErr w:type="gramStart"/>
      <w:r w:rsidRPr="003A3CC5">
        <w:rPr>
          <w:sz w:val="18"/>
          <w:szCs w:val="18"/>
        </w:rPr>
        <w:t>is invited</w:t>
      </w:r>
      <w:proofErr w:type="gramEnd"/>
      <w:r w:rsidRPr="003A3CC5">
        <w:rPr>
          <w:sz w:val="18"/>
          <w:szCs w:val="18"/>
        </w:rPr>
        <w:t xml:space="preserve"> to turn its </w:t>
      </w:r>
      <w:r>
        <w:rPr>
          <w:sz w:val="18"/>
          <w:szCs w:val="18"/>
        </w:rPr>
        <w:t>intended nationally determined contribution</w:t>
      </w:r>
      <w:r w:rsidRPr="003A3CC5">
        <w:rPr>
          <w:sz w:val="18"/>
          <w:szCs w:val="18"/>
        </w:rPr>
        <w:t xml:space="preserve"> (INDC) into an NDC. This article always refers to the latest document available.</w:t>
      </w:r>
    </w:p>
  </w:footnote>
  <w:footnote w:id="2">
    <w:p w:rsidR="00FD5C64" w:rsidRPr="00093700" w:rsidRDefault="00FD5C64" w:rsidP="00FD5C64">
      <w:pPr>
        <w:jc w:val="both"/>
        <w:rPr>
          <w:sz w:val="20"/>
          <w:szCs w:val="20"/>
        </w:rPr>
      </w:pPr>
      <w:r>
        <w:rPr>
          <w:rStyle w:val="Funotenzeichen"/>
        </w:rPr>
        <w:footnoteRef/>
      </w:r>
      <w:r>
        <w:t xml:space="preserve"> </w:t>
      </w:r>
      <w:r>
        <w:rPr>
          <w:sz w:val="18"/>
          <w:szCs w:val="18"/>
        </w:rPr>
        <w:t xml:space="preserve">Annex I country parties: a list of 43 parties that included all of the member states of the </w:t>
      </w:r>
      <w:proofErr w:type="spellStart"/>
      <w:r>
        <w:rPr>
          <w:sz w:val="18"/>
          <w:szCs w:val="18"/>
        </w:rPr>
        <w:t>Organisation</w:t>
      </w:r>
      <w:proofErr w:type="spellEnd"/>
      <w:r>
        <w:rPr>
          <w:sz w:val="18"/>
          <w:szCs w:val="18"/>
        </w:rPr>
        <w:t xml:space="preserve"> for Economic Co-operation and Development (OECD) (as of 1992) plus a host of additional states undergoing the process of transition to a market economy in the wake of the Soviet Union’s collapse.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2625A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C64"/>
    <w:rsid w:val="00281A46"/>
    <w:rsid w:val="0064095D"/>
    <w:rsid w:val="00FD5C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3BCAD"/>
  <w15:chartTrackingRefBased/>
  <w15:docId w15:val="{02538AD3-435D-44A7-8A6B-62E252097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rsid w:val="00FD5C64"/>
    <w:pPr>
      <w:spacing w:after="0" w:line="276" w:lineRule="auto"/>
    </w:pPr>
    <w:rPr>
      <w:rFonts w:ascii="Arial" w:eastAsia="Arial" w:hAnsi="Arial" w:cs="Arial"/>
      <w:lang w:val="en" w:eastAsia="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semiHidden/>
    <w:unhideWhenUsed/>
    <w:rsid w:val="00FD5C64"/>
    <w:pPr>
      <w:spacing w:line="240" w:lineRule="auto"/>
    </w:pPr>
    <w:rPr>
      <w:sz w:val="20"/>
      <w:szCs w:val="20"/>
    </w:rPr>
  </w:style>
  <w:style w:type="character" w:customStyle="1" w:styleId="FunotentextZchn">
    <w:name w:val="Fußnotentext Zchn"/>
    <w:basedOn w:val="Absatz-Standardschriftart"/>
    <w:link w:val="Funotentext"/>
    <w:uiPriority w:val="99"/>
    <w:semiHidden/>
    <w:rsid w:val="00FD5C64"/>
    <w:rPr>
      <w:rFonts w:ascii="Arial" w:eastAsia="Arial" w:hAnsi="Arial" w:cs="Arial"/>
      <w:sz w:val="20"/>
      <w:szCs w:val="20"/>
      <w:lang w:val="en" w:eastAsia="en-GB"/>
    </w:rPr>
  </w:style>
  <w:style w:type="character" w:styleId="Funotenzeichen">
    <w:name w:val="footnote reference"/>
    <w:basedOn w:val="Absatz-Standardschriftart"/>
    <w:uiPriority w:val="99"/>
    <w:semiHidden/>
    <w:unhideWhenUsed/>
    <w:rsid w:val="00FD5C64"/>
    <w:rPr>
      <w:vertAlign w:val="superscript"/>
    </w:rPr>
  </w:style>
  <w:style w:type="paragraph" w:styleId="Listenabsatz">
    <w:name w:val="List Paragraph"/>
    <w:basedOn w:val="Standard"/>
    <w:uiPriority w:val="34"/>
    <w:qFormat/>
    <w:rsid w:val="00FD5C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1606</Words>
  <Characters>9160</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Company>Frankfurt School</Company>
  <LinksUpToDate>false</LinksUpToDate>
  <CharactersWithSpaces>10745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revision</dc:creator>
  <cp:keywords/>
  <dc:description/>
  <cp:lastModifiedBy>revision</cp:lastModifiedBy>
  <cp:revision>1</cp:revision>
  <dcterms:created xsi:type="dcterms:W3CDTF">2019-07-11T18:13:00Z</dcterms:created>
  <dcterms:modified xsi:type="dcterms:W3CDTF">2019-07-11T18:14:00Z</dcterms:modified>
</cp:coreProperties>
</file>