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A04" w:rsidRPr="00F67A04" w:rsidRDefault="00F67A04" w:rsidP="00F67A04">
      <w:pPr>
        <w:spacing w:after="0" w:line="312" w:lineRule="auto"/>
        <w:jc w:val="center"/>
        <w:rPr>
          <w:rFonts w:ascii="Times New Roman" w:hAnsi="Times New Roman" w:cs="Times New Roman"/>
          <w:b/>
          <w:sz w:val="32"/>
          <w:szCs w:val="24"/>
        </w:rPr>
      </w:pPr>
      <w:r w:rsidRPr="00F67A04">
        <w:rPr>
          <w:rFonts w:ascii="Times New Roman" w:hAnsi="Times New Roman" w:cs="Times New Roman"/>
          <w:b/>
          <w:sz w:val="32"/>
          <w:szCs w:val="24"/>
        </w:rPr>
        <w:t>Sustainability and bank risk</w:t>
      </w:r>
    </w:p>
    <w:p w:rsidR="00F67A04" w:rsidRPr="00F67A04" w:rsidRDefault="00F67A04" w:rsidP="00F67A04">
      <w:pPr>
        <w:tabs>
          <w:tab w:val="left" w:pos="709"/>
        </w:tabs>
        <w:spacing w:after="0" w:line="312" w:lineRule="auto"/>
        <w:jc w:val="center"/>
        <w:rPr>
          <w:rFonts w:ascii="Times New Roman" w:hAnsi="Times New Roman" w:cs="Times New Roman"/>
          <w:sz w:val="24"/>
          <w:szCs w:val="24"/>
          <w:lang w:val="en-US"/>
        </w:rPr>
      </w:pPr>
    </w:p>
    <w:p w:rsidR="00F67A04" w:rsidRPr="00F67A04" w:rsidRDefault="00F67A04" w:rsidP="00F67A04">
      <w:pPr>
        <w:tabs>
          <w:tab w:val="left" w:pos="709"/>
        </w:tabs>
        <w:spacing w:after="0" w:line="312" w:lineRule="auto"/>
        <w:jc w:val="center"/>
        <w:rPr>
          <w:rFonts w:ascii="Times New Roman" w:hAnsi="Times New Roman" w:cs="Times New Roman"/>
          <w:sz w:val="24"/>
          <w:szCs w:val="24"/>
          <w:lang w:val="en-US"/>
        </w:rPr>
      </w:pPr>
    </w:p>
    <w:p w:rsidR="00F67A04" w:rsidRPr="00F67A04" w:rsidRDefault="00F67A04" w:rsidP="00F67A04">
      <w:pPr>
        <w:spacing w:after="0" w:line="312" w:lineRule="auto"/>
        <w:jc w:val="both"/>
        <w:rPr>
          <w:rFonts w:ascii="Times New Roman" w:hAnsi="Times New Roman" w:cs="Times New Roman"/>
          <w:sz w:val="24"/>
          <w:szCs w:val="24"/>
          <w:lang w:val="en-US"/>
        </w:rPr>
      </w:pPr>
      <w:r w:rsidRPr="00F67A04">
        <w:rPr>
          <w:rFonts w:ascii="Times New Roman" w:hAnsi="Times New Roman" w:cs="Times New Roman"/>
          <w:sz w:val="24"/>
          <w:szCs w:val="24"/>
          <w:lang w:val="en-US"/>
        </w:rPr>
        <w:t xml:space="preserve">Bert </w:t>
      </w:r>
      <w:proofErr w:type="spellStart"/>
      <w:r w:rsidRPr="00F67A04">
        <w:rPr>
          <w:rFonts w:ascii="Times New Roman" w:hAnsi="Times New Roman" w:cs="Times New Roman"/>
          <w:sz w:val="24"/>
          <w:szCs w:val="24"/>
          <w:lang w:val="en-US"/>
        </w:rPr>
        <w:t>Scholtens</w:t>
      </w:r>
      <w:proofErr w:type="spellEnd"/>
      <w:r w:rsidRPr="00F67A04">
        <w:rPr>
          <w:rFonts w:ascii="Times New Roman" w:hAnsi="Times New Roman" w:cs="Times New Roman"/>
          <w:sz w:val="24"/>
          <w:szCs w:val="24"/>
          <w:lang w:val="en-US"/>
        </w:rPr>
        <w:t xml:space="preserve"> (</w:t>
      </w:r>
      <w:hyperlink r:id="rId5" w:history="1">
        <w:r w:rsidRPr="00F67A04">
          <w:rPr>
            <w:rStyle w:val="Hyperlink"/>
            <w:rFonts w:ascii="Times New Roman" w:hAnsi="Times New Roman" w:cs="Times New Roman"/>
            <w:sz w:val="24"/>
            <w:szCs w:val="24"/>
            <w:lang w:val="en-US"/>
          </w:rPr>
          <w:t>l.j.r.scholtens@rug.nl</w:t>
        </w:r>
      </w:hyperlink>
      <w:r w:rsidRPr="00F67A04">
        <w:rPr>
          <w:rFonts w:ascii="Times New Roman" w:hAnsi="Times New Roman" w:cs="Times New Roman"/>
          <w:sz w:val="24"/>
          <w:szCs w:val="24"/>
          <w:lang w:val="en-US"/>
        </w:rPr>
        <w:t xml:space="preserve">), Sophie </w:t>
      </w:r>
      <w:proofErr w:type="gramStart"/>
      <w:r w:rsidRPr="00F67A04">
        <w:rPr>
          <w:rFonts w:ascii="Times New Roman" w:hAnsi="Times New Roman" w:cs="Times New Roman"/>
          <w:sz w:val="24"/>
          <w:szCs w:val="24"/>
          <w:lang w:val="en-US"/>
        </w:rPr>
        <w:t>van 't</w:t>
      </w:r>
      <w:proofErr w:type="gramEnd"/>
      <w:r w:rsidRPr="00F67A04">
        <w:rPr>
          <w:rFonts w:ascii="Times New Roman" w:hAnsi="Times New Roman" w:cs="Times New Roman"/>
          <w:sz w:val="24"/>
          <w:szCs w:val="24"/>
          <w:lang w:val="en-US"/>
        </w:rPr>
        <w:t xml:space="preserve"> </w:t>
      </w:r>
      <w:proofErr w:type="spellStart"/>
      <w:r w:rsidRPr="00F67A04">
        <w:rPr>
          <w:rFonts w:ascii="Times New Roman" w:hAnsi="Times New Roman" w:cs="Times New Roman"/>
          <w:sz w:val="24"/>
          <w:szCs w:val="24"/>
          <w:lang w:val="en-US"/>
        </w:rPr>
        <w:t>Klooster</w:t>
      </w:r>
      <w:proofErr w:type="spellEnd"/>
    </w:p>
    <w:p w:rsidR="00F67A04" w:rsidRPr="00F67A04" w:rsidRDefault="00F67A04" w:rsidP="00F67A04">
      <w:pPr>
        <w:spacing w:after="0" w:line="312" w:lineRule="auto"/>
        <w:jc w:val="both"/>
        <w:rPr>
          <w:rFonts w:ascii="Times New Roman" w:hAnsi="Times New Roman" w:cs="Times New Roman"/>
          <w:sz w:val="24"/>
          <w:szCs w:val="24"/>
          <w:lang w:val="en-US"/>
        </w:rPr>
      </w:pPr>
      <w:r w:rsidRPr="00F67A04">
        <w:rPr>
          <w:rFonts w:ascii="Times New Roman" w:hAnsi="Times New Roman" w:cs="Times New Roman"/>
          <w:sz w:val="24"/>
          <w:szCs w:val="24"/>
          <w:lang w:val="en-US"/>
        </w:rPr>
        <w:t xml:space="preserve">University of </w:t>
      </w:r>
      <w:proofErr w:type="spellStart"/>
      <w:r w:rsidRPr="00F67A04">
        <w:rPr>
          <w:rFonts w:ascii="Times New Roman" w:hAnsi="Times New Roman" w:cs="Times New Roman"/>
          <w:sz w:val="24"/>
          <w:szCs w:val="24"/>
          <w:lang w:val="en-US"/>
        </w:rPr>
        <w:t>Groninge</w:t>
      </w:r>
      <w:proofErr w:type="spellEnd"/>
      <w:r w:rsidRPr="00F67A04">
        <w:rPr>
          <w:rFonts w:ascii="Times New Roman" w:hAnsi="Times New Roman" w:cs="Times New Roman"/>
          <w:sz w:val="24"/>
          <w:szCs w:val="24"/>
          <w:lang w:val="en-US"/>
        </w:rPr>
        <w:t>, Netherlands</w:t>
      </w:r>
    </w:p>
    <w:p w:rsidR="00F67A04" w:rsidRPr="00F67A04" w:rsidRDefault="00F67A04"/>
    <w:p w:rsidR="00F67A04" w:rsidRPr="00F67A04" w:rsidRDefault="00F67A04"/>
    <w:tbl>
      <w:tblPr>
        <w:tblW w:w="5467" w:type="pct"/>
        <w:tblLayout w:type="fixed"/>
        <w:tblLook w:val="04A0" w:firstRow="1" w:lastRow="0" w:firstColumn="1" w:lastColumn="0" w:noHBand="0" w:noVBand="1"/>
      </w:tblPr>
      <w:tblGrid>
        <w:gridCol w:w="2028"/>
        <w:gridCol w:w="248"/>
        <w:gridCol w:w="481"/>
        <w:gridCol w:w="2197"/>
        <w:gridCol w:w="338"/>
        <w:gridCol w:w="338"/>
        <w:gridCol w:w="338"/>
        <w:gridCol w:w="1390"/>
        <w:gridCol w:w="1251"/>
        <w:gridCol w:w="186"/>
        <w:gridCol w:w="1069"/>
        <w:gridCol w:w="184"/>
        <w:gridCol w:w="57"/>
      </w:tblGrid>
      <w:tr w:rsidR="00F67A04" w:rsidRPr="00F67A04" w:rsidTr="00F67A04">
        <w:trPr>
          <w:gridAfter w:val="1"/>
          <w:wAfter w:w="28" w:type="pct"/>
          <w:trHeight w:val="288"/>
        </w:trPr>
        <w:tc>
          <w:tcPr>
            <w:tcW w:w="4352" w:type="pct"/>
            <w:gridSpan w:val="10"/>
            <w:tcBorders>
              <w:left w:val="nil"/>
              <w:bottom w:val="double" w:sz="4" w:space="0" w:color="auto"/>
              <w:right w:val="nil"/>
            </w:tcBorders>
            <w:shd w:val="clear" w:color="auto" w:fill="auto"/>
            <w:noWrap/>
            <w:vAlign w:val="bottom"/>
            <w:hideMark/>
          </w:tcPr>
          <w:p w:rsidR="00F67A04" w:rsidRPr="00F67A04" w:rsidRDefault="00F67A04" w:rsidP="00B64F4F">
            <w:pPr>
              <w:rPr>
                <w:rFonts w:ascii="Times New Roman" w:hAnsi="Times New Roman" w:cs="Times New Roman"/>
                <w:b/>
                <w:sz w:val="24"/>
                <w:szCs w:val="24"/>
              </w:rPr>
            </w:pPr>
            <w:r w:rsidRPr="00F67A04">
              <w:rPr>
                <w:rFonts w:ascii="Times New Roman" w:hAnsi="Times New Roman" w:cs="Times New Roman"/>
                <w:b/>
                <w:sz w:val="24"/>
                <w:szCs w:val="24"/>
              </w:rPr>
              <w:br w:type="page"/>
              <w:t>APPENDIX</w:t>
            </w:r>
          </w:p>
          <w:p w:rsidR="00F67A04" w:rsidRPr="00F67A04" w:rsidRDefault="00F67A04" w:rsidP="00B64F4F">
            <w:pPr>
              <w:spacing w:after="0" w:line="312" w:lineRule="auto"/>
              <w:rPr>
                <w:rFonts w:ascii="Times New Roman" w:hAnsi="Times New Roman" w:cs="Times New Roman"/>
                <w:b/>
                <w:sz w:val="24"/>
                <w:szCs w:val="24"/>
              </w:rPr>
            </w:pPr>
          </w:p>
          <w:tbl>
            <w:tblPr>
              <w:tblStyle w:val="PlainTable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43"/>
              <w:gridCol w:w="4093"/>
              <w:gridCol w:w="853"/>
            </w:tblGrid>
            <w:tr w:rsidR="00F67A04" w:rsidRPr="00F67A04" w:rsidTr="00B64F4F">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7936" w:type="dxa"/>
                  <w:gridSpan w:val="2"/>
                  <w:tcBorders>
                    <w:bottom w:val="double" w:sz="4" w:space="0" w:color="auto"/>
                  </w:tcBorders>
                  <w:shd w:val="clear" w:color="auto" w:fill="auto"/>
                  <w:noWrap/>
                  <w:hideMark/>
                </w:tcPr>
                <w:p w:rsidR="00F67A04" w:rsidRPr="00F67A04" w:rsidRDefault="00F67A04" w:rsidP="00B64F4F">
                  <w:pPr>
                    <w:rPr>
                      <w:rFonts w:ascii="Times New Roman" w:eastAsia="Times New Roman" w:hAnsi="Times New Roman" w:cs="Times New Roman"/>
                      <w:bCs w:val="0"/>
                      <w:lang w:eastAsia="en-GB"/>
                    </w:rPr>
                  </w:pPr>
                  <w:r w:rsidRPr="00F67A04">
                    <w:rPr>
                      <w:rFonts w:ascii="Times New Roman" w:eastAsia="Times New Roman" w:hAnsi="Times New Roman" w:cs="Times New Roman"/>
                      <w:bCs w:val="0"/>
                      <w:lang w:eastAsia="en-GB"/>
                    </w:rPr>
                    <w:t xml:space="preserve">Appendix 1. Banks included in dataset </w:t>
                  </w:r>
                </w:p>
              </w:tc>
              <w:tc>
                <w:tcPr>
                  <w:tcW w:w="853" w:type="dxa"/>
                  <w:tcBorders>
                    <w:bottom w:val="double" w:sz="4" w:space="0" w:color="auto"/>
                  </w:tcBorders>
                  <w:shd w:val="clear" w:color="auto" w:fill="auto"/>
                  <w:noWrap/>
                  <w:hideMark/>
                </w:tcPr>
                <w:p w:rsidR="00F67A04" w:rsidRPr="00F67A04" w:rsidRDefault="00F67A04" w:rsidP="00B64F4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tcBorders>
                    <w:top w:val="double" w:sz="4" w:space="0" w:color="auto"/>
                    <w:bottom w:val="single" w:sz="4" w:space="0" w:color="auto"/>
                  </w:tcBorders>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Country</w:t>
                  </w:r>
                </w:p>
              </w:tc>
              <w:tc>
                <w:tcPr>
                  <w:tcW w:w="4946" w:type="dxa"/>
                  <w:gridSpan w:val="2"/>
                  <w:tcBorders>
                    <w:top w:val="double" w:sz="4" w:space="0" w:color="auto"/>
                    <w:bottom w:val="single" w:sz="4" w:space="0" w:color="auto"/>
                  </w:tcBorders>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w:t>
                  </w: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tcBorders>
                    <w:top w:val="single" w:sz="4" w:space="0" w:color="auto"/>
                  </w:tcBorders>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Austria</w:t>
                  </w:r>
                </w:p>
              </w:tc>
              <w:tc>
                <w:tcPr>
                  <w:tcW w:w="4946" w:type="dxa"/>
                  <w:gridSpan w:val="2"/>
                  <w:tcBorders>
                    <w:top w:val="single" w:sz="4" w:space="0" w:color="auto"/>
                  </w:tcBorders>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Erste</w:t>
                  </w:r>
                  <w:proofErr w:type="spellEnd"/>
                  <w:r w:rsidRPr="00F67A04">
                    <w:rPr>
                      <w:rFonts w:ascii="Times New Roman" w:eastAsia="Times New Roman" w:hAnsi="Times New Roman" w:cs="Times New Roman"/>
                      <w:lang w:eastAsia="en-GB"/>
                    </w:rPr>
                    <w:t xml:space="preserve"> Group Bank </w:t>
                  </w: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946" w:type="dxa"/>
                  <w:gridSpan w:val="2"/>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Raiffeisen</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Zentralbank</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Österreich</w:t>
                  </w:r>
                  <w:proofErr w:type="spellEnd"/>
                  <w:r w:rsidRPr="00F67A04">
                    <w:rPr>
                      <w:rFonts w:ascii="Times New Roman" w:eastAsia="Times New Roman" w:hAnsi="Times New Roman" w:cs="Times New Roman"/>
                      <w:lang w:eastAsia="en-GB"/>
                    </w:rPr>
                    <w:t xml:space="preserve"> </w:t>
                  </w: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Belgium</w:t>
                  </w:r>
                </w:p>
              </w:tc>
              <w:tc>
                <w:tcPr>
                  <w:tcW w:w="4093" w:type="dxa"/>
                  <w:vMerge w:val="restart"/>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Dexia</w:t>
                  </w:r>
                  <w:proofErr w:type="spellEnd"/>
                  <w:r w:rsidRPr="00F67A04">
                    <w:rPr>
                      <w:rFonts w:ascii="Times New Roman" w:eastAsia="Times New Roman" w:hAnsi="Times New Roman" w:cs="Times New Roman"/>
                      <w:lang w:eastAsia="en-GB"/>
                    </w:rPr>
                    <w:t xml:space="preserve"> </w:t>
                  </w:r>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KBC </w:t>
                  </w:r>
                  <w:proofErr w:type="spellStart"/>
                  <w:r w:rsidRPr="00F67A04">
                    <w:rPr>
                      <w:rFonts w:ascii="Times New Roman" w:eastAsia="Times New Roman" w:hAnsi="Times New Roman" w:cs="Times New Roman"/>
                      <w:lang w:eastAsia="en-GB"/>
                    </w:rPr>
                    <w:t>Ancora</w:t>
                  </w:r>
                  <w:proofErr w:type="spellEnd"/>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KBC Group</w:t>
                  </w:r>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Crédit</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Agricole</w:t>
                  </w:r>
                  <w:proofErr w:type="spellEnd"/>
                  <w:r w:rsidRPr="00F67A04">
                    <w:rPr>
                      <w:rFonts w:ascii="Times New Roman" w:eastAsia="Times New Roman" w:hAnsi="Times New Roman" w:cs="Times New Roman"/>
                      <w:lang w:eastAsia="en-GB"/>
                    </w:rPr>
                    <w:t>*</w:t>
                  </w:r>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BNP Paribas*</w:t>
                  </w:r>
                </w:p>
              </w:tc>
              <w:tc>
                <w:tcPr>
                  <w:tcW w:w="853" w:type="dxa"/>
                  <w:vMerge w:val="restart"/>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France</w:t>
                  </w: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Société</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Générale</w:t>
                  </w:r>
                  <w:proofErr w:type="spellEnd"/>
                  <w:r w:rsidRPr="00F67A04">
                    <w:rPr>
                      <w:rFonts w:ascii="Times New Roman" w:eastAsia="Times New Roman" w:hAnsi="Times New Roman" w:cs="Times New Roman"/>
                      <w:lang w:eastAsia="en-GB"/>
                    </w:rPr>
                    <w:t>*</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r w:rsidRPr="00F67A04">
                    <w:rPr>
                      <w:rFonts w:ascii="Times New Roman" w:eastAsia="Times New Roman" w:hAnsi="Times New Roman" w:cs="Times New Roman"/>
                      <w:lang w:eastAsia="en-GB"/>
                    </w:rPr>
                    <w:t>Natixis**</w:t>
                  </w: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Germany</w:t>
                  </w:r>
                </w:p>
              </w:tc>
              <w:tc>
                <w:tcPr>
                  <w:tcW w:w="4093" w:type="dxa"/>
                  <w:vMerge w:val="restart"/>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nl-NL" w:eastAsia="en-GB"/>
                    </w:rPr>
                  </w:pPr>
                  <w:r w:rsidRPr="00F67A04">
                    <w:rPr>
                      <w:rFonts w:ascii="Times New Roman" w:eastAsia="Times New Roman" w:hAnsi="Times New Roman" w:cs="Times New Roman"/>
                      <w:lang w:val="nl-NL" w:eastAsia="en-GB"/>
                    </w:rPr>
                    <w:t xml:space="preserve">Commerzbank </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nl-NL" w:eastAsia="en-GB"/>
                    </w:rPr>
                  </w:pPr>
                  <w:r w:rsidRPr="00F67A04">
                    <w:rPr>
                      <w:rFonts w:ascii="Times New Roman" w:eastAsia="Times New Roman" w:hAnsi="Times New Roman" w:cs="Times New Roman"/>
                      <w:lang w:val="nl-NL" w:eastAsia="en-GB"/>
                    </w:rPr>
                    <w:t>Deutsche Bank*</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nl-NL" w:eastAsia="en-GB"/>
                    </w:rPr>
                  </w:pPr>
                  <w:r w:rsidRPr="00F67A04">
                    <w:rPr>
                      <w:rFonts w:ascii="Times New Roman" w:eastAsia="Times New Roman" w:hAnsi="Times New Roman" w:cs="Times New Roman"/>
                      <w:lang w:val="nl-NL" w:eastAsia="en-GB"/>
                    </w:rPr>
                    <w:t>Deutsche Postbank</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nl-NL" w:eastAsia="en-GB"/>
                    </w:rPr>
                  </w:pPr>
                  <w:r w:rsidRPr="00F67A04">
                    <w:rPr>
                      <w:rFonts w:ascii="Times New Roman" w:eastAsia="Times New Roman" w:hAnsi="Times New Roman" w:cs="Times New Roman"/>
                      <w:lang w:val="nl-NL" w:eastAsia="en-GB"/>
                    </w:rPr>
                    <w:t>Alpha Bank</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of Greece</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of Piraeus</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Eurobank</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Ergasias</w:t>
                  </w:r>
                  <w:proofErr w:type="spellEnd"/>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Greece</w:t>
                  </w: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National Bank of Greece</w:t>
                  </w: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Ireland</w:t>
                  </w: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Allied Irish Banks</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of Ireland Group</w:t>
                  </w: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Permanent TSB Group</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Italy</w:t>
                  </w: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w:t>
                  </w:r>
                  <w:proofErr w:type="spellStart"/>
                  <w:r w:rsidRPr="00F67A04">
                    <w:rPr>
                      <w:rFonts w:ascii="Times New Roman" w:eastAsia="Times New Roman" w:hAnsi="Times New Roman" w:cs="Times New Roman"/>
                      <w:lang w:eastAsia="en-GB"/>
                    </w:rPr>
                    <w:t>Carige</w:t>
                  </w:r>
                  <w:proofErr w:type="spellEnd"/>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Monte Dei </w:t>
                  </w:r>
                  <w:proofErr w:type="spellStart"/>
                  <w:r w:rsidRPr="00F67A04">
                    <w:rPr>
                      <w:rFonts w:ascii="Times New Roman" w:eastAsia="Times New Roman" w:hAnsi="Times New Roman" w:cs="Times New Roman"/>
                      <w:lang w:eastAsia="en-GB"/>
                    </w:rPr>
                    <w:t>Paschi</w:t>
                  </w:r>
                  <w:proofErr w:type="spellEnd"/>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Piccolo </w:t>
                  </w:r>
                  <w:proofErr w:type="spellStart"/>
                  <w:r w:rsidRPr="00F67A04">
                    <w:rPr>
                      <w:rFonts w:ascii="Times New Roman" w:eastAsia="Times New Roman" w:hAnsi="Times New Roman" w:cs="Times New Roman"/>
                      <w:lang w:eastAsia="en-GB"/>
                    </w:rPr>
                    <w:t>Credito</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Valtellinese</w:t>
                  </w:r>
                  <w:proofErr w:type="spellEnd"/>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w:t>
                  </w:r>
                  <w:proofErr w:type="spellStart"/>
                  <w:r w:rsidRPr="00F67A04">
                    <w:rPr>
                      <w:rFonts w:ascii="Times New Roman" w:eastAsia="Times New Roman" w:hAnsi="Times New Roman" w:cs="Times New Roman"/>
                      <w:lang w:eastAsia="en-GB"/>
                    </w:rPr>
                    <w:t>Popolare</w:t>
                  </w:r>
                  <w:proofErr w:type="spellEnd"/>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w:t>
                  </w:r>
                  <w:proofErr w:type="spellStart"/>
                  <w:r w:rsidRPr="00F67A04">
                    <w:rPr>
                      <w:rFonts w:ascii="Times New Roman" w:eastAsia="Times New Roman" w:hAnsi="Times New Roman" w:cs="Times New Roman"/>
                      <w:lang w:eastAsia="en-GB"/>
                    </w:rPr>
                    <w:t>Popolare</w:t>
                  </w:r>
                  <w:proofErr w:type="spellEnd"/>
                  <w:r w:rsidRPr="00F67A04">
                    <w:rPr>
                      <w:rFonts w:ascii="Times New Roman" w:eastAsia="Times New Roman" w:hAnsi="Times New Roman" w:cs="Times New Roman"/>
                      <w:lang w:eastAsia="en-GB"/>
                    </w:rPr>
                    <w:t xml:space="preserve"> di Sondrio</w:t>
                  </w: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val="restart"/>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Banco BPM</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BPER Banca</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Intesa San Paolo</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Mediobanca</w:t>
                  </w:r>
                  <w:proofErr w:type="spellEnd"/>
                  <w:r w:rsidRPr="00F67A04">
                    <w:rPr>
                      <w:rFonts w:ascii="Times New Roman" w:eastAsia="Times New Roman" w:hAnsi="Times New Roman" w:cs="Times New Roman"/>
                      <w:lang w:eastAsia="en-GB"/>
                    </w:rPr>
                    <w:t xml:space="preserve"> </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lang w:eastAsia="en-GB"/>
                    </w:rPr>
                  </w:pPr>
                  <w:proofErr w:type="spellStart"/>
                  <w:r w:rsidRPr="00F67A04">
                    <w:rPr>
                      <w:rFonts w:ascii="Times New Roman" w:eastAsia="Times New Roman" w:hAnsi="Times New Roman" w:cs="Times New Roman"/>
                      <w:lang w:eastAsia="en-GB"/>
                    </w:rPr>
                    <w:t>UniCredit</w:t>
                  </w:r>
                  <w:proofErr w:type="spellEnd"/>
                  <w:r w:rsidRPr="00F67A04">
                    <w:rPr>
                      <w:rFonts w:ascii="Times New Roman" w:eastAsia="Times New Roman" w:hAnsi="Times New Roman" w:cs="Times New Roman"/>
                      <w:i/>
                      <w:lang w:eastAsia="en-GB"/>
                    </w:rPr>
                    <w:t>*</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Unione</w:t>
                  </w:r>
                  <w:proofErr w:type="spellEnd"/>
                  <w:r w:rsidRPr="00F67A04">
                    <w:rPr>
                      <w:rFonts w:ascii="Times New Roman" w:eastAsia="Times New Roman" w:hAnsi="Times New Roman" w:cs="Times New Roman"/>
                      <w:lang w:eastAsia="en-GB"/>
                    </w:rPr>
                    <w:t xml:space="preserve"> di </w:t>
                  </w:r>
                  <w:proofErr w:type="spellStart"/>
                  <w:r w:rsidRPr="00F67A04">
                    <w:rPr>
                      <w:rFonts w:ascii="Times New Roman" w:eastAsia="Times New Roman" w:hAnsi="Times New Roman" w:cs="Times New Roman"/>
                      <w:lang w:eastAsia="en-GB"/>
                    </w:rPr>
                    <w:t>Banche</w:t>
                  </w:r>
                  <w:proofErr w:type="spellEnd"/>
                  <w:r w:rsidRPr="00F67A04">
                    <w:rPr>
                      <w:rFonts w:ascii="Times New Roman" w:eastAsia="Times New Roman" w:hAnsi="Times New Roman" w:cs="Times New Roman"/>
                      <w:lang w:eastAsia="en-GB"/>
                    </w:rPr>
                    <w:t xml:space="preserve"> Italian</w:t>
                  </w: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Netherlands</w:t>
                  </w:r>
                </w:p>
              </w:tc>
              <w:tc>
                <w:tcPr>
                  <w:tcW w:w="4093" w:type="dxa"/>
                  <w:vMerge w:val="restart"/>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ABN AMRO Group</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ING Group*</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Banco </w:t>
                  </w:r>
                  <w:proofErr w:type="spellStart"/>
                  <w:r w:rsidRPr="00F67A04">
                    <w:rPr>
                      <w:rFonts w:ascii="Times New Roman" w:eastAsia="Times New Roman" w:hAnsi="Times New Roman" w:cs="Times New Roman"/>
                      <w:lang w:eastAsia="en-GB"/>
                    </w:rPr>
                    <w:t>Portugues</w:t>
                  </w:r>
                  <w:proofErr w:type="spellEnd"/>
                  <w:r w:rsidRPr="00F67A04">
                    <w:rPr>
                      <w:rFonts w:ascii="Times New Roman" w:eastAsia="Times New Roman" w:hAnsi="Times New Roman" w:cs="Times New Roman"/>
                      <w:lang w:eastAsia="en-GB"/>
                    </w:rPr>
                    <w:t xml:space="preserve"> de </w:t>
                  </w:r>
                  <w:proofErr w:type="spellStart"/>
                  <w:r w:rsidRPr="00F67A04">
                    <w:rPr>
                      <w:rFonts w:ascii="Times New Roman" w:eastAsia="Times New Roman" w:hAnsi="Times New Roman" w:cs="Times New Roman"/>
                      <w:lang w:eastAsia="en-GB"/>
                    </w:rPr>
                    <w:t>Investimento</w:t>
                  </w:r>
                  <w:proofErr w:type="spellEnd"/>
                  <w:r w:rsidRPr="00F67A04">
                    <w:rPr>
                      <w:rFonts w:ascii="Times New Roman" w:eastAsia="Times New Roman" w:hAnsi="Times New Roman" w:cs="Times New Roman"/>
                      <w:lang w:eastAsia="en-GB"/>
                    </w:rPr>
                    <w:t xml:space="preserve"> </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Portugal</w:t>
                  </w: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Banco </w:t>
                  </w:r>
                  <w:proofErr w:type="spellStart"/>
                  <w:r w:rsidRPr="00F67A04">
                    <w:rPr>
                      <w:rFonts w:ascii="Times New Roman" w:eastAsia="Times New Roman" w:hAnsi="Times New Roman" w:cs="Times New Roman"/>
                      <w:lang w:eastAsia="en-GB"/>
                    </w:rPr>
                    <w:t>Comercial</w:t>
                  </w:r>
                  <w:proofErr w:type="spellEnd"/>
                  <w:r w:rsidRPr="00F67A04">
                    <w:rPr>
                      <w:rFonts w:ascii="Times New Roman" w:eastAsia="Times New Roman" w:hAnsi="Times New Roman" w:cs="Times New Roman"/>
                      <w:lang w:eastAsia="en-GB"/>
                    </w:rPr>
                    <w:t xml:space="preserve"> </w:t>
                  </w:r>
                  <w:proofErr w:type="spellStart"/>
                  <w:r w:rsidRPr="00F67A04">
                    <w:rPr>
                      <w:rFonts w:ascii="Times New Roman" w:eastAsia="Times New Roman" w:hAnsi="Times New Roman" w:cs="Times New Roman"/>
                      <w:lang w:eastAsia="en-GB"/>
                    </w:rPr>
                    <w:t>Portugues</w:t>
                  </w:r>
                  <w:proofErr w:type="spellEnd"/>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Banco </w:t>
                  </w:r>
                  <w:proofErr w:type="spellStart"/>
                  <w:r w:rsidRPr="00F67A04">
                    <w:rPr>
                      <w:rFonts w:ascii="Times New Roman" w:eastAsia="Times New Roman" w:hAnsi="Times New Roman" w:cs="Times New Roman"/>
                      <w:lang w:eastAsia="en-GB"/>
                    </w:rPr>
                    <w:t>Esprito</w:t>
                  </w:r>
                  <w:proofErr w:type="spellEnd"/>
                  <w:r w:rsidRPr="00F67A04">
                    <w:rPr>
                      <w:rFonts w:ascii="Times New Roman" w:eastAsia="Times New Roman" w:hAnsi="Times New Roman" w:cs="Times New Roman"/>
                      <w:lang w:eastAsia="en-GB"/>
                    </w:rPr>
                    <w:t xml:space="preserve"> Santo</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Spain</w:t>
                  </w:r>
                </w:p>
              </w:tc>
              <w:tc>
                <w:tcPr>
                  <w:tcW w:w="4093" w:type="dxa"/>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Banca Popular </w:t>
                  </w:r>
                  <w:proofErr w:type="spellStart"/>
                  <w:r w:rsidRPr="00F67A04">
                    <w:rPr>
                      <w:rFonts w:ascii="Times New Roman" w:eastAsia="Times New Roman" w:hAnsi="Times New Roman" w:cs="Times New Roman"/>
                      <w:lang w:eastAsia="en-GB"/>
                    </w:rPr>
                    <w:t>Espanol</w:t>
                  </w:r>
                  <w:proofErr w:type="spellEnd"/>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val="restart"/>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Banco de Sabadell</w:t>
                  </w:r>
                </w:p>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Banco Santander</w:t>
                  </w: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roofErr w:type="spellStart"/>
                  <w:r w:rsidRPr="00F67A04">
                    <w:rPr>
                      <w:rFonts w:ascii="Times New Roman" w:eastAsia="Times New Roman" w:hAnsi="Times New Roman" w:cs="Times New Roman"/>
                      <w:lang w:eastAsia="en-GB"/>
                    </w:rPr>
                    <w:t>Bankia</w:t>
                  </w:r>
                  <w:proofErr w:type="spellEnd"/>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b w:val="0"/>
                      <w:sz w:val="20"/>
                      <w:szCs w:val="20"/>
                      <w:lang w:eastAsia="en-GB"/>
                    </w:rPr>
                  </w:pPr>
                </w:p>
              </w:tc>
              <w:tc>
                <w:tcPr>
                  <w:tcW w:w="4093" w:type="dxa"/>
                  <w:vMerge w:val="restart"/>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Bankinter</w:t>
                  </w:r>
                  <w:proofErr w:type="spellEnd"/>
                  <w:r w:rsidRPr="00F67A04">
                    <w:rPr>
                      <w:rFonts w:ascii="Times New Roman" w:eastAsia="Times New Roman" w:hAnsi="Times New Roman" w:cs="Times New Roman"/>
                      <w:lang w:eastAsia="en-GB"/>
                    </w:rPr>
                    <w:t xml:space="preserve"> </w:t>
                  </w:r>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Banco Bilbao Vizcaya Argentaria</w:t>
                  </w:r>
                </w:p>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roofErr w:type="spellStart"/>
                  <w:r w:rsidRPr="00F67A04">
                    <w:rPr>
                      <w:rFonts w:ascii="Times New Roman" w:eastAsia="Times New Roman" w:hAnsi="Times New Roman" w:cs="Times New Roman"/>
                      <w:lang w:eastAsia="en-GB"/>
                    </w:rPr>
                    <w:t>Caixabank</w:t>
                  </w:r>
                  <w:proofErr w:type="spellEnd"/>
                </w:p>
              </w:tc>
              <w:tc>
                <w:tcPr>
                  <w:tcW w:w="853" w:type="dxa"/>
                  <w:vMerge/>
                  <w:shd w:val="clear" w:color="auto" w:fill="auto"/>
                  <w:noWrap/>
                  <w:hideMark/>
                </w:tcPr>
                <w:p w:rsidR="00F67A04" w:rsidRPr="00F67A04" w:rsidRDefault="00F67A04" w:rsidP="00B64F4F">
                  <w:pPr>
                    <w:ind w:left="652" w:hanging="65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43" w:type="dxa"/>
                  <w:shd w:val="clear" w:color="auto" w:fill="auto"/>
                  <w:noWrap/>
                  <w:hideMark/>
                </w:tcPr>
                <w:p w:rsidR="00F67A04" w:rsidRPr="00F67A04" w:rsidRDefault="00F67A04" w:rsidP="00B64F4F">
                  <w:pPr>
                    <w:rPr>
                      <w:rFonts w:ascii="Times New Roman" w:eastAsia="Times New Roman" w:hAnsi="Times New Roman" w:cs="Times New Roman"/>
                      <w:sz w:val="20"/>
                      <w:szCs w:val="20"/>
                      <w:lang w:eastAsia="en-GB"/>
                    </w:rPr>
                  </w:pPr>
                </w:p>
              </w:tc>
              <w:tc>
                <w:tcPr>
                  <w:tcW w:w="409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n-GB"/>
                    </w:rPr>
                  </w:pPr>
                </w:p>
              </w:tc>
              <w:tc>
                <w:tcPr>
                  <w:tcW w:w="853" w:type="dxa"/>
                  <w:vMerge/>
                  <w:shd w:val="clear" w:color="auto" w:fill="auto"/>
                  <w:noWrap/>
                  <w:hideMark/>
                </w:tcPr>
                <w:p w:rsidR="00F67A04" w:rsidRPr="00F67A04" w:rsidRDefault="00F67A04" w:rsidP="00B64F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n-GB"/>
                    </w:rPr>
                  </w:pPr>
                </w:p>
              </w:tc>
            </w:tr>
            <w:tr w:rsidR="00F67A04" w:rsidRPr="00F67A04" w:rsidTr="00B64F4F">
              <w:trPr>
                <w:trHeight w:val="264"/>
              </w:trPr>
              <w:tc>
                <w:tcPr>
                  <w:cnfStyle w:val="001000000000" w:firstRow="0" w:lastRow="0" w:firstColumn="1" w:lastColumn="0" w:oddVBand="0" w:evenVBand="0" w:oddHBand="0" w:evenHBand="0" w:firstRowFirstColumn="0" w:firstRowLastColumn="0" w:lastRowFirstColumn="0" w:lastRowLastColumn="0"/>
                  <w:tcW w:w="3843" w:type="dxa"/>
                  <w:tcBorders>
                    <w:bottom w:val="single" w:sz="4" w:space="0" w:color="auto"/>
                  </w:tcBorders>
                  <w:shd w:val="clear" w:color="auto" w:fill="auto"/>
                  <w:noWrap/>
                  <w:hideMark/>
                </w:tcPr>
                <w:p w:rsidR="00F67A04" w:rsidRPr="00F67A04" w:rsidRDefault="00F67A04" w:rsidP="00B64F4F">
                  <w:pP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w:t>
                  </w:r>
                </w:p>
              </w:tc>
              <w:tc>
                <w:tcPr>
                  <w:tcW w:w="4093" w:type="dxa"/>
                  <w:vMerge/>
                  <w:tcBorders>
                    <w:bottom w:val="single" w:sz="4" w:space="0" w:color="auto"/>
                  </w:tcBorders>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p>
              </w:tc>
              <w:tc>
                <w:tcPr>
                  <w:tcW w:w="853" w:type="dxa"/>
                  <w:tcBorders>
                    <w:bottom w:val="single" w:sz="4" w:space="0" w:color="auto"/>
                  </w:tcBorders>
                  <w:shd w:val="clear" w:color="auto" w:fill="auto"/>
                  <w:noWrap/>
                  <w:hideMark/>
                </w:tcPr>
                <w:p w:rsidR="00F67A04" w:rsidRPr="00F67A04" w:rsidRDefault="00F67A04" w:rsidP="00B64F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w:t>
                  </w:r>
                </w:p>
              </w:tc>
            </w:tr>
            <w:tr w:rsidR="00F67A04" w:rsidRPr="00F67A04" w:rsidTr="00B64F4F">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8789" w:type="dxa"/>
                  <w:gridSpan w:val="3"/>
                  <w:tcBorders>
                    <w:top w:val="single" w:sz="4" w:space="0" w:color="auto"/>
                  </w:tcBorders>
                  <w:shd w:val="clear" w:color="auto" w:fill="auto"/>
                  <w:hideMark/>
                </w:tcPr>
                <w:p w:rsidR="00F67A04" w:rsidRPr="00F67A04" w:rsidRDefault="00F67A04" w:rsidP="00B64F4F">
                  <w:pPr>
                    <w:jc w:val="both"/>
                    <w:rPr>
                      <w:rFonts w:ascii="Times New Roman" w:eastAsia="Times New Roman" w:hAnsi="Times New Roman" w:cs="Times New Roman"/>
                      <w:b w:val="0"/>
                      <w:lang w:eastAsia="en-GB"/>
                    </w:rPr>
                  </w:pPr>
                  <w:r w:rsidRPr="00F67A04">
                    <w:rPr>
                      <w:rFonts w:ascii="Times New Roman" w:eastAsia="Times New Roman" w:hAnsi="Times New Roman" w:cs="Times New Roman"/>
                      <w:b w:val="0"/>
                      <w:lang w:eastAsia="en-GB"/>
                    </w:rPr>
                    <w:t xml:space="preserve">Notes: *Marked as global systemically important banks by European Banking Authority (EBA) on 3 November 2016. **Natixis is a subsidiary of BPCE, which is marked as one of the globally systemically important banks too. </w:t>
                  </w:r>
                </w:p>
              </w:tc>
            </w:tr>
          </w:tbl>
          <w:p w:rsidR="00F67A04" w:rsidRPr="00F67A04" w:rsidRDefault="00F67A04" w:rsidP="00B64F4F">
            <w:pPr>
              <w:rPr>
                <w:rFonts w:ascii="Times New Roman" w:hAnsi="Times New Roman" w:cs="Times New Roman"/>
                <w:sz w:val="24"/>
                <w:szCs w:val="24"/>
              </w:rPr>
            </w:pPr>
          </w:p>
          <w:p w:rsidR="00F67A04" w:rsidRPr="00F67A04" w:rsidRDefault="00F67A04" w:rsidP="00B64F4F">
            <w:pPr>
              <w:rPr>
                <w:rFonts w:ascii="Times New Roman" w:hAnsi="Times New Roman" w:cs="Times New Roman"/>
                <w:b/>
                <w:sz w:val="24"/>
                <w:szCs w:val="24"/>
              </w:rPr>
            </w:pPr>
          </w:p>
          <w:p w:rsidR="00F67A04" w:rsidRPr="00F67A04" w:rsidRDefault="00F67A04" w:rsidP="00B64F4F">
            <w:pPr>
              <w:spacing w:after="0" w:line="240" w:lineRule="auto"/>
              <w:rPr>
                <w:rFonts w:ascii="Times New Roman" w:eastAsia="Times New Roman" w:hAnsi="Times New Roman" w:cs="Times New Roman"/>
                <w:sz w:val="20"/>
                <w:szCs w:val="20"/>
                <w:lang w:eastAsia="en-GB"/>
              </w:rPr>
            </w:pPr>
            <w:r w:rsidRPr="00F67A04">
              <w:rPr>
                <w:rFonts w:ascii="Times New Roman" w:eastAsia="Times New Roman" w:hAnsi="Times New Roman" w:cs="Times New Roman"/>
                <w:b/>
                <w:bCs/>
                <w:color w:val="000000"/>
                <w:lang w:eastAsia="en-GB"/>
              </w:rPr>
              <w:t>Appendix 2. Definitions and data sources of variables used in panel regressions.</w:t>
            </w:r>
          </w:p>
        </w:tc>
        <w:tc>
          <w:tcPr>
            <w:tcW w:w="620" w:type="pct"/>
            <w:gridSpan w:val="2"/>
            <w:tcBorders>
              <w:left w:val="nil"/>
              <w:bottom w:val="double" w:sz="4" w:space="0" w:color="auto"/>
              <w:right w:val="nil"/>
            </w:tcBorders>
            <w:shd w:val="clear" w:color="auto" w:fill="auto"/>
            <w:noWrap/>
            <w:vAlign w:val="bottom"/>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004"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lastRenderedPageBreak/>
              <w:t>Variable</w:t>
            </w:r>
          </w:p>
        </w:tc>
        <w:tc>
          <w:tcPr>
            <w:tcW w:w="123"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238"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1087"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Definition</w:t>
            </w:r>
          </w:p>
        </w:tc>
        <w:tc>
          <w:tcPr>
            <w:tcW w:w="167"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167"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167"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688" w:type="pct"/>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c>
          <w:tcPr>
            <w:tcW w:w="1240" w:type="pct"/>
            <w:gridSpan w:val="3"/>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Data Source</w:t>
            </w:r>
          </w:p>
        </w:tc>
        <w:tc>
          <w:tcPr>
            <w:tcW w:w="119" w:type="pct"/>
            <w:gridSpan w:val="2"/>
            <w:tcBorders>
              <w:top w:val="single" w:sz="4" w:space="0" w:color="auto"/>
              <w:left w:val="nil"/>
              <w:bottom w:val="single" w:sz="4" w:space="0" w:color="auto"/>
              <w:right w:val="nil"/>
            </w:tcBorders>
            <w:shd w:val="clear" w:color="auto" w:fill="auto"/>
            <w:noWrap/>
            <w:vAlign w:val="bottom"/>
            <w:hideMark/>
          </w:tcPr>
          <w:p w:rsidR="00F67A04" w:rsidRPr="00F67A04" w:rsidRDefault="00F67A04" w:rsidP="00B64F4F">
            <w:pPr>
              <w:spacing w:after="0" w:line="312"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w:t>
            </w:r>
          </w:p>
        </w:tc>
      </w:tr>
      <w:tr w:rsidR="00F67A04" w:rsidRPr="00F67A04" w:rsidTr="00F67A04">
        <w:trPr>
          <w:trHeight w:val="184"/>
        </w:trPr>
        <w:tc>
          <w:tcPr>
            <w:tcW w:w="1127" w:type="pct"/>
            <w:gridSpan w:val="2"/>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Risk Measures</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vAlign w:val="bottom"/>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40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Z-Score</w:t>
            </w: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vMerge w:val="restart"/>
            <w:tcBorders>
              <w:top w:val="nil"/>
              <w:left w:val="nil"/>
              <w:bottom w:val="nil"/>
              <w:right w:val="nil"/>
            </w:tcBorders>
            <w:shd w:val="clear" w:color="auto" w:fill="auto"/>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Return on average assets per year/volatility of these returns, where volatility is based on a 3-year rolling window</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roofErr w:type="spellStart"/>
            <w:r w:rsidRPr="00F67A04">
              <w:rPr>
                <w:rFonts w:ascii="Times New Roman" w:eastAsia="Times New Roman" w:hAnsi="Times New Roman" w:cs="Times New Roman"/>
                <w:color w:val="000000"/>
                <w:lang w:eastAsia="en-GB"/>
              </w:rPr>
              <w:t>Datastream</w:t>
            </w:r>
            <w:proofErr w:type="spellEnd"/>
            <w:r w:rsidRPr="00F67A04">
              <w:rPr>
                <w:rFonts w:ascii="Times New Roman" w:eastAsia="Times New Roman" w:hAnsi="Times New Roman" w:cs="Times New Roman"/>
                <w:color w:val="000000"/>
                <w:lang w:eastAsia="en-GB"/>
              </w:rPr>
              <w:t>, own calculations</w:t>
            </w: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vMerge/>
            <w:tcBorders>
              <w:top w:val="nil"/>
              <w:left w:val="nil"/>
              <w:bottom w:val="nil"/>
              <w:right w:val="nil"/>
            </w:tcBorders>
            <w:vAlign w:val="center"/>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127"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roofErr w:type="spellStart"/>
            <w:r w:rsidRPr="00F67A04">
              <w:rPr>
                <w:rFonts w:ascii="Times New Roman" w:eastAsia="Times New Roman" w:hAnsi="Times New Roman" w:cs="Times New Roman"/>
                <w:color w:val="000000"/>
                <w:lang w:eastAsia="en-GB"/>
              </w:rPr>
              <w:t>Stdev</w:t>
            </w:r>
            <w:proofErr w:type="spellEnd"/>
            <w:r w:rsidRPr="00F67A04">
              <w:rPr>
                <w:rFonts w:ascii="Times New Roman" w:eastAsia="Times New Roman" w:hAnsi="Times New Roman" w:cs="Times New Roman"/>
                <w:color w:val="000000"/>
                <w:lang w:eastAsia="en-GB"/>
              </w:rPr>
              <w:t>. ROE</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The standard deviation of the return on equity (ROE) based on a 3-year rolling time window (see e.g. Berger et al., 2016)</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WC01651, WC03501</w:t>
            </w: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tcBorders>
              <w:top w:val="nil"/>
              <w:left w:val="nil"/>
              <w:bottom w:val="nil"/>
              <w:right w:val="nil"/>
            </w:tcBorders>
            <w:vAlign w:val="center"/>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SRISK</w:t>
            </w: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vMerge w:val="restart"/>
            <w:tcBorders>
              <w:top w:val="nil"/>
              <w:left w:val="nil"/>
              <w:bottom w:val="nil"/>
              <w:right w:val="nil"/>
            </w:tcBorders>
            <w:shd w:val="clear" w:color="auto" w:fill="auto"/>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Defined as the expected capital shortfall of a financial firm during a period of distress in which the financial market declines substantially</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roofErr w:type="spellStart"/>
            <w:r w:rsidRPr="00F67A04">
              <w:rPr>
                <w:rFonts w:ascii="Times New Roman" w:eastAsia="Times New Roman" w:hAnsi="Times New Roman" w:cs="Times New Roman"/>
                <w:color w:val="000000"/>
                <w:lang w:eastAsia="en-GB"/>
              </w:rPr>
              <w:t>Datastream</w:t>
            </w:r>
            <w:proofErr w:type="spellEnd"/>
            <w:r w:rsidRPr="00F67A04">
              <w:rPr>
                <w:rFonts w:ascii="Times New Roman" w:eastAsia="Times New Roman" w:hAnsi="Times New Roman" w:cs="Times New Roman"/>
                <w:color w:val="000000"/>
                <w:lang w:eastAsia="en-GB"/>
              </w:rPr>
              <w:t>, own calculations</w:t>
            </w:r>
          </w:p>
        </w:tc>
      </w:tr>
      <w:tr w:rsidR="00F67A04" w:rsidRPr="00F67A04" w:rsidTr="00F67A04">
        <w:trPr>
          <w:trHeight w:val="288"/>
        </w:trPr>
        <w:tc>
          <w:tcPr>
            <w:tcW w:w="1004"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vMerge/>
            <w:tcBorders>
              <w:top w:val="nil"/>
              <w:left w:val="nil"/>
              <w:bottom w:val="nil"/>
              <w:right w:val="nil"/>
            </w:tcBorders>
            <w:vAlign w:val="center"/>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004"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Sustainability Rating</w:t>
            </w: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Equally weighted measure of the 3 pillars environmental, social and corporate governance</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roofErr w:type="spellStart"/>
            <w:r w:rsidRPr="00F67A04">
              <w:rPr>
                <w:rFonts w:ascii="Times New Roman" w:eastAsia="Times New Roman" w:hAnsi="Times New Roman" w:cs="Times New Roman"/>
                <w:color w:val="000000"/>
                <w:lang w:eastAsia="en-GB"/>
              </w:rPr>
              <w:t>Datastream</w:t>
            </w:r>
            <w:proofErr w:type="spellEnd"/>
            <w:r w:rsidRPr="00F67A04">
              <w:rPr>
                <w:rFonts w:ascii="Times New Roman" w:eastAsia="Times New Roman" w:hAnsi="Times New Roman" w:cs="Times New Roman"/>
                <w:color w:val="000000"/>
                <w:lang w:eastAsia="en-GB"/>
              </w:rPr>
              <w:t>: ENVSCORE, SOCSCORE, CGVSCORE</w:t>
            </w:r>
          </w:p>
        </w:tc>
      </w:tr>
      <w:tr w:rsidR="00F67A04" w:rsidRPr="00F67A04" w:rsidTr="00F67A04">
        <w:trPr>
          <w:trHeight w:val="288"/>
        </w:trPr>
        <w:tc>
          <w:tcPr>
            <w:tcW w:w="1004"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23"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365" w:type="pct"/>
            <w:gridSpan w:val="3"/>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Bank Control Variables</w:t>
            </w: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Size</w:t>
            </w:r>
          </w:p>
        </w:tc>
        <w:tc>
          <w:tcPr>
            <w:tcW w:w="123"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276" w:type="pct"/>
            <w:gridSpan w:val="5"/>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Natural logarithm of total assets</w:t>
            </w:r>
          </w:p>
        </w:tc>
        <w:tc>
          <w:tcPr>
            <w:tcW w:w="1240" w:type="pct"/>
            <w:gridSpan w:val="3"/>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WC02999</w:t>
            </w: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color w:val="000000"/>
                <w:lang w:eastAsia="en-GB"/>
              </w:rPr>
            </w:pPr>
          </w:p>
        </w:tc>
      </w:tr>
      <w:tr w:rsidR="00F67A04" w:rsidRPr="00F67A04" w:rsidTr="00F67A04">
        <w:trPr>
          <w:trHeight w:val="288"/>
        </w:trPr>
        <w:tc>
          <w:tcPr>
            <w:tcW w:w="1127"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Tier-1 Ratio</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Basel III Tier 1 capital/Risk-Weighted Assets</w:t>
            </w:r>
          </w:p>
        </w:tc>
        <w:tc>
          <w:tcPr>
            <w:tcW w:w="1240" w:type="pct"/>
            <w:gridSpan w:val="3"/>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WC18157</w:t>
            </w: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color w:val="000000"/>
                <w:lang w:eastAsia="en-GB"/>
              </w:rPr>
            </w:pPr>
          </w:p>
        </w:tc>
      </w:tr>
      <w:tr w:rsidR="00F67A04" w:rsidRPr="00F67A04" w:rsidTr="00F67A04">
        <w:trPr>
          <w:trHeight w:val="288"/>
        </w:trPr>
        <w:tc>
          <w:tcPr>
            <w:tcW w:w="1127"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Deposit Ratio</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Total deposits/total liabilities</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WC03019, WC03351</w:t>
            </w:r>
          </w:p>
        </w:tc>
      </w:tr>
      <w:tr w:rsidR="00F67A04" w:rsidRPr="00F67A04" w:rsidTr="00F67A04">
        <w:trPr>
          <w:trHeight w:val="288"/>
        </w:trPr>
        <w:tc>
          <w:tcPr>
            <w:tcW w:w="1365" w:type="pct"/>
            <w:gridSpan w:val="3"/>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Short-Term Funding</w:t>
            </w:r>
          </w:p>
        </w:tc>
        <w:tc>
          <w:tcPr>
            <w:tcW w:w="2276" w:type="pct"/>
            <w:gridSpan w:val="5"/>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Short-term borrowings/total assets</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WC03019, WC02999</w:t>
            </w:r>
          </w:p>
        </w:tc>
      </w:tr>
      <w:tr w:rsidR="00F67A04" w:rsidRPr="00F67A04" w:rsidTr="00F67A04">
        <w:trPr>
          <w:trHeight w:val="288"/>
        </w:trPr>
        <w:tc>
          <w:tcPr>
            <w:tcW w:w="1365" w:type="pct"/>
            <w:gridSpan w:val="3"/>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Non- Interest Income</w:t>
            </w:r>
          </w:p>
        </w:tc>
        <w:tc>
          <w:tcPr>
            <w:tcW w:w="2276" w:type="pct"/>
            <w:gridSpan w:val="5"/>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Non-interest income/total interest income</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WC01021, WC01016</w:t>
            </w:r>
          </w:p>
        </w:tc>
      </w:tr>
      <w:tr w:rsidR="00F67A04" w:rsidRPr="00F67A04" w:rsidTr="00F67A04">
        <w:trPr>
          <w:trHeight w:val="288"/>
        </w:trPr>
        <w:tc>
          <w:tcPr>
            <w:tcW w:w="1365" w:type="pct"/>
            <w:gridSpan w:val="3"/>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Return On Assets Ratio</w:t>
            </w:r>
          </w:p>
        </w:tc>
        <w:tc>
          <w:tcPr>
            <w:tcW w:w="2276" w:type="pct"/>
            <w:gridSpan w:val="5"/>
            <w:tcBorders>
              <w:top w:val="nil"/>
              <w:left w:val="nil"/>
              <w:bottom w:val="nil"/>
              <w:right w:val="nil"/>
            </w:tcBorders>
            <w:shd w:val="clear" w:color="auto" w:fill="auto"/>
            <w:noWrap/>
            <w:vAlign w:val="bottom"/>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Net income before preferred dividends/total assets</w:t>
            </w:r>
          </w:p>
        </w:tc>
        <w:tc>
          <w:tcPr>
            <w:tcW w:w="1359" w:type="pct"/>
            <w:gridSpan w:val="5"/>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WC01651, WC02999</w:t>
            </w:r>
          </w:p>
        </w:tc>
      </w:tr>
      <w:tr w:rsidR="00F67A04" w:rsidRPr="00F67A04" w:rsidTr="00F67A04">
        <w:trPr>
          <w:trHeight w:val="288"/>
        </w:trPr>
        <w:tc>
          <w:tcPr>
            <w:tcW w:w="1365" w:type="pct"/>
            <w:gridSpan w:val="3"/>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Loan-Deposit Ratio</w:t>
            </w:r>
          </w:p>
        </w:tc>
        <w:tc>
          <w:tcPr>
            <w:tcW w:w="2276" w:type="pct"/>
            <w:gridSpan w:val="5"/>
            <w:tcBorders>
              <w:top w:val="nil"/>
              <w:left w:val="nil"/>
              <w:bottom w:val="nil"/>
              <w:right w:val="nil"/>
            </w:tcBorders>
            <w:shd w:val="clear" w:color="auto" w:fill="auto"/>
            <w:noWrap/>
            <w:vAlign w:val="bottom"/>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Total loans/total deposits</w:t>
            </w:r>
          </w:p>
        </w:tc>
        <w:tc>
          <w:tcPr>
            <w:tcW w:w="1359" w:type="pct"/>
            <w:gridSpan w:val="5"/>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WC02271, WC03019</w:t>
            </w:r>
          </w:p>
        </w:tc>
      </w:tr>
      <w:tr w:rsidR="00F67A04" w:rsidRPr="00F67A04" w:rsidTr="00F67A04">
        <w:trPr>
          <w:trHeight w:val="288"/>
        </w:trPr>
        <w:tc>
          <w:tcPr>
            <w:tcW w:w="1004"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23"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365" w:type="pct"/>
            <w:gridSpan w:val="3"/>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Country Control Variables</w:t>
            </w:r>
          </w:p>
        </w:tc>
        <w:tc>
          <w:tcPr>
            <w:tcW w:w="108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67"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8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19"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621"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sz w:val="20"/>
                <w:szCs w:val="20"/>
                <w:lang w:eastAsia="en-GB"/>
              </w:rPr>
            </w:pPr>
          </w:p>
        </w:tc>
        <w:tc>
          <w:tcPr>
            <w:tcW w:w="119" w:type="pct"/>
            <w:gridSpan w:val="2"/>
            <w:tcBorders>
              <w:top w:val="nil"/>
              <w:left w:val="nil"/>
              <w:bottom w:val="nil"/>
              <w:right w:val="nil"/>
            </w:tcBorders>
            <w:shd w:val="clear" w:color="auto" w:fill="auto"/>
            <w:noWrap/>
            <w:hideMark/>
          </w:tcPr>
          <w:p w:rsidR="00F67A04" w:rsidRPr="00F67A04" w:rsidRDefault="00F67A04" w:rsidP="00B64F4F">
            <w:pPr>
              <w:spacing w:after="0" w:line="312" w:lineRule="auto"/>
              <w:rPr>
                <w:rFonts w:ascii="Times New Roman" w:eastAsia="Times New Roman" w:hAnsi="Times New Roman" w:cs="Times New Roman"/>
                <w:sz w:val="20"/>
                <w:szCs w:val="20"/>
                <w:lang w:eastAsia="en-GB"/>
              </w:rPr>
            </w:pPr>
          </w:p>
        </w:tc>
      </w:tr>
      <w:tr w:rsidR="00F67A04" w:rsidRPr="00F67A04" w:rsidTr="00F67A04">
        <w:trPr>
          <w:trHeight w:val="288"/>
        </w:trPr>
        <w:tc>
          <w:tcPr>
            <w:tcW w:w="1127"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GDP Growth Rate</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Annual percentage growth rate of GDP at market prices based on constant local currency</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World Development Indicators</w:t>
            </w:r>
          </w:p>
        </w:tc>
      </w:tr>
      <w:tr w:rsidR="00F67A04" w:rsidRPr="00F67A04" w:rsidTr="00F67A04">
        <w:trPr>
          <w:trHeight w:val="288"/>
        </w:trPr>
        <w:tc>
          <w:tcPr>
            <w:tcW w:w="1365" w:type="pct"/>
            <w:gridSpan w:val="3"/>
            <w:tcBorders>
              <w:top w:val="nil"/>
              <w:left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xml:space="preserve">Public Debt to GDP </w:t>
            </w:r>
          </w:p>
        </w:tc>
        <w:tc>
          <w:tcPr>
            <w:tcW w:w="2276" w:type="pct"/>
            <w:gridSpan w:val="5"/>
            <w:tcBorders>
              <w:top w:val="nil"/>
              <w:left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The annual share of public debt as a percentage of its GDP</w:t>
            </w:r>
          </w:p>
        </w:tc>
        <w:tc>
          <w:tcPr>
            <w:tcW w:w="1359" w:type="pct"/>
            <w:gridSpan w:val="5"/>
            <w:tcBorders>
              <w:top w:val="nil"/>
              <w:left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World Development Indicators</w:t>
            </w:r>
          </w:p>
        </w:tc>
      </w:tr>
      <w:tr w:rsidR="00F67A04" w:rsidRPr="00F67A04" w:rsidTr="00F67A04">
        <w:trPr>
          <w:trHeight w:val="288"/>
        </w:trPr>
        <w:tc>
          <w:tcPr>
            <w:tcW w:w="1127" w:type="pct"/>
            <w:gridSpan w:val="2"/>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Inflation Rate</w:t>
            </w:r>
          </w:p>
        </w:tc>
        <w:tc>
          <w:tcPr>
            <w:tcW w:w="238" w:type="pct"/>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As measured by the annual implicit GDP deflator in %</w:t>
            </w:r>
          </w:p>
        </w:tc>
        <w:tc>
          <w:tcPr>
            <w:tcW w:w="1359" w:type="pct"/>
            <w:gridSpan w:val="5"/>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World Development Indicators</w:t>
            </w:r>
          </w:p>
        </w:tc>
      </w:tr>
      <w:tr w:rsidR="00F67A04" w:rsidRPr="00F67A04" w:rsidTr="00F67A04">
        <w:trPr>
          <w:trHeight w:val="288"/>
        </w:trPr>
        <w:tc>
          <w:tcPr>
            <w:tcW w:w="1127" w:type="pct"/>
            <w:gridSpan w:val="2"/>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Market Capitalization</w:t>
            </w:r>
          </w:p>
        </w:tc>
        <w:tc>
          <w:tcPr>
            <w:tcW w:w="238" w:type="pct"/>
            <w:tcBorders>
              <w:top w:val="nil"/>
              <w:left w:val="nil"/>
              <w:bottom w:val="nil"/>
              <w:right w:val="nil"/>
            </w:tcBorders>
            <w:shd w:val="clear" w:color="auto" w:fill="auto"/>
            <w:noWrap/>
            <w:vAlign w:val="bottom"/>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The market value of a country of domestically listed companies as a percentage of its GDP</w:t>
            </w:r>
          </w:p>
        </w:tc>
        <w:tc>
          <w:tcPr>
            <w:tcW w:w="1359" w:type="pct"/>
            <w:gridSpan w:val="5"/>
            <w:tcBorders>
              <w:top w:val="nil"/>
              <w:left w:val="nil"/>
              <w:bottom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proofErr w:type="spellStart"/>
            <w:r w:rsidRPr="00F67A04">
              <w:rPr>
                <w:rFonts w:ascii="Times New Roman" w:eastAsia="Times New Roman" w:hAnsi="Times New Roman" w:cs="Times New Roman"/>
                <w:color w:val="000000"/>
                <w:lang w:eastAsia="en-GB"/>
              </w:rPr>
              <w:t>Datastream</w:t>
            </w:r>
            <w:proofErr w:type="spellEnd"/>
          </w:p>
        </w:tc>
      </w:tr>
      <w:tr w:rsidR="00F67A04" w:rsidRPr="00F67A04" w:rsidTr="00F67A04">
        <w:trPr>
          <w:trHeight w:val="288"/>
        </w:trPr>
        <w:tc>
          <w:tcPr>
            <w:tcW w:w="1127" w:type="pct"/>
            <w:gridSpan w:val="2"/>
            <w:tcBorders>
              <w:top w:val="nil"/>
              <w:left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Unemployment Rate</w:t>
            </w:r>
          </w:p>
        </w:tc>
        <w:tc>
          <w:tcPr>
            <w:tcW w:w="238" w:type="pct"/>
            <w:tcBorders>
              <w:top w:val="nil"/>
              <w:left w:val="nil"/>
              <w:right w:val="nil"/>
            </w:tcBorders>
            <w:shd w:val="clear" w:color="auto" w:fill="auto"/>
            <w:noWrap/>
            <w:vAlign w:val="bottom"/>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 xml:space="preserve">Total unemployment as percentage of total </w:t>
            </w:r>
            <w:proofErr w:type="spellStart"/>
            <w:r w:rsidRPr="00F67A04">
              <w:rPr>
                <w:rFonts w:ascii="Times New Roman" w:eastAsia="Times New Roman" w:hAnsi="Times New Roman" w:cs="Times New Roman"/>
                <w:color w:val="000000"/>
                <w:lang w:eastAsia="en-GB"/>
              </w:rPr>
              <w:t>labor</w:t>
            </w:r>
            <w:proofErr w:type="spellEnd"/>
            <w:r w:rsidRPr="00F67A04">
              <w:rPr>
                <w:rFonts w:ascii="Times New Roman" w:eastAsia="Times New Roman" w:hAnsi="Times New Roman" w:cs="Times New Roman"/>
                <w:color w:val="000000"/>
                <w:lang w:eastAsia="en-GB"/>
              </w:rPr>
              <w:t xml:space="preserve"> force</w:t>
            </w:r>
          </w:p>
        </w:tc>
        <w:tc>
          <w:tcPr>
            <w:tcW w:w="1359" w:type="pct"/>
            <w:gridSpan w:val="5"/>
            <w:tcBorders>
              <w:top w:val="nil"/>
              <w:left w:val="nil"/>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World Development Indicators</w:t>
            </w:r>
          </w:p>
        </w:tc>
      </w:tr>
      <w:tr w:rsidR="00F67A04" w:rsidRPr="00F67A04" w:rsidTr="00F67A04">
        <w:trPr>
          <w:trHeight w:val="288"/>
        </w:trPr>
        <w:tc>
          <w:tcPr>
            <w:tcW w:w="1127" w:type="pct"/>
            <w:gridSpan w:val="2"/>
            <w:tcBorders>
              <w:top w:val="nil"/>
              <w:left w:val="nil"/>
              <w:bottom w:val="single" w:sz="4" w:space="0" w:color="auto"/>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GDP</w:t>
            </w:r>
          </w:p>
        </w:tc>
        <w:tc>
          <w:tcPr>
            <w:tcW w:w="238" w:type="pct"/>
            <w:tcBorders>
              <w:top w:val="nil"/>
              <w:left w:val="nil"/>
              <w:bottom w:val="single" w:sz="4" w:space="0" w:color="auto"/>
              <w:right w:val="nil"/>
            </w:tcBorders>
            <w:shd w:val="clear" w:color="auto" w:fill="auto"/>
            <w:noWrap/>
            <w:vAlign w:val="bottom"/>
          </w:tcPr>
          <w:p w:rsidR="00F67A04" w:rsidRPr="00F67A04" w:rsidRDefault="00F67A04" w:rsidP="00B64F4F">
            <w:pPr>
              <w:spacing w:after="0" w:line="240" w:lineRule="auto"/>
              <w:rPr>
                <w:rFonts w:ascii="Times New Roman" w:eastAsia="Times New Roman" w:hAnsi="Times New Roman" w:cs="Times New Roman"/>
                <w:color w:val="000000"/>
                <w:lang w:eastAsia="en-GB"/>
              </w:rPr>
            </w:pPr>
          </w:p>
        </w:tc>
        <w:tc>
          <w:tcPr>
            <w:tcW w:w="2276" w:type="pct"/>
            <w:gridSpan w:val="5"/>
            <w:tcBorders>
              <w:top w:val="nil"/>
              <w:left w:val="nil"/>
              <w:bottom w:val="single" w:sz="4" w:space="0" w:color="auto"/>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Gross Domestic Product of a country denoted  in local currency</w:t>
            </w:r>
          </w:p>
        </w:tc>
        <w:tc>
          <w:tcPr>
            <w:tcW w:w="1359" w:type="pct"/>
            <w:gridSpan w:val="5"/>
            <w:tcBorders>
              <w:top w:val="nil"/>
              <w:left w:val="nil"/>
              <w:bottom w:val="single" w:sz="4" w:space="0" w:color="auto"/>
              <w:right w:val="nil"/>
            </w:tcBorders>
            <w:shd w:val="clear" w:color="auto" w:fill="auto"/>
            <w:noWrap/>
          </w:tcPr>
          <w:p w:rsidR="00F67A04" w:rsidRPr="00F67A04" w:rsidRDefault="00F67A04" w:rsidP="00B64F4F">
            <w:pPr>
              <w:spacing w:after="0" w:line="240" w:lineRule="auto"/>
              <w:rPr>
                <w:rFonts w:ascii="Times New Roman" w:eastAsia="Times New Roman" w:hAnsi="Times New Roman" w:cs="Times New Roman"/>
                <w:color w:val="000000"/>
                <w:lang w:eastAsia="en-GB"/>
              </w:rPr>
            </w:pPr>
            <w:r w:rsidRPr="00F67A04">
              <w:rPr>
                <w:rFonts w:ascii="Times New Roman" w:eastAsia="Times New Roman" w:hAnsi="Times New Roman" w:cs="Times New Roman"/>
                <w:color w:val="000000"/>
                <w:lang w:eastAsia="en-GB"/>
              </w:rPr>
              <w:t>World Development Indicators</w:t>
            </w:r>
          </w:p>
        </w:tc>
      </w:tr>
    </w:tbl>
    <w:p w:rsidR="00F67A04" w:rsidRPr="00F67A04" w:rsidRDefault="00F67A04" w:rsidP="00F67A04">
      <w:pPr>
        <w:spacing w:after="0" w:line="312" w:lineRule="auto"/>
        <w:rPr>
          <w:rFonts w:ascii="Times New Roman" w:hAnsi="Times New Roman" w:cs="Times New Roman"/>
          <w:sz w:val="24"/>
          <w:szCs w:val="24"/>
        </w:rPr>
      </w:pP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br w:type="page"/>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lastRenderedPageBreak/>
        <w:t>Appendix 3</w:t>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t>Sustainability Rating</w:t>
      </w:r>
    </w:p>
    <w:p w:rsidR="00F67A04" w:rsidRPr="00F67A04" w:rsidRDefault="00F67A04" w:rsidP="00F67A04">
      <w:pPr>
        <w:spacing w:line="240" w:lineRule="auto"/>
        <w:rPr>
          <w:rFonts w:ascii="Palatino Linotype" w:hAnsi="Palatino Linotype"/>
          <w:sz w:val="18"/>
          <w:szCs w:val="18"/>
        </w:rPr>
      </w:pP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The sustainability rating is an equally weighted score of the environmental score, social score and governance score. The latter three are made up of different components</w:t>
      </w:r>
    </w:p>
    <w:p w:rsidR="00F67A04" w:rsidRPr="00F67A04" w:rsidRDefault="00F67A04" w:rsidP="00F67A04">
      <w:pPr>
        <w:spacing w:line="240" w:lineRule="auto"/>
        <w:rPr>
          <w:rFonts w:ascii="Times New Roman" w:hAnsi="Times New Roman" w:cs="Times New Roman"/>
          <w:sz w:val="20"/>
          <w:szCs w:val="20"/>
        </w:rPr>
      </w:pP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 xml:space="preserve">ENVIRONMENTAL SCORE (ENVSCORE):  </w:t>
      </w:r>
      <w:proofErr w:type="gramStart"/>
      <w:r w:rsidRPr="00F67A04">
        <w:rPr>
          <w:rFonts w:ascii="Times New Roman" w:hAnsi="Times New Roman" w:cs="Times New Roman"/>
          <w:sz w:val="20"/>
          <w:szCs w:val="20"/>
        </w:rPr>
        <w:t>The environmental pillar measures a company's impact on living and non-living natural systems, including the air, land and water, as well as complete</w:t>
      </w:r>
      <w:proofErr w:type="gramEnd"/>
      <w:r w:rsidRPr="00F67A04">
        <w:rPr>
          <w:rFonts w:ascii="Times New Roman" w:hAnsi="Times New Roman" w:cs="Times New Roman"/>
          <w:sz w:val="20"/>
          <w:szCs w:val="20"/>
        </w:rPr>
        <w:t xml:space="preserve"> ecosystems. It reflects how well a company uses best management practices to avoid environmental risks and capitalize on environmental opportunities in order to generate long term shareholder value.</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This score is made up of an equally weighted score on emission reduction, product innovation and resource reduction:</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 xml:space="preserve">Emission Reduction (ENER): The emission reduction category measures a company's management commitment and effectiveness towards reducing environmental emission in the production and operational processes. It reflects a company's capacity to reduce air emissions (greenhouse gases, F-gases, ozone-depleting substances, NOx and </w:t>
      </w:r>
      <w:proofErr w:type="spellStart"/>
      <w:r w:rsidRPr="00F67A04">
        <w:rPr>
          <w:rFonts w:ascii="Times New Roman" w:hAnsi="Times New Roman" w:cs="Times New Roman"/>
          <w:sz w:val="20"/>
          <w:szCs w:val="20"/>
        </w:rPr>
        <w:t>SOx</w:t>
      </w:r>
      <w:proofErr w:type="spellEnd"/>
      <w:r w:rsidRPr="00F67A04">
        <w:rPr>
          <w:rFonts w:ascii="Times New Roman" w:hAnsi="Times New Roman" w:cs="Times New Roman"/>
          <w:sz w:val="20"/>
          <w:szCs w:val="20"/>
        </w:rPr>
        <w:t>, etc.), waste, hazardous waste, water discharges, spills or its impacts on biodiversity and to partner with environmental organisations to reduce the environmental impact of the company in the local or broader community.</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Product Innovation (ENPI): The product innovation category measures a company's management commitment and effectiveness towards supporting the research and development of eco-efficient products or services. It reflects a company's capacity to reduce the environmental costs and burdens for its customers, and thereby creating new market opportunities through new environmental technologies and processes or eco-designed, dematerialized products with extended durability.</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Resource Reduction (ENRR): The resource reduction category measures a company's management commitment and effectiveness towards achieving an efficient use of natural resources in the production process. It reflects a company's capacity to reduce the use of materials, energy or water, and to find more eco-efficient solutions by improving supply chain management.</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ab/>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SOCIAL SCORE (SOCSCORE): The social pillar measures a company's capacity to generate trust and loyalty with its workforce, customers and society, through its use of best management practices. It is a reflection of the company's reputation and the health of its license to operate, which are key factors in determining its ability to generate long term shareholder value.</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It is made up of product responsibility, community, human rights, diversity and opportunity, employment quality, health and safety, and training and development:</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Customer /Product Responsibility (SOPR):   The customer/product responsibility category measures a company's management commitment and effectiveness towards creating value-added products and services upholding the customer's security. It reflects a company's capacity to maintain its license to operate by producing quality goods and services integrating the customer's health and safety, and preserving its integrity and privacy also through accurate product information and labelling.</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Society /Community (SOCO): The society/community category measures a company's management commitment and effectiveness towards maintaining the company's reputation within the general community (local, national and global). It reflects a company's capacity to maintain its license to operate by being a good citizen (donations of cash, goods or staff time, etc.), protecting public health (avoidance of industrial accidents, etc.) and respecting business ethics (avoiding bribery and corruption, etc.).</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Society /Human Rights (SOHR): The society/human rights category measures a company's management commitment and effectiveness towards respecting the fundamental human rights conventions. It reflects a company's capacity to maintain its license to operate by guaranteeing the freedom of association and excluding child, forced or compulsory labour.</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lastRenderedPageBreak/>
        <w:t>Workforce /Diversity and Opportunity (SODO): The workforce/diversity and opportunity category measures a company's management commitment and effectiveness towards maintaining diversity and equal opportunities in its workforce. It reflects a company's capacity to increase its workforce loyalty and productivity by promoting an effective life-work balance, a family friendly environment and equal opportunities regardless of gender, age, ethnicity, religion or sexual orientation.</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Workforce /Employment Quality (SOEQ): The workforce/employment quality category measures a company's management commitment and effectiveness towards providing high-quality employment benefits and job conditions. It reflects a company's capacity to increase its workforce loyalty and productivity by distributing rewarding and fair employment benefits, and by focusing on long-term employment growth and stability by promoting from within, avoiding lay-offs and maintaining relations with trade unions.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Workforce /Health &amp; Safety (SOHS): The workforce/health &amp; safety category measures a company's management commitment and effectiveness towards providing a healthy and safe workplace. It reflects a company's capacity to increase its workforce loyalty and productivity by integrating into its day-to-day operations a concern for the physical and mental health, well-being and stress level of all employees.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Workforce /Training and Development (SOTD): The workforce/training and development category measures a company's management commitment and effectiveness towards providing training and development (education) for its workforce. It reflects a company's capacity to increase its intellectual capital, workforce loyalty and productivity by developing the workforce's skills, competences, employability and careers in an entrepreneurial environment.</w:t>
      </w:r>
    </w:p>
    <w:p w:rsidR="00F67A04" w:rsidRPr="00F67A04" w:rsidRDefault="00F67A04" w:rsidP="00F67A04">
      <w:pPr>
        <w:spacing w:line="240" w:lineRule="auto"/>
        <w:rPr>
          <w:rFonts w:ascii="Times New Roman" w:hAnsi="Times New Roman" w:cs="Times New Roman"/>
          <w:sz w:val="20"/>
          <w:szCs w:val="20"/>
        </w:rPr>
      </w:pP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CORPORATE GOVERNANCE SCORE (CGVSCORE): The corporate governance pillar measures a company's systems and processes, which ensure that its board members and executives act in the best interests of its long term shareholders. It reflects a company's capacity, through its use of best management practices, to direct and control its rights and responsibilities through the creation of incentives, as well as checks and balances in order to generate long term shareholder value.</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This score is made up of board functions, board structure, compensation policy, vision and strategy, and shareholder rights: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Board of Directors/Board Functions (CGBF): The board of directors/board functions category measures a company's management commitment and effectiveness towards following best practice corporate governance principles related to board activities and functions. It reflects a company's capacity to have an effective board by setting up the essential board committees with allocated tasks and responsibilities.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Board of Directors/Board Structure (CGBS): The board of directors/board structure category measures a company's management commitment and effectiveness towards following best practice corporate governance principles related to a well-balanced membership of the board. It reflects a company's capacity to ensure a critical exchange of ideas and an independent decision-making process through an experienced, diverse and independent board.</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Board of Directors/Compensation Policy (CGCP): The board of directors/compensation policy category measures a company's management commitment and effectiveness towards following best practice corporate governance principles related to competitive and proportionate management compensation. It reflects a company's capacity to attract and retain executives and board members with the necessary skills by linking their compensation to individual or company-wide financial or extra-financial targets.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Integration/Vision and Strategy (CGVS): The integration/vision and strategy category measures a company's management commitment and effectiveness towards the creation of an overarching vision and strategy integrating financial and extra-financial aspects. It reflects a company's capacity to convincingly show and communicate that it integrates the economic (financial), social and environmental dimensions into its day-to-day decision-making processes.</w:t>
      </w:r>
    </w:p>
    <w:p w:rsidR="00F67A04" w:rsidRPr="00F67A04" w:rsidRDefault="00F67A04" w:rsidP="00F67A04">
      <w:pPr>
        <w:spacing w:line="240" w:lineRule="auto"/>
        <w:rPr>
          <w:rFonts w:ascii="Times New Roman" w:hAnsi="Times New Roman" w:cs="Times New Roman"/>
          <w:sz w:val="20"/>
          <w:szCs w:val="20"/>
        </w:rPr>
      </w:pPr>
      <w:r w:rsidRPr="00F67A04">
        <w:rPr>
          <w:rFonts w:ascii="Times New Roman" w:hAnsi="Times New Roman" w:cs="Times New Roman"/>
          <w:sz w:val="20"/>
          <w:szCs w:val="20"/>
        </w:rPr>
        <w:t>Shareholders /Shareholder Rights (CGSR): The shareholders/shareholder rights category measures a company's management commitment and effectiveness towards following best practice corporate governance principles related to a shareholder policy and equal treatment of shareholders. It reflects a company's capacity to be attractive to minority shareholders by ensuring those equal rights and privileges and by limiting the use of anti-takeover devices.</w:t>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br w:type="page"/>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lastRenderedPageBreak/>
        <w:t>Appendix 4</w:t>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t>Systemic risk</w:t>
      </w:r>
    </w:p>
    <w:p w:rsidR="00F67A04" w:rsidRPr="00F67A04" w:rsidRDefault="00F67A04" w:rsidP="00F67A04">
      <w:pPr>
        <w:rPr>
          <w:rFonts w:ascii="Times New Roman" w:hAnsi="Times New Roman" w:cs="Times New Roman"/>
          <w:b/>
          <w:sz w:val="24"/>
          <w:szCs w:val="24"/>
        </w:rPr>
      </w:pPr>
    </w:p>
    <w:p w:rsidR="00F67A04" w:rsidRPr="00F67A04" w:rsidRDefault="00F67A04" w:rsidP="00F67A04">
      <w:pPr>
        <w:spacing w:after="0" w:line="312" w:lineRule="auto"/>
        <w:jc w:val="both"/>
        <w:rPr>
          <w:rFonts w:ascii="Times New Roman" w:hAnsi="Times New Roman" w:cs="Times New Roman"/>
          <w:szCs w:val="24"/>
        </w:rPr>
      </w:pPr>
      <w:r w:rsidRPr="00F67A04">
        <w:rPr>
          <w:rFonts w:ascii="Times New Roman" w:hAnsi="Times New Roman" w:cs="Times New Roman"/>
          <w:szCs w:val="24"/>
        </w:rPr>
        <w:t xml:space="preserve">To calculate the systemic risk contribution of banks, we utilize the SRISK measure, firstly introduced by </w:t>
      </w:r>
      <w:proofErr w:type="spellStart"/>
      <w:r w:rsidRPr="00F67A04">
        <w:rPr>
          <w:rFonts w:ascii="Times New Roman" w:hAnsi="Times New Roman" w:cs="Times New Roman"/>
          <w:szCs w:val="24"/>
        </w:rPr>
        <w:t>Brownlees</w:t>
      </w:r>
      <w:proofErr w:type="spellEnd"/>
      <w:r w:rsidRPr="00F67A04">
        <w:rPr>
          <w:rFonts w:ascii="Times New Roman" w:hAnsi="Times New Roman" w:cs="Times New Roman"/>
          <w:szCs w:val="24"/>
        </w:rPr>
        <w:t xml:space="preserve"> and Engle (2016). The calculations necessary for this method are based on readily available balance sheet information. SRISK is defined as the expected capital shortfall of a bank during a period of distress in which the financial market declines substantially, or the capital that a bank is expected to need in case of a financial crisis. That is,</w:t>
      </w:r>
    </w:p>
    <w:p w:rsidR="00F67A04" w:rsidRPr="00F67A04" w:rsidRDefault="00F67A04" w:rsidP="00F67A04">
      <w:pPr>
        <w:spacing w:after="0" w:line="312" w:lineRule="auto"/>
        <w:jc w:val="both"/>
        <w:rPr>
          <w:rFonts w:ascii="Times New Roman"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i,t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Capital Shortfall</m:t>
              </m:r>
            </m:e>
            <m:sub>
              <m:r>
                <w:rPr>
                  <w:rFonts w:ascii="Cambria Math" w:hAnsi="Cambria Math" w:cs="Times New Roman"/>
                  <w:szCs w:val="24"/>
                </w:rPr>
                <m:t>i</m:t>
              </m:r>
            </m:sub>
          </m:sSub>
          <m:r>
            <w:rPr>
              <w:rFonts w:ascii="Cambria Math" w:hAnsi="Cambria Math" w:cs="Times New Roman"/>
              <w:szCs w:val="24"/>
            </w:rPr>
            <m:t>| Crisis)</m:t>
          </m:r>
        </m:oMath>
      </m:oMathPara>
    </w:p>
    <w:p w:rsidR="00F67A04" w:rsidRPr="00F67A04" w:rsidRDefault="00F67A04" w:rsidP="00F67A04">
      <w:pPr>
        <w:spacing w:after="0" w:line="312" w:lineRule="auto"/>
        <w:jc w:val="both"/>
        <w:rPr>
          <w:rFonts w:ascii="Times New Roman" w:hAnsi="Times New Roman" w:cs="Times New Roman"/>
          <w:szCs w:val="24"/>
        </w:rPr>
      </w:pPr>
    </w:p>
    <w:p w:rsidR="00F67A04" w:rsidRPr="00F67A04" w:rsidRDefault="00F67A04" w:rsidP="00F67A04">
      <w:pPr>
        <w:spacing w:after="0" w:line="312" w:lineRule="auto"/>
        <w:jc w:val="both"/>
        <w:rPr>
          <w:rFonts w:ascii="Times New Roman" w:hAnsi="Times New Roman" w:cs="Times New Roman"/>
          <w:szCs w:val="24"/>
        </w:rPr>
      </w:pPr>
      <w:r w:rsidRPr="00F67A04">
        <w:rPr>
          <w:rFonts w:ascii="Times New Roman" w:hAnsi="Times New Roman" w:cs="Times New Roman"/>
          <w:szCs w:val="24"/>
        </w:rPr>
        <w:t>Formally, it will look as follows:</w:t>
      </w:r>
    </w:p>
    <w:p w:rsidR="00F67A04" w:rsidRPr="00F67A04" w:rsidRDefault="00F67A04" w:rsidP="00F67A04">
      <w:pPr>
        <w:spacing w:after="0" w:line="312" w:lineRule="auto"/>
        <w:jc w:val="both"/>
        <w:rPr>
          <w:rFonts w:ascii="Times New Roman"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i,t</m:t>
            </m:r>
          </m:sub>
        </m:sSub>
        <m:r>
          <w:rPr>
            <w:rFonts w:ascii="Cambria Math" w:hAnsi="Cambria Math" w:cs="Times New Roman"/>
            <w:szCs w:val="24"/>
          </w:rPr>
          <m:t>=k</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it</m:t>
            </m:r>
          </m:sub>
        </m:sSub>
        <m:r>
          <w:rPr>
            <w:rFonts w:ascii="Cambria Math" w:hAnsi="Cambria Math" w:cs="Times New Roman"/>
            <w:szCs w:val="24"/>
          </w:rPr>
          <m:t>- (1-k)</m:t>
        </m:r>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i,t</m:t>
            </m:r>
          </m:sub>
        </m:sSub>
        <m:r>
          <w:rPr>
            <w:rFonts w:ascii="Cambria Math" w:hAnsi="Cambria Math" w:cs="Times New Roman"/>
            <w:szCs w:val="24"/>
          </w:rPr>
          <m:t>(1-</m:t>
        </m:r>
        <m:sSub>
          <m:sSubPr>
            <m:ctrlPr>
              <w:rPr>
                <w:rFonts w:ascii="Cambria Math" w:hAnsi="Cambria Math" w:cs="Times New Roman"/>
                <w:i/>
                <w:szCs w:val="24"/>
              </w:rPr>
            </m:ctrlPr>
          </m:sSubPr>
          <m:e>
            <m:r>
              <w:rPr>
                <w:rFonts w:ascii="Cambria Math" w:hAnsi="Cambria Math" w:cs="Times New Roman"/>
                <w:szCs w:val="24"/>
              </w:rPr>
              <m:t>LRMES</m:t>
            </m:r>
          </m:e>
          <m:sub>
            <m:r>
              <w:rPr>
                <w:rFonts w:ascii="Cambria Math" w:hAnsi="Cambria Math" w:cs="Times New Roman"/>
                <w:szCs w:val="24"/>
              </w:rPr>
              <m:t>i,t+h|t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t+h|t</m:t>
            </m:r>
          </m:sub>
        </m:sSub>
        <m:r>
          <w:rPr>
            <w:rFonts w:ascii="Cambria Math" w:hAnsi="Cambria Math" w:cs="Times New Roman"/>
            <w:szCs w:val="24"/>
          </w:rPr>
          <m:t>))</m:t>
        </m:r>
      </m:oMath>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i/>
          <w:szCs w:val="24"/>
        </w:rPr>
        <w:t xml:space="preserve">     (A4.1)</w:t>
      </w:r>
    </w:p>
    <w:p w:rsidR="00F67A04" w:rsidRPr="00F67A04" w:rsidRDefault="00F67A04" w:rsidP="00F67A04">
      <w:pPr>
        <w:spacing w:after="0" w:line="312" w:lineRule="auto"/>
        <w:jc w:val="both"/>
        <w:rPr>
          <w:rFonts w:ascii="Times New Roman"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w:proofErr w:type="gramStart"/>
      <w:r w:rsidRPr="00F67A04">
        <w:rPr>
          <w:rFonts w:ascii="Times New Roman" w:hAnsi="Times New Roman" w:cs="Times New Roman"/>
          <w:szCs w:val="24"/>
        </w:rPr>
        <w:t>where</w:t>
      </w:r>
      <w:proofErr w:type="gramEnd"/>
      <w:r w:rsidRPr="00F67A04">
        <w:rPr>
          <w:rFonts w:ascii="Times New Roman" w:hAnsi="Times New Roman" w:cs="Times New Roman"/>
          <w:szCs w:val="24"/>
        </w:rPr>
        <w:t xml:space="preserve"> </w:t>
      </w:r>
      <w:r w:rsidRPr="00F67A04">
        <w:rPr>
          <w:rFonts w:ascii="Times New Roman" w:hAnsi="Times New Roman" w:cs="Times New Roman"/>
          <w:i/>
          <w:szCs w:val="24"/>
        </w:rPr>
        <w:t xml:space="preserve">k </w:t>
      </w:r>
      <w:r w:rsidRPr="00F67A04">
        <w:rPr>
          <w:rFonts w:ascii="Times New Roman" w:hAnsi="Times New Roman" w:cs="Times New Roman"/>
          <w:szCs w:val="24"/>
        </w:rPr>
        <w:t xml:space="preserve">is the minimum fraction of capital as a ratio of total assets that each bank needs to hold. We set this prudential capital fraction equal to -8 % just like </w:t>
      </w:r>
      <w:proofErr w:type="spellStart"/>
      <w:r w:rsidRPr="00F67A04">
        <w:rPr>
          <w:rFonts w:ascii="Times New Roman" w:hAnsi="Times New Roman" w:cs="Times New Roman"/>
          <w:szCs w:val="24"/>
        </w:rPr>
        <w:t>Brownlees</w:t>
      </w:r>
      <w:proofErr w:type="spellEnd"/>
      <w:r w:rsidRPr="00F67A04">
        <w:rPr>
          <w:rFonts w:ascii="Times New Roman" w:hAnsi="Times New Roman" w:cs="Times New Roman"/>
          <w:szCs w:val="24"/>
        </w:rPr>
        <w:t xml:space="preserve"> and Engle (2016).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it</m:t>
            </m:r>
          </m:sub>
        </m:sSub>
      </m:oMath>
      <w:r w:rsidRPr="00F67A04">
        <w:rPr>
          <w:rFonts w:ascii="Times New Roman" w:eastAsiaTheme="minorEastAsia" w:hAnsi="Times New Roman" w:cs="Times New Roman"/>
          <w:szCs w:val="24"/>
        </w:rPr>
        <w:t xml:space="preserve"> </w:t>
      </w:r>
      <w:proofErr w:type="gramStart"/>
      <w:r w:rsidRPr="00F67A04">
        <w:rPr>
          <w:rFonts w:ascii="Times New Roman" w:eastAsiaTheme="minorEastAsia" w:hAnsi="Times New Roman" w:cs="Times New Roman"/>
          <w:szCs w:val="24"/>
        </w:rPr>
        <w:t>is</w:t>
      </w:r>
      <w:proofErr w:type="gramEnd"/>
      <w:r w:rsidRPr="00F67A04">
        <w:rPr>
          <w:rFonts w:ascii="Times New Roman" w:eastAsiaTheme="minorEastAsia" w:hAnsi="Times New Roman" w:cs="Times New Roman"/>
          <w:szCs w:val="24"/>
        </w:rPr>
        <w:t xml:space="preserve"> the book value of the firm’s debt, total liabilities, and </w:t>
      </w:r>
      <m:oMath>
        <m:sSub>
          <m:sSubPr>
            <m:ctrlPr>
              <w:rPr>
                <w:rFonts w:ascii="Cambria Math" w:hAnsi="Cambria Math" w:cs="Times New Roman"/>
                <w:i/>
                <w:szCs w:val="24"/>
              </w:rPr>
            </m:ctrlPr>
          </m:sSubPr>
          <m:e>
            <m:r>
              <w:rPr>
                <w:rFonts w:ascii="Cambria Math" w:hAnsi="Cambria Math" w:cs="Times New Roman"/>
                <w:szCs w:val="24"/>
              </w:rPr>
              <m:t>W</m:t>
            </m:r>
          </m:e>
          <m:sub>
            <m:r>
              <w:rPr>
                <w:rFonts w:ascii="Cambria Math" w:hAnsi="Cambria Math" w:cs="Times New Roman"/>
                <w:szCs w:val="24"/>
              </w:rPr>
              <m:t>it</m:t>
            </m:r>
          </m:sub>
        </m:sSub>
      </m:oMath>
      <w:r w:rsidRPr="00F67A04">
        <w:rPr>
          <w:rFonts w:ascii="Times New Roman" w:eastAsiaTheme="minorEastAsia" w:hAnsi="Times New Roman" w:cs="Times New Roman"/>
          <w:szCs w:val="24"/>
        </w:rPr>
        <w:t xml:space="preserve"> its market value of equity. Moreover, </w:t>
      </w:r>
      <m:oMath>
        <m:sSub>
          <m:sSubPr>
            <m:ctrlPr>
              <w:rPr>
                <w:rFonts w:ascii="Cambria Math" w:hAnsi="Cambria Math" w:cs="Times New Roman"/>
                <w:i/>
                <w:szCs w:val="24"/>
              </w:rPr>
            </m:ctrlPr>
          </m:sSubPr>
          <m:e>
            <m:r>
              <w:rPr>
                <w:rFonts w:ascii="Cambria Math" w:hAnsi="Cambria Math" w:cs="Times New Roman"/>
                <w:szCs w:val="24"/>
              </w:rPr>
              <m:t>LRMES</m:t>
            </m:r>
          </m:e>
          <m:sub>
            <m:r>
              <w:rPr>
                <w:rFonts w:ascii="Cambria Math" w:hAnsi="Cambria Math" w:cs="Times New Roman"/>
                <w:szCs w:val="24"/>
              </w:rPr>
              <m:t>it</m:t>
            </m:r>
          </m:sub>
        </m:sSub>
      </m:oMath>
      <w:r w:rsidRPr="00F67A04">
        <w:rPr>
          <w:rFonts w:ascii="Times New Roman" w:eastAsiaTheme="minorEastAsia" w:hAnsi="Times New Roman" w:cs="Times New Roman"/>
          <w:szCs w:val="24"/>
        </w:rPr>
        <w:t xml:space="preserve"> represents the Long-Run Marginal Expected S</w:t>
      </w:r>
      <w:proofErr w:type="spellStart"/>
      <w:r w:rsidRPr="00F67A04">
        <w:rPr>
          <w:rFonts w:ascii="Times New Roman" w:eastAsiaTheme="minorEastAsia" w:hAnsi="Times New Roman" w:cs="Times New Roman"/>
          <w:szCs w:val="24"/>
        </w:rPr>
        <w:t>hortfall</w:t>
      </w:r>
      <w:proofErr w:type="spellEnd"/>
      <w:r w:rsidRPr="00F67A04">
        <w:rPr>
          <w:rFonts w:ascii="Times New Roman" w:eastAsiaTheme="minorEastAsia" w:hAnsi="Times New Roman" w:cs="Times New Roman"/>
          <w:szCs w:val="24"/>
        </w:rPr>
        <w:t xml:space="preserve">. In calculating this, we closely follow Acharya et al. (2012), where we define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t+h|t</m:t>
            </m:r>
          </m:sub>
        </m:sSub>
      </m:oMath>
      <w:r w:rsidRPr="00F67A04">
        <w:rPr>
          <w:rFonts w:ascii="Times New Roman" w:eastAsiaTheme="minorEastAsia" w:hAnsi="Times New Roman" w:cs="Times New Roman"/>
          <w:szCs w:val="24"/>
        </w:rPr>
        <w:t xml:space="preserve"> as the market decline below a threshold C, equal to -40%, o</w:t>
      </w:r>
      <w:proofErr w:type="spellStart"/>
      <w:r w:rsidRPr="00F67A04">
        <w:rPr>
          <w:rFonts w:ascii="Times New Roman" w:eastAsiaTheme="minorEastAsia" w:hAnsi="Times New Roman" w:cs="Times New Roman"/>
          <w:szCs w:val="24"/>
        </w:rPr>
        <w:t>ver</w:t>
      </w:r>
      <w:proofErr w:type="spellEnd"/>
      <w:r w:rsidRPr="00F67A04">
        <w:rPr>
          <w:rFonts w:ascii="Times New Roman" w:eastAsiaTheme="minorEastAsia" w:hAnsi="Times New Roman" w:cs="Times New Roman"/>
          <w:szCs w:val="24"/>
        </w:rPr>
        <w:t xml:space="preserve"> a time horizon </w:t>
      </w:r>
      <w:r w:rsidRPr="00F67A04">
        <w:rPr>
          <w:rFonts w:ascii="Times New Roman" w:eastAsiaTheme="minorEastAsia" w:hAnsi="Times New Roman" w:cs="Times New Roman"/>
          <w:i/>
          <w:szCs w:val="24"/>
        </w:rPr>
        <w:t>h</w:t>
      </w:r>
      <w:r w:rsidRPr="00F67A04">
        <w:rPr>
          <w:rFonts w:ascii="Times New Roman" w:eastAsiaTheme="minorEastAsia" w:hAnsi="Times New Roman" w:cs="Times New Roman"/>
          <w:szCs w:val="24"/>
        </w:rPr>
        <w:t xml:space="preserve"> which we set equal to 180 days. Next, the following approximation based on Acharya et al. (2012) will be used to compute the Long-Run Marginal Expected Shortfall (LRMES):</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LRMES</m:t>
            </m:r>
          </m:e>
          <m:sub>
            <m:r>
              <w:rPr>
                <w:rFonts w:ascii="Cambria Math" w:hAnsi="Cambria Math" w:cs="Times New Roman"/>
                <w:szCs w:val="24"/>
              </w:rPr>
              <m:t>i,t+180|t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t+180|t</m:t>
            </m:r>
          </m:sub>
        </m:sSub>
        <m:r>
          <w:rPr>
            <w:rFonts w:ascii="Cambria Math" w:hAnsi="Cambria Math" w:cs="Times New Roman"/>
            <w:szCs w:val="24"/>
          </w:rPr>
          <m:t xml:space="preserve">)=1-exp(-18 * </m:t>
        </m:r>
        <m:sSub>
          <m:sSubPr>
            <m:ctrlPr>
              <w:rPr>
                <w:rFonts w:ascii="Cambria Math" w:hAnsi="Cambria Math" w:cs="Times New Roman"/>
                <w:i/>
                <w:szCs w:val="24"/>
              </w:rPr>
            </m:ctrlPr>
          </m:sSubPr>
          <m:e>
            <m:r>
              <w:rPr>
                <w:rFonts w:ascii="Cambria Math" w:hAnsi="Cambria Math" w:cs="Times New Roman"/>
                <w:szCs w:val="24"/>
              </w:rPr>
              <m:t>MES</m:t>
            </m:r>
          </m:e>
          <m:sub>
            <m:r>
              <w:rPr>
                <w:rFonts w:ascii="Cambria Math" w:hAnsi="Cambria Math" w:cs="Times New Roman"/>
                <w:szCs w:val="24"/>
              </w:rPr>
              <m:t>i,t+180|t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t+180|t</m:t>
            </m:r>
          </m:sub>
        </m:sSub>
        <m:r>
          <w:rPr>
            <w:rFonts w:ascii="Cambria Math" w:hAnsi="Cambria Math" w:cs="Times New Roman"/>
            <w:szCs w:val="24"/>
          </w:rPr>
          <m:t>)</m:t>
        </m:r>
      </m:oMath>
      <w:r w:rsidRPr="00F67A04">
        <w:rPr>
          <w:rFonts w:ascii="Times New Roman" w:eastAsiaTheme="minorEastAsia" w:hAnsi="Times New Roman" w:cs="Times New Roman"/>
          <w:szCs w:val="24"/>
        </w:rPr>
        <w:t>)</w:t>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i/>
          <w:szCs w:val="24"/>
        </w:rPr>
        <w:t xml:space="preserve">     (A4.2)</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hAnsi="Times New Roman" w:cs="Times New Roman"/>
          <w:szCs w:val="24"/>
        </w:rPr>
      </w:pPr>
      <w:r w:rsidRPr="00F67A04">
        <w:rPr>
          <w:rFonts w:ascii="Times New Roman" w:hAnsi="Times New Roman" w:cs="Times New Roman"/>
          <w:szCs w:val="24"/>
        </w:rPr>
        <w:t xml:space="preserve">As appears from Equation </w:t>
      </w:r>
      <w:r w:rsidRPr="00F67A04">
        <w:rPr>
          <w:rFonts w:ascii="Times New Roman" w:hAnsi="Times New Roman" w:cs="Times New Roman"/>
          <w:i/>
          <w:szCs w:val="24"/>
        </w:rPr>
        <w:t>(A4.2)</w:t>
      </w:r>
      <w:r w:rsidRPr="00F67A04">
        <w:rPr>
          <w:rFonts w:ascii="Times New Roman" w:hAnsi="Times New Roman" w:cs="Times New Roman"/>
          <w:szCs w:val="24"/>
        </w:rPr>
        <w:t xml:space="preserve">, the LRMES is based on the one-day Marginal Expected Shortfall (MES). The MES is defined as the tail expectation of the firm’s equity return conditional on a market decline of -2% on that same day. The one-day MES is calculated as the average MES over a year </w:t>
      </w:r>
      <w:r w:rsidRPr="00F67A04">
        <w:rPr>
          <w:rFonts w:ascii="Times New Roman" w:hAnsi="Times New Roman" w:cs="Times New Roman"/>
          <w:i/>
          <w:szCs w:val="24"/>
        </w:rPr>
        <w:t>t</w:t>
      </w:r>
      <w:r w:rsidRPr="00F67A04">
        <w:rPr>
          <w:rFonts w:ascii="Times New Roman" w:hAnsi="Times New Roman" w:cs="Times New Roman"/>
          <w:szCs w:val="24"/>
        </w:rPr>
        <w:t xml:space="preserve">. More specifically, </w:t>
      </w:r>
    </w:p>
    <w:p w:rsidR="00F67A04" w:rsidRPr="00F67A04" w:rsidRDefault="00F67A04" w:rsidP="00F67A04">
      <w:pPr>
        <w:spacing w:after="0" w:line="312" w:lineRule="auto"/>
        <w:jc w:val="both"/>
        <w:rPr>
          <w:rFonts w:ascii="Times New Roman"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MES</m:t>
            </m:r>
          </m:e>
          <m:sub>
            <m:r>
              <w:rPr>
                <w:rFonts w:ascii="Cambria Math" w:hAnsi="Cambria Math" w:cs="Times New Roman"/>
                <w:szCs w:val="24"/>
              </w:rPr>
              <m:t>i,t+1|t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t+1|t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i,t+1|t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 xml:space="preserve">m,t+1|t </m:t>
            </m:r>
          </m:sub>
        </m:sSub>
        <m:r>
          <w:rPr>
            <w:rFonts w:ascii="Cambria Math" w:hAnsi="Cambria Math" w:cs="Times New Roman"/>
            <w:szCs w:val="24"/>
          </w:rPr>
          <m:t>&lt;C)</m:t>
        </m:r>
      </m:oMath>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t xml:space="preserve">     </w:t>
      </w:r>
      <w:r w:rsidRPr="00F67A04">
        <w:rPr>
          <w:rFonts w:ascii="Times New Roman" w:eastAsiaTheme="minorEastAsia" w:hAnsi="Times New Roman" w:cs="Times New Roman"/>
          <w:i/>
          <w:szCs w:val="24"/>
        </w:rPr>
        <w:t>(A4.3)</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w:proofErr w:type="gramStart"/>
      <w:r w:rsidRPr="00F67A04">
        <w:rPr>
          <w:rFonts w:ascii="Times New Roman" w:eastAsiaTheme="minorEastAsia" w:hAnsi="Times New Roman" w:cs="Times New Roman"/>
          <w:szCs w:val="24"/>
        </w:rPr>
        <w:t>where</w:t>
      </w:r>
      <w:proofErr w:type="gramEnd"/>
      <w:r w:rsidRPr="00F67A04">
        <w:rPr>
          <w:rFonts w:ascii="Times New Roman" w:eastAsiaTheme="minorEastAsia" w:hAnsi="Times New Roman"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i,t+1|t</m:t>
            </m:r>
          </m:sub>
        </m:sSub>
      </m:oMath>
      <w:r w:rsidRPr="00F67A04">
        <w:rPr>
          <w:rFonts w:ascii="Times New Roman" w:eastAsiaTheme="minorEastAsia" w:hAnsi="Times New Roman"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 xml:space="preserve">m,t+1|t </m:t>
            </m:r>
          </m:sub>
        </m:sSub>
      </m:oMath>
      <w:r w:rsidRPr="00F67A04">
        <w:rPr>
          <w:rFonts w:ascii="Times New Roman" w:eastAsiaTheme="minorEastAsia" w:hAnsi="Times New Roman" w:cs="Times New Roman"/>
          <w:szCs w:val="24"/>
        </w:rPr>
        <w:t xml:space="preserve">correspond to the one-day stock return for bank </w:t>
      </w:r>
      <w:proofErr w:type="spellStart"/>
      <w:r w:rsidRPr="00F67A04">
        <w:rPr>
          <w:rFonts w:ascii="Times New Roman" w:eastAsiaTheme="minorEastAsia" w:hAnsi="Times New Roman" w:cs="Times New Roman"/>
          <w:i/>
          <w:szCs w:val="24"/>
        </w:rPr>
        <w:t>i</w:t>
      </w:r>
      <w:proofErr w:type="spellEnd"/>
      <w:r w:rsidRPr="00F67A04">
        <w:rPr>
          <w:rFonts w:ascii="Times New Roman" w:eastAsiaTheme="minorEastAsia" w:hAnsi="Times New Roman" w:cs="Times New Roman"/>
          <w:szCs w:val="24"/>
        </w:rPr>
        <w:t xml:space="preserve"> and market </w:t>
      </w:r>
      <w:r w:rsidRPr="00F67A04">
        <w:rPr>
          <w:rFonts w:ascii="Times New Roman" w:eastAsiaTheme="minorEastAsia" w:hAnsi="Times New Roman" w:cs="Times New Roman"/>
          <w:i/>
          <w:szCs w:val="24"/>
        </w:rPr>
        <w:t>m</w:t>
      </w:r>
      <w:r w:rsidRPr="00F67A04">
        <w:rPr>
          <w:rFonts w:ascii="Times New Roman" w:eastAsiaTheme="minorEastAsia" w:hAnsi="Times New Roman" w:cs="Times New Roman"/>
          <w:szCs w:val="24"/>
        </w:rPr>
        <w:t xml:space="preserve"> respectively, and C is the threshold of the decline in the market index of -2%. Next to being part of the SRISK measure, the one-day average MES serves as an alternative measure for systemic risk contribution. In constructing the SRISK measure, we do not limit SRISK to a threshold of zero as in Acharya et al. (2012), but allow for negative values too. The philosophy behind this is that highly capitalized banks with a large capital buffer can absorb systemic shocks that will reduce the overall systemic risk of the financial system (</w:t>
      </w:r>
      <w:proofErr w:type="spellStart"/>
      <w:r w:rsidRPr="00F67A04">
        <w:rPr>
          <w:rFonts w:ascii="Times New Roman" w:eastAsiaTheme="minorEastAsia" w:hAnsi="Times New Roman" w:cs="Times New Roman"/>
          <w:szCs w:val="24"/>
        </w:rPr>
        <w:t>Laeven</w:t>
      </w:r>
      <w:proofErr w:type="spellEnd"/>
      <w:r w:rsidRPr="00F67A04">
        <w:rPr>
          <w:rFonts w:ascii="Times New Roman" w:eastAsiaTheme="minorEastAsia" w:hAnsi="Times New Roman" w:cs="Times New Roman"/>
          <w:szCs w:val="24"/>
        </w:rPr>
        <w:t xml:space="preserve"> et al., 2016). </w:t>
      </w:r>
    </w:p>
    <w:p w:rsidR="00F67A04" w:rsidRPr="00F67A04" w:rsidRDefault="00F67A04" w:rsidP="00F67A04">
      <w:pPr>
        <w:spacing w:after="0" w:line="312" w:lineRule="auto"/>
        <w:jc w:val="both"/>
        <w:rPr>
          <w:rFonts w:ascii="Times New Roman" w:eastAsiaTheme="minorEastAsia" w:hAnsi="Times New Roman" w:cs="Times New Roman"/>
          <w:szCs w:val="24"/>
        </w:rPr>
      </w:pPr>
      <w:r w:rsidRPr="00F67A04">
        <w:rPr>
          <w:rFonts w:ascii="Times New Roman" w:eastAsiaTheme="minorEastAsia" w:hAnsi="Times New Roman" w:cs="Times New Roman"/>
          <w:szCs w:val="24"/>
        </w:rPr>
        <w:lastRenderedPageBreak/>
        <w:t xml:space="preserve">After constructing SRISK across all banks over period </w:t>
      </w:r>
      <w:r w:rsidRPr="00F67A04">
        <w:rPr>
          <w:rFonts w:ascii="Times New Roman" w:eastAsiaTheme="minorEastAsia" w:hAnsi="Times New Roman" w:cs="Times New Roman"/>
          <w:i/>
          <w:szCs w:val="24"/>
        </w:rPr>
        <w:t>t,</w:t>
      </w:r>
      <w:r w:rsidRPr="00F67A04">
        <w:rPr>
          <w:rFonts w:ascii="Times New Roman" w:eastAsiaTheme="minorEastAsia" w:hAnsi="Times New Roman" w:cs="Times New Roman"/>
          <w:szCs w:val="24"/>
        </w:rPr>
        <w:t xml:space="preserve"> we want to create an overall measure of systemic risk contribution that is for the entire banking sector in a country</w:t>
      </w:r>
      <w:proofErr w:type="gramStart"/>
      <w:r w:rsidRPr="00F67A04">
        <w:rPr>
          <w:rFonts w:ascii="Times New Roman" w:eastAsiaTheme="minorEastAsia" w:hAnsi="Times New Roman" w:cs="Times New Roman"/>
          <w:szCs w:val="24"/>
        </w:rPr>
        <w:t xml:space="preserve">, </w:t>
      </w:r>
      <w:proofErr w:type="gramEnd"/>
      <m:oMath>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c,t</m:t>
            </m:r>
          </m:sub>
        </m:sSub>
      </m:oMath>
      <w:r w:rsidRPr="00F67A04">
        <w:rPr>
          <w:rFonts w:ascii="Times New Roman" w:eastAsiaTheme="minorEastAsia" w:hAnsi="Times New Roman" w:cs="Times New Roman"/>
          <w:szCs w:val="24"/>
        </w:rPr>
        <w:t>, hereafter called aggregate systemic risk contribution. In this sense, the total amount of financial risk in the country-level’s financial system is measured as the sum of individual banks’ contribution to sys</w:t>
      </w:r>
      <w:proofErr w:type="spellStart"/>
      <w:r w:rsidRPr="00F67A04">
        <w:rPr>
          <w:rFonts w:ascii="Times New Roman" w:eastAsiaTheme="minorEastAsia" w:hAnsi="Times New Roman" w:cs="Times New Roman"/>
          <w:szCs w:val="24"/>
        </w:rPr>
        <w:t>temic</w:t>
      </w:r>
      <w:proofErr w:type="spellEnd"/>
      <w:r w:rsidRPr="00F67A04">
        <w:rPr>
          <w:rFonts w:ascii="Times New Roman" w:eastAsiaTheme="minorEastAsia" w:hAnsi="Times New Roman" w:cs="Times New Roman"/>
          <w:szCs w:val="24"/>
        </w:rPr>
        <w:t xml:space="preserve"> risk, conditional on the bank being situated in country c: </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c,t</m:t>
            </m:r>
          </m:sub>
        </m:sSub>
        <m:r>
          <w:rPr>
            <w:rFonts w:ascii="Cambria Math" w:hAnsi="Cambria Math" w:cs="Times New Roman"/>
            <w:szCs w:val="24"/>
          </w:rPr>
          <m:t>=</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N</m:t>
            </m:r>
          </m:sup>
          <m:e>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i,t</m:t>
                </m:r>
              </m:sub>
            </m:sSub>
          </m:e>
        </m:nary>
      </m:oMath>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t xml:space="preserve">    </w:t>
      </w:r>
      <w:r w:rsidRPr="00F67A04">
        <w:rPr>
          <w:rFonts w:ascii="Times New Roman" w:eastAsiaTheme="minorEastAsia" w:hAnsi="Times New Roman" w:cs="Times New Roman"/>
          <w:i/>
          <w:szCs w:val="24"/>
        </w:rPr>
        <w:t>(A4.4)</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w:r w:rsidRPr="00F67A04">
        <w:rPr>
          <w:rFonts w:ascii="Times New Roman" w:eastAsiaTheme="minorEastAsia" w:hAnsi="Times New Roman" w:cs="Times New Roman"/>
          <w:szCs w:val="24"/>
        </w:rPr>
        <w:t xml:space="preserve">Instead of reflecting aggregate systemic risk contribution by a currency value, it can often be more insightful to show it in a share of total aggregate systemic risk for the entire system: </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m:oMath>
        <m:sSub>
          <m:sSubPr>
            <m:ctrlPr>
              <w:rPr>
                <w:rFonts w:ascii="Cambria Math" w:hAnsi="Cambria Math" w:cs="Times New Roman"/>
                <w:i/>
                <w:szCs w:val="24"/>
              </w:rPr>
            </m:ctrlPr>
          </m:sSubPr>
          <m:e>
            <m:r>
              <w:rPr>
                <w:rFonts w:ascii="Cambria Math" w:hAnsi="Cambria Math" w:cs="Times New Roman"/>
                <w:szCs w:val="24"/>
              </w:rPr>
              <m:t>SRISK Share</m:t>
            </m:r>
          </m:e>
          <m:sub>
            <m:r>
              <w:rPr>
                <w:rFonts w:ascii="Cambria Math" w:hAnsi="Cambria Math" w:cs="Times New Roman"/>
                <w:szCs w:val="24"/>
              </w:rPr>
              <m:t>c,t</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c,t</m:t>
                </m:r>
              </m:sub>
            </m:sSub>
          </m:num>
          <m:den>
            <m:sSub>
              <m:sSubPr>
                <m:ctrlPr>
                  <w:rPr>
                    <w:rFonts w:ascii="Cambria Math" w:hAnsi="Cambria Math" w:cs="Times New Roman"/>
                    <w:i/>
                    <w:szCs w:val="24"/>
                  </w:rPr>
                </m:ctrlPr>
              </m:sSubPr>
              <m:e>
                <m:r>
                  <w:rPr>
                    <w:rFonts w:ascii="Cambria Math" w:hAnsi="Cambria Math" w:cs="Times New Roman"/>
                    <w:szCs w:val="24"/>
                  </w:rPr>
                  <m:t>SRISK</m:t>
                </m:r>
              </m:e>
              <m:sub>
                <m:r>
                  <w:rPr>
                    <w:rFonts w:ascii="Cambria Math" w:hAnsi="Cambria Math" w:cs="Times New Roman"/>
                    <w:szCs w:val="24"/>
                  </w:rPr>
                  <m:t>t</m:t>
                </m:r>
              </m:sub>
            </m:sSub>
          </m:den>
        </m:f>
      </m:oMath>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r>
      <w:r w:rsidRPr="00F67A04">
        <w:rPr>
          <w:rFonts w:ascii="Times New Roman" w:eastAsiaTheme="minorEastAsia" w:hAnsi="Times New Roman" w:cs="Times New Roman"/>
          <w:szCs w:val="24"/>
        </w:rPr>
        <w:tab/>
        <w:t xml:space="preserve">    </w:t>
      </w:r>
      <w:r w:rsidRPr="00F67A04">
        <w:rPr>
          <w:rFonts w:ascii="Times New Roman" w:eastAsiaTheme="minorEastAsia" w:hAnsi="Times New Roman" w:cs="Times New Roman"/>
          <w:i/>
          <w:szCs w:val="24"/>
        </w:rPr>
        <w:t>(A4.5)</w:t>
      </w:r>
    </w:p>
    <w:p w:rsidR="00F67A04" w:rsidRPr="00F67A04" w:rsidRDefault="00F67A04" w:rsidP="00F67A04">
      <w:pPr>
        <w:spacing w:after="0" w:line="312" w:lineRule="auto"/>
        <w:jc w:val="both"/>
        <w:rPr>
          <w:rFonts w:ascii="Times New Roman" w:eastAsiaTheme="minorEastAsia" w:hAnsi="Times New Roman" w:cs="Times New Roman"/>
          <w:szCs w:val="24"/>
        </w:rPr>
      </w:pPr>
    </w:p>
    <w:p w:rsidR="00F67A04" w:rsidRPr="00F67A04" w:rsidRDefault="00F67A04" w:rsidP="00F67A04">
      <w:pPr>
        <w:spacing w:after="0" w:line="312" w:lineRule="auto"/>
        <w:jc w:val="both"/>
        <w:rPr>
          <w:rFonts w:ascii="Times New Roman" w:eastAsiaTheme="minorEastAsia" w:hAnsi="Times New Roman" w:cs="Times New Roman"/>
          <w:szCs w:val="24"/>
        </w:rPr>
      </w:pPr>
      <w:r w:rsidRPr="00F67A04">
        <w:rPr>
          <w:rFonts w:ascii="Times New Roman" w:eastAsiaTheme="minorEastAsia" w:hAnsi="Times New Roman" w:cs="Times New Roman"/>
          <w:szCs w:val="24"/>
        </w:rPr>
        <w:t>The total aggregate systemic risk measure for the entire system can be regarded as the total amount of capital that has to be provided by the government(s) to bail out the financial system in case of distress of the system (</w:t>
      </w:r>
      <w:proofErr w:type="spellStart"/>
      <w:r w:rsidRPr="00F67A04">
        <w:rPr>
          <w:rFonts w:ascii="Times New Roman" w:eastAsiaTheme="minorEastAsia" w:hAnsi="Times New Roman" w:cs="Times New Roman"/>
          <w:szCs w:val="24"/>
        </w:rPr>
        <w:t>Brownlees</w:t>
      </w:r>
      <w:proofErr w:type="spellEnd"/>
      <w:r w:rsidRPr="00F67A04">
        <w:rPr>
          <w:rFonts w:ascii="Times New Roman" w:eastAsiaTheme="minorEastAsia" w:hAnsi="Times New Roman" w:cs="Times New Roman"/>
          <w:szCs w:val="24"/>
        </w:rPr>
        <w:t xml:space="preserve"> and Engle, 2016). In their paper, </w:t>
      </w:r>
      <w:proofErr w:type="spellStart"/>
      <w:r w:rsidRPr="00F67A04">
        <w:rPr>
          <w:rFonts w:ascii="Times New Roman" w:eastAsiaTheme="minorEastAsia" w:hAnsi="Times New Roman" w:cs="Times New Roman"/>
          <w:szCs w:val="24"/>
        </w:rPr>
        <w:t>Brownlees</w:t>
      </w:r>
      <w:proofErr w:type="spellEnd"/>
      <w:r w:rsidRPr="00F67A04">
        <w:rPr>
          <w:rFonts w:ascii="Times New Roman" w:eastAsiaTheme="minorEastAsia" w:hAnsi="Times New Roman" w:cs="Times New Roman"/>
          <w:szCs w:val="24"/>
        </w:rPr>
        <w:t xml:space="preserve"> and Engle (2016) argue that in case of a crisis it will be unlikely that surplus capital, reflected by a negative SRISK, will easily be used in terms of mergers or loans by those banks, to support failing banks. Therefore, negative contributions to systemic risk will not be included in the aggregate measure. </w:t>
      </w:r>
    </w:p>
    <w:p w:rsidR="00F67A04" w:rsidRPr="00F67A04" w:rsidRDefault="00F67A04" w:rsidP="00F67A04">
      <w:pPr>
        <w:rPr>
          <w:rFonts w:ascii="Times New Roman" w:hAnsi="Times New Roman" w:cs="Times New Roman"/>
          <w:b/>
          <w:sz w:val="24"/>
          <w:szCs w:val="24"/>
        </w:rPr>
      </w:pP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br w:type="page"/>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lastRenderedPageBreak/>
        <w:t>Appendix 5</w:t>
      </w:r>
    </w:p>
    <w:p w:rsidR="00F67A04" w:rsidRPr="00F67A04" w:rsidRDefault="00F67A04" w:rsidP="00F67A04">
      <w:pPr>
        <w:rPr>
          <w:rFonts w:ascii="Times New Roman" w:hAnsi="Times New Roman" w:cs="Times New Roman"/>
          <w:b/>
          <w:sz w:val="24"/>
          <w:szCs w:val="24"/>
        </w:rPr>
      </w:pPr>
    </w:p>
    <w:tbl>
      <w:tblPr>
        <w:tblW w:w="5000" w:type="pct"/>
        <w:jc w:val="center"/>
        <w:tblLook w:val="04A0" w:firstRow="1" w:lastRow="0" w:firstColumn="1" w:lastColumn="0" w:noHBand="0" w:noVBand="1"/>
      </w:tblPr>
      <w:tblGrid>
        <w:gridCol w:w="9242"/>
      </w:tblGrid>
      <w:tr w:rsidR="00F67A04" w:rsidRPr="00F67A04" w:rsidTr="00B64F4F">
        <w:trPr>
          <w:cantSplit/>
          <w:trHeight w:val="240"/>
          <w:jc w:val="center"/>
        </w:trPr>
        <w:tc>
          <w:tcPr>
            <w:tcW w:w="5000" w:type="pct"/>
            <w:tcBorders>
              <w:top w:val="single" w:sz="4" w:space="0" w:color="auto"/>
              <w:left w:val="nil"/>
              <w:bottom w:val="double" w:sz="6" w:space="0" w:color="auto"/>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b/>
                <w:bCs/>
                <w:lang w:eastAsia="en-GB"/>
              </w:rPr>
            </w:pPr>
            <w:r w:rsidRPr="00F67A04">
              <w:rPr>
                <w:rFonts w:ascii="Times New Roman" w:eastAsia="Times New Roman" w:hAnsi="Times New Roman" w:cs="Times New Roman"/>
                <w:b/>
                <w:bCs/>
                <w:lang w:eastAsia="en-GB"/>
              </w:rPr>
              <w:t xml:space="preserve"> Sensitivity Analysis Results Bank Default Risk</w:t>
            </w:r>
          </w:p>
        </w:tc>
      </w:tr>
    </w:tbl>
    <w:p w:rsidR="00F67A04" w:rsidRPr="00F67A04" w:rsidRDefault="00F67A04" w:rsidP="00F67A04">
      <w:pPr>
        <w:rPr>
          <w:rFonts w:ascii="Times New Roman" w:hAnsi="Times New Roman" w:cs="Times New Roman"/>
          <w:b/>
          <w:sz w:val="24"/>
          <w:szCs w:val="24"/>
        </w:rPr>
      </w:pPr>
    </w:p>
    <w:tbl>
      <w:tblPr>
        <w:tblW w:w="4806" w:type="pct"/>
        <w:jc w:val="center"/>
        <w:tblLook w:val="04A0" w:firstRow="1" w:lastRow="0" w:firstColumn="1" w:lastColumn="0" w:noHBand="0" w:noVBand="1"/>
      </w:tblPr>
      <w:tblGrid>
        <w:gridCol w:w="4500"/>
        <w:gridCol w:w="2192"/>
        <w:gridCol w:w="2191"/>
      </w:tblGrid>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b/>
                <w:bCs/>
                <w:lang w:eastAsia="en-GB"/>
              </w:rPr>
            </w:pPr>
          </w:p>
        </w:tc>
        <w:tc>
          <w:tcPr>
            <w:tcW w:w="1234"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Sustainability</w:t>
            </w:r>
          </w:p>
        </w:tc>
        <w:tc>
          <w:tcPr>
            <w:tcW w:w="1233"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Sustainability</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1234" w:type="pct"/>
            <w:vMerge w:val="restart"/>
            <w:tcBorders>
              <w:top w:val="nil"/>
              <w:left w:val="nil"/>
              <w:bottom w:val="single" w:sz="4" w:space="0" w:color="000000"/>
              <w:right w:val="nil"/>
            </w:tcBorders>
            <w:shd w:val="clear" w:color="auto" w:fill="auto"/>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Full Model      Robust-cluster</w:t>
            </w:r>
          </w:p>
        </w:tc>
        <w:tc>
          <w:tcPr>
            <w:tcW w:w="1233" w:type="pct"/>
            <w:vMerge w:val="restart"/>
            <w:tcBorders>
              <w:top w:val="nil"/>
              <w:left w:val="nil"/>
              <w:bottom w:val="single" w:sz="4" w:space="0" w:color="000000"/>
              <w:right w:val="nil"/>
            </w:tcBorders>
            <w:shd w:val="clear" w:color="auto" w:fill="auto"/>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Full Model </w:t>
            </w:r>
          </w:p>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Robust-cluster</w:t>
            </w:r>
          </w:p>
        </w:tc>
      </w:tr>
      <w:tr w:rsidR="00F67A04" w:rsidRPr="00F67A04" w:rsidTr="00B64F4F">
        <w:trPr>
          <w:cantSplit/>
          <w:trHeight w:val="216"/>
          <w:jc w:val="center"/>
        </w:trPr>
        <w:tc>
          <w:tcPr>
            <w:tcW w:w="2533"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1234" w:type="pct"/>
            <w:vMerge/>
            <w:tcBorders>
              <w:top w:val="nil"/>
              <w:left w:val="nil"/>
              <w:bottom w:val="single" w:sz="4" w:space="0" w:color="000000"/>
              <w:right w:val="nil"/>
            </w:tcBorders>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1233" w:type="pct"/>
            <w:vMerge/>
            <w:tcBorders>
              <w:top w:val="nil"/>
              <w:left w:val="nil"/>
              <w:bottom w:val="single" w:sz="4" w:space="0" w:color="000000"/>
              <w:right w:val="nil"/>
            </w:tcBorders>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eastAsia="Times New Roman" w:hAnsi="Times New Roman" w:cs="Times New Roman"/>
                <w:lang w:eastAsia="en-GB"/>
              </w:rPr>
              <w:t xml:space="preserve">Z-score (one-year lag) </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0.0165</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(-0.0188)</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p>
        </w:tc>
      </w:tr>
      <w:tr w:rsidR="00F67A04" w:rsidRPr="00F67A04" w:rsidTr="00B64F4F">
        <w:trPr>
          <w:cantSplit/>
          <w:trHeight w:val="240"/>
          <w:jc w:val="center"/>
        </w:trPr>
        <w:tc>
          <w:tcPr>
            <w:tcW w:w="2533"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roofErr w:type="spellStart"/>
            <w:r w:rsidRPr="00F67A04">
              <w:rPr>
                <w:rFonts w:ascii="Times New Roman" w:eastAsia="Times New Roman" w:hAnsi="Times New Roman" w:cs="Times New Roman"/>
                <w:lang w:eastAsia="en-GB"/>
              </w:rPr>
              <w:t>Stdev</w:t>
            </w:r>
            <w:proofErr w:type="spellEnd"/>
            <w:r w:rsidRPr="00F67A04">
              <w:rPr>
                <w:rFonts w:ascii="Times New Roman" w:eastAsia="Times New Roman" w:hAnsi="Times New Roman" w:cs="Times New Roman"/>
                <w:lang w:eastAsia="en-GB"/>
              </w:rPr>
              <w:t>. ROE (one-year lag)</w:t>
            </w:r>
          </w:p>
        </w:tc>
        <w:tc>
          <w:tcPr>
            <w:tcW w:w="1234"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p>
        </w:tc>
        <w:tc>
          <w:tcPr>
            <w:tcW w:w="1233"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-14.61</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p>
        </w:tc>
        <w:tc>
          <w:tcPr>
            <w:tcW w:w="1233" w:type="pct"/>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(8.829)</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Size</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56.65**</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50.84**</w:t>
            </w:r>
          </w:p>
        </w:tc>
      </w:tr>
      <w:tr w:rsidR="00F67A04" w:rsidRPr="00F67A04" w:rsidTr="00B64F4F">
        <w:trPr>
          <w:cantSplit/>
          <w:trHeight w:val="125"/>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(26.03)</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(22.96)</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Tier-1 Capital Ratio</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-2.737***</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-2.361***</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(0.888)</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(0.912)</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Deposit Ratio</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74.76</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33.57</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(85.44)</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(77.40)</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Non-Interest Income</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3.306</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-0.151</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(8.109)</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(7.393)</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Short-term Funding</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108.6*</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74.71*</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(45.17)</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(39.68)</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GDP Growth Rate</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1.931**</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1.668**</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(0.640)</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(0.739)</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Public Debt to GDP</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-0.201</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0.049</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(0.181)</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(0.213)</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Inflation Rate</w:t>
            </w: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6.589**</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5.474**</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1234"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(2.605)</w:t>
            </w:r>
          </w:p>
        </w:tc>
        <w:tc>
          <w:tcPr>
            <w:tcW w:w="1233" w:type="pct"/>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szCs w:val="24"/>
              </w:rPr>
            </w:pPr>
            <w:r w:rsidRPr="00F67A04">
              <w:rPr>
                <w:rFonts w:ascii="Times New Roman" w:hAnsi="Times New Roman" w:cs="Times New Roman"/>
                <w:szCs w:val="24"/>
              </w:rPr>
              <w:t>(2.584)</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Time Fixed Effects</w:t>
            </w:r>
          </w:p>
        </w:tc>
        <w:tc>
          <w:tcPr>
            <w:tcW w:w="1234"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c>
          <w:tcPr>
            <w:tcW w:w="1233"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r>
      <w:tr w:rsidR="00F67A04" w:rsidRPr="00F67A04" w:rsidTr="00B64F4F">
        <w:trPr>
          <w:cantSplit/>
          <w:trHeight w:val="240"/>
          <w:jc w:val="center"/>
        </w:trPr>
        <w:tc>
          <w:tcPr>
            <w:tcW w:w="2533" w:type="pct"/>
            <w:tcBorders>
              <w:top w:val="nil"/>
              <w:left w:val="nil"/>
              <w:bottom w:val="nil"/>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Fixed Effects</w:t>
            </w:r>
          </w:p>
        </w:tc>
        <w:tc>
          <w:tcPr>
            <w:tcW w:w="1234"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c>
          <w:tcPr>
            <w:tcW w:w="1233" w:type="pct"/>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r>
      <w:tr w:rsidR="00F67A04" w:rsidRPr="00F67A04" w:rsidTr="00B64F4F">
        <w:trPr>
          <w:cantSplit/>
          <w:trHeight w:val="240"/>
          <w:jc w:val="center"/>
        </w:trPr>
        <w:tc>
          <w:tcPr>
            <w:tcW w:w="2533"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Adjusted R-Squared</w:t>
            </w:r>
          </w:p>
        </w:tc>
        <w:tc>
          <w:tcPr>
            <w:tcW w:w="1234"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0.376</w:t>
            </w:r>
          </w:p>
        </w:tc>
        <w:tc>
          <w:tcPr>
            <w:tcW w:w="1233" w:type="pct"/>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0.412</w:t>
            </w:r>
          </w:p>
        </w:tc>
      </w:tr>
    </w:tbl>
    <w:p w:rsidR="00F67A04" w:rsidRPr="00F67A04" w:rsidRDefault="00F67A04" w:rsidP="00F67A04">
      <w:pPr>
        <w:spacing w:after="0" w:line="312" w:lineRule="auto"/>
        <w:jc w:val="both"/>
        <w:rPr>
          <w:rFonts w:ascii="Times New Roman" w:hAnsi="Times New Roman" w:cs="Times New Roman"/>
          <w:sz w:val="24"/>
        </w:rPr>
      </w:pPr>
      <w:r w:rsidRPr="00F67A04">
        <w:rPr>
          <w:rFonts w:ascii="Times New Roman" w:eastAsia="Times New Roman" w:hAnsi="Times New Roman" w:cs="Times New Roman"/>
          <w:sz w:val="21"/>
          <w:lang w:eastAsia="en-GB"/>
        </w:rPr>
        <w:t xml:space="preserve">Notes: </w:t>
      </w:r>
      <w:r w:rsidRPr="00F67A04">
        <w:rPr>
          <w:rFonts w:ascii="Times New Roman" w:eastAsia="Times New Roman" w:hAnsi="Times New Roman" w:cs="Times New Roman"/>
          <w:lang w:eastAsia="en-GB"/>
        </w:rPr>
        <w:t xml:space="preserve">For the exact definition of the variables, see Appendix 2. Appendix 1 reports the sample banks. </w:t>
      </w:r>
      <w:r w:rsidRPr="00F67A04">
        <w:rPr>
          <w:rFonts w:ascii="Times New Roman" w:eastAsia="Times New Roman" w:hAnsi="Times New Roman" w:cs="Times New Roman"/>
          <w:sz w:val="21"/>
          <w:lang w:eastAsia="en-GB"/>
        </w:rPr>
        <w:t>All explanatory variables are lagged by one year. Robust standard errors are reported in the parentheses. *indicates significance at the ten percent level, ** indicates significance at the five percent level and ***indicates significance at the one percent level.</w:t>
      </w:r>
    </w:p>
    <w:p w:rsidR="00F67A04" w:rsidRPr="00F67A04" w:rsidRDefault="00F67A04" w:rsidP="00F67A04">
      <w:pPr>
        <w:rPr>
          <w:rFonts w:ascii="Times New Roman" w:hAnsi="Times New Roman" w:cs="Times New Roman"/>
          <w:sz w:val="24"/>
          <w:szCs w:val="24"/>
        </w:rPr>
      </w:pPr>
      <w:r w:rsidRPr="00F67A04">
        <w:rPr>
          <w:rFonts w:ascii="Times New Roman" w:hAnsi="Times New Roman" w:cs="Times New Roman"/>
          <w:sz w:val="24"/>
          <w:szCs w:val="24"/>
        </w:rPr>
        <w:br w:type="page"/>
      </w:r>
    </w:p>
    <w:p w:rsidR="00F67A04" w:rsidRPr="00F67A04" w:rsidRDefault="00F67A04" w:rsidP="00F67A04">
      <w:pPr>
        <w:rPr>
          <w:rFonts w:ascii="Times New Roman" w:hAnsi="Times New Roman" w:cs="Times New Roman"/>
          <w:b/>
          <w:sz w:val="24"/>
          <w:szCs w:val="24"/>
        </w:rPr>
      </w:pPr>
      <w:r w:rsidRPr="00F67A04">
        <w:rPr>
          <w:rFonts w:ascii="Times New Roman" w:hAnsi="Times New Roman" w:cs="Times New Roman"/>
          <w:b/>
          <w:sz w:val="24"/>
          <w:szCs w:val="24"/>
        </w:rPr>
        <w:lastRenderedPageBreak/>
        <w:t>Appendix 6</w:t>
      </w:r>
    </w:p>
    <w:p w:rsidR="00F67A04" w:rsidRPr="00F67A04" w:rsidRDefault="00F67A04" w:rsidP="00F67A04">
      <w:pPr>
        <w:rPr>
          <w:rFonts w:ascii="Times New Roman" w:hAnsi="Times New Roman" w:cs="Times New Roman"/>
          <w:sz w:val="24"/>
          <w:szCs w:val="24"/>
        </w:rPr>
      </w:pPr>
    </w:p>
    <w:tbl>
      <w:tblPr>
        <w:tblW w:w="0" w:type="auto"/>
        <w:tblLook w:val="04A0" w:firstRow="1" w:lastRow="0" w:firstColumn="1" w:lastColumn="0" w:noHBand="0" w:noVBand="1"/>
      </w:tblPr>
      <w:tblGrid>
        <w:gridCol w:w="4395"/>
        <w:gridCol w:w="2637"/>
        <w:gridCol w:w="1683"/>
        <w:gridCol w:w="14"/>
        <w:gridCol w:w="224"/>
        <w:gridCol w:w="148"/>
      </w:tblGrid>
      <w:tr w:rsidR="00F67A04" w:rsidRPr="00F67A04" w:rsidTr="00B64F4F">
        <w:trPr>
          <w:trHeight w:val="20"/>
        </w:trPr>
        <w:tc>
          <w:tcPr>
            <w:tcW w:w="9026" w:type="dxa"/>
            <w:gridSpan w:val="6"/>
            <w:tcBorders>
              <w:top w:val="single" w:sz="4" w:space="0" w:color="auto"/>
              <w:left w:val="nil"/>
              <w:bottom w:val="double" w:sz="6"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b/>
                <w:bCs/>
                <w:lang w:eastAsia="en-GB"/>
              </w:rPr>
            </w:pPr>
            <w:r w:rsidRPr="00F67A04">
              <w:rPr>
                <w:rFonts w:ascii="Times New Roman" w:eastAsia="Times New Roman" w:hAnsi="Times New Roman" w:cs="Times New Roman"/>
                <w:b/>
                <w:bCs/>
                <w:lang w:eastAsia="en-GB"/>
              </w:rPr>
              <w:t>Sensitivity Analysis Systemic Risk Contribution and Sustainability</w:t>
            </w:r>
          </w:p>
        </w:tc>
      </w:tr>
      <w:tr w:rsidR="00F67A04" w:rsidRPr="00F67A04" w:rsidTr="00B64F4F">
        <w:trPr>
          <w:gridAfter w:val="1"/>
          <w:wAfter w:w="148"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p>
        </w:tc>
        <w:tc>
          <w:tcPr>
            <w:tcW w:w="2613" w:type="dxa"/>
            <w:tcBorders>
              <w:top w:val="nil"/>
              <w:left w:val="nil"/>
              <w:bottom w:val="single" w:sz="4" w:space="0" w:color="auto"/>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Sustainability</w:t>
            </w:r>
          </w:p>
        </w:tc>
        <w:tc>
          <w:tcPr>
            <w:tcW w:w="1682" w:type="dxa"/>
            <w:gridSpan w:val="2"/>
            <w:tcBorders>
              <w:top w:val="nil"/>
              <w:left w:val="nil"/>
              <w:bottom w:val="single" w:sz="4" w:space="0" w:color="auto"/>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0" w:type="auto"/>
            <w:tcBorders>
              <w:top w:val="nil"/>
              <w:left w:val="nil"/>
              <w:bottom w:val="single" w:sz="4" w:space="0" w:color="auto"/>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F67A04" w:rsidTr="00B64F4F">
        <w:trPr>
          <w:gridAfter w:val="1"/>
          <w:wAfter w:w="148"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p>
        </w:tc>
        <w:tc>
          <w:tcPr>
            <w:tcW w:w="2613" w:type="dxa"/>
            <w:vMerge w:val="restart"/>
            <w:tcBorders>
              <w:top w:val="nil"/>
              <w:left w:val="nil"/>
              <w:bottom w:val="single" w:sz="4" w:space="0" w:color="000000"/>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xml:space="preserve">Full Model </w:t>
            </w:r>
          </w:p>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Robust-cluster</w:t>
            </w:r>
          </w:p>
        </w:tc>
        <w:tc>
          <w:tcPr>
            <w:tcW w:w="1682" w:type="dxa"/>
            <w:gridSpan w:val="2"/>
            <w:vMerge w:val="restart"/>
            <w:tcBorders>
              <w:top w:val="nil"/>
              <w:left w:val="nil"/>
              <w:bottom w:val="single" w:sz="4" w:space="0" w:color="000000"/>
              <w:right w:val="nil"/>
            </w:tcBorders>
            <w:shd w:val="clear" w:color="auto" w:fill="auto"/>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0" w:type="auto"/>
            <w:vMerge w:val="restart"/>
            <w:tcBorders>
              <w:top w:val="nil"/>
              <w:left w:val="nil"/>
              <w:bottom w:val="single" w:sz="4" w:space="0" w:color="000000"/>
              <w:right w:val="nil"/>
            </w:tcBorders>
            <w:shd w:val="clear" w:color="auto" w:fill="auto"/>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F67A04" w:rsidTr="00B64F4F">
        <w:trPr>
          <w:gridAfter w:val="1"/>
          <w:wAfter w:w="148" w:type="dxa"/>
          <w:trHeight w:val="20"/>
        </w:trPr>
        <w:tc>
          <w:tcPr>
            <w:tcW w:w="4356" w:type="dxa"/>
            <w:tcBorders>
              <w:top w:val="nil"/>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 </w:t>
            </w:r>
          </w:p>
        </w:tc>
        <w:tc>
          <w:tcPr>
            <w:tcW w:w="2613" w:type="dxa"/>
            <w:vMerge/>
            <w:tcBorders>
              <w:top w:val="nil"/>
              <w:left w:val="nil"/>
              <w:bottom w:val="single" w:sz="4" w:space="0" w:color="000000"/>
              <w:right w:val="nil"/>
            </w:tcBorders>
            <w:vAlign w:val="center"/>
          </w:tcPr>
          <w:p w:rsidR="00F67A04" w:rsidRPr="00F67A04" w:rsidRDefault="00F67A04" w:rsidP="00B64F4F">
            <w:pPr>
              <w:spacing w:after="0" w:line="240" w:lineRule="auto"/>
              <w:rPr>
                <w:rFonts w:ascii="Times New Roman" w:eastAsia="Times New Roman" w:hAnsi="Times New Roman" w:cs="Times New Roman"/>
                <w:lang w:eastAsia="en-GB"/>
              </w:rPr>
            </w:pPr>
          </w:p>
        </w:tc>
        <w:tc>
          <w:tcPr>
            <w:tcW w:w="1682" w:type="dxa"/>
            <w:gridSpan w:val="2"/>
            <w:vMerge/>
            <w:tcBorders>
              <w:top w:val="nil"/>
              <w:left w:val="nil"/>
              <w:bottom w:val="single" w:sz="4" w:space="0" w:color="000000"/>
              <w:right w:val="nil"/>
            </w:tcBorders>
            <w:vAlign w:val="center"/>
          </w:tcPr>
          <w:p w:rsidR="00F67A04" w:rsidRPr="00F67A04" w:rsidRDefault="00F67A04" w:rsidP="00B64F4F">
            <w:pPr>
              <w:spacing w:after="0" w:line="240" w:lineRule="auto"/>
              <w:rPr>
                <w:rFonts w:ascii="Times New Roman" w:eastAsia="Times New Roman" w:hAnsi="Times New Roman" w:cs="Times New Roman"/>
                <w:lang w:eastAsia="en-GB"/>
              </w:rPr>
            </w:pPr>
          </w:p>
        </w:tc>
        <w:tc>
          <w:tcPr>
            <w:tcW w:w="0" w:type="auto"/>
            <w:vMerge/>
            <w:tcBorders>
              <w:top w:val="nil"/>
              <w:left w:val="nil"/>
              <w:bottom w:val="single" w:sz="4" w:space="0" w:color="000000"/>
              <w:right w:val="nil"/>
            </w:tcBorders>
            <w:vAlign w:val="center"/>
          </w:tcPr>
          <w:p w:rsidR="00F67A04" w:rsidRPr="00F67A04" w:rsidRDefault="00F67A04" w:rsidP="00B64F4F">
            <w:pPr>
              <w:spacing w:after="0" w:line="240" w:lineRule="auto"/>
              <w:rPr>
                <w:rFonts w:ascii="Times New Roman" w:eastAsia="Times New Roman" w:hAnsi="Times New Roman" w:cs="Times New Roman"/>
                <w:lang w:eastAsia="en-GB"/>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SRISK%</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0.0005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(0.0021)</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Z-Score</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0.0258</w:t>
            </w:r>
          </w:p>
        </w:tc>
        <w:tc>
          <w:tcPr>
            <w:tcW w:w="1668" w:type="dxa"/>
            <w:tcBorders>
              <w:top w:val="nil"/>
              <w:left w:val="nil"/>
              <w:bottom w:val="nil"/>
              <w:right w:val="nil"/>
            </w:tcBorders>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(0.0232)</w:t>
            </w:r>
          </w:p>
        </w:tc>
        <w:tc>
          <w:tcPr>
            <w:tcW w:w="1668" w:type="dxa"/>
            <w:tcBorders>
              <w:top w:val="nil"/>
              <w:left w:val="nil"/>
              <w:bottom w:val="nil"/>
              <w:right w:val="nil"/>
            </w:tcBorders>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Size</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52.55*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(26.99)</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Tier-1 Capital Ratio</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3.211***</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(0.917)</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Deposit Ratio</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73.85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(86.59)</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Non-Interest Income</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3.504</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(8.044)</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Short-term Funding</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94.59*</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(48.00)</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GDP Growth Rate</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1.828**</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(0.676)</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Public Debt to GDP</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-0.175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(0.185)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Inflation Rate</w:t>
            </w: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5.990**</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hideMark/>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(2.355)</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r w:rsidRPr="00F67A04">
              <w:rPr>
                <w:rFonts w:ascii="Times New Roman" w:hAnsi="Times New Roman" w:cs="Times New Roman"/>
              </w:rPr>
              <w:t>Market Capitalization</w:t>
            </w:r>
          </w:p>
        </w:tc>
        <w:tc>
          <w:tcPr>
            <w:tcW w:w="2613"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0.158</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rPr>
                <w:rFonts w:ascii="Times New Roman" w:hAnsi="Times New Roman" w:cs="Times New Roman"/>
              </w:rPr>
            </w:pPr>
          </w:p>
        </w:tc>
        <w:tc>
          <w:tcPr>
            <w:tcW w:w="2613"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r w:rsidRPr="00F67A04">
              <w:rPr>
                <w:rFonts w:ascii="Times New Roman" w:hAnsi="Times New Roman" w:cs="Times New Roman"/>
              </w:rPr>
              <w:t>(0.266)</w:t>
            </w: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tcPr>
          <w:p w:rsidR="00F67A04" w:rsidRPr="00F67A04" w:rsidRDefault="00F67A04" w:rsidP="00B64F4F">
            <w:pPr>
              <w:spacing w:after="0" w:line="240" w:lineRule="auto"/>
              <w:jc w:val="center"/>
              <w:rPr>
                <w:rFonts w:ascii="Times New Roman" w:eastAsia="Times New Roman" w:hAnsi="Times New Roman" w:cs="Times New Roman"/>
                <w:lang w:eastAsia="en-GB"/>
              </w:rPr>
            </w:pPr>
          </w:p>
        </w:tc>
        <w:tc>
          <w:tcPr>
            <w:tcW w:w="2613"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c>
          <w:tcPr>
            <w:tcW w:w="1668" w:type="dxa"/>
            <w:tcBorders>
              <w:top w:val="nil"/>
              <w:left w:val="nil"/>
              <w:bottom w:val="nil"/>
              <w:right w:val="nil"/>
            </w:tcBorders>
            <w:shd w:val="clear" w:color="auto" w:fill="auto"/>
            <w:noWrap/>
          </w:tcPr>
          <w:p w:rsidR="00F67A04" w:rsidRPr="00F67A04" w:rsidRDefault="00F67A04" w:rsidP="00B64F4F">
            <w:pPr>
              <w:widowControl w:val="0"/>
              <w:autoSpaceDE w:val="0"/>
              <w:autoSpaceDN w:val="0"/>
              <w:adjustRightInd w:val="0"/>
              <w:spacing w:after="0" w:line="240" w:lineRule="auto"/>
              <w:jc w:val="center"/>
              <w:rPr>
                <w:rFonts w:ascii="Times New Roman" w:hAnsi="Times New Roman" w:cs="Times New Roman"/>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Time Fixed Effects</w:t>
            </w:r>
          </w:p>
        </w:tc>
        <w:tc>
          <w:tcPr>
            <w:tcW w:w="2613" w:type="dxa"/>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c>
          <w:tcPr>
            <w:tcW w:w="1668" w:type="dxa"/>
            <w:tcBorders>
              <w:top w:val="nil"/>
              <w:left w:val="nil"/>
              <w:bottom w:val="nil"/>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F67A04" w:rsidTr="00B64F4F">
        <w:trPr>
          <w:gridAfter w:val="3"/>
          <w:wAfter w:w="389" w:type="dxa"/>
          <w:trHeight w:val="20"/>
        </w:trPr>
        <w:tc>
          <w:tcPr>
            <w:tcW w:w="4356" w:type="dxa"/>
            <w:tcBorders>
              <w:top w:val="nil"/>
              <w:left w:val="nil"/>
              <w:bottom w:val="nil"/>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Bank Fixed Effects</w:t>
            </w:r>
          </w:p>
        </w:tc>
        <w:tc>
          <w:tcPr>
            <w:tcW w:w="2613" w:type="dxa"/>
            <w:tcBorders>
              <w:top w:val="nil"/>
              <w:left w:val="nil"/>
              <w:bottom w:val="nil"/>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yes</w:t>
            </w:r>
          </w:p>
        </w:tc>
        <w:tc>
          <w:tcPr>
            <w:tcW w:w="1668" w:type="dxa"/>
            <w:tcBorders>
              <w:top w:val="nil"/>
              <w:left w:val="nil"/>
              <w:bottom w:val="nil"/>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F67A04" w:rsidTr="00B64F4F">
        <w:trPr>
          <w:gridAfter w:val="3"/>
          <w:wAfter w:w="389" w:type="dxa"/>
          <w:trHeight w:val="20"/>
        </w:trPr>
        <w:tc>
          <w:tcPr>
            <w:tcW w:w="4356" w:type="dxa"/>
            <w:tcBorders>
              <w:top w:val="nil"/>
              <w:left w:val="nil"/>
              <w:bottom w:val="single" w:sz="4" w:space="0" w:color="auto"/>
              <w:right w:val="nil"/>
            </w:tcBorders>
            <w:shd w:val="clear" w:color="auto" w:fill="auto"/>
            <w:noWrap/>
            <w:vAlign w:val="bottom"/>
            <w:hideMark/>
          </w:tcPr>
          <w:p w:rsidR="00F67A04" w:rsidRPr="00F67A04" w:rsidRDefault="00F67A04" w:rsidP="00B64F4F">
            <w:pPr>
              <w:spacing w:after="0" w:line="240" w:lineRule="auto"/>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Adjusted R-Squared</w:t>
            </w:r>
          </w:p>
        </w:tc>
        <w:tc>
          <w:tcPr>
            <w:tcW w:w="2613" w:type="dxa"/>
            <w:tcBorders>
              <w:top w:val="nil"/>
              <w:left w:val="nil"/>
              <w:bottom w:val="single" w:sz="4" w:space="0" w:color="auto"/>
              <w:right w:val="nil"/>
            </w:tcBorders>
            <w:shd w:val="clear" w:color="auto" w:fill="auto"/>
            <w:noWrap/>
            <w:hideMark/>
          </w:tcPr>
          <w:p w:rsidR="00F67A04" w:rsidRPr="00F67A04" w:rsidRDefault="00F67A04" w:rsidP="00B64F4F">
            <w:pPr>
              <w:spacing w:after="0" w:line="240" w:lineRule="auto"/>
              <w:jc w:val="center"/>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0.335</w:t>
            </w:r>
          </w:p>
        </w:tc>
        <w:tc>
          <w:tcPr>
            <w:tcW w:w="1668" w:type="dxa"/>
            <w:tcBorders>
              <w:top w:val="nil"/>
              <w:left w:val="nil"/>
              <w:bottom w:val="single" w:sz="4" w:space="0" w:color="auto"/>
              <w:right w:val="nil"/>
            </w:tcBorders>
            <w:shd w:val="clear" w:color="auto" w:fill="auto"/>
            <w:noWrap/>
          </w:tcPr>
          <w:p w:rsidR="00F67A04" w:rsidRPr="00F67A04" w:rsidRDefault="00F67A04" w:rsidP="00B64F4F">
            <w:pPr>
              <w:spacing w:after="0" w:line="240" w:lineRule="auto"/>
              <w:jc w:val="center"/>
              <w:rPr>
                <w:rFonts w:ascii="Times New Roman" w:eastAsia="Times New Roman" w:hAnsi="Times New Roman" w:cs="Times New Roman"/>
                <w:lang w:eastAsia="en-GB"/>
              </w:rPr>
            </w:pPr>
          </w:p>
        </w:tc>
      </w:tr>
      <w:tr w:rsidR="00F67A04" w:rsidRPr="0081551F" w:rsidTr="00B64F4F">
        <w:trPr>
          <w:trHeight w:val="20"/>
        </w:trPr>
        <w:tc>
          <w:tcPr>
            <w:tcW w:w="9026" w:type="dxa"/>
            <w:gridSpan w:val="6"/>
            <w:tcBorders>
              <w:top w:val="single" w:sz="4" w:space="0" w:color="auto"/>
              <w:left w:val="nil"/>
              <w:bottom w:val="nil"/>
              <w:right w:val="nil"/>
            </w:tcBorders>
            <w:shd w:val="clear" w:color="auto" w:fill="auto"/>
            <w:hideMark/>
          </w:tcPr>
          <w:p w:rsidR="00F67A04" w:rsidRPr="0081551F" w:rsidRDefault="00F67A04" w:rsidP="00B64F4F">
            <w:pPr>
              <w:spacing w:after="0" w:line="240" w:lineRule="auto"/>
              <w:jc w:val="both"/>
              <w:rPr>
                <w:rFonts w:ascii="Times New Roman" w:eastAsia="Times New Roman" w:hAnsi="Times New Roman" w:cs="Times New Roman"/>
                <w:lang w:eastAsia="en-GB"/>
              </w:rPr>
            </w:pPr>
            <w:r w:rsidRPr="00F67A04">
              <w:rPr>
                <w:rFonts w:ascii="Times New Roman" w:eastAsia="Times New Roman" w:hAnsi="Times New Roman" w:cs="Times New Roman"/>
                <w:lang w:eastAsia="en-GB"/>
              </w:rPr>
              <w:t>Notes: All explanatory variables are lagged by one year. Robust standard errors are reported in the parentheses. *indicates significance at the ten percent level, ** indicates significance at the five percent level and ***indicates significance at the one percent level.</w:t>
            </w:r>
            <w:bookmarkStart w:id="0" w:name="_GoBack"/>
            <w:bookmarkEnd w:id="0"/>
            <w:r w:rsidRPr="0081551F">
              <w:rPr>
                <w:rFonts w:ascii="Times New Roman" w:eastAsia="Times New Roman" w:hAnsi="Times New Roman" w:cs="Times New Roman"/>
                <w:lang w:eastAsia="en-GB"/>
              </w:rPr>
              <w:t xml:space="preserve"> </w:t>
            </w:r>
          </w:p>
        </w:tc>
      </w:tr>
    </w:tbl>
    <w:p w:rsidR="00F67A04" w:rsidRPr="0081551F" w:rsidRDefault="00F67A04" w:rsidP="00F67A04">
      <w:pPr>
        <w:rPr>
          <w:rFonts w:ascii="Times New Roman" w:hAnsi="Times New Roman" w:cs="Times New Roman"/>
          <w:sz w:val="24"/>
          <w:szCs w:val="24"/>
        </w:rPr>
      </w:pPr>
    </w:p>
    <w:p w:rsidR="00F67A04" w:rsidRPr="00D964F3" w:rsidRDefault="00F67A04" w:rsidP="00F67A04">
      <w:pPr>
        <w:rPr>
          <w:rFonts w:ascii="Times New Roman" w:hAnsi="Times New Roman" w:cs="Times New Roman"/>
          <w:b/>
          <w:sz w:val="24"/>
          <w:szCs w:val="24"/>
        </w:rPr>
      </w:pPr>
    </w:p>
    <w:p w:rsidR="000B2669" w:rsidRDefault="000B2669"/>
    <w:sectPr w:rsidR="000B2669" w:rsidSect="00BA6972">
      <w:footerReference w:type="default" r:id="rId6"/>
      <w:foot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799288"/>
      <w:docPartObj>
        <w:docPartGallery w:val="Page Numbers (Bottom of Page)"/>
        <w:docPartUnique/>
      </w:docPartObj>
    </w:sdtPr>
    <w:sdtEndPr/>
    <w:sdtContent>
      <w:p w:rsidR="00AE55E4" w:rsidRDefault="00F67A04">
        <w:pPr>
          <w:pStyle w:val="Footer"/>
          <w:jc w:val="center"/>
        </w:pPr>
        <w:r>
          <w:fldChar w:fldCharType="begin"/>
        </w:r>
        <w:r>
          <w:instrText>PAGE   \* MERGEFORMAT</w:instrText>
        </w:r>
        <w:r>
          <w:fldChar w:fldCharType="separate"/>
        </w:r>
        <w:r w:rsidRPr="00F67A04">
          <w:rPr>
            <w:noProof/>
            <w:lang w:val="nl-NL"/>
          </w:rPr>
          <w:t>9</w:t>
        </w:r>
        <w:r>
          <w:fldChar w:fldCharType="end"/>
        </w:r>
      </w:p>
    </w:sdtContent>
  </w:sdt>
  <w:p w:rsidR="00AE55E4" w:rsidRDefault="00F67A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362369"/>
      <w:docPartObj>
        <w:docPartGallery w:val="Page Numbers (Bottom of Page)"/>
        <w:docPartUnique/>
      </w:docPartObj>
    </w:sdtPr>
    <w:sdtEndPr>
      <w:rPr>
        <w:noProof/>
      </w:rPr>
    </w:sdtEndPr>
    <w:sdtContent>
      <w:p w:rsidR="00AE55E4" w:rsidRDefault="00F67A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AE55E4" w:rsidRDefault="00F67A04">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A04"/>
    <w:rsid w:val="000B2669"/>
    <w:rsid w:val="00F6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67A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A04"/>
  </w:style>
  <w:style w:type="table" w:customStyle="1" w:styleId="PlainTable1">
    <w:name w:val="Plain Table 1"/>
    <w:basedOn w:val="TableNormal"/>
    <w:uiPriority w:val="41"/>
    <w:rsid w:val="00F67A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F67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04"/>
    <w:rPr>
      <w:rFonts w:ascii="Tahoma" w:hAnsi="Tahoma" w:cs="Tahoma"/>
      <w:sz w:val="16"/>
      <w:szCs w:val="16"/>
    </w:rPr>
  </w:style>
  <w:style w:type="character" w:styleId="Hyperlink">
    <w:name w:val="Hyperlink"/>
    <w:basedOn w:val="DefaultParagraphFont"/>
    <w:unhideWhenUsed/>
    <w:rsid w:val="00F67A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67A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7A04"/>
  </w:style>
  <w:style w:type="table" w:customStyle="1" w:styleId="PlainTable1">
    <w:name w:val="Plain Table 1"/>
    <w:basedOn w:val="TableNormal"/>
    <w:uiPriority w:val="41"/>
    <w:rsid w:val="00F67A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F67A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04"/>
    <w:rPr>
      <w:rFonts w:ascii="Tahoma" w:hAnsi="Tahoma" w:cs="Tahoma"/>
      <w:sz w:val="16"/>
      <w:szCs w:val="16"/>
    </w:rPr>
  </w:style>
  <w:style w:type="character" w:styleId="Hyperlink">
    <w:name w:val="Hyperlink"/>
    <w:basedOn w:val="DefaultParagraphFont"/>
    <w:unhideWhenUsed/>
    <w:rsid w:val="00F67A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mailto:l.j.r.scholtens@rug.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2715</Words>
  <Characters>15482</Characters>
  <Application>Microsoft Office Word</Application>
  <DocSecurity>0</DocSecurity>
  <Lines>129</Lines>
  <Paragraphs>36</Paragraphs>
  <ScaleCrop>false</ScaleCrop>
  <Company>Springer-SBM</Company>
  <LinksUpToDate>false</LinksUpToDate>
  <CharactersWithSpaces>18161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 comments</dc:creator>
  <cp:lastModifiedBy>Reviewer comments</cp:lastModifiedBy>
  <cp:revision>1</cp:revision>
  <dcterms:created xsi:type="dcterms:W3CDTF">2019-08-20T15:51:00Z</dcterms:created>
  <dcterms:modified xsi:type="dcterms:W3CDTF">2019-08-20T15:51:00Z</dcterms:modified>
</cp:coreProperties>
</file>