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07B40" w14:textId="77777777" w:rsidR="00E2253F" w:rsidRDefault="00E2253F" w:rsidP="00E2253F">
      <w:pPr>
        <w:shd w:val="clear" w:color="auto" w:fill="FFFFFF"/>
        <w:jc w:val="center"/>
        <w:rPr>
          <w:rFonts w:ascii="Times New Roman" w:hAnsi="Times New Roman" w:cs="Times New Roman"/>
          <w:b/>
        </w:rPr>
      </w:pPr>
    </w:p>
    <w:p w14:paraId="0395124E" w14:textId="77777777" w:rsidR="00E2253F" w:rsidRDefault="00E2253F" w:rsidP="00E2253F">
      <w:pPr>
        <w:shd w:val="clear" w:color="auto" w:fill="FFFFFF"/>
        <w:jc w:val="center"/>
        <w:rPr>
          <w:rFonts w:ascii="Times New Roman" w:hAnsi="Times New Roman" w:cs="Times New Roman"/>
          <w:b/>
        </w:rPr>
      </w:pPr>
    </w:p>
    <w:p w14:paraId="08EBFBD4" w14:textId="77777777" w:rsidR="00E2253F" w:rsidRDefault="00E2253F" w:rsidP="00E2253F">
      <w:pPr>
        <w:shd w:val="clear" w:color="auto" w:fill="FFFFFF"/>
        <w:jc w:val="center"/>
        <w:rPr>
          <w:rFonts w:ascii="Times New Roman" w:hAnsi="Times New Roman" w:cs="Times New Roman"/>
          <w:b/>
        </w:rPr>
      </w:pPr>
    </w:p>
    <w:p w14:paraId="60289E0C" w14:textId="77777777" w:rsidR="00E2253F" w:rsidRDefault="00E2253F" w:rsidP="00E2253F">
      <w:pPr>
        <w:shd w:val="clear" w:color="auto" w:fill="FFFFFF"/>
        <w:jc w:val="center"/>
        <w:rPr>
          <w:rFonts w:ascii="Times New Roman" w:hAnsi="Times New Roman" w:cs="Times New Roman"/>
          <w:b/>
        </w:rPr>
      </w:pPr>
    </w:p>
    <w:p w14:paraId="11442EBE" w14:textId="77777777" w:rsidR="00E2253F" w:rsidRDefault="00E2253F" w:rsidP="00E2253F">
      <w:pPr>
        <w:shd w:val="clear" w:color="auto" w:fill="FFFFFF"/>
        <w:jc w:val="center"/>
        <w:rPr>
          <w:rFonts w:ascii="Times New Roman" w:hAnsi="Times New Roman" w:cs="Times New Roman"/>
          <w:b/>
        </w:rPr>
      </w:pPr>
    </w:p>
    <w:p w14:paraId="7FC1F694" w14:textId="77777777" w:rsidR="00E2253F" w:rsidRPr="00E1715F" w:rsidRDefault="00E2253F" w:rsidP="00E2253F">
      <w:pPr>
        <w:shd w:val="clear" w:color="auto" w:fill="FFFFFF"/>
        <w:jc w:val="center"/>
        <w:rPr>
          <w:rFonts w:ascii="Times New Roman" w:hAnsi="Times New Roman" w:cs="Times New Roman"/>
          <w:b/>
        </w:rPr>
      </w:pPr>
      <w:r w:rsidRPr="00E1715F">
        <w:rPr>
          <w:rFonts w:ascii="Times New Roman" w:hAnsi="Times New Roman" w:cs="Times New Roman"/>
          <w:b/>
        </w:rPr>
        <w:t>The impact of legal expertise on moral decision-making biases</w:t>
      </w:r>
    </w:p>
    <w:p w14:paraId="4F1D7783" w14:textId="77777777" w:rsidR="00E2253F" w:rsidRPr="00E1715F" w:rsidRDefault="00E2253F" w:rsidP="00E2253F">
      <w:pPr>
        <w:shd w:val="clear" w:color="auto" w:fill="FFFFFF"/>
        <w:jc w:val="center"/>
        <w:rPr>
          <w:rFonts w:ascii="Times New Roman" w:hAnsi="Times New Roman" w:cs="Times New Roman"/>
          <w:b/>
        </w:rPr>
      </w:pPr>
    </w:p>
    <w:p w14:paraId="387EBE39" w14:textId="77777777" w:rsidR="00E2253F" w:rsidRPr="00E1715F" w:rsidRDefault="00E2253F" w:rsidP="00E2253F">
      <w:pPr>
        <w:shd w:val="clear" w:color="auto" w:fill="FFFFFF"/>
        <w:rPr>
          <w:rFonts w:ascii="Times New Roman" w:hAnsi="Times New Roman" w:cs="Times New Roman"/>
          <w:b/>
        </w:rPr>
      </w:pPr>
    </w:p>
    <w:p w14:paraId="71545E2E" w14:textId="01078020" w:rsidR="00E2253F" w:rsidRPr="00DC2929" w:rsidRDefault="00E2253F" w:rsidP="00E2253F">
      <w:pPr>
        <w:autoSpaceDE w:val="0"/>
        <w:autoSpaceDN w:val="0"/>
        <w:adjustRightInd w:val="0"/>
        <w:jc w:val="center"/>
        <w:rPr>
          <w:rFonts w:ascii="Times New Roman" w:hAnsi="Times New Roman" w:cs="Times New Roman"/>
          <w:vertAlign w:val="superscript"/>
          <w:lang w:val="es-CL"/>
        </w:rPr>
      </w:pPr>
      <w:r w:rsidRPr="00DC2929">
        <w:rPr>
          <w:rFonts w:ascii="Times New Roman" w:hAnsi="Times New Roman" w:cs="Times New Roman"/>
          <w:lang w:val="es-CL"/>
        </w:rPr>
        <w:t xml:space="preserve">Sandra Baez, Michel Patiño-Sáenz, Jorge Martínez-Cotrina, Diego Mauricio Aponte, Juan Carlos Caicedo, </w:t>
      </w:r>
      <w:r w:rsidRPr="00DC2929">
        <w:rPr>
          <w:rFonts w:ascii="Times New Roman" w:hAnsi="Times New Roman" w:cs="Times New Roman"/>
          <w:bCs/>
          <w:lang w:val="es-CL"/>
        </w:rPr>
        <w:t>Hernando Santamaría-García</w:t>
      </w:r>
      <w:r w:rsidRPr="00DC2929">
        <w:rPr>
          <w:rFonts w:ascii="Times New Roman" w:hAnsi="Times New Roman" w:cs="Times New Roman"/>
          <w:bCs/>
          <w:vertAlign w:val="superscript"/>
          <w:lang w:val="es-CL"/>
        </w:rPr>
        <w:t xml:space="preserve"> </w:t>
      </w:r>
      <w:r w:rsidRPr="00DC2929">
        <w:rPr>
          <w:rFonts w:ascii="Times New Roman" w:hAnsi="Times New Roman" w:cs="Times New Roman"/>
          <w:lang w:val="es-CL"/>
        </w:rPr>
        <w:t xml:space="preserve">Daniel Pastor, María Luz González-Gadea, Martín Haissiner, </w:t>
      </w:r>
      <w:r w:rsidRPr="00DC2929">
        <w:rPr>
          <w:rFonts w:ascii="Times New Roman" w:hAnsi="Times New Roman" w:cs="Times New Roman"/>
          <w:bCs/>
          <w:lang w:val="es-CL"/>
        </w:rPr>
        <w:t>Adolfo</w:t>
      </w:r>
      <w:r w:rsidRPr="00DC2929">
        <w:rPr>
          <w:rFonts w:ascii="Times New Roman" w:hAnsi="Times New Roman" w:cs="Times New Roman"/>
          <w:bCs/>
          <w:vertAlign w:val="superscript"/>
          <w:lang w:val="es-CL"/>
        </w:rPr>
        <w:t xml:space="preserve"> </w:t>
      </w:r>
      <w:r w:rsidRPr="00DC2929">
        <w:rPr>
          <w:rFonts w:ascii="Times New Roman" w:hAnsi="Times New Roman" w:cs="Times New Roman"/>
          <w:bCs/>
          <w:lang w:val="es-CL"/>
        </w:rPr>
        <w:t>M. García</w:t>
      </w:r>
      <w:r w:rsidRPr="00DC2929">
        <w:rPr>
          <w:rFonts w:ascii="Times New Roman" w:hAnsi="Times New Roman" w:cs="Times New Roman"/>
          <w:lang w:val="es-CL"/>
        </w:rPr>
        <w:t>, Agustín Ibáñez</w:t>
      </w:r>
    </w:p>
    <w:p w14:paraId="4CAE03DF" w14:textId="77777777" w:rsidR="00E2253F" w:rsidRPr="00DC2929" w:rsidRDefault="00E2253F" w:rsidP="00E2253F">
      <w:pPr>
        <w:autoSpaceDE w:val="0"/>
        <w:autoSpaceDN w:val="0"/>
        <w:adjustRightInd w:val="0"/>
        <w:jc w:val="center"/>
        <w:rPr>
          <w:rFonts w:ascii="Times New Roman" w:hAnsi="Times New Roman" w:cs="Times New Roman"/>
          <w:lang w:val="es-CL"/>
        </w:rPr>
      </w:pPr>
    </w:p>
    <w:p w14:paraId="3B02899D" w14:textId="77777777" w:rsidR="00E2253F" w:rsidRPr="00DC2929" w:rsidRDefault="00E2253F" w:rsidP="00DC2929">
      <w:pPr>
        <w:rPr>
          <w:rFonts w:ascii="Times" w:hAnsi="Times" w:cs="Times New Roman"/>
          <w:b/>
          <w:lang w:val="es-CL"/>
        </w:rPr>
      </w:pPr>
    </w:p>
    <w:p w14:paraId="6B6616BD" w14:textId="77777777" w:rsidR="00E2253F" w:rsidRPr="00DC2929" w:rsidRDefault="00E2253F" w:rsidP="009B4DD6">
      <w:pPr>
        <w:jc w:val="center"/>
        <w:rPr>
          <w:rFonts w:ascii="Times" w:hAnsi="Times" w:cs="Times New Roman"/>
          <w:b/>
          <w:lang w:val="es-CL"/>
        </w:rPr>
      </w:pPr>
    </w:p>
    <w:p w14:paraId="46832E2C" w14:textId="77777777" w:rsidR="00E2253F" w:rsidRPr="00DC2929" w:rsidRDefault="00E2253F" w:rsidP="009B4DD6">
      <w:pPr>
        <w:jc w:val="center"/>
        <w:rPr>
          <w:rFonts w:ascii="Times" w:hAnsi="Times" w:cs="Times New Roman"/>
          <w:b/>
          <w:lang w:val="es-CL"/>
        </w:rPr>
      </w:pPr>
    </w:p>
    <w:p w14:paraId="318F1BD6" w14:textId="77777777" w:rsidR="00E2253F" w:rsidRPr="00DC2929" w:rsidRDefault="00E2253F" w:rsidP="009B4DD6">
      <w:pPr>
        <w:jc w:val="center"/>
        <w:rPr>
          <w:rFonts w:ascii="Times" w:hAnsi="Times" w:cs="Times New Roman"/>
          <w:b/>
          <w:lang w:val="es-CL"/>
        </w:rPr>
      </w:pPr>
    </w:p>
    <w:p w14:paraId="5A2BB004" w14:textId="77777777" w:rsidR="00C40154" w:rsidRPr="00C40154" w:rsidRDefault="00C40154" w:rsidP="009B4DD6">
      <w:pPr>
        <w:jc w:val="center"/>
        <w:rPr>
          <w:rFonts w:ascii="Times" w:hAnsi="Times" w:cs="Times New Roman"/>
          <w:b/>
        </w:rPr>
      </w:pPr>
      <w:r w:rsidRPr="00C40154">
        <w:rPr>
          <w:rFonts w:ascii="Times" w:hAnsi="Times" w:cs="Times New Roman"/>
          <w:b/>
        </w:rPr>
        <w:t>SUPPORTING INFORMATION</w:t>
      </w:r>
    </w:p>
    <w:p w14:paraId="590C6A09" w14:textId="77777777" w:rsidR="00C40154" w:rsidRPr="00C40154" w:rsidRDefault="00C40154" w:rsidP="009B4DD6">
      <w:pPr>
        <w:jc w:val="center"/>
        <w:rPr>
          <w:rFonts w:ascii="Times" w:hAnsi="Times" w:cs="Times New Roman"/>
          <w:b/>
        </w:rPr>
      </w:pPr>
    </w:p>
    <w:p w14:paraId="4C4CBA47" w14:textId="77777777" w:rsidR="00C40154" w:rsidRPr="00C40154" w:rsidRDefault="00C40154" w:rsidP="00E46982">
      <w:pPr>
        <w:jc w:val="both"/>
        <w:rPr>
          <w:rFonts w:ascii="Times" w:hAnsi="Times" w:cs="Times New Roman"/>
          <w:b/>
        </w:rPr>
      </w:pPr>
    </w:p>
    <w:p w14:paraId="36931BEC" w14:textId="77777777" w:rsidR="00C40154" w:rsidRPr="00C40154" w:rsidRDefault="00C40154" w:rsidP="00E46982">
      <w:pPr>
        <w:jc w:val="both"/>
        <w:rPr>
          <w:rFonts w:ascii="Times" w:hAnsi="Times" w:cs="Times New Roman"/>
          <w:b/>
        </w:rPr>
      </w:pPr>
      <w:r w:rsidRPr="00C40154">
        <w:rPr>
          <w:rFonts w:ascii="Times" w:hAnsi="Times" w:cs="Times New Roman"/>
          <w:b/>
        </w:rPr>
        <w:t>SI. MATERIALS AND METHODS</w:t>
      </w:r>
    </w:p>
    <w:p w14:paraId="44A2F650" w14:textId="77777777" w:rsidR="00C40154" w:rsidRPr="00C40154" w:rsidRDefault="00C40154" w:rsidP="00D13991">
      <w:pPr>
        <w:jc w:val="both"/>
        <w:rPr>
          <w:rFonts w:ascii="Times" w:eastAsia="Times New Roman" w:hAnsi="Times" w:cs="Times New Roman"/>
          <w:bCs/>
        </w:rPr>
      </w:pPr>
    </w:p>
    <w:p w14:paraId="3AD04323" w14:textId="77777777" w:rsidR="00C40154" w:rsidRPr="00C40154" w:rsidRDefault="00C40154" w:rsidP="00055D5E">
      <w:pPr>
        <w:jc w:val="both"/>
        <w:rPr>
          <w:rFonts w:ascii="Times" w:eastAsia="Times New Roman" w:hAnsi="Times" w:cs="Times New Roman"/>
          <w:bCs/>
        </w:rPr>
      </w:pPr>
      <w:r w:rsidRPr="00C40154">
        <w:rPr>
          <w:rFonts w:ascii="Times" w:eastAsia="Times New Roman" w:hAnsi="Times" w:cs="Times New Roman"/>
          <w:b/>
          <w:bCs/>
        </w:rPr>
        <w:t>Experimental setting.</w:t>
      </w:r>
      <w:r w:rsidRPr="00C40154">
        <w:rPr>
          <w:rFonts w:ascii="Times" w:eastAsia="Times New Roman" w:hAnsi="Times" w:cs="Times New Roman"/>
          <w:bCs/>
        </w:rPr>
        <w:t xml:space="preserve"> All Argentinean participants (</w:t>
      </w:r>
      <w:r w:rsidRPr="00C40154">
        <w:rPr>
          <w:rFonts w:ascii="Times" w:eastAsia="Times New Roman" w:hAnsi="Times" w:cs="Times New Roman"/>
          <w:bCs/>
          <w:i/>
        </w:rPr>
        <w:t>n</w:t>
      </w:r>
      <w:r w:rsidRPr="00C40154">
        <w:rPr>
          <w:rFonts w:ascii="Times" w:eastAsia="Times New Roman" w:hAnsi="Times" w:cs="Times New Roman"/>
          <w:bCs/>
        </w:rPr>
        <w:t xml:space="preserve"> = 65) and some Colombian participants (</w:t>
      </w:r>
      <w:r w:rsidRPr="00C40154">
        <w:rPr>
          <w:rFonts w:ascii="Times" w:eastAsia="Times New Roman" w:hAnsi="Times" w:cs="Times New Roman"/>
          <w:bCs/>
          <w:i/>
        </w:rPr>
        <w:t>n</w:t>
      </w:r>
      <w:r w:rsidRPr="00C40154">
        <w:rPr>
          <w:rFonts w:ascii="Times" w:eastAsia="Times New Roman" w:hAnsi="Times" w:cs="Times New Roman"/>
          <w:bCs/>
        </w:rPr>
        <w:t xml:space="preserve"> = 18) completed the experiment online. The invitation to participate was sent via e-mail, along with the link containing the informed consent, the experimental task, and a questionnaire. We employed the Qualtrics platform for this purpose.</w:t>
      </w:r>
    </w:p>
    <w:p w14:paraId="62AC7B04" w14:textId="77777777" w:rsidR="00C40154" w:rsidRPr="00C40154" w:rsidRDefault="00C40154" w:rsidP="00E46982">
      <w:pPr>
        <w:jc w:val="both"/>
        <w:rPr>
          <w:rFonts w:ascii="Times" w:hAnsi="Times" w:cs="Times New Roman"/>
          <w:b/>
        </w:rPr>
      </w:pPr>
    </w:p>
    <w:p w14:paraId="0DF83879" w14:textId="77777777" w:rsidR="00C40154" w:rsidRPr="00C40154" w:rsidRDefault="00C40154" w:rsidP="00E46982">
      <w:pPr>
        <w:jc w:val="both"/>
        <w:rPr>
          <w:rFonts w:ascii="Times" w:eastAsia="Times New Roman" w:hAnsi="Times" w:cs="Arial"/>
          <w:b/>
        </w:rPr>
      </w:pPr>
      <w:r w:rsidRPr="00C40154">
        <w:rPr>
          <w:rFonts w:ascii="Times" w:hAnsi="Times" w:cs="Times New Roman"/>
          <w:b/>
        </w:rPr>
        <w:t xml:space="preserve">Psychological tests. </w:t>
      </w:r>
      <w:r w:rsidRPr="00C40154">
        <w:rPr>
          <w:rFonts w:ascii="Times" w:eastAsia="Times New Roman" w:hAnsi="Times" w:cs="Times New Roman"/>
          <w:bCs/>
        </w:rPr>
        <w:t>Prior to the experiment, we assessed the participants’ global cognitive state and executive functioning in a subsample of Colombian participants (</w:t>
      </w:r>
      <w:r w:rsidRPr="00C40154">
        <w:rPr>
          <w:rFonts w:ascii="Times" w:eastAsia="Times New Roman" w:hAnsi="Times" w:cs="Times New Roman"/>
          <w:bCs/>
          <w:i/>
        </w:rPr>
        <w:t>n</w:t>
      </w:r>
      <w:r w:rsidRPr="00C40154">
        <w:rPr>
          <w:rFonts w:ascii="Times" w:eastAsia="Times New Roman" w:hAnsi="Times" w:cs="Times New Roman"/>
          <w:bCs/>
        </w:rPr>
        <w:t xml:space="preserve"> = 86).</w:t>
      </w:r>
      <w:r w:rsidRPr="00C40154">
        <w:rPr>
          <w:rFonts w:ascii="Times" w:eastAsia="Times New Roman" w:hAnsi="Times" w:cs="Arial"/>
          <w:b/>
        </w:rPr>
        <w:t xml:space="preserve"> </w:t>
      </w:r>
      <w:r w:rsidRPr="00C40154">
        <w:rPr>
          <w:rFonts w:ascii="Times" w:eastAsia="Times New Roman" w:hAnsi="Times" w:cs="Times New Roman"/>
          <w:bCs/>
        </w:rPr>
        <w:t>Global cognitive state was measured using the Montreal Cognitive Assessment (</w:t>
      </w:r>
      <w:proofErr w:type="spellStart"/>
      <w:r w:rsidRPr="00C40154">
        <w:rPr>
          <w:rFonts w:ascii="Times" w:eastAsia="Times New Roman" w:hAnsi="Times" w:cs="Times New Roman"/>
          <w:bCs/>
        </w:rPr>
        <w:t>MoCA</w:t>
      </w:r>
      <w:proofErr w:type="spellEnd"/>
      <w:r w:rsidRPr="00C40154">
        <w:rPr>
          <w:rFonts w:ascii="Times" w:eastAsia="Times New Roman" w:hAnsi="Times" w:cs="Times New Roman"/>
          <w:bCs/>
        </w:rPr>
        <w:t xml:space="preserve">) test </w:t>
      </w:r>
      <w:r w:rsidRPr="00C40154">
        <w:rPr>
          <w:rFonts w:ascii="Times" w:eastAsia="Times New Roman" w:hAnsi="Times" w:cs="Times New Roman"/>
          <w:bCs/>
          <w:noProof/>
        </w:rPr>
        <w:t>(Julayanont et al., 2014)</w:t>
      </w:r>
      <w:r w:rsidRPr="00C40154">
        <w:rPr>
          <w:rFonts w:ascii="Times" w:eastAsia="Times New Roman" w:hAnsi="Times" w:cs="Times New Roman"/>
          <w:bCs/>
        </w:rPr>
        <w:fldChar w:fldCharType="begin"/>
      </w:r>
      <w:r w:rsidRPr="00C40154">
        <w:rPr>
          <w:rFonts w:ascii="Times" w:eastAsia="Times New Roman" w:hAnsi="Times" w:cs="Times New Roman"/>
          <w:bCs/>
        </w:rPr>
        <w:instrText xml:space="preserve"> ADDIN ZOTERO_ITEM CSL_CITATION {"citationID":"2UgXIWQl","properties":{"formattedCitation":"(1)","plainCitation":"(1)","noteIndex":0},"citationItems":[{"id":1306,"uris":["http://zotero.org/users/3036553/items/HJCFRAH4"],"uri":["http://zotero.org/users/3036553/items/HJCFRAH4"],"itemData":{"id":1306,"type":"chapter","title":"Montreal Cognitive Assessment (MoCA): Concept and Clinical Review","container-title":"Cognitive Screening Instruments: A Practical Approach","publisher":"Springer London","publisher-place":"London","page":"111-151","source":"Springer Link","event-place":"London","abstract":"The Montreal Cognitive Assessment (MoCA) is a cognitive screening instrument developed to detect mild cognitive impairment (MCI). It is a simple 10 minute paper and pencil test that assesses multiple cognitive domains including memory, language, executive functions, visuospatial skills, calculation, abstraction, attention, concentration, and orientation. Its validity has been established to detect mild cognitive impairment in patients with Alzheimer’s disease and other pathologies in cognitively impaired subjects who scored in the normal range on the MMSE. MoCA’s sensitivity and specificity to detect subjects with MCI due to Alzheimer’s disease and distinguish them from healthy controls are excellent. MoCA is also sensitive to detect cognitive impairment in cerebrovascular disease and Parkinson’s disease, Huntington’s disease, brain tumors, systemic lupus erythematosus, substance use disorders, idiopathic rapid eye movement sleep behaviour disorder, obstructive sleep apnoea, risk of falling, rehabilitation outcome, and epilepsy. There are several features in MoCA’s design that likely explain its superior sensitivity for detecting MCI. The MoCA’s memory testing involves more words, fewer learning trials, and a longer delay before recall than the MMSE. Executive functions, higher-level language abilities, and complex visuospatial processing can also be mildly impaired in MCI participants of various etiologies and are assessed by the MoCA with more numerous and demanding tasks than the MMSE. MoCA was developed in a memory clinic setting and normed in a highly educated population. Norms in lesser educated, community based, multi-cultural samples will hopefully be available to help first line healthcare providers better assess subjects presenting with cognitive complaints. The MoCA is freely accessible for clinical and educational purposes (www.mocatest.org), and is available in 36 languages and dialects.","URL":"https://doi.org/10.1007/978-1-4471-2452-8_6","ISBN":"978-1-4471-2452-8","note":"DOI: 10.1007/978-1-4471-2452-8_6","shortTitle":"Montreal Cognitive Assessment (MoCA)","language":"en","author":[{"family":"Julayanont","given":"Parunyou"},{"family":"Phillips","given":"Natalie"},{"family":"Chertkow","given":"Howard"},{"family":"Nasreddine","given":"Ziad S."}],"editor":[{"family":"Larner","given":"A. J."}],"issued":{"date-parts":[["2013"]]},"accessed":{"date-parts":[["2019",3,19]]}}}],"schema":"https://github.com/citation-style-language/schema/raw/master/csl-citation.json"} </w:instrText>
      </w:r>
      <w:r w:rsidRPr="00C40154">
        <w:rPr>
          <w:rFonts w:ascii="Times" w:eastAsia="Times New Roman" w:hAnsi="Times" w:cs="Times New Roman"/>
          <w:bCs/>
        </w:rPr>
        <w:fldChar w:fldCharType="end"/>
      </w:r>
      <w:r w:rsidRPr="00C40154">
        <w:rPr>
          <w:rFonts w:ascii="Times" w:eastAsia="Times New Roman" w:hAnsi="Times" w:cs="Times New Roman"/>
          <w:bCs/>
        </w:rPr>
        <w:t xml:space="preserve">. </w:t>
      </w:r>
      <w:r w:rsidRPr="00C40154">
        <w:rPr>
          <w:rFonts w:ascii="Times" w:hAnsi="Times" w:cs="Times New Roman"/>
        </w:rPr>
        <w:t xml:space="preserve">Executive functioning was assessed through the INECO Frontal Screening (IFS) battery </w:t>
      </w:r>
      <w:r w:rsidRPr="00C40154">
        <w:rPr>
          <w:rFonts w:ascii="Times" w:hAnsi="Times" w:cs="Times New Roman"/>
          <w:noProof/>
        </w:rPr>
        <w:t>(Torralva et al., 2009)</w:t>
      </w:r>
      <w:r w:rsidRPr="00C40154">
        <w:rPr>
          <w:rFonts w:ascii="Times" w:hAnsi="Times" w:cs="Times New Roman"/>
        </w:rPr>
        <w:t xml:space="preserve">, which is a brief and well-validated </w:t>
      </w:r>
      <w:r w:rsidRPr="00C40154">
        <w:rPr>
          <w:rFonts w:ascii="Times" w:hAnsi="Times" w:cs="Times New Roman"/>
          <w:noProof/>
        </w:rPr>
        <w:t>(Baez et al., 2014; Bruno et al., 2015; Gleichgerrcht et al., 2011; Moreira et al., 2014)</w:t>
      </w:r>
      <w:r w:rsidRPr="00C40154">
        <w:rPr>
          <w:rFonts w:ascii="Times" w:hAnsi="Times" w:cs="Times New Roman"/>
        </w:rPr>
        <w:t xml:space="preserve"> test comprising eight subtests tapping into various executive function domains, namely: (</w:t>
      </w:r>
      <w:proofErr w:type="spellStart"/>
      <w:r w:rsidRPr="00C40154">
        <w:rPr>
          <w:rFonts w:ascii="Times" w:hAnsi="Times" w:cs="Times New Roman"/>
        </w:rPr>
        <w:t>i</w:t>
      </w:r>
      <w:proofErr w:type="spellEnd"/>
      <w:r w:rsidRPr="00C40154">
        <w:rPr>
          <w:rFonts w:ascii="Times" w:hAnsi="Times" w:cs="Times New Roman"/>
        </w:rPr>
        <w:t xml:space="preserve">) motor programming (Luria series, “fist, edge, palm”); (ii) conflicting instructions (subjects are asked to hit the table once when the administrator hits it twice, or vice versa); (iii) motor inhibitory control; (iv) numerical working memory (backward digit span); (v) verbal working memory (months backwards); (vi) spatial working memory (modified </w:t>
      </w:r>
      <w:proofErr w:type="spellStart"/>
      <w:r w:rsidRPr="00C40154">
        <w:rPr>
          <w:rFonts w:ascii="Times" w:hAnsi="Times" w:cs="Times New Roman"/>
        </w:rPr>
        <w:t>Corsi</w:t>
      </w:r>
      <w:proofErr w:type="spellEnd"/>
      <w:r w:rsidRPr="00C40154">
        <w:rPr>
          <w:rFonts w:ascii="Times" w:hAnsi="Times" w:cs="Times New Roman"/>
        </w:rPr>
        <w:t xml:space="preserve"> tapping test); (vii) abstraction capacity (inferring the meaning of proverbs); and (viii) verbal inhibitory control (modified Hayling test). The maximum possible score on the IFS is 30 points.</w:t>
      </w:r>
    </w:p>
    <w:p w14:paraId="069B42A4" w14:textId="77777777" w:rsidR="00C40154" w:rsidRPr="00C40154" w:rsidRDefault="00C40154" w:rsidP="00E46982">
      <w:pPr>
        <w:jc w:val="both"/>
        <w:rPr>
          <w:rFonts w:ascii="Times" w:hAnsi="Times" w:cs="Times New Roman"/>
          <w:b/>
        </w:rPr>
      </w:pPr>
    </w:p>
    <w:p w14:paraId="0D584866" w14:textId="77777777" w:rsidR="00C40154" w:rsidRPr="00C40154" w:rsidRDefault="00C40154" w:rsidP="00A9615C">
      <w:pPr>
        <w:jc w:val="both"/>
        <w:rPr>
          <w:rFonts w:ascii="Times" w:eastAsia="Times New Roman" w:hAnsi="Times" w:cs="Times New Roman"/>
          <w:bCs/>
        </w:rPr>
      </w:pPr>
      <w:r w:rsidRPr="00C40154">
        <w:rPr>
          <w:rFonts w:ascii="Times" w:hAnsi="Times" w:cs="Times New Roman"/>
          <w:b/>
        </w:rPr>
        <w:t xml:space="preserve">ECG acquisition. </w:t>
      </w:r>
      <w:r w:rsidRPr="00C40154">
        <w:rPr>
          <w:rFonts w:ascii="Times" w:eastAsia="Times New Roman" w:hAnsi="Times" w:cs="Times New Roman"/>
          <w:bCs/>
        </w:rPr>
        <w:t>Heart rate was monitored through an electrocardiogram (ECG) recording.</w:t>
      </w:r>
      <w:r w:rsidRPr="00C40154">
        <w:rPr>
          <w:rFonts w:ascii="Times" w:hAnsi="Times" w:cs="Times New Roman"/>
          <w:b/>
        </w:rPr>
        <w:t xml:space="preserve"> </w:t>
      </w:r>
      <w:r w:rsidRPr="00C40154">
        <w:rPr>
          <w:rFonts w:ascii="Times" w:eastAsia="Times New Roman" w:hAnsi="Times" w:cs="Times New Roman"/>
          <w:bCs/>
        </w:rPr>
        <w:t>We attached three disposable pre-gelled electrodes (</w:t>
      </w:r>
      <m:oMath>
        <m:sSup>
          <m:sSupPr>
            <m:ctrlPr>
              <w:rPr>
                <w:rFonts w:ascii="Cambria Math" w:eastAsia="Times New Roman" w:hAnsi="Cambria Math" w:cs="Times New Roman"/>
                <w:bCs/>
                <w:i/>
              </w:rPr>
            </m:ctrlPr>
          </m:sSupPr>
          <m:e>
            <m:r>
              <w:rPr>
                <w:rFonts w:ascii="Cambria Math" w:eastAsia="Times New Roman" w:hAnsi="Cambria Math" w:cs="Times New Roman"/>
              </w:rPr>
              <m:t>3M</m:t>
            </m:r>
          </m:e>
          <m:sup>
            <m:r>
              <w:rPr>
                <w:rFonts w:ascii="Cambria Math" w:eastAsia="Times New Roman" w:hAnsi="Cambria Math" w:cs="Times New Roman"/>
              </w:rPr>
              <m:t>TM</m:t>
            </m:r>
          </m:sup>
        </m:sSup>
      </m:oMath>
      <w:r w:rsidRPr="00C40154">
        <w:rPr>
          <w:rFonts w:ascii="Times" w:eastAsia="Times New Roman" w:hAnsi="Times" w:cs="Times New Roman"/>
          <w:bCs/>
        </w:rPr>
        <w:t xml:space="preserve"> foam monitoring electrodes (2228), 3M, United States) to participants in an Einthoven’s triangle configuration. We acquired the electrophysiological signal using a 16/35 </w:t>
      </w:r>
      <w:proofErr w:type="spellStart"/>
      <w:r w:rsidRPr="00C40154">
        <w:rPr>
          <w:rFonts w:ascii="Times" w:eastAsia="Times New Roman" w:hAnsi="Times" w:cs="Times New Roman"/>
          <w:bCs/>
        </w:rPr>
        <w:t>Powerlab</w:t>
      </w:r>
      <w:proofErr w:type="spellEnd"/>
      <w:r w:rsidRPr="00C40154">
        <w:rPr>
          <w:rFonts w:ascii="Times" w:eastAsia="Times New Roman" w:hAnsi="Times" w:cs="Times New Roman"/>
          <w:bCs/>
        </w:rPr>
        <w:t xml:space="preserve"> unit device connected to a dual </w:t>
      </w:r>
      <w:proofErr w:type="spellStart"/>
      <w:r w:rsidRPr="00C40154">
        <w:rPr>
          <w:rFonts w:ascii="Times" w:eastAsia="Times New Roman" w:hAnsi="Times" w:cs="Times New Roman"/>
          <w:bCs/>
        </w:rPr>
        <w:t>BioAmplifier</w:t>
      </w:r>
      <w:proofErr w:type="spellEnd"/>
      <w:r w:rsidRPr="00C40154">
        <w:rPr>
          <w:rFonts w:ascii="Times" w:eastAsia="Times New Roman" w:hAnsi="Times" w:cs="Times New Roman"/>
          <w:bCs/>
        </w:rPr>
        <w:t xml:space="preserve"> (</w:t>
      </w:r>
      <w:proofErr w:type="spellStart"/>
      <w:r w:rsidRPr="00C40154">
        <w:rPr>
          <w:rFonts w:ascii="Times" w:eastAsia="Times New Roman" w:hAnsi="Times" w:cs="Times New Roman"/>
          <w:bCs/>
        </w:rPr>
        <w:t>ADinstruments</w:t>
      </w:r>
      <w:proofErr w:type="spellEnd"/>
      <w:r w:rsidRPr="00C40154">
        <w:rPr>
          <w:rFonts w:ascii="Times" w:eastAsia="Times New Roman" w:hAnsi="Times" w:cs="Times New Roman"/>
          <w:bCs/>
        </w:rPr>
        <w:t xml:space="preserve">, Colorado Springs, CO), at a 2000Hz-sampling rate </w:t>
      </w:r>
      <w:r w:rsidRPr="00C40154">
        <w:rPr>
          <w:rFonts w:ascii="Times" w:eastAsia="Times New Roman" w:hAnsi="Times" w:cs="Times New Roman"/>
          <w:bCs/>
          <w:noProof/>
        </w:rPr>
        <w:t>(</w:t>
      </w:r>
      <w:r w:rsidRPr="00DC2929">
        <w:rPr>
          <w:rFonts w:ascii="Times" w:hAnsi="Times" w:cs="Helvetica"/>
        </w:rPr>
        <w:t xml:space="preserve">Task Force of the European Society of Cardiology and the North American Society of Pacing and </w:t>
      </w:r>
      <w:r w:rsidRPr="00DC2929">
        <w:rPr>
          <w:rFonts w:ascii="Times" w:hAnsi="Times" w:cs="Helvetica"/>
        </w:rPr>
        <w:lastRenderedPageBreak/>
        <w:t>Electrophysiology</w:t>
      </w:r>
      <w:r w:rsidRPr="00C40154">
        <w:rPr>
          <w:rFonts w:ascii="Times" w:eastAsia="Times New Roman" w:hAnsi="Times" w:cs="Times New Roman"/>
          <w:bCs/>
          <w:noProof/>
        </w:rPr>
        <w:t>, 1996)</w:t>
      </w:r>
      <w:r w:rsidRPr="00C40154">
        <w:rPr>
          <w:rFonts w:ascii="Times" w:eastAsia="Times New Roman" w:hAnsi="Times" w:cs="Times New Roman"/>
          <w:bCs/>
        </w:rPr>
        <w:t xml:space="preserve">. The raw signal was processed online in this device using the following analog filters: A) a 0.02-500 Hz band-pass filter, B) a notch filter (60 Hz) and C) a Mains adaptive filter </w:t>
      </w:r>
      <w:r w:rsidRPr="00C40154">
        <w:rPr>
          <w:rFonts w:ascii="Times" w:eastAsia="Times New Roman" w:hAnsi="Times" w:cs="Times New Roman"/>
          <w:bCs/>
        </w:rPr>
        <w:fldChar w:fldCharType="begin"/>
      </w:r>
      <w:r w:rsidRPr="00C40154">
        <w:rPr>
          <w:rFonts w:ascii="Times" w:eastAsia="Times New Roman" w:hAnsi="Times" w:cs="Times New Roman"/>
          <w:bCs/>
        </w:rPr>
        <w:instrText xml:space="preserve"> ADDIN ZOTERO_ITEM CSL_CITATION {"citationID":"KthGsOYV","properties":{"formattedCitation":"(7\\uc0\\u8211{}10)","plainCitation":"(7–10)","noteIndex":0},"citationItems":[{"id":1099,"uris":["http://zotero.org/users/3036553/items/5DK6G7CJ"],"uri":["http://zotero.org/users/3036553/items/5DK6G7CJ"],"itemData":{"id":1099,"type":"article-journal","title":"Heart rate variability: standards of measurement, physiological interpretation and clinical use.","container-title":"Circulation","page":"1043-1065","volume":"93","issue":"5","source":"PubMed","ISSN":"0009-7322","note":"PMID: 8598068","shortTitle":"Heart rate variability","journalAbbreviation":"Circulation","language":"eng","author":[{"literal":"Task Force of the European Society of Cardiology and the North American Society of Pacing and Electrophysiology"}],"issued":{"date-parts":[["1996",3,1]]}}},{"id":1142,"uris":["http://zotero.org/users/3036553/items/JQ55CZIV"],"uri":["http://zotero.org/users/3036553/items/JQ55CZIV"],"itemData":{"id":1142,"type":"article-journal","title":"Suppression of power-line interference by analog notch filtering in the ECG signal for heart rate variability analysis: to do or not to do?","container-title":"Medical Science Monitor: International Medical Journal of Experimental and Clinical Research","page":"MT6-13","volume":"10","issue":"1","source":"PubMed","abstract":"BACKGROUND: Heart rate variability analysis has developed recently to a promising field of cardiology. Measures of heart rate variability can be corrupted by environmental noise or technical artifacts arising from analog and digital signal processing.\nMATERIAL/METHODS: The present investigation addressed the analysis of the effects of AC interference and its filtering on the precision and accuracy of heart rate detection. Artificial ECG recordings with predefined parameters were simulated by a computer and a data acquisition card, consecutively filtered by an analog notch filter (Q=2, 5 and 10) and digitized at 1 kHz by the same card ahead of and subsequent to the filter circuit. These latter signals were analyzed: the relative time points corresponding to the uncorrupted series at 7 points of the ventricular complexes were obtained and their means, standard deviations and maxima were computed separately.\nRESULTS: The filtering of uncorrupted ECG signals does not result in heart rate period deviations &lt; or=1 ms. Power-line interference contamination proportionally alters the accuracy of representative point detection (maximal shift: 5% - 2 ms, 10% - 4 ms, 25% - 8 ms, 50% - 14 ms), which is consistently restored by notch filtering with a slight error (L1 ms on the ascending slope and at the peak). The descending slope is more distorted at filter Q=2 and at lower ventricular complex width; however this is constant, which also results in reliable RR-interval detection.\nCONCLUSIONS: AC notch filtering of ECG signals for heart rate variability analysis is considered important, and further investigation of this area is encouraged.","ISSN":"1234-1010","note":"PMID: 14704641","shortTitle":"Suppression of power-line interference by analog notch filtering in the ECG signal for heart rate variability analysis","journalAbbreviation":"Med. Sci. Monit.","language":"eng","author":[{"family":"Hejjel","given":"Laszlo"}],"issued":{"date-parts":[["2004",1]]}}},{"id":1144,"uris":["http://zotero.org/users/3036553/items/YAJVAZN3"],"uri":["http://zotero.org/users/3036553/items/YAJVAZN3"],"itemData":{"id":1144,"type":"article-journal","title":"A real-time microprocessor QRS detector system with a 1-ms timing accuracy for the measurement of ambulatory HRV","container-title":"IEEE transactions on bio-medical engineering","page":"159-167","volume":"44","issue":"3","source":"PubMed","abstract":"The design, test methods and results of an ambulatory QRS detector are presented. The device is intended for the accurate measurement of heart rate variability (HRV) and reliable QRS detection in both ambulatory and clinical use. The aim of the design work was to achieve high QRS detection performance in terms of timing accuracy and reliability, without compromising the size and power consumption of the device. The complete monitor system consists of a host computer and the detector unit. The detector device is constructed of a commonly available digital signal processing (DSP) microprocessor and other components. The QRS detection algorithm uses optimized prefiltering in conjunction with a matched filter and dual edge threshold detection. The purpose of the prefiltering is to attenuate various noise components in order to achieve improved detection reliability. The matched filter further improves signal-to-noise ratio (SNR) and symmetries the QRS complex for the threshold detection, which is essential in order to achieve the desired performance. The decision for detection is made in real-time and no search-back method is employed. The host computer is used to configure the detector unit, which includes the setting of the matched filter impulse response, and in the retrieval and postprocessing of the measurement results. The QRS detection timing accuracy and detection reliability of the detector system was tested with an artificially generated electrocardiogram (ECG) signal corrupted with various noise types and a timing standard deviation of less than 1 ms was achieved with most noise types and levels similar to those encountered in real measurements. A QRS detection error rate (ER) of 0.1 and 2.2% was achieved with records 103 and 105 from the MIT-BIH Arrhythmia database, respectively.","DOI":"10.1109/10.554762","ISSN":"0018-9294","note":"PMID: 9216129","journalAbbreviation":"IEEE Trans Biomed Eng","language":"eng","author":[{"family":"Ruha","given":"A."},{"family":"Sallinen","given":"S."},{"family":"Nissilä","given":"S."}],"issued":{"date-parts":[["1997",3]]}}},{"id":1312,"uris":["http://zotero.org/users/3036553/items/9FF2NMKB"],"uri":["http://zotero.org/users/3036553/items/9FF2NMKB"],"itemData":{"id":1312,"type":"article-journal","title":"When Early Experiences Build a Wall to Others’ Emotions: An Electrophysiological and Autonomic Study","container-title":"PLOS ONE","page":"e61004","volume":"8","issue":"4","source":"PLoS Journals","abstract":"Facial expression of emotions is a powerful vehicle for communicating information about others’ emotional states and it normally induces facial mimicry in the observers. The aim of this study was to investigate if early aversive experiences could interfere with emotion recognition, facial mimicry, and with the autonomic regulation of social behaviors. We conducted a facial emotion recognition task in a group of “street-boys” and in an age-matched control group. We recorded facial electromyography (EMG), a marker of facial mimicry, and respiratory sinus arrhythmia (RSA), an index of the recruitment of autonomic system promoting social behaviors and predisposition, in response to the observation of facial expressions of emotions. Results showed an over-attribution of anger, and reduced EMG responses during the observation of both positive and negative expressions only among street-boys. Street-boys also showed lower RSA after observation of facial expressions and ineffective RSA suppression during presentation of non-threatening expressions. Our findings suggest that early aversive experiences alter not only emotion recognition but also facial mimicry of emotions. These deficits affect the autonomic regulation of social behaviors inducing lower social predisposition after the visualization of facial expressions and an ineffective recruitment of defensive behavior in response to non-threatening expressions.","DOI":"10.1371/journal.pone.0061004","ISSN":"1932-6203","shortTitle":"When Early Experiences Build a Wall to Others’ Emotions","journalAbbreviation":"PLOS ONE","language":"en","author":[{"family":"Ardizzi","given":"Martina"},{"family":"Martini","given":"Francesca"},{"family":"Umiltà","given":"Maria Alessandra"},{"family":"Sestito","given":"Mariateresa"},{"family":"Ravera","given":"Roberto"},{"family":"Gallese","given":"Vittorio"}],"issued":{"date-parts":[["2013",4,10]]}}}],"schema":"https://github.com/citation-style-language/schema/raw/master/csl-citation.json"} </w:instrText>
      </w:r>
      <w:r w:rsidRPr="00C40154">
        <w:rPr>
          <w:rFonts w:ascii="Times" w:eastAsia="Times New Roman" w:hAnsi="Times" w:cs="Times New Roman"/>
          <w:bCs/>
        </w:rPr>
        <w:fldChar w:fldCharType="separate"/>
      </w:r>
      <w:r w:rsidRPr="00C40154">
        <w:rPr>
          <w:rFonts w:ascii="Times" w:hAnsi="Times" w:cs="Times New Roman"/>
        </w:rPr>
        <w:t>(7–10)</w:t>
      </w:r>
      <w:r w:rsidRPr="00C40154">
        <w:rPr>
          <w:rFonts w:ascii="Times" w:eastAsia="Times New Roman" w:hAnsi="Times" w:cs="Times New Roman"/>
          <w:bCs/>
        </w:rPr>
        <w:fldChar w:fldCharType="end"/>
      </w:r>
      <w:r w:rsidRPr="00C40154">
        <w:rPr>
          <w:rFonts w:ascii="Times" w:eastAsia="Times New Roman" w:hAnsi="Times" w:cs="Times New Roman"/>
          <w:bCs/>
        </w:rPr>
        <w:t>.</w:t>
      </w:r>
    </w:p>
    <w:p w14:paraId="0EDE3B16" w14:textId="77777777" w:rsidR="00C40154" w:rsidRPr="00C40154" w:rsidRDefault="00C40154" w:rsidP="00A3718C">
      <w:pPr>
        <w:tabs>
          <w:tab w:val="left" w:pos="1486"/>
        </w:tabs>
        <w:jc w:val="both"/>
        <w:rPr>
          <w:rFonts w:ascii="Times" w:eastAsia="Times New Roman" w:hAnsi="Times" w:cs="Times New Roman"/>
          <w:bCs/>
        </w:rPr>
      </w:pPr>
    </w:p>
    <w:p w14:paraId="7E8D8026" w14:textId="77777777" w:rsidR="00C40154" w:rsidRPr="00C40154" w:rsidRDefault="00C40154" w:rsidP="00494E5E">
      <w:pPr>
        <w:jc w:val="both"/>
        <w:rPr>
          <w:rFonts w:ascii="Times" w:eastAsia="Times New Roman" w:hAnsi="Times" w:cs="Times New Roman"/>
          <w:bCs/>
        </w:rPr>
      </w:pPr>
      <w:r w:rsidRPr="00C40154">
        <w:rPr>
          <w:rFonts w:ascii="Times" w:hAnsi="Times" w:cs="Times New Roman"/>
          <w:b/>
        </w:rPr>
        <w:t xml:space="preserve">Heart rate variability (HRV). </w:t>
      </w:r>
      <w:r w:rsidRPr="00C40154">
        <w:rPr>
          <w:rFonts w:ascii="Times" w:eastAsia="Times New Roman" w:hAnsi="Times" w:cs="Times New Roman"/>
          <w:bCs/>
        </w:rPr>
        <w:t xml:space="preserve">We used the software </w:t>
      </w:r>
      <w:proofErr w:type="spellStart"/>
      <w:r w:rsidRPr="00C40154">
        <w:rPr>
          <w:rFonts w:ascii="Times" w:eastAsia="Times New Roman" w:hAnsi="Times" w:cs="Times New Roman"/>
          <w:bCs/>
        </w:rPr>
        <w:t>LabChart</w:t>
      </w:r>
      <w:proofErr w:type="spellEnd"/>
      <w:r w:rsidRPr="00C40154">
        <w:rPr>
          <w:rFonts w:ascii="Times" w:eastAsia="Times New Roman" w:hAnsi="Times" w:cs="Times New Roman"/>
          <w:bCs/>
        </w:rPr>
        <w:t xml:space="preserve"> pro version 7.3.7 (</w:t>
      </w:r>
      <w:proofErr w:type="spellStart"/>
      <w:r w:rsidRPr="00C40154">
        <w:rPr>
          <w:rFonts w:ascii="Times" w:eastAsia="Times New Roman" w:hAnsi="Times" w:cs="Times New Roman"/>
          <w:bCs/>
        </w:rPr>
        <w:t>ADinstruments</w:t>
      </w:r>
      <w:proofErr w:type="spellEnd"/>
      <w:r w:rsidRPr="00C40154">
        <w:rPr>
          <w:rFonts w:ascii="Times" w:eastAsia="Times New Roman" w:hAnsi="Times" w:cs="Times New Roman"/>
          <w:bCs/>
        </w:rPr>
        <w:t>, Colorado Springs, CO) to further process and analyze ECG recordings. The aim was to calculate a particular measure of the beat-to-beat variation of heart rate (heart rate variability; HRV) during the baseline period, and also during the experimental task. In the present study, we computed the low frequency (LF; 0.04 to 0.15 Hz) power component of HRV.</w:t>
      </w:r>
    </w:p>
    <w:p w14:paraId="157A24BF" w14:textId="77777777" w:rsidR="00C40154" w:rsidRPr="00C40154" w:rsidRDefault="00C40154" w:rsidP="00494E5E">
      <w:pPr>
        <w:jc w:val="both"/>
        <w:rPr>
          <w:rFonts w:ascii="Times" w:eastAsia="Times New Roman" w:hAnsi="Times" w:cs="Times New Roman"/>
          <w:bCs/>
        </w:rPr>
      </w:pPr>
    </w:p>
    <w:p w14:paraId="09E07F71" w14:textId="77777777" w:rsidR="00C40154" w:rsidRPr="00C40154" w:rsidRDefault="00C40154" w:rsidP="00EE7A40">
      <w:pPr>
        <w:jc w:val="both"/>
        <w:rPr>
          <w:rFonts w:ascii="Times" w:eastAsia="Times New Roman" w:hAnsi="Times" w:cs="Times New Roman"/>
          <w:bCs/>
        </w:rPr>
      </w:pPr>
      <w:r w:rsidRPr="00C40154">
        <w:rPr>
          <w:rFonts w:ascii="Times" w:eastAsia="Times New Roman" w:hAnsi="Times" w:cs="Times New Roman"/>
          <w:bCs/>
        </w:rPr>
        <w:t xml:space="preserve">Prior to calculating the LF power, we first applied various digital FIR filters to the ECG signal to reduce the impact of physiological and technical perturbations. The filters were designed to approximate: A) a fourth order low-pass Butterworth filter, B) a second order high-pass Butterworth filter and C) a notch filter (60 Hz) </w:t>
      </w:r>
      <w:r w:rsidRPr="00C40154">
        <w:rPr>
          <w:rFonts w:ascii="Times" w:eastAsia="Times New Roman" w:hAnsi="Times" w:cs="Times New Roman"/>
          <w:bCs/>
          <w:noProof/>
        </w:rPr>
        <w:t>(Hejjel, 2004; Ruha et al., 1997)</w:t>
      </w:r>
      <w:r w:rsidRPr="00C40154">
        <w:rPr>
          <w:rFonts w:ascii="Times" w:eastAsia="Times New Roman" w:hAnsi="Times" w:cs="Times New Roman"/>
          <w:bCs/>
        </w:rPr>
        <w:t>. Subsequently, an algorithm automatically detected the QRS complexes in the recordings, from which R-R intervals were computed (</w:t>
      </w:r>
      <w:proofErr w:type="spellStart"/>
      <w:r w:rsidRPr="00C40154">
        <w:rPr>
          <w:rFonts w:ascii="Times" w:eastAsia="Times New Roman" w:hAnsi="Times" w:cs="Times New Roman"/>
          <w:bCs/>
        </w:rPr>
        <w:t>ms</w:t>
      </w:r>
      <w:proofErr w:type="spellEnd"/>
      <w:r w:rsidRPr="00C40154">
        <w:rPr>
          <w:rFonts w:ascii="Times" w:eastAsia="Times New Roman" w:hAnsi="Times" w:cs="Times New Roman"/>
          <w:bCs/>
        </w:rPr>
        <w:t>). Such automatic identification of R spikes was corroborated by careful visual inspection and, if an error was detected, the misplaced marker and the associated R-R intervals were eliminated from the analysis. Segments containing ectopic beats were also removed from the analysis. The resulting R-R time series were used to estimate the power spectral density by applying the method of the Lomb-</w:t>
      </w:r>
      <w:proofErr w:type="spellStart"/>
      <w:r w:rsidRPr="00C40154">
        <w:rPr>
          <w:rFonts w:ascii="Times" w:eastAsia="Times New Roman" w:hAnsi="Times" w:cs="Times New Roman"/>
          <w:bCs/>
        </w:rPr>
        <w:t>Scargle</w:t>
      </w:r>
      <w:proofErr w:type="spellEnd"/>
      <w:r w:rsidRPr="00C40154">
        <w:rPr>
          <w:rFonts w:ascii="Times" w:eastAsia="Times New Roman" w:hAnsi="Times" w:cs="Times New Roman"/>
          <w:bCs/>
        </w:rPr>
        <w:t xml:space="preserve"> periodogram </w:t>
      </w:r>
      <w:r w:rsidRPr="00C40154">
        <w:rPr>
          <w:rFonts w:ascii="Times" w:eastAsia="Times New Roman" w:hAnsi="Times" w:cs="Times New Roman"/>
          <w:bCs/>
          <w:noProof/>
        </w:rPr>
        <w:t>(Clifford and Tarassenko, 2005)</w:t>
      </w:r>
      <w:r w:rsidRPr="00C40154">
        <w:rPr>
          <w:rFonts w:ascii="Times" w:eastAsia="Times New Roman" w:hAnsi="Times" w:cs="Times New Roman"/>
          <w:bCs/>
        </w:rPr>
        <w:t xml:space="preserve">. We made sure that every interval over which LF power was calculated had the minimum number of beats to fulfill the Nyquist constrain. In addition, we did not admit into the analysis recoding segments that had lost more than 20 percent of the R-R intervals due to artifacts or physiological perturbations </w:t>
      </w:r>
      <w:r w:rsidRPr="00C40154">
        <w:rPr>
          <w:rFonts w:ascii="Times" w:eastAsia="Times New Roman" w:hAnsi="Times" w:cs="Times New Roman"/>
          <w:bCs/>
          <w:noProof/>
        </w:rPr>
        <w:t>(Clifford and Tarassenko, 2005)</w:t>
      </w:r>
      <w:r w:rsidRPr="00C40154">
        <w:rPr>
          <w:rFonts w:ascii="Times" w:eastAsia="Times New Roman" w:hAnsi="Times" w:cs="Times New Roman"/>
          <w:bCs/>
        </w:rPr>
        <w:t>.</w:t>
      </w:r>
    </w:p>
    <w:p w14:paraId="0485D38B" w14:textId="77777777" w:rsidR="00C40154" w:rsidRPr="00C40154" w:rsidRDefault="00C40154" w:rsidP="00EE7A40">
      <w:pPr>
        <w:jc w:val="both"/>
        <w:rPr>
          <w:rFonts w:ascii="Times" w:eastAsia="Times New Roman" w:hAnsi="Times" w:cs="Times New Roman"/>
          <w:bCs/>
        </w:rPr>
      </w:pPr>
    </w:p>
    <w:p w14:paraId="1D112589" w14:textId="77777777" w:rsidR="00C40154" w:rsidRPr="00C40154" w:rsidRDefault="00C40154" w:rsidP="00537902">
      <w:pPr>
        <w:jc w:val="both"/>
        <w:rPr>
          <w:rFonts w:ascii="Times" w:hAnsi="Times" w:cs="Times New Roman"/>
          <w:b/>
        </w:rPr>
      </w:pPr>
      <w:r w:rsidRPr="00C40154">
        <w:rPr>
          <w:rFonts w:ascii="Times" w:hAnsi="Times" w:cs="Times New Roman"/>
          <w:b/>
        </w:rPr>
        <w:t>SII. SUPPLEMENTARY METHODS</w:t>
      </w:r>
    </w:p>
    <w:p w14:paraId="35D9A86D" w14:textId="77777777" w:rsidR="00C40154" w:rsidRPr="00C40154" w:rsidRDefault="00C40154" w:rsidP="00537902">
      <w:pPr>
        <w:jc w:val="both"/>
        <w:rPr>
          <w:rFonts w:ascii="Times" w:hAnsi="Times" w:cs="Times New Roman"/>
          <w:b/>
        </w:rPr>
      </w:pPr>
    </w:p>
    <w:p w14:paraId="7A1F2527" w14:textId="77777777" w:rsidR="00C40154" w:rsidRPr="00C40154" w:rsidRDefault="00C40154" w:rsidP="00537902">
      <w:pPr>
        <w:jc w:val="both"/>
        <w:rPr>
          <w:rFonts w:ascii="Times" w:eastAsia="Times New Roman" w:hAnsi="Times" w:cs="Times New Roman"/>
          <w:bCs/>
        </w:rPr>
      </w:pPr>
      <w:r w:rsidRPr="00C40154">
        <w:rPr>
          <w:rFonts w:ascii="Times" w:hAnsi="Times"/>
          <w:b/>
        </w:rPr>
        <w:t xml:space="preserve">Pilot study. </w:t>
      </w:r>
      <w:r w:rsidRPr="00C40154">
        <w:rPr>
          <w:rFonts w:ascii="Times" w:hAnsi="Times"/>
        </w:rPr>
        <w:t xml:space="preserve">One hundred and fifteen healthy volunteers (63 women, 52 men) participated in the pilot study. Participants completed an online version of the </w:t>
      </w:r>
      <w:r w:rsidRPr="00C40154">
        <w:rPr>
          <w:rFonts w:ascii="Times" w:eastAsia="Times New Roman" w:hAnsi="Times" w:cs="Times New Roman"/>
          <w:bCs/>
        </w:rPr>
        <w:t xml:space="preserve">moral decision-making task described in the Procedure section. </w:t>
      </w:r>
      <w:r w:rsidRPr="00C40154">
        <w:rPr>
          <w:rFonts w:ascii="Times" w:hAnsi="Times"/>
        </w:rPr>
        <w:t>Participants had a mean of 35.62 (</w:t>
      </w:r>
      <w:r w:rsidRPr="00C40154">
        <w:rPr>
          <w:rFonts w:ascii="Times" w:hAnsi="Times"/>
          <w:i/>
        </w:rPr>
        <w:t>SD</w:t>
      </w:r>
      <w:r w:rsidRPr="00C40154">
        <w:rPr>
          <w:rFonts w:ascii="Times" w:hAnsi="Times"/>
        </w:rPr>
        <w:t xml:space="preserve"> = 11.7) years of age and 18.50 (</w:t>
      </w:r>
      <w:r w:rsidRPr="00C40154">
        <w:rPr>
          <w:rFonts w:ascii="Times" w:hAnsi="Times"/>
          <w:i/>
        </w:rPr>
        <w:t>SD</w:t>
      </w:r>
      <w:r w:rsidRPr="00C40154">
        <w:rPr>
          <w:rFonts w:ascii="Times" w:hAnsi="Times"/>
        </w:rPr>
        <w:t xml:space="preserve"> = 5.18) years of education. </w:t>
      </w:r>
      <w:r w:rsidRPr="00C40154">
        <w:rPr>
          <w:rFonts w:ascii="Times" w:eastAsia="Times New Roman" w:hAnsi="Times" w:cs="Times New Roman"/>
          <w:bCs/>
        </w:rPr>
        <w:t xml:space="preserve">To assess the effects of intentionality, language, and crime type on each morality rating, we employed mixed 2 x 2 x 3 ANOVAs. </w:t>
      </w:r>
    </w:p>
    <w:p w14:paraId="17E134EB" w14:textId="77777777" w:rsidR="00C40154" w:rsidRPr="00C40154" w:rsidRDefault="00C40154" w:rsidP="00537902">
      <w:pPr>
        <w:jc w:val="both"/>
        <w:rPr>
          <w:rFonts w:ascii="Times" w:hAnsi="Times" w:cs="Times New Roman"/>
        </w:rPr>
      </w:pPr>
    </w:p>
    <w:p w14:paraId="35B7D6A4" w14:textId="77777777" w:rsidR="00C40154" w:rsidRPr="00C40154" w:rsidRDefault="00C40154" w:rsidP="00537902">
      <w:pPr>
        <w:jc w:val="both"/>
        <w:rPr>
          <w:rFonts w:ascii="Times" w:hAnsi="Times" w:cs="Times New Roman"/>
          <w:b/>
        </w:rPr>
      </w:pPr>
      <w:r w:rsidRPr="00C40154">
        <w:rPr>
          <w:rFonts w:ascii="Times" w:hAnsi="Times" w:cs="Times New Roman"/>
          <w:b/>
        </w:rPr>
        <w:t>Results</w:t>
      </w:r>
    </w:p>
    <w:p w14:paraId="68B21F0D" w14:textId="77777777" w:rsidR="00C40154" w:rsidRPr="00C40154" w:rsidRDefault="00C40154" w:rsidP="00537902">
      <w:pPr>
        <w:jc w:val="both"/>
        <w:rPr>
          <w:rFonts w:ascii="Times" w:hAnsi="Times" w:cs="Times New Roman"/>
        </w:rPr>
      </w:pPr>
    </w:p>
    <w:p w14:paraId="145E2EE2" w14:textId="77777777" w:rsidR="00C40154" w:rsidRPr="00C40154" w:rsidRDefault="00C40154" w:rsidP="00537902">
      <w:pPr>
        <w:jc w:val="both"/>
        <w:rPr>
          <w:rFonts w:ascii="Times" w:hAnsi="Times" w:cs="Times New Roman"/>
        </w:rPr>
      </w:pPr>
      <w:r w:rsidRPr="00C40154">
        <w:rPr>
          <w:rFonts w:ascii="Times" w:hAnsi="Times" w:cs="Times New Roman"/>
          <w:b/>
        </w:rPr>
        <w:t xml:space="preserve">Morality ratings. </w:t>
      </w:r>
      <w:r w:rsidRPr="00C40154">
        <w:rPr>
          <w:rFonts w:ascii="Times" w:hAnsi="Times" w:cs="Times New Roman"/>
        </w:rPr>
        <w:t>Across crime types and language conditions, participants considered intentional harms as morally worse than accidental ones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8.81, </w:t>
      </w:r>
      <w:r w:rsidRPr="00C40154">
        <w:rPr>
          <w:rFonts w:ascii="Times" w:hAnsi="Times" w:cs="Times New Roman"/>
          <w:i/>
        </w:rPr>
        <w:t xml:space="preserve">p </w:t>
      </w:r>
      <w:r w:rsidRPr="00C40154">
        <w:rPr>
          <w:rFonts w:ascii="Times" w:hAnsi="Times" w:cs="Times New Roman"/>
        </w:rPr>
        <w:t>&lt; 0.003, η</w:t>
      </w:r>
      <w:r w:rsidRPr="00C40154">
        <w:rPr>
          <w:rFonts w:ascii="Times" w:hAnsi="Times" w:cs="Times New Roman"/>
          <w:vertAlign w:val="superscript"/>
        </w:rPr>
        <w:t xml:space="preserve">2 </w:t>
      </w:r>
      <w:r w:rsidRPr="00C40154">
        <w:rPr>
          <w:rFonts w:ascii="Times" w:hAnsi="Times" w:cs="Times New Roman"/>
        </w:rPr>
        <w:t>= 0.07). Also, across crime types and accidental and intentional scenarios, participants exposed to GL, compared to those faced with PL, rated harmful actions as morally worse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58.59, </w:t>
      </w:r>
      <w:r w:rsidRPr="00C40154">
        <w:rPr>
          <w:rFonts w:ascii="Times" w:hAnsi="Times" w:cs="Times New Roman"/>
          <w:i/>
        </w:rPr>
        <w:t xml:space="preserve">p </w:t>
      </w:r>
      <w:r w:rsidRPr="00C40154">
        <w:rPr>
          <w:rFonts w:ascii="Times" w:hAnsi="Times" w:cs="Times New Roman"/>
        </w:rPr>
        <w:t>&gt; 0.00001, η</w:t>
      </w:r>
      <w:r w:rsidRPr="00C40154">
        <w:rPr>
          <w:rFonts w:ascii="Times" w:hAnsi="Times" w:cs="Times New Roman"/>
          <w:vertAlign w:val="superscript"/>
        </w:rPr>
        <w:t xml:space="preserve">2 </w:t>
      </w:r>
      <w:r w:rsidRPr="00C40154">
        <w:rPr>
          <w:rFonts w:ascii="Times" w:hAnsi="Times" w:cs="Times New Roman"/>
        </w:rPr>
        <w:t>= 0.34). Across language conditions and accidental and intentional scenarios (</w:t>
      </w:r>
      <w:r w:rsidRPr="00C40154">
        <w:rPr>
          <w:rFonts w:ascii="Times" w:hAnsi="Times" w:cs="Times New Roman"/>
          <w:i/>
        </w:rPr>
        <w:t>F</w:t>
      </w:r>
      <w:r w:rsidRPr="00C40154">
        <w:rPr>
          <w:rFonts w:ascii="Times" w:hAnsi="Times" w:cs="Times New Roman"/>
          <w:i/>
          <w:vertAlign w:val="subscript"/>
        </w:rPr>
        <w:t>2,224</w:t>
      </w:r>
      <w:r w:rsidRPr="00C40154">
        <w:rPr>
          <w:rFonts w:ascii="Times" w:hAnsi="Times" w:cs="Times New Roman"/>
          <w:vertAlign w:val="subscript"/>
        </w:rPr>
        <w:t xml:space="preserve"> </w:t>
      </w:r>
      <w:r w:rsidRPr="00C40154">
        <w:rPr>
          <w:rFonts w:ascii="Times" w:hAnsi="Times" w:cs="Times New Roman"/>
        </w:rPr>
        <w:t xml:space="preserve">= 7.14, </w:t>
      </w:r>
      <w:r w:rsidRPr="00C40154">
        <w:rPr>
          <w:rFonts w:ascii="Times" w:hAnsi="Times" w:cs="Times New Roman"/>
          <w:i/>
        </w:rPr>
        <w:t xml:space="preserve">p </w:t>
      </w:r>
      <w:r w:rsidRPr="00C40154">
        <w:rPr>
          <w:rFonts w:ascii="Times" w:hAnsi="Times" w:cs="Times New Roman"/>
        </w:rPr>
        <w:t>= 0.0009, η</w:t>
      </w:r>
      <w:r w:rsidRPr="00C40154">
        <w:rPr>
          <w:rFonts w:ascii="Times" w:hAnsi="Times" w:cs="Times New Roman"/>
          <w:vertAlign w:val="superscript"/>
        </w:rPr>
        <w:t xml:space="preserve">2 </w:t>
      </w:r>
      <w:r w:rsidRPr="00C40154">
        <w:rPr>
          <w:rFonts w:ascii="Times" w:hAnsi="Times" w:cs="Times New Roman"/>
        </w:rPr>
        <w:t>= 0.06), participants rated death scenarios as morally worse than physical harm (</w:t>
      </w:r>
      <w:r w:rsidRPr="00C40154">
        <w:rPr>
          <w:rFonts w:ascii="Times" w:hAnsi="Times" w:cs="Times New Roman"/>
          <w:i/>
        </w:rPr>
        <w:t>p</w:t>
      </w:r>
      <w:r w:rsidRPr="00C40154">
        <w:rPr>
          <w:rFonts w:ascii="Times" w:hAnsi="Times" w:cs="Times New Roman"/>
        </w:rPr>
        <w:t xml:space="preserve"> = 0.009) and property damage (</w:t>
      </w:r>
      <w:r w:rsidRPr="00C40154">
        <w:rPr>
          <w:rFonts w:ascii="Times" w:hAnsi="Times" w:cs="Times New Roman"/>
          <w:i/>
        </w:rPr>
        <w:t>p</w:t>
      </w:r>
      <w:r w:rsidRPr="00C40154">
        <w:rPr>
          <w:rFonts w:ascii="Times" w:hAnsi="Times" w:cs="Times New Roman"/>
        </w:rPr>
        <w:t xml:space="preserve"> = 0.0006). No difference was observed between ratings for physical harm and property damage (</w:t>
      </w:r>
      <w:r w:rsidRPr="00C40154">
        <w:rPr>
          <w:rFonts w:ascii="Times" w:hAnsi="Times" w:cs="Times New Roman"/>
          <w:i/>
        </w:rPr>
        <w:t>p</w:t>
      </w:r>
      <w:r w:rsidRPr="00C40154">
        <w:rPr>
          <w:rFonts w:ascii="Times" w:hAnsi="Times" w:cs="Times New Roman"/>
        </w:rPr>
        <w:t xml:space="preserve"> = 0.72). </w:t>
      </w:r>
    </w:p>
    <w:p w14:paraId="7C3962EC" w14:textId="77777777" w:rsidR="00C40154" w:rsidRPr="00C40154" w:rsidRDefault="00C40154" w:rsidP="00537902">
      <w:pPr>
        <w:jc w:val="both"/>
        <w:rPr>
          <w:rFonts w:ascii="Times" w:hAnsi="Times" w:cs="Times New Roman"/>
        </w:rPr>
      </w:pPr>
    </w:p>
    <w:p w14:paraId="4094FB3C" w14:textId="77777777" w:rsidR="00C40154" w:rsidRPr="00C40154" w:rsidRDefault="00C40154" w:rsidP="00537902">
      <w:pPr>
        <w:jc w:val="both"/>
        <w:rPr>
          <w:rFonts w:ascii="Times" w:hAnsi="Times" w:cs="Times New Roman"/>
        </w:rPr>
      </w:pPr>
      <w:r w:rsidRPr="00C40154">
        <w:rPr>
          <w:rFonts w:ascii="Times" w:hAnsi="Times" w:cs="Times New Roman"/>
        </w:rPr>
        <w:lastRenderedPageBreak/>
        <w:t>There were no significant interactions between intentionality and language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2.00, </w:t>
      </w:r>
      <w:r w:rsidRPr="00C40154">
        <w:rPr>
          <w:rFonts w:ascii="Times" w:hAnsi="Times" w:cs="Times New Roman"/>
          <w:i/>
        </w:rPr>
        <w:t xml:space="preserve">p </w:t>
      </w:r>
      <w:r w:rsidRPr="00C40154">
        <w:rPr>
          <w:rFonts w:ascii="Times" w:hAnsi="Times" w:cs="Times New Roman"/>
        </w:rPr>
        <w:t>= 0.15, η</w:t>
      </w:r>
      <w:r w:rsidRPr="00C40154">
        <w:rPr>
          <w:rFonts w:ascii="Times" w:hAnsi="Times" w:cs="Times New Roman"/>
          <w:vertAlign w:val="superscript"/>
        </w:rPr>
        <w:t xml:space="preserve">2 </w:t>
      </w:r>
      <w:r w:rsidRPr="00C40154">
        <w:rPr>
          <w:rFonts w:ascii="Times" w:hAnsi="Times" w:cs="Times New Roman"/>
        </w:rPr>
        <w:t>= 0.01), intentionality and crime type (</w:t>
      </w:r>
      <w:r w:rsidRPr="00C40154">
        <w:rPr>
          <w:rFonts w:ascii="Times" w:hAnsi="Times" w:cs="Times New Roman"/>
          <w:i/>
        </w:rPr>
        <w:t>F</w:t>
      </w:r>
      <w:r w:rsidRPr="00C40154">
        <w:rPr>
          <w:rFonts w:ascii="Times" w:hAnsi="Times" w:cs="Times New Roman"/>
          <w:i/>
          <w:vertAlign w:val="subscript"/>
        </w:rPr>
        <w:t xml:space="preserve">2,224 </w:t>
      </w:r>
      <w:r w:rsidRPr="00C40154">
        <w:rPr>
          <w:rFonts w:ascii="Times" w:hAnsi="Times" w:cs="Times New Roman"/>
        </w:rPr>
        <w:t xml:space="preserve">= 0.80, </w:t>
      </w:r>
      <w:r w:rsidRPr="00C40154">
        <w:rPr>
          <w:rFonts w:ascii="Times" w:hAnsi="Times" w:cs="Times New Roman"/>
          <w:i/>
        </w:rPr>
        <w:t xml:space="preserve">p </w:t>
      </w:r>
      <w:r w:rsidRPr="00C40154">
        <w:rPr>
          <w:rFonts w:ascii="Times" w:hAnsi="Times" w:cs="Times New Roman"/>
        </w:rPr>
        <w:t>= 0.45, η</w:t>
      </w:r>
      <w:r w:rsidRPr="00C40154">
        <w:rPr>
          <w:rFonts w:ascii="Times" w:hAnsi="Times" w:cs="Times New Roman"/>
          <w:vertAlign w:val="superscript"/>
        </w:rPr>
        <w:t xml:space="preserve">2 </w:t>
      </w:r>
      <w:r w:rsidRPr="00C40154">
        <w:rPr>
          <w:rFonts w:ascii="Times" w:hAnsi="Times" w:cs="Times New Roman"/>
        </w:rPr>
        <w:t>= 0.007) or between crime type and language (</w:t>
      </w:r>
      <w:r w:rsidRPr="00C40154">
        <w:rPr>
          <w:rFonts w:ascii="Times" w:hAnsi="Times" w:cs="Times New Roman"/>
          <w:i/>
        </w:rPr>
        <w:t>F</w:t>
      </w:r>
      <w:r w:rsidRPr="00C40154">
        <w:rPr>
          <w:rFonts w:ascii="Times" w:hAnsi="Times" w:cs="Times New Roman"/>
          <w:i/>
          <w:vertAlign w:val="subscript"/>
        </w:rPr>
        <w:t xml:space="preserve">2,224 </w:t>
      </w:r>
      <w:r w:rsidRPr="00C40154">
        <w:rPr>
          <w:rFonts w:ascii="Times" w:hAnsi="Times" w:cs="Times New Roman"/>
        </w:rPr>
        <w:t xml:space="preserve">= 2.42, </w:t>
      </w:r>
      <w:r w:rsidRPr="00C40154">
        <w:rPr>
          <w:rFonts w:ascii="Times" w:hAnsi="Times" w:cs="Times New Roman"/>
          <w:i/>
        </w:rPr>
        <w:t xml:space="preserve">p </w:t>
      </w:r>
      <w:r w:rsidRPr="00C40154">
        <w:rPr>
          <w:rFonts w:ascii="Times" w:hAnsi="Times" w:cs="Times New Roman"/>
        </w:rPr>
        <w:t>= 0.09, η</w:t>
      </w:r>
      <w:r w:rsidRPr="00C40154">
        <w:rPr>
          <w:rFonts w:ascii="Times" w:hAnsi="Times" w:cs="Times New Roman"/>
          <w:vertAlign w:val="superscript"/>
        </w:rPr>
        <w:t xml:space="preserve">2 </w:t>
      </w:r>
      <w:r w:rsidRPr="00C40154">
        <w:rPr>
          <w:rFonts w:ascii="Times" w:hAnsi="Times" w:cs="Times New Roman"/>
        </w:rPr>
        <w:t xml:space="preserve">= 0.02). </w:t>
      </w:r>
    </w:p>
    <w:p w14:paraId="2E76FE3F" w14:textId="77777777" w:rsidR="00C40154" w:rsidRPr="00C40154" w:rsidRDefault="00C40154" w:rsidP="00537902">
      <w:pPr>
        <w:jc w:val="both"/>
        <w:rPr>
          <w:rFonts w:ascii="Times" w:hAnsi="Times" w:cs="Times New Roman"/>
        </w:rPr>
      </w:pPr>
    </w:p>
    <w:p w14:paraId="26047B60" w14:textId="77777777" w:rsidR="00C40154" w:rsidRPr="00C40154" w:rsidRDefault="00C40154" w:rsidP="00537902">
      <w:pPr>
        <w:jc w:val="both"/>
        <w:rPr>
          <w:rFonts w:ascii="Times" w:hAnsi="Times" w:cs="Times New Roman"/>
          <w:b/>
        </w:rPr>
      </w:pPr>
      <w:r w:rsidRPr="00C40154">
        <w:rPr>
          <w:rFonts w:ascii="Times" w:hAnsi="Times" w:cs="Times New Roman"/>
          <w:b/>
        </w:rPr>
        <w:t xml:space="preserve">Punishment ratings. </w:t>
      </w:r>
      <w:r w:rsidRPr="00C40154">
        <w:rPr>
          <w:rFonts w:ascii="Times" w:hAnsi="Times" w:cs="Times New Roman"/>
        </w:rPr>
        <w:t>Across crime types and language conditions, participants punished intentional harms more than accidental ones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19.86, </w:t>
      </w:r>
      <w:r w:rsidRPr="00C40154">
        <w:rPr>
          <w:rFonts w:ascii="Times" w:hAnsi="Times" w:cs="Times New Roman"/>
          <w:i/>
        </w:rPr>
        <w:t xml:space="preserve">p </w:t>
      </w:r>
      <w:r w:rsidRPr="00C40154">
        <w:rPr>
          <w:rFonts w:ascii="Times" w:hAnsi="Times" w:cs="Times New Roman"/>
        </w:rPr>
        <w:t>= 0.00002, η</w:t>
      </w:r>
      <w:r w:rsidRPr="00C40154">
        <w:rPr>
          <w:rFonts w:ascii="Times" w:hAnsi="Times" w:cs="Times New Roman"/>
          <w:vertAlign w:val="superscript"/>
        </w:rPr>
        <w:t xml:space="preserve">2 </w:t>
      </w:r>
      <w:r w:rsidRPr="00C40154">
        <w:rPr>
          <w:rFonts w:ascii="Times" w:hAnsi="Times" w:cs="Times New Roman"/>
        </w:rPr>
        <w:t>= 0.15). Moreover, across language conditions and accidental and intentional scenarios (</w:t>
      </w:r>
      <w:r w:rsidRPr="00C40154">
        <w:rPr>
          <w:rFonts w:ascii="Times" w:hAnsi="Times" w:cs="Times New Roman"/>
          <w:i/>
        </w:rPr>
        <w:t>F</w:t>
      </w:r>
      <w:r w:rsidRPr="00C40154">
        <w:rPr>
          <w:rFonts w:ascii="Times" w:hAnsi="Times" w:cs="Times New Roman"/>
          <w:i/>
          <w:vertAlign w:val="subscript"/>
        </w:rPr>
        <w:t>2,224</w:t>
      </w:r>
      <w:r w:rsidRPr="00C40154">
        <w:rPr>
          <w:rFonts w:ascii="Times" w:hAnsi="Times" w:cs="Times New Roman"/>
          <w:vertAlign w:val="subscript"/>
        </w:rPr>
        <w:t xml:space="preserve"> </w:t>
      </w:r>
      <w:r w:rsidRPr="00C40154">
        <w:rPr>
          <w:rFonts w:ascii="Times" w:hAnsi="Times" w:cs="Times New Roman"/>
        </w:rPr>
        <w:t xml:space="preserve">= 4.39, </w:t>
      </w:r>
      <w:r w:rsidRPr="00C40154">
        <w:rPr>
          <w:rFonts w:ascii="Times" w:hAnsi="Times" w:cs="Times New Roman"/>
          <w:i/>
        </w:rPr>
        <w:t xml:space="preserve">p </w:t>
      </w:r>
      <w:r w:rsidRPr="00C40154">
        <w:rPr>
          <w:rFonts w:ascii="Times" w:hAnsi="Times" w:cs="Times New Roman"/>
        </w:rPr>
        <w:t>= 0.01, η</w:t>
      </w:r>
      <w:r w:rsidRPr="00C40154">
        <w:rPr>
          <w:rFonts w:ascii="Times" w:hAnsi="Times" w:cs="Times New Roman"/>
          <w:vertAlign w:val="superscript"/>
        </w:rPr>
        <w:t xml:space="preserve">2 </w:t>
      </w:r>
      <w:r w:rsidRPr="00C40154">
        <w:rPr>
          <w:rFonts w:ascii="Times" w:hAnsi="Times" w:cs="Times New Roman"/>
        </w:rPr>
        <w:t>= 0.03), participants assigned more punishment to death compared to property damage scenarios (</w:t>
      </w:r>
      <w:r w:rsidRPr="00C40154">
        <w:rPr>
          <w:rFonts w:ascii="Times" w:hAnsi="Times" w:cs="Times New Roman"/>
          <w:i/>
        </w:rPr>
        <w:t>p</w:t>
      </w:r>
      <w:r w:rsidRPr="00C40154">
        <w:rPr>
          <w:rFonts w:ascii="Times" w:hAnsi="Times" w:cs="Times New Roman"/>
        </w:rPr>
        <w:t xml:space="preserve"> = 0.02). No difference was observed between ratings for death and physical harm (</w:t>
      </w:r>
      <w:r w:rsidRPr="00C40154">
        <w:rPr>
          <w:rFonts w:ascii="Times" w:hAnsi="Times" w:cs="Times New Roman"/>
          <w:i/>
        </w:rPr>
        <w:t>p</w:t>
      </w:r>
      <w:r w:rsidRPr="00C40154">
        <w:rPr>
          <w:rFonts w:ascii="Times" w:hAnsi="Times" w:cs="Times New Roman"/>
        </w:rPr>
        <w:t xml:space="preserve"> = 0.07) or physical harm and property damage (</w:t>
      </w:r>
      <w:r w:rsidRPr="00C40154">
        <w:rPr>
          <w:rFonts w:ascii="Times" w:hAnsi="Times" w:cs="Times New Roman"/>
          <w:i/>
        </w:rPr>
        <w:t>p</w:t>
      </w:r>
      <w:r w:rsidRPr="00C40154">
        <w:rPr>
          <w:rFonts w:ascii="Times" w:hAnsi="Times" w:cs="Times New Roman"/>
        </w:rPr>
        <w:t xml:space="preserve"> = 0.88). No significant main effect of language was observed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0.72, </w:t>
      </w:r>
      <w:r w:rsidRPr="00C40154">
        <w:rPr>
          <w:rFonts w:ascii="Times" w:hAnsi="Times" w:cs="Times New Roman"/>
          <w:i/>
        </w:rPr>
        <w:t xml:space="preserve">p </w:t>
      </w:r>
      <w:r w:rsidRPr="00C40154">
        <w:rPr>
          <w:rFonts w:ascii="Times" w:hAnsi="Times" w:cs="Times New Roman"/>
        </w:rPr>
        <w:t>= 0.39, η</w:t>
      </w:r>
      <w:r w:rsidRPr="00C40154">
        <w:rPr>
          <w:rFonts w:ascii="Times" w:hAnsi="Times" w:cs="Times New Roman"/>
          <w:vertAlign w:val="superscript"/>
        </w:rPr>
        <w:t xml:space="preserve">2 </w:t>
      </w:r>
      <w:r w:rsidRPr="00C40154">
        <w:rPr>
          <w:rFonts w:ascii="Times" w:hAnsi="Times" w:cs="Times New Roman"/>
        </w:rPr>
        <w:t>= 0.006).</w:t>
      </w:r>
    </w:p>
    <w:p w14:paraId="14FDC61A" w14:textId="77777777" w:rsidR="00C40154" w:rsidRPr="00C40154" w:rsidRDefault="00C40154" w:rsidP="00537902">
      <w:pPr>
        <w:jc w:val="both"/>
        <w:rPr>
          <w:rFonts w:ascii="Times" w:eastAsia="Times New Roman" w:hAnsi="Times" w:cs="Arial"/>
          <w:shd w:val="clear" w:color="auto" w:fill="FFFFFF"/>
        </w:rPr>
      </w:pPr>
    </w:p>
    <w:p w14:paraId="66A59E12" w14:textId="77777777" w:rsidR="00C40154" w:rsidRPr="00C40154" w:rsidRDefault="00C40154" w:rsidP="00537902">
      <w:pPr>
        <w:jc w:val="both"/>
        <w:rPr>
          <w:rFonts w:ascii="Times" w:hAnsi="Times" w:cs="Times New Roman"/>
        </w:rPr>
      </w:pPr>
      <w:r w:rsidRPr="00C40154">
        <w:rPr>
          <w:rFonts w:ascii="Times" w:hAnsi="Times" w:cs="Times New Roman"/>
        </w:rPr>
        <w:t>There were no significant interactions between intentionality and language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1.59, </w:t>
      </w:r>
      <w:r w:rsidRPr="00C40154">
        <w:rPr>
          <w:rFonts w:ascii="Times" w:hAnsi="Times" w:cs="Times New Roman"/>
          <w:i/>
        </w:rPr>
        <w:t xml:space="preserve">p </w:t>
      </w:r>
      <w:r w:rsidRPr="00C40154">
        <w:rPr>
          <w:rFonts w:ascii="Times" w:hAnsi="Times" w:cs="Times New Roman"/>
        </w:rPr>
        <w:t>= 0.20, η</w:t>
      </w:r>
      <w:r w:rsidRPr="00C40154">
        <w:rPr>
          <w:rFonts w:ascii="Times" w:hAnsi="Times" w:cs="Times New Roman"/>
          <w:vertAlign w:val="superscript"/>
        </w:rPr>
        <w:t xml:space="preserve">2 </w:t>
      </w:r>
      <w:r w:rsidRPr="00C40154">
        <w:rPr>
          <w:rFonts w:ascii="Times" w:hAnsi="Times" w:cs="Times New Roman"/>
        </w:rPr>
        <w:t>= 0.01), intentionality and crime type (</w:t>
      </w:r>
      <w:r w:rsidRPr="00C40154">
        <w:rPr>
          <w:rFonts w:ascii="Times" w:hAnsi="Times" w:cs="Times New Roman"/>
          <w:i/>
        </w:rPr>
        <w:t>F</w:t>
      </w:r>
      <w:r w:rsidRPr="00C40154">
        <w:rPr>
          <w:rFonts w:ascii="Times" w:hAnsi="Times" w:cs="Times New Roman"/>
          <w:i/>
          <w:vertAlign w:val="subscript"/>
        </w:rPr>
        <w:t xml:space="preserve">2,224 </w:t>
      </w:r>
      <w:r w:rsidRPr="00C40154">
        <w:rPr>
          <w:rFonts w:ascii="Times" w:hAnsi="Times" w:cs="Times New Roman"/>
        </w:rPr>
        <w:t xml:space="preserve">= 0.70, </w:t>
      </w:r>
      <w:r w:rsidRPr="00C40154">
        <w:rPr>
          <w:rFonts w:ascii="Times" w:hAnsi="Times" w:cs="Times New Roman"/>
          <w:i/>
        </w:rPr>
        <w:t xml:space="preserve">p </w:t>
      </w:r>
      <w:r w:rsidRPr="00C40154">
        <w:rPr>
          <w:rFonts w:ascii="Times" w:hAnsi="Times" w:cs="Times New Roman"/>
        </w:rPr>
        <w:t>= 0.40, η</w:t>
      </w:r>
      <w:r w:rsidRPr="00C40154">
        <w:rPr>
          <w:rFonts w:ascii="Times" w:hAnsi="Times" w:cs="Times New Roman"/>
          <w:vertAlign w:val="superscript"/>
        </w:rPr>
        <w:t xml:space="preserve">2 </w:t>
      </w:r>
      <w:r w:rsidRPr="00C40154">
        <w:rPr>
          <w:rFonts w:ascii="Times" w:hAnsi="Times" w:cs="Times New Roman"/>
        </w:rPr>
        <w:t>= 0.007) or between crime type and language (</w:t>
      </w:r>
      <w:r w:rsidRPr="00C40154">
        <w:rPr>
          <w:rFonts w:ascii="Times" w:hAnsi="Times" w:cs="Times New Roman"/>
          <w:i/>
        </w:rPr>
        <w:t>F</w:t>
      </w:r>
      <w:r w:rsidRPr="00C40154">
        <w:rPr>
          <w:rFonts w:ascii="Times" w:hAnsi="Times" w:cs="Times New Roman"/>
          <w:i/>
          <w:vertAlign w:val="subscript"/>
        </w:rPr>
        <w:t xml:space="preserve">2,224 </w:t>
      </w:r>
      <w:r w:rsidRPr="00C40154">
        <w:rPr>
          <w:rFonts w:ascii="Times" w:hAnsi="Times" w:cs="Times New Roman"/>
        </w:rPr>
        <w:t xml:space="preserve">= 1.63, </w:t>
      </w:r>
      <w:r w:rsidRPr="00C40154">
        <w:rPr>
          <w:rFonts w:ascii="Times" w:hAnsi="Times" w:cs="Times New Roman"/>
          <w:i/>
        </w:rPr>
        <w:t xml:space="preserve">p </w:t>
      </w:r>
      <w:r w:rsidRPr="00C40154">
        <w:rPr>
          <w:rFonts w:ascii="Times" w:hAnsi="Times" w:cs="Times New Roman"/>
        </w:rPr>
        <w:t>= 0.19, η</w:t>
      </w:r>
      <w:r w:rsidRPr="00C40154">
        <w:rPr>
          <w:rFonts w:ascii="Times" w:hAnsi="Times" w:cs="Times New Roman"/>
          <w:vertAlign w:val="superscript"/>
        </w:rPr>
        <w:t xml:space="preserve">2 </w:t>
      </w:r>
      <w:r w:rsidRPr="00C40154">
        <w:rPr>
          <w:rFonts w:ascii="Times" w:hAnsi="Times" w:cs="Times New Roman"/>
        </w:rPr>
        <w:t xml:space="preserve">= 0.01). </w:t>
      </w:r>
    </w:p>
    <w:p w14:paraId="7AAE1571" w14:textId="77777777" w:rsidR="00C40154" w:rsidRPr="00C40154" w:rsidRDefault="00C40154" w:rsidP="00537902">
      <w:pPr>
        <w:jc w:val="both"/>
        <w:rPr>
          <w:rFonts w:ascii="Times" w:hAnsi="Times" w:cs="Times New Roman"/>
        </w:rPr>
      </w:pPr>
    </w:p>
    <w:p w14:paraId="03798864" w14:textId="77777777" w:rsidR="00C40154" w:rsidRPr="00C40154" w:rsidRDefault="00C40154" w:rsidP="00537902">
      <w:pPr>
        <w:jc w:val="both"/>
        <w:rPr>
          <w:rFonts w:ascii="Times" w:hAnsi="Times" w:cs="Times New Roman"/>
          <w:b/>
        </w:rPr>
      </w:pPr>
      <w:r w:rsidRPr="00C40154">
        <w:rPr>
          <w:rFonts w:ascii="Times" w:hAnsi="Times" w:cs="Times New Roman"/>
          <w:b/>
        </w:rPr>
        <w:t xml:space="preserve">Harm severity ratings. </w:t>
      </w:r>
      <w:r w:rsidRPr="00C40154">
        <w:rPr>
          <w:rFonts w:ascii="Times" w:hAnsi="Times" w:cs="Times New Roman"/>
        </w:rPr>
        <w:t>Across crime types and language conditions, participants assigned higher harm severity ratings to intentional than accidental ones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5.79, </w:t>
      </w:r>
      <w:r w:rsidRPr="00C40154">
        <w:rPr>
          <w:rFonts w:ascii="Times" w:hAnsi="Times" w:cs="Times New Roman"/>
          <w:i/>
        </w:rPr>
        <w:t xml:space="preserve">p </w:t>
      </w:r>
      <w:r w:rsidRPr="00C40154">
        <w:rPr>
          <w:rFonts w:ascii="Times" w:hAnsi="Times" w:cs="Times New Roman"/>
        </w:rPr>
        <w:t>= 0.01, η</w:t>
      </w:r>
      <w:r w:rsidRPr="00C40154">
        <w:rPr>
          <w:rFonts w:ascii="Times" w:hAnsi="Times" w:cs="Times New Roman"/>
          <w:vertAlign w:val="superscript"/>
        </w:rPr>
        <w:t xml:space="preserve">2 </w:t>
      </w:r>
      <w:r w:rsidRPr="00C40154">
        <w:rPr>
          <w:rFonts w:ascii="Times" w:hAnsi="Times" w:cs="Times New Roman"/>
        </w:rPr>
        <w:t>= 0.04). Furthermore, across language conditions and accidental and intentional scenarios (</w:t>
      </w:r>
      <w:r w:rsidRPr="00C40154">
        <w:rPr>
          <w:rFonts w:ascii="Times" w:hAnsi="Times" w:cs="Times New Roman"/>
          <w:i/>
        </w:rPr>
        <w:t>F</w:t>
      </w:r>
      <w:r w:rsidRPr="00C40154">
        <w:rPr>
          <w:rFonts w:ascii="Times" w:hAnsi="Times" w:cs="Times New Roman"/>
          <w:i/>
          <w:vertAlign w:val="subscript"/>
        </w:rPr>
        <w:t>2,224</w:t>
      </w:r>
      <w:r w:rsidRPr="00C40154">
        <w:rPr>
          <w:rFonts w:ascii="Times" w:hAnsi="Times" w:cs="Times New Roman"/>
          <w:vertAlign w:val="subscript"/>
        </w:rPr>
        <w:t xml:space="preserve"> </w:t>
      </w:r>
      <w:r w:rsidRPr="00C40154">
        <w:rPr>
          <w:rFonts w:ascii="Times" w:hAnsi="Times" w:cs="Times New Roman"/>
        </w:rPr>
        <w:t xml:space="preserve">= 22.31, </w:t>
      </w:r>
      <w:r w:rsidRPr="00C40154">
        <w:rPr>
          <w:rFonts w:ascii="Times" w:hAnsi="Times" w:cs="Times New Roman"/>
          <w:i/>
        </w:rPr>
        <w:t xml:space="preserve">p </w:t>
      </w:r>
      <w:r w:rsidRPr="00C40154">
        <w:rPr>
          <w:rFonts w:ascii="Times" w:hAnsi="Times" w:cs="Times New Roman"/>
        </w:rPr>
        <w:t>&gt; 0.00001, η</w:t>
      </w:r>
      <w:r w:rsidRPr="00C40154">
        <w:rPr>
          <w:rFonts w:ascii="Times" w:hAnsi="Times" w:cs="Times New Roman"/>
          <w:vertAlign w:val="superscript"/>
        </w:rPr>
        <w:t xml:space="preserve">2 </w:t>
      </w:r>
      <w:r w:rsidRPr="00C40154">
        <w:rPr>
          <w:rFonts w:ascii="Times" w:hAnsi="Times" w:cs="Times New Roman"/>
        </w:rPr>
        <w:t>= 0.16), participants assigned higher ratings to death compared to physical harm (</w:t>
      </w:r>
      <w:r w:rsidRPr="00C40154">
        <w:rPr>
          <w:rFonts w:ascii="Times" w:hAnsi="Times" w:cs="Times New Roman"/>
          <w:i/>
        </w:rPr>
        <w:t>p</w:t>
      </w:r>
      <w:r w:rsidRPr="00C40154">
        <w:rPr>
          <w:rFonts w:ascii="Times" w:hAnsi="Times" w:cs="Times New Roman"/>
        </w:rPr>
        <w:t xml:space="preserve"> = 0.0003) and property damage scenarios (</w:t>
      </w:r>
      <w:r w:rsidRPr="00C40154">
        <w:rPr>
          <w:rFonts w:ascii="Times" w:hAnsi="Times" w:cs="Times New Roman"/>
          <w:i/>
        </w:rPr>
        <w:t>p</w:t>
      </w:r>
      <w:r w:rsidRPr="00C40154">
        <w:rPr>
          <w:rFonts w:ascii="Times" w:hAnsi="Times" w:cs="Times New Roman"/>
        </w:rPr>
        <w:t xml:space="preserve"> = 0.00002). Participants also assigned higher ratings to physical harm compared to property damage (</w:t>
      </w:r>
      <w:r w:rsidRPr="00C40154">
        <w:rPr>
          <w:rFonts w:ascii="Times" w:hAnsi="Times" w:cs="Times New Roman"/>
          <w:i/>
        </w:rPr>
        <w:t>p</w:t>
      </w:r>
      <w:r w:rsidRPr="00C40154">
        <w:rPr>
          <w:rFonts w:ascii="Times" w:hAnsi="Times" w:cs="Times New Roman"/>
        </w:rPr>
        <w:t xml:space="preserve"> = 0.02). No significant main effect of language was observed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2.46, </w:t>
      </w:r>
      <w:r w:rsidRPr="00C40154">
        <w:rPr>
          <w:rFonts w:ascii="Times" w:hAnsi="Times" w:cs="Times New Roman"/>
          <w:i/>
        </w:rPr>
        <w:t xml:space="preserve">p </w:t>
      </w:r>
      <w:r w:rsidRPr="00C40154">
        <w:rPr>
          <w:rFonts w:ascii="Times" w:hAnsi="Times" w:cs="Times New Roman"/>
        </w:rPr>
        <w:t>= 0.11, η</w:t>
      </w:r>
      <w:r w:rsidRPr="00C40154">
        <w:rPr>
          <w:rFonts w:ascii="Times" w:hAnsi="Times" w:cs="Times New Roman"/>
          <w:vertAlign w:val="superscript"/>
        </w:rPr>
        <w:t xml:space="preserve">2 </w:t>
      </w:r>
      <w:r w:rsidRPr="00C40154">
        <w:rPr>
          <w:rFonts w:ascii="Times" w:hAnsi="Times" w:cs="Times New Roman"/>
        </w:rPr>
        <w:t>= 0.02).</w:t>
      </w:r>
    </w:p>
    <w:p w14:paraId="68720D03" w14:textId="77777777" w:rsidR="00C40154" w:rsidRPr="00C40154" w:rsidRDefault="00C40154" w:rsidP="00537902">
      <w:pPr>
        <w:jc w:val="both"/>
        <w:rPr>
          <w:rFonts w:ascii="Times" w:eastAsia="Times New Roman" w:hAnsi="Times" w:cs="Arial"/>
          <w:shd w:val="clear" w:color="auto" w:fill="FFFFFF"/>
        </w:rPr>
      </w:pPr>
    </w:p>
    <w:p w14:paraId="7A6A1E21" w14:textId="77777777" w:rsidR="00C40154" w:rsidRPr="00C40154" w:rsidRDefault="00C40154" w:rsidP="00537902">
      <w:pPr>
        <w:jc w:val="both"/>
        <w:rPr>
          <w:rFonts w:ascii="Times" w:hAnsi="Times" w:cs="Times New Roman"/>
        </w:rPr>
      </w:pPr>
      <w:r w:rsidRPr="00C40154">
        <w:rPr>
          <w:rFonts w:ascii="Times" w:hAnsi="Times" w:cs="Times New Roman"/>
        </w:rPr>
        <w:t>There were no significant interactions between intentionality and language (</w:t>
      </w:r>
      <w:r w:rsidRPr="00C40154">
        <w:rPr>
          <w:rFonts w:ascii="Times" w:hAnsi="Times" w:cs="Times New Roman"/>
          <w:i/>
        </w:rPr>
        <w:t>F</w:t>
      </w:r>
      <w:r w:rsidRPr="00C40154">
        <w:rPr>
          <w:rFonts w:ascii="Times" w:hAnsi="Times" w:cs="Times New Roman"/>
          <w:i/>
          <w:vertAlign w:val="subscript"/>
        </w:rPr>
        <w:t>1,113</w:t>
      </w:r>
      <w:r w:rsidRPr="00C40154">
        <w:rPr>
          <w:rFonts w:ascii="Times" w:hAnsi="Times" w:cs="Times New Roman"/>
          <w:vertAlign w:val="subscript"/>
        </w:rPr>
        <w:t xml:space="preserve"> </w:t>
      </w:r>
      <w:r w:rsidRPr="00C40154">
        <w:rPr>
          <w:rFonts w:ascii="Times" w:hAnsi="Times" w:cs="Times New Roman"/>
        </w:rPr>
        <w:t xml:space="preserve">= 1.35, </w:t>
      </w:r>
      <w:r w:rsidRPr="00C40154">
        <w:rPr>
          <w:rFonts w:ascii="Times" w:hAnsi="Times" w:cs="Times New Roman"/>
          <w:i/>
        </w:rPr>
        <w:t xml:space="preserve">p </w:t>
      </w:r>
      <w:r w:rsidRPr="00C40154">
        <w:rPr>
          <w:rFonts w:ascii="Times" w:hAnsi="Times" w:cs="Times New Roman"/>
        </w:rPr>
        <w:t>= 0.24, η</w:t>
      </w:r>
      <w:r w:rsidRPr="00C40154">
        <w:rPr>
          <w:rFonts w:ascii="Times" w:hAnsi="Times" w:cs="Times New Roman"/>
          <w:vertAlign w:val="superscript"/>
        </w:rPr>
        <w:t xml:space="preserve">2 </w:t>
      </w:r>
      <w:r w:rsidRPr="00C40154">
        <w:rPr>
          <w:rFonts w:ascii="Times" w:hAnsi="Times" w:cs="Times New Roman"/>
        </w:rPr>
        <w:t>= 0.01), intentionality and crime type (</w:t>
      </w:r>
      <w:r w:rsidRPr="00C40154">
        <w:rPr>
          <w:rFonts w:ascii="Times" w:hAnsi="Times" w:cs="Times New Roman"/>
          <w:i/>
        </w:rPr>
        <w:t>F</w:t>
      </w:r>
      <w:r w:rsidRPr="00C40154">
        <w:rPr>
          <w:rFonts w:ascii="Times" w:hAnsi="Times" w:cs="Times New Roman"/>
          <w:i/>
          <w:vertAlign w:val="subscript"/>
        </w:rPr>
        <w:t xml:space="preserve">2,224 </w:t>
      </w:r>
      <w:r w:rsidRPr="00C40154">
        <w:rPr>
          <w:rFonts w:ascii="Times" w:hAnsi="Times" w:cs="Times New Roman"/>
        </w:rPr>
        <w:t xml:space="preserve">= 2.35, </w:t>
      </w:r>
      <w:r w:rsidRPr="00C40154">
        <w:rPr>
          <w:rFonts w:ascii="Times" w:hAnsi="Times" w:cs="Times New Roman"/>
          <w:i/>
        </w:rPr>
        <w:t xml:space="preserve">p </w:t>
      </w:r>
      <w:r w:rsidRPr="00C40154">
        <w:rPr>
          <w:rFonts w:ascii="Times" w:hAnsi="Times" w:cs="Times New Roman"/>
        </w:rPr>
        <w:t>= 0.09, η</w:t>
      </w:r>
      <w:r w:rsidRPr="00C40154">
        <w:rPr>
          <w:rFonts w:ascii="Times" w:hAnsi="Times" w:cs="Times New Roman"/>
          <w:vertAlign w:val="superscript"/>
        </w:rPr>
        <w:t xml:space="preserve">2 </w:t>
      </w:r>
      <w:r w:rsidRPr="00C40154">
        <w:rPr>
          <w:rFonts w:ascii="Times" w:hAnsi="Times" w:cs="Times New Roman"/>
        </w:rPr>
        <w:t>= 0.02), or between crime type and language (</w:t>
      </w:r>
      <w:r w:rsidRPr="00C40154">
        <w:rPr>
          <w:rFonts w:ascii="Times" w:hAnsi="Times" w:cs="Times New Roman"/>
          <w:i/>
        </w:rPr>
        <w:t>F</w:t>
      </w:r>
      <w:r w:rsidRPr="00C40154">
        <w:rPr>
          <w:rFonts w:ascii="Times" w:hAnsi="Times" w:cs="Times New Roman"/>
          <w:i/>
          <w:vertAlign w:val="subscript"/>
        </w:rPr>
        <w:t xml:space="preserve">2,224 </w:t>
      </w:r>
      <w:r w:rsidRPr="00C40154">
        <w:rPr>
          <w:rFonts w:ascii="Times" w:hAnsi="Times" w:cs="Times New Roman"/>
        </w:rPr>
        <w:t xml:space="preserve">= 0.98, </w:t>
      </w:r>
      <w:r w:rsidRPr="00C40154">
        <w:rPr>
          <w:rFonts w:ascii="Times" w:hAnsi="Times" w:cs="Times New Roman"/>
          <w:i/>
        </w:rPr>
        <w:t xml:space="preserve">p </w:t>
      </w:r>
      <w:r w:rsidRPr="00C40154">
        <w:rPr>
          <w:rFonts w:ascii="Times" w:hAnsi="Times" w:cs="Times New Roman"/>
        </w:rPr>
        <w:t>= 0.37, η</w:t>
      </w:r>
      <w:r w:rsidRPr="00C40154">
        <w:rPr>
          <w:rFonts w:ascii="Times" w:hAnsi="Times" w:cs="Times New Roman"/>
          <w:vertAlign w:val="superscript"/>
        </w:rPr>
        <w:t xml:space="preserve">2 </w:t>
      </w:r>
      <w:r w:rsidRPr="00C40154">
        <w:rPr>
          <w:rFonts w:ascii="Times" w:hAnsi="Times" w:cs="Times New Roman"/>
        </w:rPr>
        <w:t xml:space="preserve">= 0.008). </w:t>
      </w:r>
    </w:p>
    <w:p w14:paraId="5412C35C" w14:textId="77777777" w:rsidR="00C40154" w:rsidRPr="00C40154" w:rsidRDefault="00C40154" w:rsidP="00537902">
      <w:pPr>
        <w:jc w:val="both"/>
        <w:rPr>
          <w:rFonts w:ascii="Times" w:hAnsi="Times" w:cs="Times New Roman"/>
          <w:b/>
        </w:rPr>
      </w:pPr>
    </w:p>
    <w:p w14:paraId="6EDD857F" w14:textId="77777777" w:rsidR="00C40154" w:rsidRPr="00C40154" w:rsidRDefault="00C40154" w:rsidP="00305B25">
      <w:pPr>
        <w:jc w:val="both"/>
        <w:rPr>
          <w:rFonts w:ascii="Times" w:hAnsi="Times" w:cs="Times New Roman"/>
          <w:b/>
        </w:rPr>
      </w:pPr>
    </w:p>
    <w:p w14:paraId="43575A9D" w14:textId="77777777" w:rsidR="00C40154" w:rsidRPr="00C40154" w:rsidRDefault="00C40154" w:rsidP="00BD7936">
      <w:pPr>
        <w:jc w:val="both"/>
        <w:rPr>
          <w:rFonts w:ascii="Times" w:hAnsi="Times" w:cs="Times New Roman"/>
          <w:b/>
        </w:rPr>
      </w:pPr>
      <w:r w:rsidRPr="00C40154">
        <w:rPr>
          <w:rFonts w:ascii="Times" w:hAnsi="Times" w:cs="Times New Roman"/>
          <w:b/>
        </w:rPr>
        <w:t xml:space="preserve">SI. SUPPLEMENTARY RESULTS </w:t>
      </w:r>
    </w:p>
    <w:p w14:paraId="093C0E15" w14:textId="77777777" w:rsidR="00C40154" w:rsidRPr="00C40154" w:rsidRDefault="00C40154" w:rsidP="00BD7936">
      <w:pPr>
        <w:jc w:val="both"/>
        <w:rPr>
          <w:rFonts w:ascii="Times" w:hAnsi="Times" w:cs="Times New Roman"/>
          <w:b/>
        </w:rPr>
      </w:pPr>
    </w:p>
    <w:p w14:paraId="5FF4F552" w14:textId="77777777" w:rsidR="00C40154" w:rsidRPr="00C40154" w:rsidRDefault="00C40154" w:rsidP="00BD7936">
      <w:pPr>
        <w:jc w:val="both"/>
        <w:rPr>
          <w:rFonts w:ascii="Times" w:hAnsi="Times" w:cs="Times New Roman"/>
        </w:rPr>
      </w:pPr>
      <w:r w:rsidRPr="00C40154">
        <w:rPr>
          <w:rFonts w:ascii="Times" w:hAnsi="Times" w:cs="Times New Roman"/>
        </w:rPr>
        <w:t xml:space="preserve">Since </w:t>
      </w:r>
      <w:r w:rsidRPr="00C40154">
        <w:rPr>
          <w:rFonts w:ascii="Times" w:eastAsia="Times New Roman" w:hAnsi="Times" w:cs="Times New Roman"/>
          <w:bCs/>
        </w:rPr>
        <w:t xml:space="preserve">distributional assumptions were not fully met even after data transformation, we verified all mixed ANOVAs main effects and interactions with robust testing under non-normality and </w:t>
      </w:r>
      <w:proofErr w:type="spellStart"/>
      <w:r w:rsidRPr="00C40154">
        <w:rPr>
          <w:rFonts w:ascii="Times" w:eastAsia="Times New Roman" w:hAnsi="Times" w:cs="Times New Roman"/>
          <w:bCs/>
        </w:rPr>
        <w:t>heterocedasticity</w:t>
      </w:r>
      <w:proofErr w:type="spellEnd"/>
      <w:r w:rsidRPr="00C40154">
        <w:rPr>
          <w:rFonts w:ascii="Times" w:eastAsia="Times New Roman" w:hAnsi="Times" w:cs="Times New Roman"/>
          <w:bCs/>
        </w:rPr>
        <w:t xml:space="preserve">. The Welch-James statistic with 0.2 mean trimming, </w:t>
      </w:r>
      <w:proofErr w:type="spellStart"/>
      <w:r w:rsidRPr="00C40154">
        <w:rPr>
          <w:rFonts w:ascii="Times" w:eastAsia="Times New Roman" w:hAnsi="Times" w:cs="Times New Roman"/>
          <w:bCs/>
        </w:rPr>
        <w:t>Winsorized</w:t>
      </w:r>
      <w:proofErr w:type="spellEnd"/>
      <w:r w:rsidRPr="00C40154">
        <w:rPr>
          <w:rFonts w:ascii="Times" w:eastAsia="Times New Roman" w:hAnsi="Times" w:cs="Times New Roman"/>
          <w:bCs/>
        </w:rPr>
        <w:t xml:space="preserve"> variances and bootstrapping for calculating the empirical critical value yielded different results only for the transformed damage ratings. Specifically, we found that gruesome language significantly increased participants damage estimations </w:t>
      </w:r>
      <w:r w:rsidRPr="00C40154">
        <w:rPr>
          <w:rFonts w:ascii="Times" w:hAnsi="Times" w:cs="Times New Roman"/>
        </w:rPr>
        <w:t>(</w:t>
      </w:r>
      <w:r w:rsidRPr="00C40154">
        <w:rPr>
          <w:rFonts w:ascii="Times" w:hAnsi="Times" w:cs="Times New Roman"/>
          <w:i/>
        </w:rPr>
        <w:t>WJ</w:t>
      </w:r>
      <w:r w:rsidRPr="00C40154">
        <w:rPr>
          <w:rFonts w:ascii="Times" w:hAnsi="Times" w:cs="Times New Roman"/>
          <w:i/>
          <w:vertAlign w:val="subscript"/>
        </w:rPr>
        <w:t>2,73.40</w:t>
      </w:r>
      <w:r w:rsidRPr="00C40154">
        <w:rPr>
          <w:rFonts w:ascii="Times" w:hAnsi="Times" w:cs="Times New Roman"/>
          <w:vertAlign w:val="subscript"/>
        </w:rPr>
        <w:t xml:space="preserve"> </w:t>
      </w:r>
      <w:r w:rsidRPr="00C40154">
        <w:rPr>
          <w:rFonts w:ascii="Times" w:hAnsi="Times" w:cs="Times New Roman"/>
        </w:rPr>
        <w:t xml:space="preserve">= 5.15, </w:t>
      </w:r>
      <w:r w:rsidRPr="00C40154">
        <w:rPr>
          <w:rFonts w:ascii="Times" w:hAnsi="Times" w:cs="Times New Roman"/>
          <w:i/>
        </w:rPr>
        <w:t xml:space="preserve">p </w:t>
      </w:r>
      <w:r w:rsidRPr="00C40154">
        <w:rPr>
          <w:rFonts w:ascii="Times" w:hAnsi="Times" w:cs="Times New Roman"/>
        </w:rPr>
        <w:t>= 0.022). Nevertheless, since we did not find such effect using the mixed ANOVA models, we chose not to report that result given the lack of convergence between tests.</w:t>
      </w:r>
    </w:p>
    <w:p w14:paraId="537445BF" w14:textId="77777777" w:rsidR="00C40154" w:rsidRPr="00C40154" w:rsidRDefault="00C40154" w:rsidP="00BD7936">
      <w:pPr>
        <w:jc w:val="both"/>
        <w:rPr>
          <w:rFonts w:ascii="Times" w:hAnsi="Times" w:cs="Times New Roman"/>
        </w:rPr>
      </w:pPr>
    </w:p>
    <w:p w14:paraId="2EA48D00" w14:textId="77777777" w:rsidR="00C40154" w:rsidRPr="00C40154" w:rsidRDefault="00C40154" w:rsidP="007129E4">
      <w:pPr>
        <w:jc w:val="both"/>
        <w:rPr>
          <w:rFonts w:ascii="Times" w:hAnsi="Times" w:cs="Times New Roman"/>
          <w:b/>
        </w:rPr>
      </w:pPr>
      <w:r w:rsidRPr="00C40154">
        <w:rPr>
          <w:rFonts w:ascii="Times" w:hAnsi="Times" w:cs="Times New Roman"/>
          <w:b/>
        </w:rPr>
        <w:t>SII. SUPPLEMENTARY RESULTS</w:t>
      </w:r>
    </w:p>
    <w:p w14:paraId="79C1FFF4" w14:textId="77777777" w:rsidR="00C40154" w:rsidRPr="00C40154" w:rsidRDefault="00C40154" w:rsidP="007129E4">
      <w:pPr>
        <w:jc w:val="both"/>
        <w:rPr>
          <w:rFonts w:ascii="Times" w:eastAsia="Times New Roman" w:hAnsi="Times" w:cs="Arial"/>
          <w:shd w:val="clear" w:color="auto" w:fill="FFFFFF"/>
        </w:rPr>
      </w:pPr>
    </w:p>
    <w:p w14:paraId="2285345F" w14:textId="77777777" w:rsidR="00C40154" w:rsidRPr="00C40154" w:rsidRDefault="00C40154" w:rsidP="007129E4">
      <w:pPr>
        <w:jc w:val="both"/>
        <w:rPr>
          <w:rFonts w:ascii="Times" w:hAnsi="Times" w:cs="Times New Roman"/>
          <w:b/>
        </w:rPr>
      </w:pPr>
      <w:r w:rsidRPr="00C40154">
        <w:rPr>
          <w:rFonts w:ascii="Times" w:hAnsi="Times" w:cs="Times New Roman"/>
          <w:b/>
        </w:rPr>
        <w:t>Morality ratings</w:t>
      </w:r>
    </w:p>
    <w:p w14:paraId="6B36D662" w14:textId="77777777" w:rsidR="00C40154" w:rsidRPr="00C40154" w:rsidRDefault="00C40154" w:rsidP="007129E4">
      <w:pPr>
        <w:jc w:val="both"/>
        <w:rPr>
          <w:rFonts w:ascii="Times" w:hAnsi="Times" w:cs="Times New Roman"/>
          <w:b/>
        </w:rPr>
      </w:pPr>
    </w:p>
    <w:p w14:paraId="31CB5E72" w14:textId="77777777" w:rsidR="00C40154" w:rsidRPr="00C40154" w:rsidRDefault="00C40154" w:rsidP="007129E4">
      <w:pPr>
        <w:jc w:val="both"/>
        <w:rPr>
          <w:rFonts w:ascii="Times" w:hAnsi="Times" w:cs="Times New Roman"/>
        </w:rPr>
      </w:pPr>
      <w:r w:rsidRPr="00C40154">
        <w:rPr>
          <w:rFonts w:ascii="Times" w:hAnsi="Times" w:cs="Times New Roman"/>
        </w:rPr>
        <w:t xml:space="preserve">To explore whether crime type had an effect on the group differences observed in </w:t>
      </w:r>
      <w:r w:rsidRPr="00C40154">
        <w:rPr>
          <w:rFonts w:ascii="Times" w:eastAsia="Times New Roman" w:hAnsi="Times" w:cs="Arial"/>
          <w:shd w:val="clear" w:color="auto" w:fill="FFFFFF"/>
        </w:rPr>
        <w:t xml:space="preserve">morality ratings </w:t>
      </w:r>
      <w:r w:rsidRPr="00C40154">
        <w:rPr>
          <w:rFonts w:ascii="Times" w:eastAsia="Times New Roman" w:hAnsi="Times" w:cs="Times New Roman"/>
          <w:bCs/>
        </w:rPr>
        <w:t>(averaged over intentionality conditions)</w:t>
      </w:r>
      <w:r w:rsidRPr="00C40154">
        <w:rPr>
          <w:rFonts w:ascii="Times" w:eastAsia="Times New Roman" w:hAnsi="Times" w:cs="Arial"/>
          <w:shd w:val="clear" w:color="auto" w:fill="FFFFFF"/>
        </w:rPr>
        <w:t xml:space="preserve">, we conducted a </w:t>
      </w:r>
      <w:r w:rsidRPr="00C40154">
        <w:rPr>
          <w:rFonts w:ascii="Times" w:hAnsi="Times" w:cs="Minion Pro"/>
        </w:rPr>
        <w:t xml:space="preserve">3 × 3 x 2 ANOVA, with </w:t>
      </w:r>
      <w:r w:rsidRPr="00C40154">
        <w:rPr>
          <w:rFonts w:ascii="Times" w:hAnsi="Times" w:cs="Minion Pro"/>
        </w:rPr>
        <w:lastRenderedPageBreak/>
        <w:t>crime type (3) as a within-subjects factor, and group (3) and language (2) as between-subjects factors</w:t>
      </w:r>
      <w:r w:rsidRPr="00C40154">
        <w:rPr>
          <w:rFonts w:ascii="Times" w:eastAsia="Times New Roman" w:hAnsi="Times" w:cs="Arial"/>
          <w:shd w:val="clear" w:color="auto" w:fill="FFFFFF"/>
        </w:rPr>
        <w:t xml:space="preserve">. Results showed </w:t>
      </w:r>
      <w:r w:rsidRPr="00C40154">
        <w:rPr>
          <w:rFonts w:ascii="Times" w:hAnsi="Times" w:cs="Times New Roman"/>
        </w:rPr>
        <w:t>that across groups and language conditions (</w:t>
      </w:r>
      <w:r w:rsidRPr="00C40154">
        <w:rPr>
          <w:rFonts w:ascii="Times" w:hAnsi="Times" w:cs="Times New Roman"/>
          <w:i/>
        </w:rPr>
        <w:t>F</w:t>
      </w:r>
      <w:r w:rsidRPr="00C40154">
        <w:rPr>
          <w:rFonts w:ascii="Times" w:hAnsi="Times" w:cs="Times New Roman"/>
          <w:i/>
          <w:vertAlign w:val="subscript"/>
        </w:rPr>
        <w:t>2,328</w:t>
      </w:r>
      <w:r w:rsidRPr="00C40154">
        <w:rPr>
          <w:rFonts w:ascii="Times" w:hAnsi="Times" w:cs="Times New Roman"/>
          <w:vertAlign w:val="subscript"/>
        </w:rPr>
        <w:t xml:space="preserve"> </w:t>
      </w:r>
      <w:r w:rsidRPr="00C40154">
        <w:rPr>
          <w:rFonts w:ascii="Times" w:hAnsi="Times" w:cs="Times New Roman"/>
        </w:rPr>
        <w:t xml:space="preserve">= 27.84, </w:t>
      </w:r>
      <w:r w:rsidRPr="00C40154">
        <w:rPr>
          <w:rFonts w:ascii="Times" w:hAnsi="Times" w:cs="Times New Roman"/>
          <w:i/>
        </w:rPr>
        <w:t xml:space="preserve">p </w:t>
      </w:r>
      <w:r w:rsidRPr="00C40154">
        <w:rPr>
          <w:rFonts w:ascii="Times" w:hAnsi="Times" w:cs="Times New Roman"/>
        </w:rPr>
        <w:t>&gt; 0.00001, η</w:t>
      </w:r>
      <w:r w:rsidRPr="00C40154">
        <w:rPr>
          <w:rFonts w:ascii="Times" w:hAnsi="Times" w:cs="Times New Roman"/>
          <w:vertAlign w:val="superscript"/>
        </w:rPr>
        <w:t xml:space="preserve">2 </w:t>
      </w:r>
      <w:r w:rsidRPr="00C40154">
        <w:rPr>
          <w:rFonts w:ascii="Times" w:hAnsi="Times" w:cs="Times New Roman"/>
        </w:rPr>
        <w:t>= 0.14), participants rated death scenarios as morally worse than those involving physical harm (</w:t>
      </w:r>
      <w:r w:rsidRPr="00C40154">
        <w:rPr>
          <w:rFonts w:ascii="Times" w:hAnsi="Times" w:cs="Times New Roman"/>
          <w:i/>
        </w:rPr>
        <w:t>p</w:t>
      </w:r>
      <w:r w:rsidRPr="00C40154">
        <w:rPr>
          <w:rFonts w:ascii="Times" w:hAnsi="Times" w:cs="Times New Roman"/>
        </w:rPr>
        <w:t xml:space="preserve"> = 0.00002) and property damage (</w:t>
      </w:r>
      <w:r w:rsidRPr="00C40154">
        <w:rPr>
          <w:rFonts w:ascii="Times" w:hAnsi="Times" w:cs="Times New Roman"/>
          <w:i/>
        </w:rPr>
        <w:t>p</w:t>
      </w:r>
      <w:r w:rsidRPr="00C40154">
        <w:rPr>
          <w:rFonts w:ascii="Times" w:hAnsi="Times" w:cs="Times New Roman"/>
        </w:rPr>
        <w:t xml:space="preserve"> = 0.0002). No difference was observed between ratings for physical harm and property damage (</w:t>
      </w:r>
      <w:r w:rsidRPr="00C40154">
        <w:rPr>
          <w:rFonts w:ascii="Times" w:hAnsi="Times" w:cs="Times New Roman"/>
          <w:i/>
        </w:rPr>
        <w:t>p</w:t>
      </w:r>
      <w:r w:rsidRPr="00C40154">
        <w:rPr>
          <w:rFonts w:ascii="Times" w:hAnsi="Times" w:cs="Times New Roman"/>
        </w:rPr>
        <w:t xml:space="preserve"> = 0.16). Also, across groups and crime types, participants exposed to GL, compared to those faced with PL, rated harmful actions as morally worse (</w:t>
      </w:r>
      <w:r w:rsidRPr="00C40154">
        <w:rPr>
          <w:rFonts w:ascii="Times" w:hAnsi="Times" w:cs="Times New Roman"/>
          <w:i/>
        </w:rPr>
        <w:t>F</w:t>
      </w:r>
      <w:r w:rsidRPr="00C40154">
        <w:rPr>
          <w:rFonts w:ascii="Times" w:hAnsi="Times" w:cs="Times New Roman"/>
          <w:i/>
          <w:vertAlign w:val="subscript"/>
        </w:rPr>
        <w:t>1,163</w:t>
      </w:r>
      <w:r w:rsidRPr="00C40154">
        <w:rPr>
          <w:rFonts w:ascii="Times" w:hAnsi="Times" w:cs="Times New Roman"/>
          <w:vertAlign w:val="subscript"/>
        </w:rPr>
        <w:t xml:space="preserve"> </w:t>
      </w:r>
      <w:r w:rsidRPr="00C40154">
        <w:rPr>
          <w:rFonts w:ascii="Times" w:hAnsi="Times" w:cs="Times New Roman"/>
        </w:rPr>
        <w:t xml:space="preserve">= 5.01, </w:t>
      </w:r>
      <w:r w:rsidRPr="00C40154">
        <w:rPr>
          <w:rFonts w:ascii="Times" w:hAnsi="Times" w:cs="Times New Roman"/>
          <w:i/>
        </w:rPr>
        <w:t xml:space="preserve">p </w:t>
      </w:r>
      <w:r w:rsidRPr="00C40154">
        <w:rPr>
          <w:rFonts w:ascii="Times" w:hAnsi="Times" w:cs="Times New Roman"/>
        </w:rPr>
        <w:t>= 0.03, η</w:t>
      </w:r>
      <w:r w:rsidRPr="00C40154">
        <w:rPr>
          <w:rFonts w:ascii="Times" w:hAnsi="Times" w:cs="Times New Roman"/>
          <w:vertAlign w:val="superscript"/>
        </w:rPr>
        <w:t xml:space="preserve">2 </w:t>
      </w:r>
      <w:r w:rsidRPr="00C40154">
        <w:rPr>
          <w:rFonts w:ascii="Times" w:hAnsi="Times" w:cs="Times New Roman"/>
        </w:rPr>
        <w:t>= 0.02). Importantly, there was an interaction between language and group (</w:t>
      </w:r>
      <w:r w:rsidRPr="00C40154">
        <w:rPr>
          <w:rFonts w:ascii="Times" w:hAnsi="Times" w:cs="Times New Roman"/>
          <w:i/>
        </w:rPr>
        <w:t>F</w:t>
      </w:r>
      <w:r w:rsidRPr="00C40154">
        <w:rPr>
          <w:rFonts w:ascii="Times" w:hAnsi="Times" w:cs="Times New Roman"/>
          <w:i/>
          <w:vertAlign w:val="subscript"/>
        </w:rPr>
        <w:t>2,163</w:t>
      </w:r>
      <w:r w:rsidRPr="00C40154">
        <w:rPr>
          <w:rFonts w:ascii="Times" w:hAnsi="Times" w:cs="Times New Roman"/>
          <w:vertAlign w:val="subscript"/>
        </w:rPr>
        <w:t xml:space="preserve"> </w:t>
      </w:r>
      <w:r w:rsidRPr="00C40154">
        <w:rPr>
          <w:rFonts w:ascii="Times" w:hAnsi="Times" w:cs="Times New Roman"/>
        </w:rPr>
        <w:t xml:space="preserve">= 5.39, </w:t>
      </w:r>
      <w:r w:rsidRPr="00C40154">
        <w:rPr>
          <w:rFonts w:ascii="Times" w:hAnsi="Times" w:cs="Times New Roman"/>
          <w:i/>
        </w:rPr>
        <w:t xml:space="preserve">p </w:t>
      </w:r>
      <w:r w:rsidRPr="00C40154">
        <w:rPr>
          <w:rFonts w:ascii="Times" w:hAnsi="Times" w:cs="Times New Roman"/>
        </w:rPr>
        <w:t>= 0.005, η</w:t>
      </w:r>
      <w:r w:rsidRPr="00C40154">
        <w:rPr>
          <w:rFonts w:ascii="Times" w:hAnsi="Times" w:cs="Times New Roman"/>
          <w:vertAlign w:val="superscript"/>
        </w:rPr>
        <w:t xml:space="preserve">2 </w:t>
      </w:r>
      <w:r w:rsidRPr="00C40154">
        <w:rPr>
          <w:rFonts w:ascii="Times" w:hAnsi="Times" w:cs="Times New Roman"/>
        </w:rPr>
        <w:t xml:space="preserve">= 0.06). Post-hoc comparisons showed that judges and attorneys were immune to the influence of GL, presenting similar morality ratings in both language conditions (Judges: </w:t>
      </w:r>
      <w:r w:rsidRPr="00C40154">
        <w:rPr>
          <w:rFonts w:ascii="Times" w:hAnsi="Times" w:cs="Times New Roman"/>
          <w:i/>
        </w:rPr>
        <w:t>p</w:t>
      </w:r>
      <w:r w:rsidRPr="00C40154">
        <w:rPr>
          <w:rFonts w:ascii="Times" w:hAnsi="Times" w:cs="Times New Roman"/>
        </w:rPr>
        <w:t xml:space="preserve"> = 0.99; attorneys: </w:t>
      </w:r>
      <w:r w:rsidRPr="00C40154">
        <w:rPr>
          <w:rFonts w:ascii="Times" w:hAnsi="Times" w:cs="Times New Roman"/>
          <w:i/>
        </w:rPr>
        <w:t>p</w:t>
      </w:r>
      <w:r w:rsidRPr="00C40154">
        <w:rPr>
          <w:rFonts w:ascii="Times" w:hAnsi="Times" w:cs="Times New Roman"/>
        </w:rPr>
        <w:t xml:space="preserve"> = 0.99). On the contrary, controls exposed to GL, compared to those faced with PL, rated harmful actions as morally worse (</w:t>
      </w:r>
      <w:r w:rsidRPr="00C40154">
        <w:rPr>
          <w:rFonts w:ascii="Times" w:hAnsi="Times" w:cs="Times New Roman"/>
          <w:i/>
        </w:rPr>
        <w:t>p</w:t>
      </w:r>
      <w:r w:rsidRPr="00C40154">
        <w:rPr>
          <w:rFonts w:ascii="Times" w:hAnsi="Times" w:cs="Times New Roman"/>
        </w:rPr>
        <w:t xml:space="preserve"> = 0.0004).</w:t>
      </w:r>
    </w:p>
    <w:p w14:paraId="61F3042B" w14:textId="77777777" w:rsidR="00C40154" w:rsidRPr="00C40154" w:rsidRDefault="00C40154" w:rsidP="007129E4">
      <w:pPr>
        <w:jc w:val="both"/>
        <w:rPr>
          <w:rFonts w:ascii="Times" w:hAnsi="Times" w:cs="Times New Roman"/>
        </w:rPr>
      </w:pPr>
    </w:p>
    <w:p w14:paraId="42F3CDC6" w14:textId="77777777" w:rsidR="00C40154" w:rsidRPr="00C40154" w:rsidRDefault="00C40154" w:rsidP="007129E4">
      <w:pPr>
        <w:jc w:val="both"/>
        <w:rPr>
          <w:rFonts w:ascii="Times" w:hAnsi="Times" w:cs="Times New Roman"/>
        </w:rPr>
      </w:pPr>
      <w:r w:rsidRPr="00C40154">
        <w:rPr>
          <w:rFonts w:ascii="Times" w:hAnsi="Times" w:cs="Times New Roman"/>
        </w:rPr>
        <w:t>There were no significant interactions between crime type and group (</w:t>
      </w:r>
      <w:r w:rsidRPr="00C40154">
        <w:rPr>
          <w:rFonts w:ascii="Times" w:hAnsi="Times" w:cs="Times New Roman"/>
          <w:i/>
        </w:rPr>
        <w:t>F</w:t>
      </w:r>
      <w:r w:rsidRPr="00C40154">
        <w:rPr>
          <w:rFonts w:ascii="Times" w:hAnsi="Times" w:cs="Times New Roman"/>
          <w:i/>
          <w:vertAlign w:val="subscript"/>
        </w:rPr>
        <w:t>4,328</w:t>
      </w:r>
      <w:r w:rsidRPr="00C40154">
        <w:rPr>
          <w:rFonts w:ascii="Times" w:hAnsi="Times" w:cs="Times New Roman"/>
          <w:vertAlign w:val="subscript"/>
        </w:rPr>
        <w:t xml:space="preserve"> </w:t>
      </w:r>
      <w:r w:rsidRPr="00C40154">
        <w:rPr>
          <w:rFonts w:ascii="Times" w:hAnsi="Times" w:cs="Times New Roman"/>
        </w:rPr>
        <w:t xml:space="preserve">= 0.88, </w:t>
      </w:r>
      <w:r w:rsidRPr="00C40154">
        <w:rPr>
          <w:rFonts w:ascii="Times" w:hAnsi="Times" w:cs="Times New Roman"/>
          <w:i/>
        </w:rPr>
        <w:t xml:space="preserve">p </w:t>
      </w:r>
      <w:r w:rsidRPr="00C40154">
        <w:rPr>
          <w:rFonts w:ascii="Times" w:hAnsi="Times" w:cs="Times New Roman"/>
        </w:rPr>
        <w:t>= 0.47, η</w:t>
      </w:r>
      <w:r w:rsidRPr="00C40154">
        <w:rPr>
          <w:rFonts w:ascii="Times" w:hAnsi="Times" w:cs="Times New Roman"/>
          <w:vertAlign w:val="superscript"/>
        </w:rPr>
        <w:t xml:space="preserve">2 </w:t>
      </w:r>
      <w:r w:rsidRPr="00C40154">
        <w:rPr>
          <w:rFonts w:ascii="Times" w:hAnsi="Times" w:cs="Times New Roman"/>
        </w:rPr>
        <w:t>= 0.01) or between crime type and language (</w:t>
      </w:r>
      <w:r w:rsidRPr="00C40154">
        <w:rPr>
          <w:rFonts w:ascii="Times" w:hAnsi="Times" w:cs="Times New Roman"/>
          <w:i/>
        </w:rPr>
        <w:t>F</w:t>
      </w:r>
      <w:r w:rsidRPr="00C40154">
        <w:rPr>
          <w:rFonts w:ascii="Times" w:hAnsi="Times" w:cs="Times New Roman"/>
          <w:i/>
          <w:vertAlign w:val="subscript"/>
        </w:rPr>
        <w:t>2,328</w:t>
      </w:r>
      <w:r w:rsidRPr="00C40154">
        <w:rPr>
          <w:rFonts w:ascii="Times" w:hAnsi="Times" w:cs="Times New Roman"/>
          <w:vertAlign w:val="subscript"/>
        </w:rPr>
        <w:t xml:space="preserve"> </w:t>
      </w:r>
      <w:r w:rsidRPr="00C40154">
        <w:rPr>
          <w:rFonts w:ascii="Times" w:hAnsi="Times" w:cs="Times New Roman"/>
        </w:rPr>
        <w:t xml:space="preserve">= 0.54, </w:t>
      </w:r>
      <w:r w:rsidRPr="00C40154">
        <w:rPr>
          <w:rFonts w:ascii="Times" w:hAnsi="Times" w:cs="Times New Roman"/>
          <w:i/>
        </w:rPr>
        <w:t xml:space="preserve">p </w:t>
      </w:r>
      <w:r w:rsidRPr="00C40154">
        <w:rPr>
          <w:rFonts w:ascii="Times" w:hAnsi="Times" w:cs="Times New Roman"/>
        </w:rPr>
        <w:t>= 0.58, η</w:t>
      </w:r>
      <w:r w:rsidRPr="00C40154">
        <w:rPr>
          <w:rFonts w:ascii="Times" w:hAnsi="Times" w:cs="Times New Roman"/>
          <w:vertAlign w:val="superscript"/>
        </w:rPr>
        <w:t xml:space="preserve">2 </w:t>
      </w:r>
      <w:r w:rsidRPr="00C40154">
        <w:rPr>
          <w:rFonts w:ascii="Times" w:hAnsi="Times" w:cs="Times New Roman"/>
        </w:rPr>
        <w:t xml:space="preserve">= 0.003). </w:t>
      </w:r>
    </w:p>
    <w:p w14:paraId="1E29EAD7" w14:textId="77777777" w:rsidR="00C40154" w:rsidRPr="00C40154" w:rsidRDefault="00C40154" w:rsidP="007129E4">
      <w:pPr>
        <w:jc w:val="both"/>
        <w:rPr>
          <w:rFonts w:ascii="Times" w:hAnsi="Times" w:cs="Times New Roman"/>
        </w:rPr>
      </w:pPr>
    </w:p>
    <w:p w14:paraId="4922FFA4" w14:textId="77777777" w:rsidR="00C40154" w:rsidRPr="00C40154" w:rsidRDefault="00C40154" w:rsidP="007129E4">
      <w:pPr>
        <w:jc w:val="both"/>
        <w:rPr>
          <w:rFonts w:ascii="Times" w:hAnsi="Times" w:cs="Times New Roman"/>
          <w:b/>
        </w:rPr>
      </w:pPr>
      <w:r w:rsidRPr="00C40154">
        <w:rPr>
          <w:rFonts w:ascii="Times" w:hAnsi="Times" w:cs="Times New Roman"/>
          <w:b/>
        </w:rPr>
        <w:t>Punishment ratings</w:t>
      </w:r>
    </w:p>
    <w:p w14:paraId="5EB5FFA2" w14:textId="77777777" w:rsidR="00C40154" w:rsidRPr="00C40154" w:rsidRDefault="00C40154" w:rsidP="007129E4">
      <w:pPr>
        <w:jc w:val="both"/>
        <w:rPr>
          <w:rFonts w:ascii="Times" w:hAnsi="Times" w:cs="Times New Roman"/>
          <w:b/>
        </w:rPr>
      </w:pPr>
    </w:p>
    <w:p w14:paraId="071CC784" w14:textId="77777777" w:rsidR="00C40154" w:rsidRPr="00C40154" w:rsidRDefault="00C40154" w:rsidP="007129E4">
      <w:pPr>
        <w:jc w:val="both"/>
        <w:rPr>
          <w:rFonts w:ascii="Times" w:eastAsia="Times New Roman" w:hAnsi="Times" w:cs="Arial"/>
          <w:shd w:val="clear" w:color="auto" w:fill="FFFFFF"/>
        </w:rPr>
      </w:pPr>
      <w:r w:rsidRPr="00C40154">
        <w:rPr>
          <w:rFonts w:ascii="Times" w:hAnsi="Times" w:cs="Times New Roman"/>
        </w:rPr>
        <w:t xml:space="preserve">To explore whether type of crime had an effect on the group differences observed in </w:t>
      </w:r>
      <w:r w:rsidRPr="00C40154">
        <w:rPr>
          <w:rFonts w:ascii="Times" w:eastAsia="Times New Roman" w:hAnsi="Times" w:cs="Arial"/>
          <w:shd w:val="clear" w:color="auto" w:fill="FFFFFF"/>
        </w:rPr>
        <w:t xml:space="preserve">punishment ratings </w:t>
      </w:r>
      <w:r w:rsidRPr="00C40154">
        <w:rPr>
          <w:rFonts w:ascii="Times" w:eastAsia="Times New Roman" w:hAnsi="Times" w:cs="Times New Roman"/>
          <w:bCs/>
        </w:rPr>
        <w:t>for accidental harm</w:t>
      </w:r>
      <w:r w:rsidRPr="00C40154">
        <w:rPr>
          <w:rFonts w:ascii="Times" w:eastAsia="Times New Roman" w:hAnsi="Times" w:cs="Arial"/>
          <w:shd w:val="clear" w:color="auto" w:fill="FFFFFF"/>
        </w:rPr>
        <w:t xml:space="preserve">s, we conducted a </w:t>
      </w:r>
      <w:r w:rsidRPr="00C40154">
        <w:rPr>
          <w:rFonts w:ascii="Times" w:hAnsi="Times" w:cs="Minion Pro"/>
        </w:rPr>
        <w:t>3 × 3 x 2 ANOVA, with type of crime (3) as within-subjects factor, and group (3) and language (2) as a between-subjects factor</w:t>
      </w:r>
      <w:r w:rsidRPr="00C40154">
        <w:rPr>
          <w:rFonts w:ascii="Times" w:eastAsia="Times New Roman" w:hAnsi="Times" w:cs="Arial"/>
          <w:shd w:val="clear" w:color="auto" w:fill="FFFFFF"/>
        </w:rPr>
        <w:t xml:space="preserve">. </w:t>
      </w:r>
      <w:r w:rsidRPr="00C40154">
        <w:rPr>
          <w:rFonts w:ascii="Times" w:hAnsi="Times" w:cs="Times New Roman"/>
        </w:rPr>
        <w:t>Across groups and language conditions (</w:t>
      </w:r>
      <w:r w:rsidRPr="00C40154">
        <w:rPr>
          <w:rFonts w:ascii="Times" w:hAnsi="Times" w:cs="Times New Roman"/>
          <w:i/>
        </w:rPr>
        <w:t>F</w:t>
      </w:r>
      <w:r w:rsidRPr="00C40154">
        <w:rPr>
          <w:rFonts w:ascii="Times" w:hAnsi="Times" w:cs="Times New Roman"/>
          <w:i/>
          <w:vertAlign w:val="subscript"/>
        </w:rPr>
        <w:t>2,328</w:t>
      </w:r>
      <w:r w:rsidRPr="00C40154">
        <w:rPr>
          <w:rFonts w:ascii="Times" w:hAnsi="Times" w:cs="Times New Roman"/>
          <w:vertAlign w:val="subscript"/>
        </w:rPr>
        <w:t xml:space="preserve"> </w:t>
      </w:r>
      <w:r w:rsidRPr="00C40154">
        <w:rPr>
          <w:rFonts w:ascii="Times" w:hAnsi="Times" w:cs="Times New Roman"/>
        </w:rPr>
        <w:t xml:space="preserve">= 46.63, </w:t>
      </w:r>
      <w:r w:rsidRPr="00C40154">
        <w:rPr>
          <w:rFonts w:ascii="Times" w:hAnsi="Times" w:cs="Times New Roman"/>
          <w:i/>
        </w:rPr>
        <w:t xml:space="preserve">p </w:t>
      </w:r>
      <w:r w:rsidRPr="00C40154">
        <w:rPr>
          <w:rFonts w:ascii="Times" w:hAnsi="Times" w:cs="Times New Roman"/>
        </w:rPr>
        <w:t>&gt; 0.00001, η</w:t>
      </w:r>
      <w:r w:rsidRPr="00C40154">
        <w:rPr>
          <w:rFonts w:ascii="Times" w:hAnsi="Times" w:cs="Times New Roman"/>
          <w:vertAlign w:val="superscript"/>
        </w:rPr>
        <w:t xml:space="preserve">2 </w:t>
      </w:r>
      <w:r w:rsidRPr="00C40154">
        <w:rPr>
          <w:rFonts w:ascii="Times" w:hAnsi="Times" w:cs="Times New Roman"/>
        </w:rPr>
        <w:t>= 0.23), participants assigned more punishment to death (</w:t>
      </w:r>
      <w:r w:rsidRPr="00C40154">
        <w:rPr>
          <w:rFonts w:ascii="Times" w:hAnsi="Times" w:cs="Times New Roman"/>
          <w:i/>
        </w:rPr>
        <w:t>p</w:t>
      </w:r>
      <w:r w:rsidRPr="00C40154">
        <w:rPr>
          <w:rFonts w:ascii="Times" w:hAnsi="Times" w:cs="Times New Roman"/>
        </w:rPr>
        <w:t xml:space="preserve"> = 0.0002) and physical harm (</w:t>
      </w:r>
      <w:r w:rsidRPr="00C40154">
        <w:rPr>
          <w:rFonts w:ascii="Times" w:hAnsi="Times" w:cs="Times New Roman"/>
          <w:i/>
        </w:rPr>
        <w:t>p</w:t>
      </w:r>
      <w:r w:rsidRPr="00C40154">
        <w:rPr>
          <w:rFonts w:ascii="Times" w:hAnsi="Times" w:cs="Times New Roman"/>
        </w:rPr>
        <w:t xml:space="preserve"> = 0.00002) scenarios compared to property damage scenarios. No difference was observed between ratings for death and physical harm (</w:t>
      </w:r>
      <w:r w:rsidRPr="00C40154">
        <w:rPr>
          <w:rFonts w:ascii="Times" w:hAnsi="Times" w:cs="Times New Roman"/>
          <w:i/>
        </w:rPr>
        <w:t>p</w:t>
      </w:r>
      <w:r w:rsidRPr="00C40154">
        <w:rPr>
          <w:rFonts w:ascii="Times" w:hAnsi="Times" w:cs="Times New Roman"/>
        </w:rPr>
        <w:t xml:space="preserve"> = 0.95). There was also a significant main effect of group (</w:t>
      </w:r>
      <w:r w:rsidRPr="00C40154">
        <w:rPr>
          <w:rFonts w:ascii="Times" w:hAnsi="Times" w:cs="Times New Roman"/>
          <w:i/>
        </w:rPr>
        <w:t>F</w:t>
      </w:r>
      <w:r w:rsidRPr="00C40154">
        <w:rPr>
          <w:rFonts w:ascii="Times" w:hAnsi="Times" w:cs="Times New Roman"/>
          <w:i/>
          <w:vertAlign w:val="subscript"/>
        </w:rPr>
        <w:t>2,163</w:t>
      </w:r>
      <w:r w:rsidRPr="00C40154">
        <w:rPr>
          <w:rFonts w:ascii="Times" w:hAnsi="Times" w:cs="Times New Roman"/>
          <w:vertAlign w:val="subscript"/>
        </w:rPr>
        <w:t xml:space="preserve"> </w:t>
      </w:r>
      <w:r w:rsidRPr="00C40154">
        <w:rPr>
          <w:rFonts w:ascii="Times" w:hAnsi="Times" w:cs="Times New Roman"/>
        </w:rPr>
        <w:t xml:space="preserve">= 4.20, </w:t>
      </w:r>
      <w:r w:rsidRPr="00C40154">
        <w:rPr>
          <w:rFonts w:ascii="Times" w:hAnsi="Times" w:cs="Times New Roman"/>
          <w:i/>
        </w:rPr>
        <w:t xml:space="preserve">p </w:t>
      </w:r>
      <w:r w:rsidRPr="00C40154">
        <w:rPr>
          <w:rFonts w:ascii="Times" w:hAnsi="Times" w:cs="Times New Roman"/>
        </w:rPr>
        <w:t>= 0.01, η</w:t>
      </w:r>
      <w:r w:rsidRPr="00C40154">
        <w:rPr>
          <w:rFonts w:ascii="Times" w:hAnsi="Times" w:cs="Times New Roman"/>
          <w:vertAlign w:val="superscript"/>
        </w:rPr>
        <w:t xml:space="preserve">2 </w:t>
      </w:r>
      <w:r w:rsidRPr="00C40154">
        <w:rPr>
          <w:rFonts w:ascii="Times" w:hAnsi="Times" w:cs="Times New Roman"/>
        </w:rPr>
        <w:t>= 0.04). Judges and attorneys punished accidental harmful actions to a similar degree (</w:t>
      </w:r>
      <w:r w:rsidRPr="00C40154">
        <w:rPr>
          <w:rFonts w:ascii="Times" w:hAnsi="Times" w:cs="Times New Roman"/>
          <w:i/>
        </w:rPr>
        <w:t>p</w:t>
      </w:r>
      <w:r w:rsidRPr="00C40154">
        <w:rPr>
          <w:rFonts w:ascii="Times" w:hAnsi="Times" w:cs="Times New Roman"/>
        </w:rPr>
        <w:t xml:space="preserve"> = 0.97). However, controls punished accidental transgressions more than judges (</w:t>
      </w:r>
      <w:r w:rsidRPr="00C40154">
        <w:rPr>
          <w:rFonts w:ascii="Times" w:hAnsi="Times" w:cs="Times New Roman"/>
          <w:i/>
        </w:rPr>
        <w:t>p</w:t>
      </w:r>
      <w:r w:rsidRPr="00C40154">
        <w:rPr>
          <w:rFonts w:ascii="Times" w:hAnsi="Times" w:cs="Times New Roman"/>
        </w:rPr>
        <w:t xml:space="preserve"> = 0.02) and attorneys (</w:t>
      </w:r>
      <w:r w:rsidRPr="00C40154">
        <w:rPr>
          <w:rFonts w:ascii="Times" w:hAnsi="Times" w:cs="Times New Roman"/>
          <w:i/>
        </w:rPr>
        <w:t>p</w:t>
      </w:r>
      <w:r w:rsidRPr="00C40154">
        <w:rPr>
          <w:rFonts w:ascii="Times" w:hAnsi="Times" w:cs="Times New Roman"/>
        </w:rPr>
        <w:t xml:space="preserve"> = 0.02).</w:t>
      </w:r>
    </w:p>
    <w:p w14:paraId="761EC860" w14:textId="77777777" w:rsidR="00C40154" w:rsidRPr="00C40154" w:rsidRDefault="00C40154" w:rsidP="007129E4">
      <w:pPr>
        <w:jc w:val="both"/>
        <w:rPr>
          <w:rFonts w:ascii="Times" w:eastAsia="Times New Roman" w:hAnsi="Times" w:cs="Arial"/>
          <w:shd w:val="clear" w:color="auto" w:fill="FFFFFF"/>
        </w:rPr>
      </w:pPr>
    </w:p>
    <w:p w14:paraId="15F9F846" w14:textId="77777777" w:rsidR="00C40154" w:rsidRPr="00C40154" w:rsidRDefault="00C40154" w:rsidP="007129E4">
      <w:pPr>
        <w:jc w:val="both"/>
        <w:rPr>
          <w:rFonts w:ascii="Times" w:hAnsi="Times" w:cs="Times New Roman"/>
        </w:rPr>
      </w:pPr>
      <w:r w:rsidRPr="00C40154">
        <w:rPr>
          <w:rFonts w:ascii="Times" w:hAnsi="Times" w:cs="Times New Roman"/>
        </w:rPr>
        <w:t>There were no significant interactions between type of crime and group (</w:t>
      </w:r>
      <w:r w:rsidRPr="00C40154">
        <w:rPr>
          <w:rFonts w:ascii="Times" w:hAnsi="Times" w:cs="Times New Roman"/>
          <w:i/>
        </w:rPr>
        <w:t>F</w:t>
      </w:r>
      <w:r w:rsidRPr="00C40154">
        <w:rPr>
          <w:rFonts w:ascii="Times" w:hAnsi="Times" w:cs="Times New Roman"/>
          <w:i/>
          <w:vertAlign w:val="subscript"/>
        </w:rPr>
        <w:t>4,328</w:t>
      </w:r>
      <w:r w:rsidRPr="00C40154">
        <w:rPr>
          <w:rFonts w:ascii="Times" w:hAnsi="Times" w:cs="Times New Roman"/>
          <w:vertAlign w:val="subscript"/>
        </w:rPr>
        <w:t xml:space="preserve"> </w:t>
      </w:r>
      <w:r w:rsidRPr="00C40154">
        <w:rPr>
          <w:rFonts w:ascii="Times" w:hAnsi="Times" w:cs="Times New Roman"/>
        </w:rPr>
        <w:t xml:space="preserve">= 0.76, </w:t>
      </w:r>
      <w:r w:rsidRPr="00C40154">
        <w:rPr>
          <w:rFonts w:ascii="Times" w:hAnsi="Times" w:cs="Times New Roman"/>
          <w:i/>
        </w:rPr>
        <w:t xml:space="preserve">p </w:t>
      </w:r>
      <w:r w:rsidRPr="00C40154">
        <w:rPr>
          <w:rFonts w:ascii="Times" w:hAnsi="Times" w:cs="Times New Roman"/>
        </w:rPr>
        <w:t>= 0.54, η</w:t>
      </w:r>
      <w:r w:rsidRPr="00C40154">
        <w:rPr>
          <w:rFonts w:ascii="Times" w:hAnsi="Times" w:cs="Times New Roman"/>
          <w:vertAlign w:val="superscript"/>
        </w:rPr>
        <w:t xml:space="preserve">2 </w:t>
      </w:r>
      <w:r w:rsidRPr="00C40154">
        <w:rPr>
          <w:rFonts w:ascii="Times" w:hAnsi="Times" w:cs="Times New Roman"/>
        </w:rPr>
        <w:t>= 0.009) or between type of crime and language (</w:t>
      </w:r>
      <w:r w:rsidRPr="00C40154">
        <w:rPr>
          <w:rFonts w:ascii="Times" w:hAnsi="Times" w:cs="Times New Roman"/>
          <w:i/>
        </w:rPr>
        <w:t>F</w:t>
      </w:r>
      <w:r w:rsidRPr="00C40154">
        <w:rPr>
          <w:rFonts w:ascii="Times" w:hAnsi="Times" w:cs="Times New Roman"/>
          <w:i/>
          <w:vertAlign w:val="subscript"/>
        </w:rPr>
        <w:t>2,328</w:t>
      </w:r>
      <w:r w:rsidRPr="00C40154">
        <w:rPr>
          <w:rFonts w:ascii="Times" w:hAnsi="Times" w:cs="Times New Roman"/>
          <w:vertAlign w:val="subscript"/>
        </w:rPr>
        <w:t xml:space="preserve"> </w:t>
      </w:r>
      <w:r w:rsidRPr="00C40154">
        <w:rPr>
          <w:rFonts w:ascii="Times" w:hAnsi="Times" w:cs="Times New Roman"/>
        </w:rPr>
        <w:t xml:space="preserve">= 1.27, </w:t>
      </w:r>
      <w:r w:rsidRPr="00C40154">
        <w:rPr>
          <w:rFonts w:ascii="Times" w:hAnsi="Times" w:cs="Times New Roman"/>
          <w:i/>
        </w:rPr>
        <w:t xml:space="preserve">p </w:t>
      </w:r>
      <w:r w:rsidRPr="00C40154">
        <w:rPr>
          <w:rFonts w:ascii="Times" w:hAnsi="Times" w:cs="Times New Roman"/>
        </w:rPr>
        <w:t>= 0.28, η</w:t>
      </w:r>
      <w:r w:rsidRPr="00C40154">
        <w:rPr>
          <w:rFonts w:ascii="Times" w:hAnsi="Times" w:cs="Times New Roman"/>
          <w:vertAlign w:val="superscript"/>
        </w:rPr>
        <w:t xml:space="preserve">2 </w:t>
      </w:r>
      <w:r w:rsidRPr="00C40154">
        <w:rPr>
          <w:rFonts w:ascii="Times" w:hAnsi="Times" w:cs="Times New Roman"/>
        </w:rPr>
        <w:t xml:space="preserve">= 0.007). </w:t>
      </w:r>
    </w:p>
    <w:p w14:paraId="31B65066" w14:textId="77777777" w:rsidR="00C40154" w:rsidRPr="00C40154" w:rsidRDefault="00C40154" w:rsidP="007129E4">
      <w:pPr>
        <w:jc w:val="both"/>
        <w:rPr>
          <w:rFonts w:ascii="Times" w:hAnsi="Times" w:cs="Times New Roman"/>
        </w:rPr>
      </w:pPr>
    </w:p>
    <w:p w14:paraId="3A373105" w14:textId="77777777" w:rsidR="00C40154" w:rsidRPr="00C40154" w:rsidRDefault="00C40154" w:rsidP="007129E4">
      <w:pPr>
        <w:jc w:val="both"/>
        <w:rPr>
          <w:rFonts w:ascii="Times" w:hAnsi="Times" w:cs="Times New Roman"/>
          <w:b/>
        </w:rPr>
      </w:pPr>
      <w:r w:rsidRPr="00C40154">
        <w:rPr>
          <w:rFonts w:ascii="Times" w:hAnsi="Times" w:cs="Times New Roman"/>
          <w:b/>
        </w:rPr>
        <w:t>Harm severity ratings</w:t>
      </w:r>
    </w:p>
    <w:p w14:paraId="72607018" w14:textId="77777777" w:rsidR="00C40154" w:rsidRPr="00C40154" w:rsidRDefault="00C40154" w:rsidP="007129E4">
      <w:pPr>
        <w:jc w:val="both"/>
        <w:rPr>
          <w:rFonts w:ascii="Times" w:hAnsi="Times" w:cs="Times New Roman"/>
          <w:b/>
        </w:rPr>
      </w:pPr>
    </w:p>
    <w:p w14:paraId="78B93C68" w14:textId="77777777" w:rsidR="00C40154" w:rsidRPr="00C40154" w:rsidRDefault="00C40154" w:rsidP="007129E4">
      <w:pPr>
        <w:jc w:val="both"/>
        <w:rPr>
          <w:rFonts w:ascii="Times" w:eastAsia="Times New Roman" w:hAnsi="Times" w:cs="Arial"/>
          <w:shd w:val="clear" w:color="auto" w:fill="FFFFFF"/>
        </w:rPr>
      </w:pPr>
      <w:r w:rsidRPr="00C40154">
        <w:rPr>
          <w:rFonts w:ascii="Times" w:hAnsi="Times" w:cs="Times New Roman"/>
        </w:rPr>
        <w:t xml:space="preserve">To explore whether crime type had an effect on the group differences observed in </w:t>
      </w:r>
      <w:r w:rsidRPr="00C40154">
        <w:rPr>
          <w:rFonts w:ascii="Times" w:eastAsia="Times New Roman" w:hAnsi="Times" w:cs="Arial"/>
          <w:shd w:val="clear" w:color="auto" w:fill="FFFFFF"/>
        </w:rPr>
        <w:t xml:space="preserve">harm severity ratings </w:t>
      </w:r>
      <w:r w:rsidRPr="00C40154">
        <w:rPr>
          <w:rFonts w:ascii="Times" w:eastAsia="Times New Roman" w:hAnsi="Times" w:cs="Times New Roman"/>
          <w:bCs/>
        </w:rPr>
        <w:t>for accidental scenarios,</w:t>
      </w:r>
      <w:r w:rsidRPr="00C40154">
        <w:rPr>
          <w:rFonts w:ascii="Times" w:eastAsia="Times New Roman" w:hAnsi="Times" w:cs="Arial"/>
          <w:shd w:val="clear" w:color="auto" w:fill="FFFFFF"/>
        </w:rPr>
        <w:t xml:space="preserve"> we conducted a </w:t>
      </w:r>
      <w:r w:rsidRPr="00C40154">
        <w:rPr>
          <w:rFonts w:ascii="Times" w:hAnsi="Times" w:cs="Minion Pro"/>
        </w:rPr>
        <w:t>3 × 3 x 2 ANOVA, with crime type (3) as a within-subject factor, and group (3) and language (2) as a between-subjects factor</w:t>
      </w:r>
      <w:r w:rsidRPr="00C40154">
        <w:rPr>
          <w:rFonts w:ascii="Times" w:eastAsia="Times New Roman" w:hAnsi="Times" w:cs="Arial"/>
          <w:shd w:val="clear" w:color="auto" w:fill="FFFFFF"/>
        </w:rPr>
        <w:t xml:space="preserve">. </w:t>
      </w:r>
      <w:r w:rsidRPr="00C40154">
        <w:rPr>
          <w:rFonts w:ascii="Times" w:hAnsi="Times" w:cs="Times New Roman"/>
        </w:rPr>
        <w:t>Across groups and language conditions (</w:t>
      </w:r>
      <w:r w:rsidRPr="00C40154">
        <w:rPr>
          <w:rFonts w:ascii="Times" w:hAnsi="Times" w:cs="Times New Roman"/>
          <w:i/>
        </w:rPr>
        <w:t>F</w:t>
      </w:r>
      <w:r w:rsidRPr="00C40154">
        <w:rPr>
          <w:rFonts w:ascii="Times" w:hAnsi="Times" w:cs="Times New Roman"/>
          <w:i/>
          <w:vertAlign w:val="subscript"/>
        </w:rPr>
        <w:t>2,328</w:t>
      </w:r>
      <w:r w:rsidRPr="00C40154">
        <w:rPr>
          <w:rFonts w:ascii="Times" w:hAnsi="Times" w:cs="Times New Roman"/>
          <w:vertAlign w:val="subscript"/>
        </w:rPr>
        <w:t xml:space="preserve"> </w:t>
      </w:r>
      <w:r w:rsidRPr="00C40154">
        <w:rPr>
          <w:rFonts w:ascii="Times" w:hAnsi="Times" w:cs="Times New Roman"/>
        </w:rPr>
        <w:t xml:space="preserve">= 6.84, </w:t>
      </w:r>
      <w:r w:rsidRPr="00C40154">
        <w:rPr>
          <w:rFonts w:ascii="Times" w:hAnsi="Times" w:cs="Times New Roman"/>
          <w:i/>
        </w:rPr>
        <w:t xml:space="preserve">p </w:t>
      </w:r>
      <w:r w:rsidRPr="00C40154">
        <w:rPr>
          <w:rFonts w:ascii="Times" w:hAnsi="Times" w:cs="Times New Roman"/>
        </w:rPr>
        <w:t>= 0.001, η</w:t>
      </w:r>
      <w:r w:rsidRPr="00C40154">
        <w:rPr>
          <w:rFonts w:ascii="Times" w:hAnsi="Times" w:cs="Times New Roman"/>
          <w:vertAlign w:val="superscript"/>
        </w:rPr>
        <w:t xml:space="preserve">2 </w:t>
      </w:r>
      <w:r w:rsidRPr="00C40154">
        <w:rPr>
          <w:rFonts w:ascii="Times" w:hAnsi="Times" w:cs="Times New Roman"/>
        </w:rPr>
        <w:t>= 0.23), participants assigned higher harm severity ratings to death compared to physical harm (</w:t>
      </w:r>
      <w:r w:rsidRPr="00C40154">
        <w:rPr>
          <w:rFonts w:ascii="Times" w:hAnsi="Times" w:cs="Times New Roman"/>
          <w:i/>
        </w:rPr>
        <w:t>p</w:t>
      </w:r>
      <w:r w:rsidRPr="00C40154">
        <w:rPr>
          <w:rFonts w:ascii="Times" w:hAnsi="Times" w:cs="Times New Roman"/>
        </w:rPr>
        <w:t xml:space="preserve"> = 0.05) and property damage (</w:t>
      </w:r>
      <w:r w:rsidRPr="00C40154">
        <w:rPr>
          <w:rFonts w:ascii="Times" w:hAnsi="Times" w:cs="Times New Roman"/>
          <w:i/>
        </w:rPr>
        <w:t>p</w:t>
      </w:r>
      <w:r w:rsidRPr="00C40154">
        <w:rPr>
          <w:rFonts w:ascii="Times" w:hAnsi="Times" w:cs="Times New Roman"/>
        </w:rPr>
        <w:t xml:space="preserve"> = 0.0006) scenarios. No difference was observed between ratings for physical harm and property damage scenarios (</w:t>
      </w:r>
      <w:r w:rsidRPr="00C40154">
        <w:rPr>
          <w:rFonts w:ascii="Times" w:hAnsi="Times" w:cs="Times New Roman"/>
          <w:i/>
        </w:rPr>
        <w:t>p</w:t>
      </w:r>
      <w:r w:rsidRPr="00C40154">
        <w:rPr>
          <w:rFonts w:ascii="Times" w:hAnsi="Times" w:cs="Times New Roman"/>
        </w:rPr>
        <w:t xml:space="preserve"> = 0.31). A significant main effect of group (</w:t>
      </w:r>
      <w:r w:rsidRPr="00C40154">
        <w:rPr>
          <w:rFonts w:ascii="Times" w:hAnsi="Times" w:cs="Times New Roman"/>
          <w:i/>
        </w:rPr>
        <w:t>F</w:t>
      </w:r>
      <w:r w:rsidRPr="00C40154">
        <w:rPr>
          <w:rFonts w:ascii="Times" w:hAnsi="Times" w:cs="Times New Roman"/>
          <w:i/>
          <w:vertAlign w:val="subscript"/>
        </w:rPr>
        <w:t>2,163</w:t>
      </w:r>
      <w:r w:rsidRPr="00C40154">
        <w:rPr>
          <w:rFonts w:ascii="Times" w:hAnsi="Times" w:cs="Times New Roman"/>
          <w:vertAlign w:val="subscript"/>
        </w:rPr>
        <w:t xml:space="preserve"> </w:t>
      </w:r>
      <w:r w:rsidRPr="00C40154">
        <w:rPr>
          <w:rFonts w:ascii="Times" w:hAnsi="Times" w:cs="Times New Roman"/>
        </w:rPr>
        <w:t xml:space="preserve">= 8.87, </w:t>
      </w:r>
      <w:r w:rsidRPr="00C40154">
        <w:rPr>
          <w:rFonts w:ascii="Times" w:hAnsi="Times" w:cs="Times New Roman"/>
          <w:i/>
        </w:rPr>
        <w:t xml:space="preserve">p </w:t>
      </w:r>
      <w:r w:rsidRPr="00C40154">
        <w:rPr>
          <w:rFonts w:ascii="Times" w:hAnsi="Times" w:cs="Times New Roman"/>
        </w:rPr>
        <w:t>= 0.0002, η</w:t>
      </w:r>
      <w:r w:rsidRPr="00C40154">
        <w:rPr>
          <w:rFonts w:ascii="Times" w:hAnsi="Times" w:cs="Times New Roman"/>
          <w:vertAlign w:val="superscript"/>
        </w:rPr>
        <w:t xml:space="preserve">2 </w:t>
      </w:r>
      <w:r w:rsidRPr="00C40154">
        <w:rPr>
          <w:rFonts w:ascii="Times" w:hAnsi="Times" w:cs="Times New Roman"/>
        </w:rPr>
        <w:t>= 0.09) revealed that judges (</w:t>
      </w:r>
      <w:r w:rsidRPr="00C40154">
        <w:rPr>
          <w:rFonts w:ascii="Times" w:hAnsi="Times" w:cs="Times New Roman"/>
          <w:i/>
        </w:rPr>
        <w:t xml:space="preserve">p </w:t>
      </w:r>
      <w:r w:rsidRPr="00C40154">
        <w:rPr>
          <w:rFonts w:ascii="Times" w:hAnsi="Times" w:cs="Times New Roman"/>
        </w:rPr>
        <w:t>= 0.00006) and attorneys (</w:t>
      </w:r>
      <w:r w:rsidRPr="00C40154">
        <w:rPr>
          <w:rFonts w:ascii="Times" w:hAnsi="Times" w:cs="Times New Roman"/>
          <w:i/>
        </w:rPr>
        <w:t>p</w:t>
      </w:r>
      <w:r w:rsidRPr="00C40154">
        <w:rPr>
          <w:rFonts w:ascii="Times" w:hAnsi="Times" w:cs="Times New Roman"/>
        </w:rPr>
        <w:t xml:space="preserve"> = 0.02) assigned significantly lower severity harm ratings to accidental harmful actions than did controls. Judges and attorneys did not differ in their harm severity ratings for the accidental condition (</w:t>
      </w:r>
      <w:r w:rsidRPr="00C40154">
        <w:rPr>
          <w:rFonts w:ascii="Times" w:hAnsi="Times" w:cs="Times New Roman"/>
          <w:i/>
        </w:rPr>
        <w:t>p</w:t>
      </w:r>
      <w:r w:rsidRPr="00C40154">
        <w:rPr>
          <w:rFonts w:ascii="Times" w:hAnsi="Times" w:cs="Times New Roman"/>
        </w:rPr>
        <w:t xml:space="preserve"> = 0.15).</w:t>
      </w:r>
    </w:p>
    <w:p w14:paraId="754F4D00" w14:textId="77777777" w:rsidR="00C40154" w:rsidRPr="00C40154" w:rsidRDefault="00C40154" w:rsidP="007129E4">
      <w:pPr>
        <w:jc w:val="both"/>
        <w:rPr>
          <w:rFonts w:ascii="Times" w:eastAsia="Times New Roman" w:hAnsi="Times" w:cs="Arial"/>
          <w:shd w:val="clear" w:color="auto" w:fill="FFFFFF"/>
        </w:rPr>
      </w:pPr>
    </w:p>
    <w:p w14:paraId="7E49F680" w14:textId="77777777" w:rsidR="00C40154" w:rsidRPr="00C40154" w:rsidRDefault="00C40154" w:rsidP="007129E4">
      <w:pPr>
        <w:jc w:val="both"/>
        <w:rPr>
          <w:rFonts w:ascii="Times" w:hAnsi="Times" w:cs="Times New Roman"/>
        </w:rPr>
      </w:pPr>
      <w:r w:rsidRPr="00C40154">
        <w:rPr>
          <w:rFonts w:ascii="Times" w:hAnsi="Times" w:cs="Times New Roman"/>
        </w:rPr>
        <w:lastRenderedPageBreak/>
        <w:t>There were no significant interactions between crime type and either group (</w:t>
      </w:r>
      <w:r w:rsidRPr="00C40154">
        <w:rPr>
          <w:rFonts w:ascii="Times" w:hAnsi="Times" w:cs="Times New Roman"/>
          <w:i/>
        </w:rPr>
        <w:t>F</w:t>
      </w:r>
      <w:r w:rsidRPr="00C40154">
        <w:rPr>
          <w:rFonts w:ascii="Times" w:hAnsi="Times" w:cs="Times New Roman"/>
          <w:i/>
          <w:vertAlign w:val="subscript"/>
        </w:rPr>
        <w:t>4,328</w:t>
      </w:r>
      <w:r w:rsidRPr="00C40154">
        <w:rPr>
          <w:rFonts w:ascii="Times" w:hAnsi="Times" w:cs="Times New Roman"/>
          <w:vertAlign w:val="subscript"/>
        </w:rPr>
        <w:t xml:space="preserve"> </w:t>
      </w:r>
      <w:r w:rsidRPr="00C40154">
        <w:rPr>
          <w:rFonts w:ascii="Times" w:hAnsi="Times" w:cs="Times New Roman"/>
        </w:rPr>
        <w:t xml:space="preserve">= 1.17, </w:t>
      </w:r>
      <w:r w:rsidRPr="00C40154">
        <w:rPr>
          <w:rFonts w:ascii="Times" w:hAnsi="Times" w:cs="Times New Roman"/>
          <w:i/>
        </w:rPr>
        <w:t xml:space="preserve">p </w:t>
      </w:r>
      <w:r w:rsidRPr="00C40154">
        <w:rPr>
          <w:rFonts w:ascii="Times" w:hAnsi="Times" w:cs="Times New Roman"/>
        </w:rPr>
        <w:t>= 0.32, η</w:t>
      </w:r>
      <w:r w:rsidRPr="00C40154">
        <w:rPr>
          <w:rFonts w:ascii="Times" w:hAnsi="Times" w:cs="Times New Roman"/>
          <w:vertAlign w:val="superscript"/>
        </w:rPr>
        <w:t xml:space="preserve">2 </w:t>
      </w:r>
      <w:r w:rsidRPr="00C40154">
        <w:rPr>
          <w:rFonts w:ascii="Times" w:hAnsi="Times" w:cs="Times New Roman"/>
        </w:rPr>
        <w:t>= 0.01) or language (</w:t>
      </w:r>
      <w:r w:rsidRPr="00C40154">
        <w:rPr>
          <w:rFonts w:ascii="Times" w:hAnsi="Times" w:cs="Times New Roman"/>
          <w:i/>
        </w:rPr>
        <w:t>F</w:t>
      </w:r>
      <w:r w:rsidRPr="00C40154">
        <w:rPr>
          <w:rFonts w:ascii="Times" w:hAnsi="Times" w:cs="Times New Roman"/>
          <w:i/>
          <w:vertAlign w:val="subscript"/>
        </w:rPr>
        <w:t>2,328</w:t>
      </w:r>
      <w:r w:rsidRPr="00C40154">
        <w:rPr>
          <w:rFonts w:ascii="Times" w:hAnsi="Times" w:cs="Times New Roman"/>
          <w:vertAlign w:val="subscript"/>
        </w:rPr>
        <w:t xml:space="preserve"> </w:t>
      </w:r>
      <w:r w:rsidRPr="00C40154">
        <w:rPr>
          <w:rFonts w:ascii="Times" w:hAnsi="Times" w:cs="Times New Roman"/>
        </w:rPr>
        <w:t xml:space="preserve">= 2.62, </w:t>
      </w:r>
      <w:r w:rsidRPr="00C40154">
        <w:rPr>
          <w:rFonts w:ascii="Times" w:hAnsi="Times" w:cs="Times New Roman"/>
          <w:i/>
        </w:rPr>
        <w:t xml:space="preserve">p </w:t>
      </w:r>
      <w:r w:rsidRPr="00C40154">
        <w:rPr>
          <w:rFonts w:ascii="Times" w:hAnsi="Times" w:cs="Times New Roman"/>
        </w:rPr>
        <w:t>= 0.08, η</w:t>
      </w:r>
      <w:r w:rsidRPr="00C40154">
        <w:rPr>
          <w:rFonts w:ascii="Times" w:hAnsi="Times" w:cs="Times New Roman"/>
          <w:vertAlign w:val="superscript"/>
        </w:rPr>
        <w:t xml:space="preserve">2 </w:t>
      </w:r>
      <w:r w:rsidRPr="00C40154">
        <w:rPr>
          <w:rFonts w:ascii="Times" w:hAnsi="Times" w:cs="Times New Roman"/>
        </w:rPr>
        <w:t xml:space="preserve">= 0.01). </w:t>
      </w:r>
    </w:p>
    <w:p w14:paraId="2CFDD319" w14:textId="77777777" w:rsidR="005C4841" w:rsidRPr="00C40154" w:rsidRDefault="005C4841" w:rsidP="00BD7936">
      <w:pPr>
        <w:jc w:val="both"/>
        <w:rPr>
          <w:rFonts w:ascii="Times" w:hAnsi="Times" w:cs="Times New Roman"/>
        </w:rPr>
      </w:pPr>
    </w:p>
    <w:p w14:paraId="480874D4" w14:textId="77777777" w:rsidR="00C40154" w:rsidRPr="00C40154" w:rsidRDefault="00C40154" w:rsidP="00BD7936">
      <w:pPr>
        <w:jc w:val="both"/>
        <w:rPr>
          <w:rFonts w:ascii="Times" w:hAnsi="Times" w:cs="Times New Roman"/>
        </w:rPr>
      </w:pPr>
    </w:p>
    <w:tbl>
      <w:tblPr>
        <w:tblW w:w="5259" w:type="pct"/>
        <w:tblLayout w:type="fixed"/>
        <w:tblCellMar>
          <w:left w:w="70" w:type="dxa"/>
          <w:right w:w="70" w:type="dxa"/>
        </w:tblCellMar>
        <w:tblLook w:val="04A0" w:firstRow="1" w:lastRow="0" w:firstColumn="1" w:lastColumn="0" w:noHBand="0" w:noVBand="1"/>
      </w:tblPr>
      <w:tblGrid>
        <w:gridCol w:w="1516"/>
        <w:gridCol w:w="2114"/>
        <w:gridCol w:w="1578"/>
        <w:gridCol w:w="1584"/>
        <w:gridCol w:w="1712"/>
        <w:gridCol w:w="792"/>
      </w:tblGrid>
      <w:tr w:rsidR="00C40154" w:rsidRPr="00C40154" w14:paraId="70830FB9" w14:textId="77777777" w:rsidTr="00A07177">
        <w:trPr>
          <w:trHeight w:val="300"/>
        </w:trPr>
        <w:tc>
          <w:tcPr>
            <w:tcW w:w="5000" w:type="pct"/>
            <w:gridSpan w:val="6"/>
            <w:tcBorders>
              <w:top w:val="nil"/>
              <w:left w:val="nil"/>
              <w:bottom w:val="nil"/>
              <w:right w:val="nil"/>
            </w:tcBorders>
            <w:shd w:val="clear" w:color="auto" w:fill="auto"/>
            <w:noWrap/>
            <w:vAlign w:val="center"/>
            <w:hideMark/>
          </w:tcPr>
          <w:p w14:paraId="0776B825" w14:textId="77777777" w:rsidR="00C40154" w:rsidRPr="00C40154" w:rsidRDefault="00C40154" w:rsidP="00A07177">
            <w:pPr>
              <w:jc w:val="both"/>
              <w:rPr>
                <w:rFonts w:ascii="Times" w:eastAsia="Times New Roman" w:hAnsi="Times" w:cs="Times New Roman"/>
                <w:b/>
                <w:bCs/>
              </w:rPr>
            </w:pPr>
            <w:r w:rsidRPr="00C40154">
              <w:rPr>
                <w:rFonts w:ascii="Times" w:eastAsia="Times New Roman" w:hAnsi="Times" w:cs="Times New Roman"/>
                <w:b/>
                <w:bCs/>
              </w:rPr>
              <w:t>Table S1.</w:t>
            </w:r>
            <w:r w:rsidRPr="00C40154">
              <w:rPr>
                <w:rFonts w:ascii="Times" w:eastAsia="Times New Roman" w:hAnsi="Times" w:cs="Times New Roman"/>
              </w:rPr>
              <w:t xml:space="preserve"> Demographic data, global cognitive state, executive functions assessment.</w:t>
            </w:r>
          </w:p>
        </w:tc>
      </w:tr>
      <w:tr w:rsidR="00C40154" w:rsidRPr="00C40154" w14:paraId="4A9A5508" w14:textId="77777777" w:rsidTr="00A07177">
        <w:trPr>
          <w:trHeight w:val="320"/>
        </w:trPr>
        <w:tc>
          <w:tcPr>
            <w:tcW w:w="5000" w:type="pct"/>
            <w:gridSpan w:val="6"/>
            <w:tcBorders>
              <w:top w:val="nil"/>
              <w:left w:val="nil"/>
              <w:bottom w:val="single" w:sz="8" w:space="0" w:color="auto"/>
              <w:right w:val="nil"/>
            </w:tcBorders>
            <w:shd w:val="clear" w:color="auto" w:fill="auto"/>
            <w:noWrap/>
            <w:vAlign w:val="center"/>
            <w:hideMark/>
          </w:tcPr>
          <w:p w14:paraId="6EFF1375" w14:textId="77777777" w:rsidR="00C40154" w:rsidRPr="00C40154" w:rsidRDefault="00C40154" w:rsidP="00A07177">
            <w:pPr>
              <w:jc w:val="both"/>
              <w:rPr>
                <w:rFonts w:ascii="Times" w:eastAsia="Times New Roman" w:hAnsi="Times" w:cs="Times New Roman"/>
              </w:rPr>
            </w:pPr>
            <w:r w:rsidRPr="00C40154">
              <w:rPr>
                <w:rFonts w:ascii="Times" w:eastAsia="Times New Roman" w:hAnsi="Times" w:cs="Times New Roman"/>
              </w:rPr>
              <w:t xml:space="preserve"> </w:t>
            </w:r>
          </w:p>
        </w:tc>
      </w:tr>
      <w:tr w:rsidR="00C40154" w:rsidRPr="00C40154" w14:paraId="1528C9FD" w14:textId="77777777" w:rsidTr="00A07177">
        <w:trPr>
          <w:trHeight w:val="324"/>
        </w:trPr>
        <w:tc>
          <w:tcPr>
            <w:tcW w:w="815" w:type="pct"/>
            <w:tcBorders>
              <w:top w:val="nil"/>
              <w:left w:val="nil"/>
              <w:bottom w:val="nil"/>
              <w:right w:val="nil"/>
            </w:tcBorders>
            <w:shd w:val="clear" w:color="auto" w:fill="auto"/>
            <w:noWrap/>
            <w:hideMark/>
          </w:tcPr>
          <w:p w14:paraId="1DBCF28B" w14:textId="77777777" w:rsidR="00C40154" w:rsidRPr="00C40154" w:rsidRDefault="00C40154" w:rsidP="00A07177">
            <w:pPr>
              <w:rPr>
                <w:rFonts w:ascii="Times" w:eastAsia="Times New Roman" w:hAnsi="Times" w:cs="Times New Roman"/>
                <w:sz w:val="22"/>
              </w:rPr>
            </w:pPr>
          </w:p>
        </w:tc>
        <w:tc>
          <w:tcPr>
            <w:tcW w:w="1137" w:type="pct"/>
            <w:tcBorders>
              <w:top w:val="nil"/>
              <w:left w:val="nil"/>
              <w:bottom w:val="nil"/>
              <w:right w:val="nil"/>
            </w:tcBorders>
            <w:shd w:val="clear" w:color="auto" w:fill="auto"/>
            <w:noWrap/>
            <w:hideMark/>
          </w:tcPr>
          <w:p w14:paraId="74B181C7" w14:textId="77777777" w:rsidR="00C40154" w:rsidRPr="00C40154" w:rsidRDefault="00C40154" w:rsidP="00A07177">
            <w:pPr>
              <w:rPr>
                <w:rFonts w:ascii="Times" w:eastAsia="Times New Roman" w:hAnsi="Times" w:cs="Times New Roman"/>
                <w:sz w:val="22"/>
              </w:rPr>
            </w:pPr>
          </w:p>
        </w:tc>
        <w:tc>
          <w:tcPr>
            <w:tcW w:w="849" w:type="pct"/>
            <w:tcBorders>
              <w:top w:val="nil"/>
              <w:left w:val="nil"/>
              <w:bottom w:val="nil"/>
              <w:right w:val="nil"/>
            </w:tcBorders>
            <w:shd w:val="clear" w:color="auto" w:fill="auto"/>
            <w:noWrap/>
            <w:vAlign w:val="center"/>
            <w:hideMark/>
          </w:tcPr>
          <w:p w14:paraId="58CCB3D7"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Attorneys</w:t>
            </w:r>
          </w:p>
        </w:tc>
        <w:tc>
          <w:tcPr>
            <w:tcW w:w="852" w:type="pct"/>
            <w:tcBorders>
              <w:top w:val="nil"/>
              <w:left w:val="nil"/>
              <w:bottom w:val="nil"/>
              <w:right w:val="nil"/>
            </w:tcBorders>
            <w:shd w:val="clear" w:color="auto" w:fill="auto"/>
            <w:noWrap/>
            <w:vAlign w:val="center"/>
            <w:hideMark/>
          </w:tcPr>
          <w:p w14:paraId="401C2562"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Controls</w:t>
            </w:r>
          </w:p>
        </w:tc>
        <w:tc>
          <w:tcPr>
            <w:tcW w:w="921" w:type="pct"/>
            <w:tcBorders>
              <w:top w:val="nil"/>
              <w:left w:val="nil"/>
              <w:bottom w:val="nil"/>
              <w:right w:val="nil"/>
            </w:tcBorders>
            <w:shd w:val="clear" w:color="auto" w:fill="auto"/>
            <w:noWrap/>
            <w:vAlign w:val="center"/>
            <w:hideMark/>
          </w:tcPr>
          <w:p w14:paraId="12D2F81F"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Judges</w:t>
            </w:r>
          </w:p>
        </w:tc>
        <w:tc>
          <w:tcPr>
            <w:tcW w:w="427" w:type="pct"/>
            <w:tcBorders>
              <w:top w:val="nil"/>
              <w:left w:val="nil"/>
              <w:bottom w:val="nil"/>
              <w:right w:val="nil"/>
            </w:tcBorders>
            <w:shd w:val="clear" w:color="auto" w:fill="auto"/>
            <w:noWrap/>
            <w:hideMark/>
          </w:tcPr>
          <w:p w14:paraId="428576BB" w14:textId="77777777" w:rsidR="00C40154" w:rsidRPr="00C40154" w:rsidRDefault="00C40154" w:rsidP="00A07177">
            <w:pPr>
              <w:rPr>
                <w:rFonts w:ascii="Times" w:eastAsia="Times New Roman" w:hAnsi="Times" w:cs="Times New Roman"/>
                <w:sz w:val="22"/>
              </w:rPr>
            </w:pPr>
          </w:p>
        </w:tc>
      </w:tr>
      <w:tr w:rsidR="00C40154" w:rsidRPr="00C40154" w14:paraId="0CD2F31E" w14:textId="77777777" w:rsidTr="00A07177">
        <w:trPr>
          <w:trHeight w:val="300"/>
        </w:trPr>
        <w:tc>
          <w:tcPr>
            <w:tcW w:w="815" w:type="pct"/>
            <w:tcBorders>
              <w:top w:val="nil"/>
              <w:left w:val="nil"/>
              <w:bottom w:val="nil"/>
              <w:right w:val="nil"/>
            </w:tcBorders>
            <w:shd w:val="clear" w:color="auto" w:fill="auto"/>
            <w:noWrap/>
            <w:hideMark/>
          </w:tcPr>
          <w:p w14:paraId="58D9B185" w14:textId="77777777" w:rsidR="00C40154" w:rsidRPr="00C40154" w:rsidRDefault="00C40154" w:rsidP="00A07177">
            <w:pPr>
              <w:rPr>
                <w:rFonts w:ascii="Times" w:eastAsia="Times New Roman" w:hAnsi="Times" w:cs="Times New Roman"/>
                <w:sz w:val="22"/>
              </w:rPr>
            </w:pPr>
          </w:p>
        </w:tc>
        <w:tc>
          <w:tcPr>
            <w:tcW w:w="1137" w:type="pct"/>
            <w:tcBorders>
              <w:top w:val="nil"/>
              <w:left w:val="nil"/>
              <w:bottom w:val="nil"/>
              <w:right w:val="nil"/>
            </w:tcBorders>
            <w:shd w:val="clear" w:color="auto" w:fill="auto"/>
            <w:noWrap/>
            <w:hideMark/>
          </w:tcPr>
          <w:p w14:paraId="327C2784" w14:textId="77777777" w:rsidR="00C40154" w:rsidRPr="00C40154" w:rsidRDefault="00C40154" w:rsidP="00A07177">
            <w:pPr>
              <w:rPr>
                <w:rFonts w:ascii="Times" w:eastAsia="Times New Roman" w:hAnsi="Times" w:cs="Times New Roman"/>
                <w:sz w:val="22"/>
              </w:rPr>
            </w:pPr>
          </w:p>
        </w:tc>
        <w:tc>
          <w:tcPr>
            <w:tcW w:w="849" w:type="pct"/>
            <w:tcBorders>
              <w:top w:val="nil"/>
              <w:left w:val="nil"/>
              <w:bottom w:val="nil"/>
              <w:right w:val="nil"/>
            </w:tcBorders>
            <w:shd w:val="clear" w:color="auto" w:fill="auto"/>
            <w:noWrap/>
            <w:vAlign w:val="center"/>
            <w:hideMark/>
          </w:tcPr>
          <w:p w14:paraId="6004B184"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w:t>
            </w:r>
            <w:r w:rsidRPr="00C40154">
              <w:rPr>
                <w:rFonts w:ascii="Times" w:eastAsia="Times New Roman" w:hAnsi="Times" w:cs="Times New Roman"/>
                <w:b/>
                <w:bCs/>
                <w:i/>
                <w:iCs/>
                <w:sz w:val="22"/>
              </w:rPr>
              <w:t>N</w:t>
            </w:r>
            <w:r w:rsidRPr="00C40154">
              <w:rPr>
                <w:rFonts w:ascii="Times" w:eastAsia="Times New Roman" w:hAnsi="Times" w:cs="Times New Roman"/>
                <w:b/>
                <w:bCs/>
                <w:sz w:val="22"/>
              </w:rPr>
              <w:t xml:space="preserve"> = 30)</w:t>
            </w:r>
          </w:p>
        </w:tc>
        <w:tc>
          <w:tcPr>
            <w:tcW w:w="852" w:type="pct"/>
            <w:tcBorders>
              <w:top w:val="nil"/>
              <w:left w:val="nil"/>
              <w:bottom w:val="nil"/>
              <w:right w:val="nil"/>
            </w:tcBorders>
            <w:shd w:val="clear" w:color="auto" w:fill="auto"/>
            <w:noWrap/>
            <w:vAlign w:val="center"/>
            <w:hideMark/>
          </w:tcPr>
          <w:p w14:paraId="2F1B087E"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w:t>
            </w:r>
            <w:r w:rsidRPr="00C40154">
              <w:rPr>
                <w:rFonts w:ascii="Times" w:eastAsia="Times New Roman" w:hAnsi="Times" w:cs="Times New Roman"/>
                <w:b/>
                <w:bCs/>
                <w:i/>
                <w:iCs/>
                <w:sz w:val="22"/>
              </w:rPr>
              <w:t>N</w:t>
            </w:r>
            <w:r w:rsidRPr="00C40154">
              <w:rPr>
                <w:rFonts w:ascii="Times" w:eastAsia="Times New Roman" w:hAnsi="Times" w:cs="Times New Roman"/>
                <w:b/>
                <w:bCs/>
                <w:sz w:val="22"/>
              </w:rPr>
              <w:t xml:space="preserve"> = 27)</w:t>
            </w:r>
          </w:p>
        </w:tc>
        <w:tc>
          <w:tcPr>
            <w:tcW w:w="921" w:type="pct"/>
            <w:tcBorders>
              <w:top w:val="nil"/>
              <w:left w:val="nil"/>
              <w:bottom w:val="nil"/>
              <w:right w:val="nil"/>
            </w:tcBorders>
            <w:shd w:val="clear" w:color="auto" w:fill="auto"/>
            <w:noWrap/>
            <w:vAlign w:val="center"/>
            <w:hideMark/>
          </w:tcPr>
          <w:p w14:paraId="3B21A70F"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w:t>
            </w:r>
            <w:r w:rsidRPr="00C40154">
              <w:rPr>
                <w:rFonts w:ascii="Times" w:eastAsia="Times New Roman" w:hAnsi="Times" w:cs="Times New Roman"/>
                <w:b/>
                <w:bCs/>
                <w:i/>
                <w:iCs/>
                <w:sz w:val="22"/>
              </w:rPr>
              <w:t>N</w:t>
            </w:r>
            <w:r w:rsidRPr="00C40154">
              <w:rPr>
                <w:rFonts w:ascii="Times" w:eastAsia="Times New Roman" w:hAnsi="Times" w:cs="Times New Roman"/>
                <w:b/>
                <w:bCs/>
                <w:sz w:val="22"/>
              </w:rPr>
              <w:t xml:space="preserve"> = 29)</w:t>
            </w:r>
          </w:p>
        </w:tc>
        <w:tc>
          <w:tcPr>
            <w:tcW w:w="427" w:type="pct"/>
            <w:tcBorders>
              <w:top w:val="nil"/>
              <w:left w:val="nil"/>
              <w:bottom w:val="nil"/>
              <w:right w:val="nil"/>
            </w:tcBorders>
            <w:shd w:val="clear" w:color="auto" w:fill="auto"/>
            <w:noWrap/>
            <w:vAlign w:val="center"/>
            <w:hideMark/>
          </w:tcPr>
          <w:p w14:paraId="1512C9C3" w14:textId="77777777" w:rsidR="00C40154" w:rsidRPr="00C40154" w:rsidRDefault="00C40154" w:rsidP="00A07177">
            <w:pPr>
              <w:jc w:val="center"/>
              <w:rPr>
                <w:rFonts w:ascii="Times" w:eastAsia="Times New Roman" w:hAnsi="Times" w:cs="Times New Roman"/>
                <w:b/>
                <w:bCs/>
                <w:i/>
                <w:iCs/>
                <w:sz w:val="22"/>
              </w:rPr>
            </w:pPr>
            <w:r w:rsidRPr="00C40154">
              <w:rPr>
                <w:rFonts w:ascii="Times" w:eastAsia="Times New Roman" w:hAnsi="Times" w:cs="Times New Roman"/>
                <w:b/>
                <w:bCs/>
                <w:i/>
                <w:iCs/>
                <w:sz w:val="22"/>
              </w:rPr>
              <w:t>p</w:t>
            </w:r>
          </w:p>
        </w:tc>
      </w:tr>
      <w:tr w:rsidR="00C40154" w:rsidRPr="00C40154" w14:paraId="2AAE39B4" w14:textId="77777777" w:rsidTr="00A07177">
        <w:trPr>
          <w:trHeight w:val="320"/>
        </w:trPr>
        <w:tc>
          <w:tcPr>
            <w:tcW w:w="815" w:type="pct"/>
            <w:tcBorders>
              <w:top w:val="nil"/>
              <w:left w:val="nil"/>
              <w:bottom w:val="single" w:sz="8" w:space="0" w:color="auto"/>
              <w:right w:val="nil"/>
            </w:tcBorders>
            <w:shd w:val="clear" w:color="auto" w:fill="auto"/>
            <w:noWrap/>
            <w:hideMark/>
          </w:tcPr>
          <w:p w14:paraId="13C57EFF"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w:t>
            </w:r>
          </w:p>
        </w:tc>
        <w:tc>
          <w:tcPr>
            <w:tcW w:w="1137" w:type="pct"/>
            <w:tcBorders>
              <w:top w:val="nil"/>
              <w:left w:val="nil"/>
              <w:bottom w:val="single" w:sz="8" w:space="0" w:color="auto"/>
              <w:right w:val="nil"/>
            </w:tcBorders>
            <w:shd w:val="clear" w:color="auto" w:fill="auto"/>
            <w:noWrap/>
            <w:hideMark/>
          </w:tcPr>
          <w:p w14:paraId="1AA5BFD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w:t>
            </w:r>
          </w:p>
        </w:tc>
        <w:tc>
          <w:tcPr>
            <w:tcW w:w="849" w:type="pct"/>
            <w:tcBorders>
              <w:top w:val="nil"/>
              <w:left w:val="nil"/>
              <w:bottom w:val="single" w:sz="8" w:space="0" w:color="auto"/>
              <w:right w:val="nil"/>
            </w:tcBorders>
            <w:shd w:val="clear" w:color="auto" w:fill="auto"/>
            <w:noWrap/>
            <w:vAlign w:val="center"/>
            <w:hideMark/>
          </w:tcPr>
          <w:p w14:paraId="63BDBF0C"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Mean [95%CI]</w:t>
            </w:r>
          </w:p>
        </w:tc>
        <w:tc>
          <w:tcPr>
            <w:tcW w:w="852" w:type="pct"/>
            <w:tcBorders>
              <w:top w:val="nil"/>
              <w:left w:val="nil"/>
              <w:bottom w:val="single" w:sz="8" w:space="0" w:color="auto"/>
              <w:right w:val="nil"/>
            </w:tcBorders>
            <w:shd w:val="clear" w:color="auto" w:fill="auto"/>
            <w:noWrap/>
            <w:vAlign w:val="center"/>
            <w:hideMark/>
          </w:tcPr>
          <w:p w14:paraId="015719B0"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Mean [95%CI]</w:t>
            </w:r>
          </w:p>
        </w:tc>
        <w:tc>
          <w:tcPr>
            <w:tcW w:w="921" w:type="pct"/>
            <w:tcBorders>
              <w:top w:val="nil"/>
              <w:left w:val="nil"/>
              <w:bottom w:val="single" w:sz="8" w:space="0" w:color="auto"/>
              <w:right w:val="nil"/>
            </w:tcBorders>
            <w:shd w:val="clear" w:color="auto" w:fill="auto"/>
            <w:noWrap/>
            <w:vAlign w:val="center"/>
            <w:hideMark/>
          </w:tcPr>
          <w:p w14:paraId="05811EC0"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Mean [95%CI]</w:t>
            </w:r>
          </w:p>
        </w:tc>
        <w:tc>
          <w:tcPr>
            <w:tcW w:w="427" w:type="pct"/>
            <w:tcBorders>
              <w:top w:val="nil"/>
              <w:left w:val="nil"/>
              <w:bottom w:val="single" w:sz="8" w:space="0" w:color="auto"/>
              <w:right w:val="nil"/>
            </w:tcBorders>
            <w:shd w:val="clear" w:color="auto" w:fill="auto"/>
            <w:noWrap/>
            <w:vAlign w:val="center"/>
            <w:hideMark/>
          </w:tcPr>
          <w:p w14:paraId="45856CDD"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Values</w:t>
            </w:r>
          </w:p>
        </w:tc>
      </w:tr>
      <w:tr w:rsidR="00C40154" w:rsidRPr="00C40154" w14:paraId="6E25A80A" w14:textId="77777777" w:rsidTr="00A07177">
        <w:trPr>
          <w:trHeight w:val="300"/>
        </w:trPr>
        <w:tc>
          <w:tcPr>
            <w:tcW w:w="815" w:type="pct"/>
            <w:vMerge w:val="restart"/>
            <w:tcBorders>
              <w:top w:val="nil"/>
              <w:left w:val="nil"/>
              <w:bottom w:val="single" w:sz="8" w:space="0" w:color="000000"/>
              <w:right w:val="nil"/>
            </w:tcBorders>
            <w:shd w:val="clear" w:color="auto" w:fill="auto"/>
            <w:noWrap/>
            <w:vAlign w:val="center"/>
            <w:hideMark/>
          </w:tcPr>
          <w:p w14:paraId="78E879B1"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Demographics</w:t>
            </w:r>
          </w:p>
        </w:tc>
        <w:tc>
          <w:tcPr>
            <w:tcW w:w="1137" w:type="pct"/>
            <w:tcBorders>
              <w:top w:val="nil"/>
              <w:left w:val="nil"/>
              <w:bottom w:val="nil"/>
              <w:right w:val="nil"/>
            </w:tcBorders>
            <w:shd w:val="clear" w:color="auto" w:fill="auto"/>
            <w:noWrap/>
            <w:vAlign w:val="center"/>
            <w:hideMark/>
          </w:tcPr>
          <w:p w14:paraId="09916A3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Age (years)</w:t>
            </w:r>
          </w:p>
        </w:tc>
        <w:tc>
          <w:tcPr>
            <w:tcW w:w="849" w:type="pct"/>
            <w:tcBorders>
              <w:top w:val="nil"/>
              <w:left w:val="nil"/>
              <w:bottom w:val="nil"/>
              <w:right w:val="nil"/>
            </w:tcBorders>
            <w:shd w:val="clear" w:color="auto" w:fill="auto"/>
            <w:noWrap/>
            <w:vAlign w:val="center"/>
            <w:hideMark/>
          </w:tcPr>
          <w:p w14:paraId="2AA3D369"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xml:space="preserve">35.7 [31.6, 39.8] </w:t>
            </w:r>
            <w:r w:rsidRPr="00C40154">
              <w:rPr>
                <w:rFonts w:ascii="Times" w:eastAsia="Times New Roman" w:hAnsi="Times" w:cs="Times New Roman"/>
                <w:b/>
                <w:bCs/>
                <w:sz w:val="22"/>
                <w:vertAlign w:val="superscript"/>
              </w:rPr>
              <w:t>a</w:t>
            </w:r>
          </w:p>
        </w:tc>
        <w:tc>
          <w:tcPr>
            <w:tcW w:w="852" w:type="pct"/>
            <w:tcBorders>
              <w:top w:val="nil"/>
              <w:left w:val="nil"/>
              <w:bottom w:val="nil"/>
              <w:right w:val="nil"/>
            </w:tcBorders>
            <w:shd w:val="clear" w:color="auto" w:fill="auto"/>
            <w:noWrap/>
            <w:vAlign w:val="center"/>
            <w:hideMark/>
          </w:tcPr>
          <w:p w14:paraId="69F2356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42.4 [37.8, 47.0]</w:t>
            </w:r>
            <w:r w:rsidRPr="00C40154">
              <w:rPr>
                <w:rFonts w:ascii="Times" w:eastAsia="Times New Roman" w:hAnsi="Times" w:cs="Times New Roman"/>
                <w:b/>
                <w:bCs/>
                <w:sz w:val="22"/>
                <w:vertAlign w:val="superscript"/>
              </w:rPr>
              <w:t xml:space="preserve"> </w:t>
            </w:r>
          </w:p>
        </w:tc>
        <w:tc>
          <w:tcPr>
            <w:tcW w:w="921" w:type="pct"/>
            <w:tcBorders>
              <w:top w:val="nil"/>
              <w:left w:val="nil"/>
              <w:bottom w:val="nil"/>
              <w:right w:val="nil"/>
            </w:tcBorders>
            <w:shd w:val="clear" w:color="auto" w:fill="auto"/>
            <w:noWrap/>
            <w:vAlign w:val="center"/>
            <w:hideMark/>
          </w:tcPr>
          <w:p w14:paraId="0BF80E49"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45.86 [42.3, 49.5]</w:t>
            </w:r>
          </w:p>
        </w:tc>
        <w:tc>
          <w:tcPr>
            <w:tcW w:w="427" w:type="pct"/>
            <w:tcBorders>
              <w:top w:val="nil"/>
              <w:left w:val="nil"/>
              <w:bottom w:val="nil"/>
              <w:right w:val="nil"/>
            </w:tcBorders>
            <w:shd w:val="clear" w:color="auto" w:fill="auto"/>
            <w:noWrap/>
            <w:vAlign w:val="center"/>
            <w:hideMark/>
          </w:tcPr>
          <w:p w14:paraId="4648B3C7" w14:textId="77777777" w:rsidR="00C40154" w:rsidRPr="00C40154" w:rsidRDefault="00C40154" w:rsidP="00A07177">
            <w:pPr>
              <w:ind w:left="116" w:right="-82" w:hanging="141"/>
              <w:rPr>
                <w:rFonts w:ascii="Times" w:eastAsia="Times New Roman" w:hAnsi="Times" w:cs="Times New Roman"/>
                <w:sz w:val="22"/>
              </w:rPr>
            </w:pPr>
            <w:r w:rsidRPr="00C40154">
              <w:rPr>
                <w:rFonts w:ascii="Times" w:eastAsia="Times New Roman" w:hAnsi="Times" w:cs="Times New Roman"/>
                <w:sz w:val="22"/>
              </w:rPr>
              <w:t>0.00***</w:t>
            </w:r>
          </w:p>
        </w:tc>
      </w:tr>
      <w:tr w:rsidR="00C40154" w:rsidRPr="00C40154" w14:paraId="340BEA64" w14:textId="77777777" w:rsidTr="00A07177">
        <w:trPr>
          <w:trHeight w:val="300"/>
        </w:trPr>
        <w:tc>
          <w:tcPr>
            <w:tcW w:w="815" w:type="pct"/>
            <w:vMerge/>
            <w:tcBorders>
              <w:top w:val="nil"/>
              <w:left w:val="nil"/>
              <w:bottom w:val="single" w:sz="8" w:space="0" w:color="000000"/>
              <w:right w:val="nil"/>
            </w:tcBorders>
            <w:vAlign w:val="center"/>
            <w:hideMark/>
          </w:tcPr>
          <w:p w14:paraId="35AC842A"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365714E7"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Gender (M:F)</w:t>
            </w:r>
          </w:p>
        </w:tc>
        <w:tc>
          <w:tcPr>
            <w:tcW w:w="849" w:type="pct"/>
            <w:tcBorders>
              <w:top w:val="nil"/>
              <w:left w:val="nil"/>
              <w:bottom w:val="nil"/>
              <w:right w:val="nil"/>
            </w:tcBorders>
            <w:shd w:val="clear" w:color="auto" w:fill="auto"/>
            <w:noWrap/>
            <w:vAlign w:val="center"/>
            <w:hideMark/>
          </w:tcPr>
          <w:p w14:paraId="45C9ACFF"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16:14</w:t>
            </w:r>
          </w:p>
        </w:tc>
        <w:tc>
          <w:tcPr>
            <w:tcW w:w="852" w:type="pct"/>
            <w:tcBorders>
              <w:top w:val="nil"/>
              <w:left w:val="nil"/>
              <w:bottom w:val="nil"/>
              <w:right w:val="nil"/>
            </w:tcBorders>
            <w:shd w:val="clear" w:color="auto" w:fill="auto"/>
            <w:noWrap/>
            <w:vAlign w:val="center"/>
            <w:hideMark/>
          </w:tcPr>
          <w:p w14:paraId="64FE8CA0"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16:11</w:t>
            </w:r>
          </w:p>
        </w:tc>
        <w:tc>
          <w:tcPr>
            <w:tcW w:w="921" w:type="pct"/>
            <w:tcBorders>
              <w:top w:val="nil"/>
              <w:left w:val="nil"/>
              <w:bottom w:val="nil"/>
              <w:right w:val="nil"/>
            </w:tcBorders>
            <w:shd w:val="clear" w:color="auto" w:fill="auto"/>
            <w:noWrap/>
            <w:vAlign w:val="center"/>
            <w:hideMark/>
          </w:tcPr>
          <w:p w14:paraId="1465B5BD"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16:13</w:t>
            </w:r>
          </w:p>
        </w:tc>
        <w:tc>
          <w:tcPr>
            <w:tcW w:w="427" w:type="pct"/>
            <w:tcBorders>
              <w:top w:val="nil"/>
              <w:left w:val="nil"/>
              <w:bottom w:val="nil"/>
              <w:right w:val="nil"/>
            </w:tcBorders>
            <w:shd w:val="clear" w:color="auto" w:fill="auto"/>
            <w:noWrap/>
            <w:vAlign w:val="center"/>
            <w:hideMark/>
          </w:tcPr>
          <w:p w14:paraId="1CF9BE72" w14:textId="77777777" w:rsidR="00C40154" w:rsidRPr="00C40154" w:rsidRDefault="00C40154" w:rsidP="00A07177">
            <w:pPr>
              <w:ind w:left="116" w:hanging="141"/>
              <w:rPr>
                <w:rFonts w:ascii="Times" w:eastAsia="Times New Roman" w:hAnsi="Times" w:cs="Times New Roman"/>
                <w:sz w:val="22"/>
              </w:rPr>
            </w:pPr>
            <w:r w:rsidRPr="00C40154">
              <w:rPr>
                <w:rFonts w:ascii="Times" w:eastAsia="Times New Roman" w:hAnsi="Times" w:cs="Times New Roman"/>
                <w:sz w:val="22"/>
              </w:rPr>
              <w:t>0.90</w:t>
            </w:r>
          </w:p>
        </w:tc>
      </w:tr>
      <w:tr w:rsidR="00C40154" w:rsidRPr="00C40154" w14:paraId="553968E3" w14:textId="77777777" w:rsidTr="00A07177">
        <w:trPr>
          <w:trHeight w:val="300"/>
        </w:trPr>
        <w:tc>
          <w:tcPr>
            <w:tcW w:w="815" w:type="pct"/>
            <w:vMerge/>
            <w:tcBorders>
              <w:top w:val="nil"/>
              <w:left w:val="nil"/>
              <w:bottom w:val="single" w:sz="8" w:space="0" w:color="000000"/>
              <w:right w:val="nil"/>
            </w:tcBorders>
            <w:vAlign w:val="center"/>
            <w:hideMark/>
          </w:tcPr>
          <w:p w14:paraId="482BC30A"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51E61FC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Education (years)</w:t>
            </w:r>
          </w:p>
        </w:tc>
        <w:tc>
          <w:tcPr>
            <w:tcW w:w="849" w:type="pct"/>
            <w:tcBorders>
              <w:top w:val="nil"/>
              <w:left w:val="nil"/>
              <w:bottom w:val="nil"/>
              <w:right w:val="nil"/>
            </w:tcBorders>
            <w:shd w:val="clear" w:color="auto" w:fill="auto"/>
            <w:noWrap/>
            <w:vAlign w:val="center"/>
            <w:hideMark/>
          </w:tcPr>
          <w:p w14:paraId="045D6079"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19.3 [18.5, 20.1]</w:t>
            </w:r>
          </w:p>
        </w:tc>
        <w:tc>
          <w:tcPr>
            <w:tcW w:w="852" w:type="pct"/>
            <w:tcBorders>
              <w:top w:val="nil"/>
              <w:left w:val="nil"/>
              <w:bottom w:val="nil"/>
              <w:right w:val="nil"/>
            </w:tcBorders>
            <w:shd w:val="clear" w:color="auto" w:fill="auto"/>
            <w:noWrap/>
            <w:vAlign w:val="center"/>
            <w:hideMark/>
          </w:tcPr>
          <w:p w14:paraId="0D4AB34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19.9 [18.7, 21.1]</w:t>
            </w:r>
          </w:p>
        </w:tc>
        <w:tc>
          <w:tcPr>
            <w:tcW w:w="921" w:type="pct"/>
            <w:tcBorders>
              <w:top w:val="nil"/>
              <w:left w:val="nil"/>
              <w:bottom w:val="nil"/>
              <w:right w:val="nil"/>
            </w:tcBorders>
            <w:shd w:val="clear" w:color="auto" w:fill="auto"/>
            <w:noWrap/>
            <w:vAlign w:val="center"/>
            <w:hideMark/>
          </w:tcPr>
          <w:p w14:paraId="05CBD8C0"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20.6 [19.6, 21.6]</w:t>
            </w:r>
          </w:p>
        </w:tc>
        <w:tc>
          <w:tcPr>
            <w:tcW w:w="427" w:type="pct"/>
            <w:tcBorders>
              <w:top w:val="nil"/>
              <w:left w:val="nil"/>
              <w:bottom w:val="nil"/>
              <w:right w:val="nil"/>
            </w:tcBorders>
            <w:shd w:val="clear" w:color="auto" w:fill="auto"/>
            <w:noWrap/>
            <w:vAlign w:val="center"/>
            <w:hideMark/>
          </w:tcPr>
          <w:p w14:paraId="7846F532" w14:textId="77777777" w:rsidR="00C40154" w:rsidRPr="00C40154" w:rsidRDefault="00C40154" w:rsidP="00A07177">
            <w:pPr>
              <w:ind w:left="116" w:hanging="141"/>
              <w:rPr>
                <w:rFonts w:ascii="Times" w:eastAsia="Times New Roman" w:hAnsi="Times" w:cs="Times New Roman"/>
                <w:sz w:val="22"/>
              </w:rPr>
            </w:pPr>
            <w:r w:rsidRPr="00C40154">
              <w:rPr>
                <w:rFonts w:ascii="Times" w:eastAsia="Times New Roman" w:hAnsi="Times" w:cs="Times New Roman"/>
                <w:sz w:val="22"/>
              </w:rPr>
              <w:t>0.17</w:t>
            </w:r>
          </w:p>
        </w:tc>
      </w:tr>
      <w:tr w:rsidR="00C40154" w:rsidRPr="00C40154" w14:paraId="57ABCAFA" w14:textId="77777777" w:rsidTr="00A07177">
        <w:trPr>
          <w:trHeight w:val="320"/>
        </w:trPr>
        <w:tc>
          <w:tcPr>
            <w:tcW w:w="815" w:type="pct"/>
            <w:vMerge/>
            <w:tcBorders>
              <w:top w:val="nil"/>
              <w:left w:val="nil"/>
              <w:bottom w:val="single" w:sz="8" w:space="0" w:color="000000"/>
              <w:right w:val="nil"/>
            </w:tcBorders>
            <w:vAlign w:val="center"/>
            <w:hideMark/>
          </w:tcPr>
          <w:p w14:paraId="1679B1B2"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single" w:sz="8" w:space="0" w:color="auto"/>
              <w:right w:val="nil"/>
            </w:tcBorders>
            <w:shd w:val="clear" w:color="auto" w:fill="auto"/>
            <w:noWrap/>
            <w:vAlign w:val="center"/>
            <w:hideMark/>
          </w:tcPr>
          <w:p w14:paraId="55A2BC59"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Experience (years)</w:t>
            </w:r>
          </w:p>
        </w:tc>
        <w:tc>
          <w:tcPr>
            <w:tcW w:w="849" w:type="pct"/>
            <w:tcBorders>
              <w:top w:val="nil"/>
              <w:left w:val="nil"/>
              <w:bottom w:val="single" w:sz="8" w:space="0" w:color="auto"/>
              <w:right w:val="nil"/>
            </w:tcBorders>
            <w:shd w:val="clear" w:color="auto" w:fill="auto"/>
            <w:noWrap/>
            <w:vAlign w:val="center"/>
            <w:hideMark/>
          </w:tcPr>
          <w:p w14:paraId="5F20957F"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9.8 [6.32, 13.2]</w:t>
            </w:r>
          </w:p>
        </w:tc>
        <w:tc>
          <w:tcPr>
            <w:tcW w:w="852" w:type="pct"/>
            <w:tcBorders>
              <w:top w:val="nil"/>
              <w:left w:val="nil"/>
              <w:bottom w:val="single" w:sz="8" w:space="0" w:color="auto"/>
              <w:right w:val="nil"/>
            </w:tcBorders>
            <w:shd w:val="clear" w:color="auto" w:fill="auto"/>
            <w:noWrap/>
            <w:vAlign w:val="center"/>
            <w:hideMark/>
          </w:tcPr>
          <w:p w14:paraId="001409F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N/A</w:t>
            </w:r>
          </w:p>
        </w:tc>
        <w:tc>
          <w:tcPr>
            <w:tcW w:w="921" w:type="pct"/>
            <w:tcBorders>
              <w:top w:val="nil"/>
              <w:left w:val="nil"/>
              <w:bottom w:val="single" w:sz="8" w:space="0" w:color="auto"/>
              <w:right w:val="nil"/>
            </w:tcBorders>
            <w:shd w:val="clear" w:color="auto" w:fill="auto"/>
            <w:noWrap/>
            <w:vAlign w:val="center"/>
            <w:hideMark/>
          </w:tcPr>
          <w:p w14:paraId="1BCE5678"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17.2 [13.5, 21.0]</w:t>
            </w:r>
          </w:p>
        </w:tc>
        <w:tc>
          <w:tcPr>
            <w:tcW w:w="427" w:type="pct"/>
            <w:tcBorders>
              <w:top w:val="nil"/>
              <w:left w:val="nil"/>
              <w:bottom w:val="single" w:sz="8" w:space="0" w:color="auto"/>
              <w:right w:val="nil"/>
            </w:tcBorders>
            <w:shd w:val="clear" w:color="auto" w:fill="auto"/>
            <w:noWrap/>
            <w:vAlign w:val="center"/>
            <w:hideMark/>
          </w:tcPr>
          <w:p w14:paraId="55D7ECFF" w14:textId="77777777" w:rsidR="00C40154" w:rsidRPr="00C40154" w:rsidRDefault="00C40154" w:rsidP="00A07177">
            <w:pPr>
              <w:ind w:left="116" w:right="-82" w:hanging="141"/>
              <w:rPr>
                <w:rFonts w:ascii="Times" w:eastAsia="Times New Roman" w:hAnsi="Times" w:cs="Times New Roman"/>
                <w:sz w:val="22"/>
              </w:rPr>
            </w:pPr>
            <w:r w:rsidRPr="00C40154">
              <w:rPr>
                <w:rFonts w:ascii="Times" w:eastAsia="Times New Roman" w:hAnsi="Times" w:cs="Times New Roman"/>
                <w:sz w:val="22"/>
              </w:rPr>
              <w:t>0.00**</w:t>
            </w:r>
          </w:p>
        </w:tc>
      </w:tr>
      <w:tr w:rsidR="00C40154" w:rsidRPr="00C40154" w14:paraId="7F88EE78" w14:textId="77777777" w:rsidTr="00A07177">
        <w:trPr>
          <w:trHeight w:val="300"/>
        </w:trPr>
        <w:tc>
          <w:tcPr>
            <w:tcW w:w="815" w:type="pct"/>
            <w:vMerge w:val="restart"/>
            <w:tcBorders>
              <w:top w:val="nil"/>
              <w:left w:val="nil"/>
              <w:bottom w:val="single" w:sz="8" w:space="0" w:color="000000"/>
              <w:right w:val="nil"/>
            </w:tcBorders>
            <w:shd w:val="clear" w:color="auto" w:fill="auto"/>
            <w:noWrap/>
            <w:vAlign w:val="center"/>
            <w:hideMark/>
          </w:tcPr>
          <w:p w14:paraId="7496B893"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b/>
                <w:bCs/>
                <w:sz w:val="22"/>
              </w:rPr>
              <w:t>Global cognitive functioning and executive functions assessments</w:t>
            </w:r>
          </w:p>
        </w:tc>
        <w:tc>
          <w:tcPr>
            <w:tcW w:w="1137" w:type="pct"/>
            <w:tcBorders>
              <w:top w:val="nil"/>
              <w:left w:val="nil"/>
              <w:bottom w:val="nil"/>
              <w:right w:val="nil"/>
            </w:tcBorders>
            <w:shd w:val="clear" w:color="auto" w:fill="auto"/>
            <w:noWrap/>
            <w:vAlign w:val="center"/>
            <w:hideMark/>
          </w:tcPr>
          <w:p w14:paraId="5533E4D9" w14:textId="77777777" w:rsidR="00C40154" w:rsidRPr="00C40154" w:rsidRDefault="00C40154" w:rsidP="00A07177">
            <w:pPr>
              <w:rPr>
                <w:rFonts w:ascii="Times" w:eastAsia="Times New Roman" w:hAnsi="Times" w:cs="Times New Roman"/>
                <w:sz w:val="22"/>
              </w:rPr>
            </w:pPr>
            <w:proofErr w:type="spellStart"/>
            <w:r w:rsidRPr="00C40154">
              <w:rPr>
                <w:rFonts w:ascii="Times" w:eastAsia="Times New Roman" w:hAnsi="Times" w:cs="Times New Roman"/>
                <w:sz w:val="22"/>
              </w:rPr>
              <w:t>MoCA</w:t>
            </w:r>
            <w:proofErr w:type="spellEnd"/>
          </w:p>
        </w:tc>
        <w:tc>
          <w:tcPr>
            <w:tcW w:w="849" w:type="pct"/>
            <w:tcBorders>
              <w:top w:val="nil"/>
              <w:left w:val="nil"/>
              <w:bottom w:val="nil"/>
              <w:right w:val="nil"/>
            </w:tcBorders>
            <w:shd w:val="clear" w:color="auto" w:fill="auto"/>
            <w:noWrap/>
            <w:vAlign w:val="center"/>
            <w:hideMark/>
          </w:tcPr>
          <w:p w14:paraId="42DF4601"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xml:space="preserve"> 25.3 [24.4, 26.3]</w:t>
            </w:r>
          </w:p>
        </w:tc>
        <w:tc>
          <w:tcPr>
            <w:tcW w:w="852" w:type="pct"/>
            <w:tcBorders>
              <w:top w:val="nil"/>
              <w:left w:val="nil"/>
              <w:bottom w:val="nil"/>
              <w:right w:val="nil"/>
            </w:tcBorders>
            <w:shd w:val="clear" w:color="auto" w:fill="auto"/>
            <w:noWrap/>
            <w:vAlign w:val="center"/>
            <w:hideMark/>
          </w:tcPr>
          <w:p w14:paraId="0A8D60CB"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xml:space="preserve"> 25.6 [24.5, 26.7]</w:t>
            </w:r>
          </w:p>
        </w:tc>
        <w:tc>
          <w:tcPr>
            <w:tcW w:w="921" w:type="pct"/>
            <w:tcBorders>
              <w:top w:val="nil"/>
              <w:left w:val="nil"/>
              <w:bottom w:val="nil"/>
              <w:right w:val="nil"/>
            </w:tcBorders>
            <w:shd w:val="clear" w:color="auto" w:fill="auto"/>
            <w:noWrap/>
            <w:vAlign w:val="center"/>
            <w:hideMark/>
          </w:tcPr>
          <w:p w14:paraId="6CC709B6"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xml:space="preserve"> 26.4 [25.4, 27.3] </w:t>
            </w:r>
            <w:r w:rsidRPr="00C40154">
              <w:rPr>
                <w:rFonts w:ascii="Times" w:eastAsia="Times New Roman" w:hAnsi="Times" w:cs="Times New Roman"/>
                <w:b/>
                <w:bCs/>
                <w:sz w:val="22"/>
                <w:vertAlign w:val="superscript"/>
              </w:rPr>
              <w:t>+</w:t>
            </w:r>
          </w:p>
        </w:tc>
        <w:tc>
          <w:tcPr>
            <w:tcW w:w="427" w:type="pct"/>
            <w:tcBorders>
              <w:top w:val="nil"/>
              <w:left w:val="nil"/>
              <w:bottom w:val="nil"/>
              <w:right w:val="nil"/>
            </w:tcBorders>
            <w:shd w:val="clear" w:color="auto" w:fill="auto"/>
            <w:noWrap/>
            <w:vAlign w:val="center"/>
            <w:hideMark/>
          </w:tcPr>
          <w:p w14:paraId="2ACC6D46"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0.32</w:t>
            </w:r>
          </w:p>
        </w:tc>
      </w:tr>
      <w:tr w:rsidR="00C40154" w:rsidRPr="00C40154" w14:paraId="49257DB9" w14:textId="77777777" w:rsidTr="00A07177">
        <w:trPr>
          <w:trHeight w:val="300"/>
        </w:trPr>
        <w:tc>
          <w:tcPr>
            <w:tcW w:w="815" w:type="pct"/>
            <w:vMerge/>
            <w:tcBorders>
              <w:top w:val="nil"/>
              <w:left w:val="nil"/>
              <w:bottom w:val="single" w:sz="8" w:space="0" w:color="000000"/>
              <w:right w:val="nil"/>
            </w:tcBorders>
            <w:vAlign w:val="center"/>
            <w:hideMark/>
          </w:tcPr>
          <w:p w14:paraId="43315BD8"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579D36D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IFS total score</w:t>
            </w:r>
          </w:p>
        </w:tc>
        <w:tc>
          <w:tcPr>
            <w:tcW w:w="849" w:type="pct"/>
            <w:tcBorders>
              <w:top w:val="nil"/>
              <w:left w:val="nil"/>
              <w:bottom w:val="nil"/>
              <w:right w:val="nil"/>
            </w:tcBorders>
            <w:shd w:val="clear" w:color="auto" w:fill="auto"/>
            <w:noWrap/>
            <w:vAlign w:val="center"/>
            <w:hideMark/>
          </w:tcPr>
          <w:p w14:paraId="454D0FD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xml:space="preserve"> 23.9 [23.0, 24.8]</w:t>
            </w:r>
          </w:p>
        </w:tc>
        <w:tc>
          <w:tcPr>
            <w:tcW w:w="852" w:type="pct"/>
            <w:tcBorders>
              <w:top w:val="nil"/>
              <w:left w:val="nil"/>
              <w:bottom w:val="nil"/>
              <w:right w:val="nil"/>
            </w:tcBorders>
            <w:shd w:val="clear" w:color="auto" w:fill="auto"/>
            <w:noWrap/>
            <w:vAlign w:val="center"/>
            <w:hideMark/>
          </w:tcPr>
          <w:p w14:paraId="3864DCF5"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xml:space="preserve"> 25.0 [23.9, 26.2]</w:t>
            </w:r>
          </w:p>
        </w:tc>
        <w:tc>
          <w:tcPr>
            <w:tcW w:w="921" w:type="pct"/>
            <w:tcBorders>
              <w:top w:val="nil"/>
              <w:left w:val="nil"/>
              <w:bottom w:val="nil"/>
              <w:right w:val="nil"/>
            </w:tcBorders>
            <w:shd w:val="clear" w:color="auto" w:fill="auto"/>
            <w:noWrap/>
            <w:vAlign w:val="center"/>
            <w:hideMark/>
          </w:tcPr>
          <w:p w14:paraId="107D6B8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24.8 [23.9, 25.7]</w:t>
            </w:r>
          </w:p>
        </w:tc>
        <w:tc>
          <w:tcPr>
            <w:tcW w:w="427" w:type="pct"/>
            <w:tcBorders>
              <w:top w:val="nil"/>
              <w:left w:val="nil"/>
              <w:bottom w:val="nil"/>
              <w:right w:val="nil"/>
            </w:tcBorders>
            <w:shd w:val="clear" w:color="auto" w:fill="auto"/>
            <w:noWrap/>
            <w:vAlign w:val="center"/>
            <w:hideMark/>
          </w:tcPr>
          <w:p w14:paraId="36933A04"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0.21</w:t>
            </w:r>
          </w:p>
        </w:tc>
      </w:tr>
      <w:tr w:rsidR="00C40154" w:rsidRPr="00C40154" w14:paraId="79770852" w14:textId="77777777" w:rsidTr="00A07177">
        <w:trPr>
          <w:trHeight w:val="300"/>
        </w:trPr>
        <w:tc>
          <w:tcPr>
            <w:tcW w:w="815" w:type="pct"/>
            <w:vMerge/>
            <w:tcBorders>
              <w:top w:val="nil"/>
              <w:left w:val="nil"/>
              <w:bottom w:val="single" w:sz="8" w:space="0" w:color="000000"/>
              <w:right w:val="nil"/>
            </w:tcBorders>
            <w:vAlign w:val="center"/>
            <w:hideMark/>
          </w:tcPr>
          <w:p w14:paraId="3E550CFB"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5FDFCCCD"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Motor series</w:t>
            </w:r>
          </w:p>
        </w:tc>
        <w:tc>
          <w:tcPr>
            <w:tcW w:w="849" w:type="pct"/>
            <w:tcBorders>
              <w:top w:val="nil"/>
              <w:left w:val="nil"/>
              <w:bottom w:val="nil"/>
              <w:right w:val="nil"/>
            </w:tcBorders>
            <w:shd w:val="clear" w:color="auto" w:fill="auto"/>
            <w:noWrap/>
            <w:vAlign w:val="center"/>
            <w:hideMark/>
          </w:tcPr>
          <w:p w14:paraId="27C0C996"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2.8 [2.6, 3.0]</w:t>
            </w:r>
          </w:p>
        </w:tc>
        <w:tc>
          <w:tcPr>
            <w:tcW w:w="852" w:type="pct"/>
            <w:tcBorders>
              <w:top w:val="nil"/>
              <w:left w:val="nil"/>
              <w:bottom w:val="nil"/>
              <w:right w:val="nil"/>
            </w:tcBorders>
            <w:shd w:val="clear" w:color="auto" w:fill="auto"/>
            <w:noWrap/>
            <w:vAlign w:val="center"/>
            <w:hideMark/>
          </w:tcPr>
          <w:p w14:paraId="2A0255A9"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3.0 [2.9, 3.0]</w:t>
            </w:r>
          </w:p>
        </w:tc>
        <w:tc>
          <w:tcPr>
            <w:tcW w:w="921" w:type="pct"/>
            <w:tcBorders>
              <w:top w:val="nil"/>
              <w:left w:val="nil"/>
              <w:bottom w:val="nil"/>
              <w:right w:val="nil"/>
            </w:tcBorders>
            <w:shd w:val="clear" w:color="auto" w:fill="auto"/>
            <w:noWrap/>
            <w:vAlign w:val="center"/>
            <w:hideMark/>
          </w:tcPr>
          <w:p w14:paraId="369D09E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2.8 [2.6, 3.0]</w:t>
            </w:r>
          </w:p>
        </w:tc>
        <w:tc>
          <w:tcPr>
            <w:tcW w:w="427" w:type="pct"/>
            <w:tcBorders>
              <w:top w:val="nil"/>
              <w:left w:val="nil"/>
              <w:bottom w:val="nil"/>
              <w:right w:val="nil"/>
            </w:tcBorders>
            <w:shd w:val="clear" w:color="auto" w:fill="auto"/>
            <w:noWrap/>
            <w:vAlign w:val="center"/>
            <w:hideMark/>
          </w:tcPr>
          <w:p w14:paraId="41912CF8"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0.38</w:t>
            </w:r>
          </w:p>
        </w:tc>
      </w:tr>
      <w:tr w:rsidR="00C40154" w:rsidRPr="00C40154" w14:paraId="366EBA9E" w14:textId="77777777" w:rsidTr="00A07177">
        <w:trPr>
          <w:trHeight w:val="300"/>
        </w:trPr>
        <w:tc>
          <w:tcPr>
            <w:tcW w:w="815" w:type="pct"/>
            <w:vMerge/>
            <w:tcBorders>
              <w:top w:val="nil"/>
              <w:left w:val="nil"/>
              <w:bottom w:val="single" w:sz="8" w:space="0" w:color="000000"/>
              <w:right w:val="nil"/>
            </w:tcBorders>
            <w:vAlign w:val="center"/>
            <w:hideMark/>
          </w:tcPr>
          <w:p w14:paraId="66873702"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6C56466E"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Conflicting instructions</w:t>
            </w:r>
          </w:p>
        </w:tc>
        <w:tc>
          <w:tcPr>
            <w:tcW w:w="849" w:type="pct"/>
            <w:tcBorders>
              <w:top w:val="nil"/>
              <w:left w:val="nil"/>
              <w:bottom w:val="nil"/>
              <w:right w:val="nil"/>
            </w:tcBorders>
            <w:shd w:val="clear" w:color="auto" w:fill="auto"/>
            <w:noWrap/>
            <w:vAlign w:val="center"/>
            <w:hideMark/>
          </w:tcPr>
          <w:p w14:paraId="44D8C9B8"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2.7 [2.4, 3.0]</w:t>
            </w:r>
          </w:p>
        </w:tc>
        <w:tc>
          <w:tcPr>
            <w:tcW w:w="852" w:type="pct"/>
            <w:tcBorders>
              <w:top w:val="nil"/>
              <w:left w:val="nil"/>
              <w:bottom w:val="nil"/>
              <w:right w:val="nil"/>
            </w:tcBorders>
            <w:shd w:val="clear" w:color="auto" w:fill="auto"/>
            <w:noWrap/>
            <w:vAlign w:val="center"/>
            <w:hideMark/>
          </w:tcPr>
          <w:p w14:paraId="4BBF7714"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2.9 [2.7, 3.1]</w:t>
            </w:r>
          </w:p>
        </w:tc>
        <w:tc>
          <w:tcPr>
            <w:tcW w:w="921" w:type="pct"/>
            <w:tcBorders>
              <w:top w:val="nil"/>
              <w:left w:val="nil"/>
              <w:bottom w:val="nil"/>
              <w:right w:val="nil"/>
            </w:tcBorders>
            <w:shd w:val="clear" w:color="auto" w:fill="auto"/>
            <w:noWrap/>
            <w:vAlign w:val="center"/>
            <w:hideMark/>
          </w:tcPr>
          <w:p w14:paraId="0B480EF0"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3.0 [3.0, 3.0]</w:t>
            </w:r>
          </w:p>
        </w:tc>
        <w:tc>
          <w:tcPr>
            <w:tcW w:w="427" w:type="pct"/>
            <w:tcBorders>
              <w:top w:val="nil"/>
              <w:left w:val="nil"/>
              <w:bottom w:val="nil"/>
              <w:right w:val="nil"/>
            </w:tcBorders>
            <w:shd w:val="clear" w:color="auto" w:fill="auto"/>
            <w:noWrap/>
            <w:vAlign w:val="center"/>
            <w:hideMark/>
          </w:tcPr>
          <w:p w14:paraId="6671CA67"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0.20</w:t>
            </w:r>
          </w:p>
        </w:tc>
      </w:tr>
      <w:tr w:rsidR="00C40154" w:rsidRPr="00C40154" w14:paraId="466B110E" w14:textId="77777777" w:rsidTr="00A07177">
        <w:trPr>
          <w:trHeight w:val="300"/>
        </w:trPr>
        <w:tc>
          <w:tcPr>
            <w:tcW w:w="815" w:type="pct"/>
            <w:vMerge/>
            <w:tcBorders>
              <w:top w:val="nil"/>
              <w:left w:val="nil"/>
              <w:bottom w:val="single" w:sz="8" w:space="0" w:color="000000"/>
              <w:right w:val="nil"/>
            </w:tcBorders>
            <w:vAlign w:val="center"/>
            <w:hideMark/>
          </w:tcPr>
          <w:p w14:paraId="50FA1A23"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25C98948"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Go- no go</w:t>
            </w:r>
          </w:p>
        </w:tc>
        <w:tc>
          <w:tcPr>
            <w:tcW w:w="849" w:type="pct"/>
            <w:tcBorders>
              <w:top w:val="nil"/>
              <w:left w:val="nil"/>
              <w:bottom w:val="nil"/>
              <w:right w:val="nil"/>
            </w:tcBorders>
            <w:shd w:val="clear" w:color="auto" w:fill="auto"/>
            <w:noWrap/>
            <w:vAlign w:val="center"/>
            <w:hideMark/>
          </w:tcPr>
          <w:p w14:paraId="3FA45D75"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2.5 [2.1, 2.9]</w:t>
            </w:r>
          </w:p>
        </w:tc>
        <w:tc>
          <w:tcPr>
            <w:tcW w:w="852" w:type="pct"/>
            <w:tcBorders>
              <w:top w:val="nil"/>
              <w:left w:val="nil"/>
              <w:bottom w:val="nil"/>
              <w:right w:val="nil"/>
            </w:tcBorders>
            <w:shd w:val="clear" w:color="auto" w:fill="auto"/>
            <w:noWrap/>
            <w:vAlign w:val="center"/>
            <w:hideMark/>
          </w:tcPr>
          <w:p w14:paraId="1FA2243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2.1 [1.8, 2.5]</w:t>
            </w:r>
          </w:p>
        </w:tc>
        <w:tc>
          <w:tcPr>
            <w:tcW w:w="921" w:type="pct"/>
            <w:tcBorders>
              <w:top w:val="nil"/>
              <w:left w:val="nil"/>
              <w:bottom w:val="nil"/>
              <w:right w:val="nil"/>
            </w:tcBorders>
            <w:shd w:val="clear" w:color="auto" w:fill="auto"/>
            <w:noWrap/>
            <w:vAlign w:val="center"/>
            <w:hideMark/>
          </w:tcPr>
          <w:p w14:paraId="2A548CEE"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2.4 [2.2, 2.7]</w:t>
            </w:r>
          </w:p>
        </w:tc>
        <w:tc>
          <w:tcPr>
            <w:tcW w:w="427" w:type="pct"/>
            <w:tcBorders>
              <w:top w:val="nil"/>
              <w:left w:val="nil"/>
              <w:bottom w:val="nil"/>
              <w:right w:val="nil"/>
            </w:tcBorders>
            <w:shd w:val="clear" w:color="auto" w:fill="auto"/>
            <w:noWrap/>
            <w:vAlign w:val="center"/>
            <w:hideMark/>
          </w:tcPr>
          <w:p w14:paraId="08AF415C"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0.29</w:t>
            </w:r>
          </w:p>
        </w:tc>
      </w:tr>
      <w:tr w:rsidR="00C40154" w:rsidRPr="00C40154" w14:paraId="4BC3FC3D" w14:textId="77777777" w:rsidTr="00A07177">
        <w:trPr>
          <w:trHeight w:val="300"/>
        </w:trPr>
        <w:tc>
          <w:tcPr>
            <w:tcW w:w="815" w:type="pct"/>
            <w:vMerge/>
            <w:tcBorders>
              <w:top w:val="nil"/>
              <w:left w:val="nil"/>
              <w:bottom w:val="single" w:sz="8" w:space="0" w:color="000000"/>
              <w:right w:val="nil"/>
            </w:tcBorders>
            <w:vAlign w:val="center"/>
            <w:hideMark/>
          </w:tcPr>
          <w:p w14:paraId="147A2D7D"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2E2FE15D"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Backward digits span</w:t>
            </w:r>
          </w:p>
        </w:tc>
        <w:tc>
          <w:tcPr>
            <w:tcW w:w="849" w:type="pct"/>
            <w:tcBorders>
              <w:top w:val="nil"/>
              <w:left w:val="nil"/>
              <w:bottom w:val="nil"/>
              <w:right w:val="nil"/>
            </w:tcBorders>
            <w:shd w:val="clear" w:color="auto" w:fill="auto"/>
            <w:noWrap/>
            <w:vAlign w:val="center"/>
            <w:hideMark/>
          </w:tcPr>
          <w:p w14:paraId="7DE5752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4.0 [3.6, 4.3]</w:t>
            </w:r>
          </w:p>
        </w:tc>
        <w:tc>
          <w:tcPr>
            <w:tcW w:w="852" w:type="pct"/>
            <w:tcBorders>
              <w:top w:val="nil"/>
              <w:left w:val="nil"/>
              <w:bottom w:val="nil"/>
              <w:right w:val="nil"/>
            </w:tcBorders>
            <w:shd w:val="clear" w:color="auto" w:fill="auto"/>
            <w:noWrap/>
            <w:vAlign w:val="center"/>
            <w:hideMark/>
          </w:tcPr>
          <w:p w14:paraId="66CCB7ED"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4.3 [3.9, 4.8]</w:t>
            </w:r>
          </w:p>
        </w:tc>
        <w:tc>
          <w:tcPr>
            <w:tcW w:w="921" w:type="pct"/>
            <w:tcBorders>
              <w:top w:val="nil"/>
              <w:left w:val="nil"/>
              <w:bottom w:val="nil"/>
              <w:right w:val="nil"/>
            </w:tcBorders>
            <w:shd w:val="clear" w:color="auto" w:fill="auto"/>
            <w:noWrap/>
            <w:vAlign w:val="center"/>
            <w:hideMark/>
          </w:tcPr>
          <w:p w14:paraId="56B9000C"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4.3 [3.9, 4.7]</w:t>
            </w:r>
          </w:p>
        </w:tc>
        <w:tc>
          <w:tcPr>
            <w:tcW w:w="427" w:type="pct"/>
            <w:tcBorders>
              <w:top w:val="nil"/>
              <w:left w:val="nil"/>
              <w:bottom w:val="nil"/>
              <w:right w:val="nil"/>
            </w:tcBorders>
            <w:shd w:val="clear" w:color="auto" w:fill="auto"/>
            <w:noWrap/>
            <w:vAlign w:val="center"/>
            <w:hideMark/>
          </w:tcPr>
          <w:p w14:paraId="1243BD5B"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0.31</w:t>
            </w:r>
          </w:p>
        </w:tc>
      </w:tr>
      <w:tr w:rsidR="00C40154" w:rsidRPr="00C40154" w14:paraId="5BADB21A" w14:textId="77777777" w:rsidTr="00A07177">
        <w:trPr>
          <w:trHeight w:val="300"/>
        </w:trPr>
        <w:tc>
          <w:tcPr>
            <w:tcW w:w="815" w:type="pct"/>
            <w:vMerge/>
            <w:tcBorders>
              <w:top w:val="nil"/>
              <w:left w:val="nil"/>
              <w:bottom w:val="single" w:sz="8" w:space="0" w:color="000000"/>
              <w:right w:val="nil"/>
            </w:tcBorders>
            <w:vAlign w:val="center"/>
            <w:hideMark/>
          </w:tcPr>
          <w:p w14:paraId="38B08222"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667D2140"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Verbal working memory</w:t>
            </w:r>
          </w:p>
        </w:tc>
        <w:tc>
          <w:tcPr>
            <w:tcW w:w="849" w:type="pct"/>
            <w:tcBorders>
              <w:top w:val="nil"/>
              <w:left w:val="nil"/>
              <w:bottom w:val="nil"/>
              <w:right w:val="nil"/>
            </w:tcBorders>
            <w:shd w:val="clear" w:color="auto" w:fill="auto"/>
            <w:noWrap/>
            <w:vAlign w:val="center"/>
            <w:hideMark/>
          </w:tcPr>
          <w:p w14:paraId="6971785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1.9 [1.8, 2.1]</w:t>
            </w:r>
          </w:p>
        </w:tc>
        <w:tc>
          <w:tcPr>
            <w:tcW w:w="852" w:type="pct"/>
            <w:tcBorders>
              <w:top w:val="nil"/>
              <w:left w:val="nil"/>
              <w:bottom w:val="nil"/>
              <w:right w:val="nil"/>
            </w:tcBorders>
            <w:shd w:val="clear" w:color="auto" w:fill="auto"/>
            <w:noWrap/>
            <w:vAlign w:val="center"/>
            <w:hideMark/>
          </w:tcPr>
          <w:p w14:paraId="4123084F"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1.8 [1.7, 2.0]</w:t>
            </w:r>
          </w:p>
        </w:tc>
        <w:tc>
          <w:tcPr>
            <w:tcW w:w="921" w:type="pct"/>
            <w:tcBorders>
              <w:top w:val="nil"/>
              <w:left w:val="nil"/>
              <w:bottom w:val="nil"/>
              <w:right w:val="nil"/>
            </w:tcBorders>
            <w:shd w:val="clear" w:color="auto" w:fill="auto"/>
            <w:noWrap/>
            <w:vAlign w:val="center"/>
            <w:hideMark/>
          </w:tcPr>
          <w:p w14:paraId="7802A2F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1.9 [1.8, 2.0]</w:t>
            </w:r>
          </w:p>
        </w:tc>
        <w:tc>
          <w:tcPr>
            <w:tcW w:w="427" w:type="pct"/>
            <w:tcBorders>
              <w:top w:val="nil"/>
              <w:left w:val="nil"/>
              <w:bottom w:val="nil"/>
              <w:right w:val="nil"/>
            </w:tcBorders>
            <w:shd w:val="clear" w:color="auto" w:fill="auto"/>
            <w:noWrap/>
            <w:vAlign w:val="center"/>
            <w:hideMark/>
          </w:tcPr>
          <w:p w14:paraId="183245D5"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0.34</w:t>
            </w:r>
          </w:p>
        </w:tc>
      </w:tr>
      <w:tr w:rsidR="00C40154" w:rsidRPr="00C40154" w14:paraId="4B631378" w14:textId="77777777" w:rsidTr="00A07177">
        <w:trPr>
          <w:trHeight w:val="300"/>
        </w:trPr>
        <w:tc>
          <w:tcPr>
            <w:tcW w:w="815" w:type="pct"/>
            <w:vMerge/>
            <w:tcBorders>
              <w:top w:val="nil"/>
              <w:left w:val="nil"/>
              <w:bottom w:val="single" w:sz="8" w:space="0" w:color="000000"/>
              <w:right w:val="nil"/>
            </w:tcBorders>
            <w:vAlign w:val="center"/>
            <w:hideMark/>
          </w:tcPr>
          <w:p w14:paraId="3196725A"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73ADB78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Spatial working memory</w:t>
            </w:r>
          </w:p>
        </w:tc>
        <w:tc>
          <w:tcPr>
            <w:tcW w:w="849" w:type="pct"/>
            <w:tcBorders>
              <w:top w:val="nil"/>
              <w:left w:val="nil"/>
              <w:bottom w:val="nil"/>
              <w:right w:val="nil"/>
            </w:tcBorders>
            <w:shd w:val="clear" w:color="auto" w:fill="auto"/>
            <w:noWrap/>
            <w:vAlign w:val="center"/>
            <w:hideMark/>
          </w:tcPr>
          <w:p w14:paraId="6A6728F5"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2.7 [2.4, 3.1]</w:t>
            </w:r>
          </w:p>
        </w:tc>
        <w:tc>
          <w:tcPr>
            <w:tcW w:w="852" w:type="pct"/>
            <w:tcBorders>
              <w:top w:val="nil"/>
              <w:left w:val="nil"/>
              <w:bottom w:val="nil"/>
              <w:right w:val="nil"/>
            </w:tcBorders>
            <w:shd w:val="clear" w:color="auto" w:fill="auto"/>
            <w:noWrap/>
            <w:vAlign w:val="center"/>
            <w:hideMark/>
          </w:tcPr>
          <w:p w14:paraId="129B3AB7"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2.9 [2.5, 3.4]</w:t>
            </w:r>
          </w:p>
        </w:tc>
        <w:tc>
          <w:tcPr>
            <w:tcW w:w="921" w:type="pct"/>
            <w:tcBorders>
              <w:top w:val="nil"/>
              <w:left w:val="nil"/>
              <w:bottom w:val="nil"/>
              <w:right w:val="nil"/>
            </w:tcBorders>
            <w:shd w:val="clear" w:color="auto" w:fill="auto"/>
            <w:noWrap/>
            <w:vAlign w:val="center"/>
            <w:hideMark/>
          </w:tcPr>
          <w:p w14:paraId="68282DAF"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2.7 [2.4, 3.1]</w:t>
            </w:r>
          </w:p>
        </w:tc>
        <w:tc>
          <w:tcPr>
            <w:tcW w:w="427" w:type="pct"/>
            <w:tcBorders>
              <w:top w:val="nil"/>
              <w:left w:val="nil"/>
              <w:bottom w:val="nil"/>
              <w:right w:val="nil"/>
            </w:tcBorders>
            <w:shd w:val="clear" w:color="auto" w:fill="auto"/>
            <w:noWrap/>
            <w:vAlign w:val="center"/>
            <w:hideMark/>
          </w:tcPr>
          <w:p w14:paraId="686D7D0C"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0.63</w:t>
            </w:r>
          </w:p>
        </w:tc>
      </w:tr>
      <w:tr w:rsidR="00C40154" w:rsidRPr="00C40154" w14:paraId="15BEAA36" w14:textId="77777777" w:rsidTr="00A07177">
        <w:trPr>
          <w:trHeight w:val="300"/>
        </w:trPr>
        <w:tc>
          <w:tcPr>
            <w:tcW w:w="815" w:type="pct"/>
            <w:vMerge/>
            <w:tcBorders>
              <w:top w:val="nil"/>
              <w:left w:val="nil"/>
              <w:bottom w:val="single" w:sz="8" w:space="0" w:color="000000"/>
              <w:right w:val="nil"/>
            </w:tcBorders>
            <w:vAlign w:val="center"/>
            <w:hideMark/>
          </w:tcPr>
          <w:p w14:paraId="32EEC1D4"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nil"/>
              <w:right w:val="nil"/>
            </w:tcBorders>
            <w:shd w:val="clear" w:color="auto" w:fill="auto"/>
            <w:noWrap/>
            <w:vAlign w:val="center"/>
            <w:hideMark/>
          </w:tcPr>
          <w:p w14:paraId="0C8EB6B0"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Abstraction capacity</w:t>
            </w:r>
          </w:p>
        </w:tc>
        <w:tc>
          <w:tcPr>
            <w:tcW w:w="849" w:type="pct"/>
            <w:tcBorders>
              <w:top w:val="nil"/>
              <w:left w:val="nil"/>
              <w:bottom w:val="nil"/>
              <w:right w:val="nil"/>
            </w:tcBorders>
            <w:shd w:val="clear" w:color="auto" w:fill="auto"/>
            <w:noWrap/>
            <w:vAlign w:val="center"/>
            <w:hideMark/>
          </w:tcPr>
          <w:p w14:paraId="5A033B27"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2.1 [1.8, 2.4]</w:t>
            </w:r>
          </w:p>
        </w:tc>
        <w:tc>
          <w:tcPr>
            <w:tcW w:w="852" w:type="pct"/>
            <w:tcBorders>
              <w:top w:val="nil"/>
              <w:left w:val="nil"/>
              <w:bottom w:val="nil"/>
              <w:right w:val="nil"/>
            </w:tcBorders>
            <w:shd w:val="clear" w:color="auto" w:fill="auto"/>
            <w:noWrap/>
            <w:vAlign w:val="center"/>
            <w:hideMark/>
          </w:tcPr>
          <w:p w14:paraId="4901305E"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2.5 [2.2, 2.7]</w:t>
            </w:r>
          </w:p>
        </w:tc>
        <w:tc>
          <w:tcPr>
            <w:tcW w:w="921" w:type="pct"/>
            <w:tcBorders>
              <w:top w:val="nil"/>
              <w:left w:val="nil"/>
              <w:bottom w:val="nil"/>
              <w:right w:val="nil"/>
            </w:tcBorders>
            <w:shd w:val="clear" w:color="auto" w:fill="auto"/>
            <w:noWrap/>
            <w:vAlign w:val="center"/>
            <w:hideMark/>
          </w:tcPr>
          <w:p w14:paraId="4DA960E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2.5 [2.3, 2.7]</w:t>
            </w:r>
          </w:p>
        </w:tc>
        <w:tc>
          <w:tcPr>
            <w:tcW w:w="427" w:type="pct"/>
            <w:tcBorders>
              <w:top w:val="nil"/>
              <w:left w:val="nil"/>
              <w:bottom w:val="nil"/>
              <w:right w:val="nil"/>
            </w:tcBorders>
            <w:shd w:val="clear" w:color="auto" w:fill="auto"/>
            <w:noWrap/>
            <w:vAlign w:val="center"/>
            <w:hideMark/>
          </w:tcPr>
          <w:p w14:paraId="75F6BD07"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0.02 *</w:t>
            </w:r>
          </w:p>
        </w:tc>
      </w:tr>
      <w:tr w:rsidR="00C40154" w:rsidRPr="00C40154" w14:paraId="235E94DB" w14:textId="77777777" w:rsidTr="00A07177">
        <w:trPr>
          <w:trHeight w:val="320"/>
        </w:trPr>
        <w:tc>
          <w:tcPr>
            <w:tcW w:w="815" w:type="pct"/>
            <w:vMerge/>
            <w:tcBorders>
              <w:top w:val="nil"/>
              <w:left w:val="nil"/>
              <w:bottom w:val="single" w:sz="8" w:space="0" w:color="000000"/>
              <w:right w:val="nil"/>
            </w:tcBorders>
            <w:vAlign w:val="center"/>
            <w:hideMark/>
          </w:tcPr>
          <w:p w14:paraId="4E94860D" w14:textId="77777777" w:rsidR="00C40154" w:rsidRPr="00C40154" w:rsidRDefault="00C40154" w:rsidP="00A07177">
            <w:pPr>
              <w:rPr>
                <w:rFonts w:ascii="Times" w:eastAsia="Times New Roman" w:hAnsi="Times" w:cs="Times New Roman"/>
                <w:b/>
                <w:bCs/>
                <w:sz w:val="22"/>
              </w:rPr>
            </w:pPr>
          </w:p>
        </w:tc>
        <w:tc>
          <w:tcPr>
            <w:tcW w:w="1137" w:type="pct"/>
            <w:tcBorders>
              <w:top w:val="nil"/>
              <w:left w:val="nil"/>
              <w:bottom w:val="single" w:sz="8" w:space="0" w:color="auto"/>
              <w:right w:val="nil"/>
            </w:tcBorders>
            <w:shd w:val="clear" w:color="auto" w:fill="auto"/>
            <w:noWrap/>
            <w:vAlign w:val="center"/>
            <w:hideMark/>
          </w:tcPr>
          <w:p w14:paraId="32E76F8C"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Verbal inhibitory control</w:t>
            </w:r>
          </w:p>
        </w:tc>
        <w:tc>
          <w:tcPr>
            <w:tcW w:w="849" w:type="pct"/>
            <w:tcBorders>
              <w:top w:val="nil"/>
              <w:left w:val="nil"/>
              <w:bottom w:val="single" w:sz="8" w:space="0" w:color="auto"/>
              <w:right w:val="nil"/>
            </w:tcBorders>
            <w:shd w:val="clear" w:color="auto" w:fill="auto"/>
            <w:noWrap/>
            <w:vAlign w:val="center"/>
            <w:hideMark/>
          </w:tcPr>
          <w:p w14:paraId="73AF2AFE"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5.1 [4.7, 5.5]</w:t>
            </w:r>
          </w:p>
        </w:tc>
        <w:tc>
          <w:tcPr>
            <w:tcW w:w="852" w:type="pct"/>
            <w:tcBorders>
              <w:top w:val="nil"/>
              <w:left w:val="nil"/>
              <w:bottom w:val="single" w:sz="8" w:space="0" w:color="auto"/>
              <w:right w:val="nil"/>
            </w:tcBorders>
            <w:shd w:val="clear" w:color="auto" w:fill="auto"/>
            <w:noWrap/>
            <w:vAlign w:val="center"/>
            <w:hideMark/>
          </w:tcPr>
          <w:p w14:paraId="22114A0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5.4 [5.1, 5.7]</w:t>
            </w:r>
          </w:p>
        </w:tc>
        <w:tc>
          <w:tcPr>
            <w:tcW w:w="921" w:type="pct"/>
            <w:tcBorders>
              <w:top w:val="nil"/>
              <w:left w:val="nil"/>
              <w:bottom w:val="single" w:sz="8" w:space="0" w:color="auto"/>
              <w:right w:val="nil"/>
            </w:tcBorders>
            <w:shd w:val="clear" w:color="auto" w:fill="auto"/>
            <w:noWrap/>
            <w:vAlign w:val="center"/>
            <w:hideMark/>
          </w:tcPr>
          <w:p w14:paraId="0C5112C2"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5.1 [4.7, 5.5]</w:t>
            </w:r>
          </w:p>
        </w:tc>
        <w:tc>
          <w:tcPr>
            <w:tcW w:w="427" w:type="pct"/>
            <w:tcBorders>
              <w:top w:val="nil"/>
              <w:left w:val="nil"/>
              <w:bottom w:val="single" w:sz="8" w:space="0" w:color="auto"/>
              <w:right w:val="nil"/>
            </w:tcBorders>
            <w:shd w:val="clear" w:color="auto" w:fill="auto"/>
            <w:noWrap/>
            <w:vAlign w:val="center"/>
            <w:hideMark/>
          </w:tcPr>
          <w:p w14:paraId="1D4962C3"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0.41</w:t>
            </w:r>
          </w:p>
        </w:tc>
      </w:tr>
      <w:tr w:rsidR="00C40154" w:rsidRPr="00C40154" w14:paraId="41010E43" w14:textId="77777777" w:rsidTr="00A07177">
        <w:trPr>
          <w:trHeight w:val="300"/>
        </w:trPr>
        <w:tc>
          <w:tcPr>
            <w:tcW w:w="5000" w:type="pct"/>
            <w:gridSpan w:val="6"/>
            <w:tcBorders>
              <w:top w:val="single" w:sz="8" w:space="0" w:color="auto"/>
              <w:left w:val="nil"/>
              <w:bottom w:val="nil"/>
              <w:right w:val="nil"/>
            </w:tcBorders>
            <w:shd w:val="clear" w:color="auto" w:fill="auto"/>
            <w:noWrap/>
            <w:vAlign w:val="center"/>
            <w:hideMark/>
          </w:tcPr>
          <w:p w14:paraId="7E814A01"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IFS: INECO Frontal Screening battery</w:t>
            </w:r>
          </w:p>
        </w:tc>
      </w:tr>
      <w:tr w:rsidR="00C40154" w:rsidRPr="00C40154" w14:paraId="1910A349" w14:textId="77777777" w:rsidTr="00A07177">
        <w:trPr>
          <w:trHeight w:val="300"/>
        </w:trPr>
        <w:tc>
          <w:tcPr>
            <w:tcW w:w="5000" w:type="pct"/>
            <w:gridSpan w:val="6"/>
            <w:tcBorders>
              <w:top w:val="nil"/>
              <w:left w:val="nil"/>
              <w:bottom w:val="nil"/>
              <w:right w:val="nil"/>
            </w:tcBorders>
            <w:shd w:val="clear" w:color="auto" w:fill="auto"/>
            <w:noWrap/>
            <w:vAlign w:val="center"/>
            <w:hideMark/>
          </w:tcPr>
          <w:p w14:paraId="608CEA98" w14:textId="77777777" w:rsidR="00C40154" w:rsidRPr="00C40154" w:rsidRDefault="00C40154" w:rsidP="00A07177">
            <w:pPr>
              <w:rPr>
                <w:rFonts w:ascii="Times" w:eastAsia="Times New Roman" w:hAnsi="Times" w:cs="Times New Roman"/>
                <w:sz w:val="22"/>
              </w:rPr>
            </w:pPr>
            <w:proofErr w:type="spellStart"/>
            <w:r w:rsidRPr="00C40154">
              <w:rPr>
                <w:rFonts w:ascii="Times" w:eastAsia="Times New Roman" w:hAnsi="Times" w:cs="Times New Roman"/>
                <w:sz w:val="22"/>
              </w:rPr>
              <w:t>MoCA</w:t>
            </w:r>
            <w:proofErr w:type="spellEnd"/>
            <w:r w:rsidRPr="00C40154">
              <w:rPr>
                <w:rFonts w:ascii="Times" w:eastAsia="Times New Roman" w:hAnsi="Times" w:cs="Times New Roman"/>
                <w:sz w:val="22"/>
              </w:rPr>
              <w:t>: Montreal Cognitive Assessment</w:t>
            </w:r>
          </w:p>
        </w:tc>
      </w:tr>
      <w:tr w:rsidR="00C40154" w:rsidRPr="00C40154" w14:paraId="76261380" w14:textId="77777777" w:rsidTr="00A07177">
        <w:trPr>
          <w:trHeight w:val="300"/>
        </w:trPr>
        <w:tc>
          <w:tcPr>
            <w:tcW w:w="5000" w:type="pct"/>
            <w:gridSpan w:val="6"/>
            <w:tcBorders>
              <w:top w:val="nil"/>
              <w:left w:val="nil"/>
              <w:bottom w:val="nil"/>
              <w:right w:val="nil"/>
            </w:tcBorders>
            <w:shd w:val="clear" w:color="auto" w:fill="auto"/>
            <w:noWrap/>
            <w:vAlign w:val="center"/>
            <w:hideMark/>
          </w:tcPr>
          <w:p w14:paraId="2E54E7BC"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b/>
                <w:bCs/>
                <w:sz w:val="22"/>
                <w:vertAlign w:val="superscript"/>
              </w:rPr>
              <w:t xml:space="preserve">a </w:t>
            </w:r>
            <w:r w:rsidRPr="00C40154">
              <w:rPr>
                <w:rFonts w:ascii="Times" w:eastAsia="Times New Roman" w:hAnsi="Times" w:cs="Times New Roman"/>
                <w:sz w:val="22"/>
              </w:rPr>
              <w:t xml:space="preserve">Attorneys were significantly younger than controls, and there was a statistical tendency for attorneys to be younger than judges. </w:t>
            </w:r>
          </w:p>
          <w:p w14:paraId="0A4AE454" w14:textId="77777777" w:rsidR="00C40154" w:rsidRPr="00C40154" w:rsidRDefault="00C40154" w:rsidP="00A07177">
            <w:pPr>
              <w:rPr>
                <w:rFonts w:ascii="Times" w:eastAsia="Times New Roman" w:hAnsi="Times" w:cs="Times New Roman"/>
                <w:b/>
                <w:bCs/>
                <w:sz w:val="22"/>
              </w:rPr>
            </w:pPr>
            <w:r w:rsidRPr="00C40154">
              <w:rPr>
                <w:rFonts w:ascii="Times" w:eastAsia="Times New Roman" w:hAnsi="Times" w:cs="Times New Roman"/>
                <w:sz w:val="22"/>
              </w:rPr>
              <w:t>N/A Not applicable,</w:t>
            </w:r>
          </w:p>
        </w:tc>
      </w:tr>
      <w:tr w:rsidR="00C40154" w:rsidRPr="00C40154" w14:paraId="45E6B6C3" w14:textId="77777777" w:rsidTr="00A07177">
        <w:trPr>
          <w:trHeight w:val="300"/>
        </w:trPr>
        <w:tc>
          <w:tcPr>
            <w:tcW w:w="5000" w:type="pct"/>
            <w:gridSpan w:val="6"/>
            <w:tcBorders>
              <w:top w:val="nil"/>
              <w:left w:val="nil"/>
              <w:bottom w:val="nil"/>
              <w:right w:val="nil"/>
            </w:tcBorders>
            <w:shd w:val="clear" w:color="auto" w:fill="auto"/>
            <w:noWrap/>
            <w:vAlign w:val="center"/>
            <w:hideMark/>
          </w:tcPr>
          <w:p w14:paraId="2DC6FD0D"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 One missing observation.</w:t>
            </w:r>
          </w:p>
        </w:tc>
      </w:tr>
      <w:tr w:rsidR="00C40154" w:rsidRPr="00C40154" w14:paraId="36DB0930" w14:textId="77777777" w:rsidTr="00A07177">
        <w:trPr>
          <w:trHeight w:val="300"/>
        </w:trPr>
        <w:tc>
          <w:tcPr>
            <w:tcW w:w="5000" w:type="pct"/>
            <w:gridSpan w:val="6"/>
            <w:tcBorders>
              <w:top w:val="nil"/>
              <w:left w:val="nil"/>
              <w:bottom w:val="nil"/>
              <w:right w:val="nil"/>
            </w:tcBorders>
            <w:shd w:val="clear" w:color="auto" w:fill="auto"/>
            <w:noWrap/>
            <w:vAlign w:val="center"/>
            <w:hideMark/>
          </w:tcPr>
          <w:p w14:paraId="3EFE24EA" w14:textId="77777777" w:rsidR="00C40154" w:rsidRPr="00C40154" w:rsidRDefault="00C40154" w:rsidP="00A07177">
            <w:pPr>
              <w:rPr>
                <w:rFonts w:ascii="Times" w:eastAsia="Times New Roman" w:hAnsi="Times" w:cs="Times New Roman"/>
                <w:sz w:val="22"/>
              </w:rPr>
            </w:pPr>
            <w:r w:rsidRPr="00C40154">
              <w:rPr>
                <w:rFonts w:ascii="Times" w:eastAsia="Times New Roman" w:hAnsi="Times" w:cs="Times New Roman"/>
                <w:sz w:val="22"/>
              </w:rPr>
              <w:t>Significance coding: * p&lt;0.05; **p&lt;0.01; *** p&lt;0.001; **** p&lt;0.0001.</w:t>
            </w:r>
          </w:p>
        </w:tc>
      </w:tr>
    </w:tbl>
    <w:p w14:paraId="0BFC4AA9" w14:textId="77777777" w:rsidR="00C40154" w:rsidRPr="00C40154" w:rsidRDefault="00C40154" w:rsidP="00BD7936">
      <w:pPr>
        <w:jc w:val="both"/>
        <w:rPr>
          <w:rFonts w:ascii="Times" w:hAnsi="Times" w:cs="Times New Roman"/>
        </w:rPr>
      </w:pPr>
    </w:p>
    <w:p w14:paraId="68C8EF29" w14:textId="77777777" w:rsidR="00C40154" w:rsidRPr="00C40154" w:rsidRDefault="00C40154" w:rsidP="00BD7936">
      <w:pPr>
        <w:jc w:val="both"/>
        <w:rPr>
          <w:rFonts w:ascii="Times" w:hAnsi="Times" w:cs="Times New Roman"/>
        </w:rPr>
      </w:pPr>
    </w:p>
    <w:p w14:paraId="7F8BF9D1" w14:textId="77777777" w:rsidR="00C40154" w:rsidRPr="00C40154" w:rsidRDefault="00C40154" w:rsidP="00BD7936">
      <w:pPr>
        <w:jc w:val="both"/>
        <w:rPr>
          <w:rFonts w:ascii="Times" w:hAnsi="Times" w:cs="Times New Roman"/>
        </w:rPr>
      </w:pPr>
    </w:p>
    <w:p w14:paraId="37FBC5C8" w14:textId="77777777" w:rsidR="00C40154" w:rsidRPr="00C40154" w:rsidRDefault="00C40154" w:rsidP="00C40154">
      <w:pPr>
        <w:jc w:val="both"/>
        <w:rPr>
          <w:rFonts w:ascii="Times" w:hAnsi="Times" w:cs="Times New Roman"/>
        </w:rPr>
      </w:pPr>
    </w:p>
    <w:p w14:paraId="50DF5110" w14:textId="77777777" w:rsidR="00C40154" w:rsidRPr="00C40154" w:rsidRDefault="00C40154" w:rsidP="00C40154">
      <w:pPr>
        <w:jc w:val="both"/>
        <w:rPr>
          <w:rFonts w:ascii="Times" w:hAnsi="Times" w:cs="Times New Roman"/>
        </w:rPr>
      </w:pPr>
    </w:p>
    <w:p w14:paraId="2235B0A0" w14:textId="77777777" w:rsidR="00C40154" w:rsidRPr="00C40154" w:rsidRDefault="00C40154" w:rsidP="00C40154">
      <w:pPr>
        <w:jc w:val="both"/>
        <w:rPr>
          <w:rFonts w:ascii="Times" w:hAnsi="Times" w:cs="Times New Roman"/>
        </w:rPr>
      </w:pPr>
    </w:p>
    <w:p w14:paraId="408DAD9C" w14:textId="77777777" w:rsidR="00C40154" w:rsidRPr="00C40154" w:rsidRDefault="00C40154" w:rsidP="00C40154">
      <w:pPr>
        <w:jc w:val="both"/>
        <w:rPr>
          <w:rFonts w:ascii="Times" w:hAnsi="Times" w:cs="Times New Roman"/>
        </w:rPr>
      </w:pPr>
      <w:bookmarkStart w:id="0" w:name="_GoBack"/>
      <w:bookmarkEnd w:id="0"/>
    </w:p>
    <w:p w14:paraId="164A1610" w14:textId="77777777" w:rsidR="00C40154" w:rsidRDefault="00C40154" w:rsidP="00C40154">
      <w:pPr>
        <w:jc w:val="both"/>
        <w:rPr>
          <w:rFonts w:ascii="Times" w:hAnsi="Times" w:cs="Times New Roman"/>
        </w:rPr>
      </w:pPr>
    </w:p>
    <w:p w14:paraId="333D15DE" w14:textId="77777777" w:rsidR="00C40154" w:rsidRPr="00C40154" w:rsidRDefault="00C40154" w:rsidP="00C40154">
      <w:pPr>
        <w:jc w:val="both"/>
        <w:rPr>
          <w:rFonts w:ascii="Times" w:hAnsi="Times" w:cs="Times New Roman"/>
          <w:b/>
        </w:rPr>
      </w:pPr>
      <w:r w:rsidRPr="00C40154">
        <w:rPr>
          <w:rFonts w:ascii="Times" w:hAnsi="Times" w:cs="Times New Roman"/>
          <w:b/>
        </w:rPr>
        <w:t xml:space="preserve">Supplementary references </w:t>
      </w:r>
    </w:p>
    <w:p w14:paraId="497CA603" w14:textId="77777777" w:rsidR="00C40154" w:rsidRPr="00C40154" w:rsidRDefault="00C40154" w:rsidP="00C40154">
      <w:pPr>
        <w:jc w:val="both"/>
        <w:rPr>
          <w:rFonts w:ascii="Times" w:hAnsi="Times" w:cs="Times New Roman"/>
        </w:rPr>
      </w:pPr>
    </w:p>
    <w:p w14:paraId="4DF99C0D" w14:textId="77777777" w:rsidR="00C40154" w:rsidRPr="00C40154" w:rsidRDefault="00C40154" w:rsidP="00C40154">
      <w:pPr>
        <w:jc w:val="both"/>
        <w:rPr>
          <w:rFonts w:ascii="Times" w:hAnsi="Times" w:cs="Times New Roman"/>
        </w:rPr>
      </w:pPr>
    </w:p>
    <w:p w14:paraId="7BE48C31"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Baez S, Ibanez A, Gleichgerrcht E et al (2014) The utility of IFS (INECO Frontal Screening) for the detection of executive dysfunction in adults with bipolar disorder and ADHD. </w:t>
      </w:r>
      <w:r w:rsidRPr="00DC2929">
        <w:rPr>
          <w:rFonts w:ascii="Times" w:hAnsi="Times"/>
          <w:i/>
          <w:noProof/>
          <w:lang w:val="en-US"/>
        </w:rPr>
        <w:t>Psychiatry Res</w:t>
      </w:r>
      <w:r w:rsidRPr="00DC2929">
        <w:rPr>
          <w:rFonts w:ascii="Times" w:hAnsi="Times"/>
          <w:noProof/>
          <w:lang w:val="en-US"/>
        </w:rPr>
        <w:t xml:space="preserve"> </w:t>
      </w:r>
      <w:r w:rsidRPr="00DC2929">
        <w:rPr>
          <w:rFonts w:ascii="Times" w:hAnsi="Times"/>
          <w:i/>
          <w:noProof/>
          <w:lang w:val="en-US"/>
        </w:rPr>
        <w:t>216</w:t>
      </w:r>
      <w:r w:rsidRPr="00DC2929">
        <w:rPr>
          <w:rFonts w:ascii="Times" w:hAnsi="Times"/>
          <w:noProof/>
          <w:lang w:val="en-US"/>
        </w:rPr>
        <w:t>:  269-276. doi: 10.1016/j.psychres.2014.01.020</w:t>
      </w:r>
    </w:p>
    <w:p w14:paraId="09E31C1B"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Bruno D, Torralva T, Marenco V et al (2015) Utility of the INECO frontal screening (IFS) in the detection of executive dysfunction in patients with relapsing-remitting multiple sclerosis (RRMS). </w:t>
      </w:r>
      <w:r w:rsidRPr="00DC2929">
        <w:rPr>
          <w:rFonts w:ascii="Times" w:hAnsi="Times"/>
          <w:i/>
          <w:noProof/>
          <w:lang w:val="en-US"/>
        </w:rPr>
        <w:t>Neurol Sci</w:t>
      </w:r>
      <w:r w:rsidRPr="00DC2929">
        <w:rPr>
          <w:rFonts w:ascii="Times" w:hAnsi="Times"/>
          <w:noProof/>
          <w:lang w:val="en-US"/>
        </w:rPr>
        <w:t>. doi: 10.1007/s10072-015-2299-6</w:t>
      </w:r>
    </w:p>
    <w:p w14:paraId="68B9E54A"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Clifford GD, Tarassenko L (2005) Quantifying errors in spectral estimates of HRV due to beat replacement and resampling. </w:t>
      </w:r>
      <w:r w:rsidRPr="00DC2929">
        <w:rPr>
          <w:rFonts w:ascii="Times" w:hAnsi="Times"/>
          <w:i/>
          <w:noProof/>
          <w:lang w:val="en-US"/>
        </w:rPr>
        <w:t>IEEE Trans Biomed Eng</w:t>
      </w:r>
      <w:r w:rsidRPr="00DC2929">
        <w:rPr>
          <w:rFonts w:ascii="Times" w:hAnsi="Times"/>
          <w:noProof/>
          <w:lang w:val="en-US"/>
        </w:rPr>
        <w:t xml:space="preserve"> </w:t>
      </w:r>
      <w:r w:rsidRPr="00DC2929">
        <w:rPr>
          <w:rFonts w:ascii="Times" w:hAnsi="Times"/>
          <w:i/>
          <w:noProof/>
          <w:lang w:val="en-US"/>
        </w:rPr>
        <w:t>52</w:t>
      </w:r>
      <w:r w:rsidRPr="00DC2929">
        <w:rPr>
          <w:rFonts w:ascii="Times" w:hAnsi="Times"/>
          <w:noProof/>
          <w:lang w:val="en-US"/>
        </w:rPr>
        <w:t>:  630-638. doi: 10.1109/TBME.2005.844028</w:t>
      </w:r>
    </w:p>
    <w:p w14:paraId="3E9E2B8A"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cs="Helvetica"/>
          <w:lang w:val="en-US"/>
        </w:rPr>
        <w:t xml:space="preserve">Task Force of the European Society of Cardiology and the North American Society of Pacing and Electrophysiology </w:t>
      </w:r>
      <w:r w:rsidRPr="00DC2929">
        <w:rPr>
          <w:rFonts w:ascii="Times" w:hAnsi="Times"/>
          <w:noProof/>
          <w:lang w:val="en-US"/>
        </w:rPr>
        <w:t xml:space="preserve">(1996) Heart rate variability: standards of measurement, physiological interpretation and clinical use. </w:t>
      </w:r>
      <w:r w:rsidRPr="00DC2929">
        <w:rPr>
          <w:rFonts w:ascii="Times" w:hAnsi="Times"/>
          <w:i/>
          <w:noProof/>
          <w:lang w:val="en-US"/>
        </w:rPr>
        <w:t>Circulation</w:t>
      </w:r>
      <w:r w:rsidRPr="00DC2929">
        <w:rPr>
          <w:rFonts w:ascii="Times" w:hAnsi="Times"/>
          <w:noProof/>
          <w:lang w:val="en-US"/>
        </w:rPr>
        <w:t xml:space="preserve"> </w:t>
      </w:r>
      <w:r w:rsidRPr="00DC2929">
        <w:rPr>
          <w:rFonts w:ascii="Times" w:hAnsi="Times"/>
          <w:i/>
          <w:noProof/>
          <w:lang w:val="en-US"/>
        </w:rPr>
        <w:t>93</w:t>
      </w:r>
      <w:r w:rsidRPr="00DC2929">
        <w:rPr>
          <w:rFonts w:ascii="Times" w:hAnsi="Times"/>
          <w:noProof/>
          <w:lang w:val="en-US"/>
        </w:rPr>
        <w:t xml:space="preserve">:  1043-1065. </w:t>
      </w:r>
    </w:p>
    <w:p w14:paraId="54F916F0"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Gleichgerrcht E, Roca M, Manes F et al (2011) Comparing the clinical usefulness of the Institute of Cognitive Neurology (INECO) Frontal Screening (IFS) and the Frontal Assessment Battery (FAB) in frontotemporal dementia. </w:t>
      </w:r>
      <w:r w:rsidRPr="00DC2929">
        <w:rPr>
          <w:rFonts w:ascii="Times" w:hAnsi="Times"/>
          <w:i/>
          <w:noProof/>
          <w:lang w:val="en-US"/>
        </w:rPr>
        <w:t>J Clin Exp Neuropsychol</w:t>
      </w:r>
      <w:r w:rsidRPr="00DC2929">
        <w:rPr>
          <w:rFonts w:ascii="Times" w:hAnsi="Times"/>
          <w:noProof/>
          <w:lang w:val="en-US"/>
        </w:rPr>
        <w:t xml:space="preserve"> </w:t>
      </w:r>
      <w:r w:rsidRPr="00DC2929">
        <w:rPr>
          <w:rFonts w:ascii="Times" w:hAnsi="Times"/>
          <w:i/>
          <w:noProof/>
          <w:lang w:val="en-US"/>
        </w:rPr>
        <w:t>33</w:t>
      </w:r>
      <w:r w:rsidRPr="00DC2929">
        <w:rPr>
          <w:rFonts w:ascii="Times" w:hAnsi="Times"/>
          <w:noProof/>
          <w:lang w:val="en-US"/>
        </w:rPr>
        <w:t>:  997-1004. doi: 10.1080/13803395.2011.589375</w:t>
      </w:r>
    </w:p>
    <w:p w14:paraId="72F1CBCD"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Hejjel L (2004) Suppression of power-line interference by analog notch filtering in the ECG signal for heart rate variability analysis: to do or not to do? </w:t>
      </w:r>
      <w:r w:rsidRPr="00DC2929">
        <w:rPr>
          <w:rFonts w:ascii="Times" w:hAnsi="Times"/>
          <w:i/>
          <w:noProof/>
          <w:lang w:val="en-US"/>
        </w:rPr>
        <w:t>Med Sci Monit</w:t>
      </w:r>
      <w:r w:rsidRPr="00DC2929">
        <w:rPr>
          <w:rFonts w:ascii="Times" w:hAnsi="Times"/>
          <w:noProof/>
          <w:lang w:val="en-US"/>
        </w:rPr>
        <w:t xml:space="preserve"> </w:t>
      </w:r>
      <w:r w:rsidRPr="00DC2929">
        <w:rPr>
          <w:rFonts w:ascii="Times" w:hAnsi="Times"/>
          <w:i/>
          <w:noProof/>
          <w:lang w:val="en-US"/>
        </w:rPr>
        <w:t>10</w:t>
      </w:r>
      <w:r w:rsidRPr="00DC2929">
        <w:rPr>
          <w:rFonts w:ascii="Times" w:hAnsi="Times"/>
          <w:noProof/>
          <w:lang w:val="en-US"/>
        </w:rPr>
        <w:t xml:space="preserve">:  MT6-13. </w:t>
      </w:r>
    </w:p>
    <w:p w14:paraId="412476C7"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Julayanont P, Brousseau M, Chertkow H et al (2014) Montreal Cognitive Assessment Memory Index Score (MoCA-MIS) as a predictor of conversion from mild cognitive impairment to Alzheimer's disease. </w:t>
      </w:r>
      <w:r w:rsidRPr="00DC2929">
        <w:rPr>
          <w:rFonts w:ascii="Times" w:hAnsi="Times"/>
          <w:i/>
          <w:noProof/>
          <w:lang w:val="en-US"/>
        </w:rPr>
        <w:t>J Am Geriatr Soc</w:t>
      </w:r>
      <w:r w:rsidRPr="00DC2929">
        <w:rPr>
          <w:rFonts w:ascii="Times" w:hAnsi="Times"/>
          <w:noProof/>
          <w:lang w:val="en-US"/>
        </w:rPr>
        <w:t xml:space="preserve"> </w:t>
      </w:r>
      <w:r w:rsidRPr="00DC2929">
        <w:rPr>
          <w:rFonts w:ascii="Times" w:hAnsi="Times"/>
          <w:i/>
          <w:noProof/>
          <w:lang w:val="en-US"/>
        </w:rPr>
        <w:t>62</w:t>
      </w:r>
      <w:r w:rsidRPr="00DC2929">
        <w:rPr>
          <w:rFonts w:ascii="Times" w:hAnsi="Times"/>
          <w:noProof/>
          <w:lang w:val="en-US"/>
        </w:rPr>
        <w:t>:  679-684. doi: 10.1111/jgs.12742</w:t>
      </w:r>
    </w:p>
    <w:p w14:paraId="2EED7B26"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Moreira HS, Lima CF, Vicente SG (2014) Examining Executive Dysfunction with the Institute of Cognitive Neurology (INECO) Frontal Screening (IFS): normative values from a healthy sample and clinical utility in Alzheimer's disease. </w:t>
      </w:r>
      <w:r w:rsidRPr="00DC2929">
        <w:rPr>
          <w:rFonts w:ascii="Times" w:hAnsi="Times"/>
          <w:i/>
          <w:noProof/>
          <w:lang w:val="en-US"/>
        </w:rPr>
        <w:t>J Alzheimers Dis</w:t>
      </w:r>
      <w:r w:rsidRPr="00DC2929">
        <w:rPr>
          <w:rFonts w:ascii="Times" w:hAnsi="Times"/>
          <w:noProof/>
          <w:lang w:val="en-US"/>
        </w:rPr>
        <w:t xml:space="preserve"> </w:t>
      </w:r>
      <w:r w:rsidRPr="00DC2929">
        <w:rPr>
          <w:rFonts w:ascii="Times" w:hAnsi="Times"/>
          <w:i/>
          <w:noProof/>
          <w:lang w:val="en-US"/>
        </w:rPr>
        <w:t>42</w:t>
      </w:r>
      <w:r w:rsidRPr="00DC2929">
        <w:rPr>
          <w:rFonts w:ascii="Times" w:hAnsi="Times"/>
          <w:noProof/>
          <w:lang w:val="en-US"/>
        </w:rPr>
        <w:t>:  261-273. doi: 10.3233/JAD-132348</w:t>
      </w:r>
    </w:p>
    <w:p w14:paraId="679A25E3" w14:textId="77777777" w:rsidR="00C40154" w:rsidRPr="00DC2929" w:rsidRDefault="00C40154" w:rsidP="00C40154">
      <w:pPr>
        <w:pStyle w:val="EndNoteBibliography"/>
        <w:ind w:left="720" w:hanging="720"/>
        <w:jc w:val="both"/>
        <w:rPr>
          <w:rFonts w:ascii="Times" w:hAnsi="Times"/>
          <w:noProof/>
          <w:lang w:val="en-US"/>
        </w:rPr>
      </w:pPr>
      <w:r w:rsidRPr="00DC2929">
        <w:rPr>
          <w:rFonts w:ascii="Times" w:hAnsi="Times"/>
          <w:noProof/>
          <w:lang w:val="en-US"/>
        </w:rPr>
        <w:t xml:space="preserve">Ruha A, Sallinen S, Nissila S (1997) A real-time microprocessor QRS detector system with a 1-ms timing accuracy for the measurement of ambulatory HRV. </w:t>
      </w:r>
      <w:r w:rsidRPr="00DC2929">
        <w:rPr>
          <w:rFonts w:ascii="Times" w:hAnsi="Times"/>
          <w:i/>
          <w:noProof/>
          <w:lang w:val="en-US"/>
        </w:rPr>
        <w:t>IEEE Trans Biomed Eng</w:t>
      </w:r>
      <w:r w:rsidRPr="00DC2929">
        <w:rPr>
          <w:rFonts w:ascii="Times" w:hAnsi="Times"/>
          <w:noProof/>
          <w:lang w:val="en-US"/>
        </w:rPr>
        <w:t xml:space="preserve"> </w:t>
      </w:r>
      <w:r w:rsidRPr="00DC2929">
        <w:rPr>
          <w:rFonts w:ascii="Times" w:hAnsi="Times"/>
          <w:i/>
          <w:noProof/>
          <w:lang w:val="en-US"/>
        </w:rPr>
        <w:t>44</w:t>
      </w:r>
      <w:r w:rsidRPr="00DC2929">
        <w:rPr>
          <w:rFonts w:ascii="Times" w:hAnsi="Times"/>
          <w:noProof/>
          <w:lang w:val="en-US"/>
        </w:rPr>
        <w:t>:  159-167. doi: 10.1109/10.554762</w:t>
      </w:r>
    </w:p>
    <w:p w14:paraId="1FAC6170" w14:textId="77777777" w:rsidR="00C40154" w:rsidRPr="00C40154" w:rsidRDefault="00C40154" w:rsidP="00C40154">
      <w:pPr>
        <w:pStyle w:val="EndNoteBibliography"/>
        <w:ind w:left="720" w:hanging="720"/>
        <w:jc w:val="both"/>
        <w:rPr>
          <w:rFonts w:ascii="Times" w:hAnsi="Times"/>
          <w:noProof/>
        </w:rPr>
      </w:pPr>
      <w:r w:rsidRPr="00DC2929">
        <w:rPr>
          <w:rFonts w:ascii="Times" w:hAnsi="Times"/>
          <w:noProof/>
          <w:lang w:val="en-US"/>
        </w:rPr>
        <w:t xml:space="preserve">Torralva T, Roca M, Gleichgerrcht E et al (2009) INECO Frontal Screening (IFS): a brief, sensitive, and specific tool to assess executive functions in dementia. </w:t>
      </w:r>
      <w:r w:rsidRPr="00C40154">
        <w:rPr>
          <w:rFonts w:ascii="Times" w:hAnsi="Times"/>
          <w:i/>
          <w:noProof/>
        </w:rPr>
        <w:t>J Int Neuropsychol Soc</w:t>
      </w:r>
      <w:r w:rsidRPr="00C40154">
        <w:rPr>
          <w:rFonts w:ascii="Times" w:hAnsi="Times"/>
          <w:noProof/>
        </w:rPr>
        <w:t xml:space="preserve"> </w:t>
      </w:r>
      <w:r w:rsidRPr="00C40154">
        <w:rPr>
          <w:rFonts w:ascii="Times" w:hAnsi="Times"/>
          <w:i/>
          <w:noProof/>
        </w:rPr>
        <w:t>15</w:t>
      </w:r>
      <w:r w:rsidRPr="00C40154">
        <w:rPr>
          <w:rFonts w:ascii="Times" w:hAnsi="Times"/>
          <w:noProof/>
        </w:rPr>
        <w:t>:  777-786. doi: 10.1017/S1355617709990415</w:t>
      </w:r>
    </w:p>
    <w:p w14:paraId="3322D5B6" w14:textId="77777777" w:rsidR="00C40154" w:rsidRPr="00C40154" w:rsidRDefault="00C40154" w:rsidP="00C40154">
      <w:pPr>
        <w:jc w:val="both"/>
        <w:rPr>
          <w:rFonts w:ascii="Times" w:hAnsi="Times" w:cs="Times New Roman"/>
        </w:rPr>
      </w:pPr>
    </w:p>
    <w:p w14:paraId="5A6D80A8" w14:textId="77777777" w:rsidR="00AE6925" w:rsidRPr="00C40154" w:rsidRDefault="00AE6925">
      <w:pPr>
        <w:rPr>
          <w:rFonts w:ascii="Times" w:hAnsi="Times"/>
        </w:rPr>
      </w:pPr>
    </w:p>
    <w:sectPr w:rsidR="00AE6925" w:rsidRPr="00C40154" w:rsidSect="00D6504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2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00000003" w:usb1="00000000" w:usb2="00000000" w:usb3="00000000" w:csb0="00000001" w:csb1="00000000"/>
  </w:font>
  <w:font w:name="Minion Pro">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40154"/>
    <w:rsid w:val="005C4841"/>
    <w:rsid w:val="00AE6925"/>
    <w:rsid w:val="00C37E8C"/>
    <w:rsid w:val="00C40154"/>
    <w:rsid w:val="00DC2929"/>
    <w:rsid w:val="00E2253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4B506AC"/>
  <w14:defaultImageDpi w14:val="300"/>
  <w15:docId w15:val="{3C12E30A-CE50-C441-9DDB-F53B8AA2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4"/>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40154"/>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40154"/>
    <w:rPr>
      <w:rFonts w:ascii="Lucida Grande" w:hAnsi="Lucida Grande" w:cs="Lucida Grande"/>
      <w:sz w:val="18"/>
      <w:szCs w:val="18"/>
      <w:lang w:val="en-US"/>
    </w:rPr>
  </w:style>
  <w:style w:type="table" w:styleId="Tablaconcuadrcula">
    <w:name w:val="Table Grid"/>
    <w:basedOn w:val="Tablanormal"/>
    <w:uiPriority w:val="59"/>
    <w:rsid w:val="00C401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semiHidden/>
    <w:unhideWhenUsed/>
    <w:rsid w:val="00C40154"/>
    <w:pPr>
      <w:spacing w:after="100"/>
    </w:pPr>
  </w:style>
  <w:style w:type="paragraph" w:customStyle="1" w:styleId="Bibliografa1">
    <w:name w:val="Bibliografía1"/>
    <w:basedOn w:val="Normal"/>
    <w:rsid w:val="00C40154"/>
    <w:pPr>
      <w:tabs>
        <w:tab w:val="left" w:pos="380"/>
      </w:tabs>
      <w:spacing w:after="240"/>
      <w:ind w:left="384" w:hanging="384"/>
      <w:jc w:val="both"/>
    </w:pPr>
    <w:rPr>
      <w:rFonts w:ascii="Times" w:hAnsi="Times" w:cs="Times New Roman"/>
    </w:rPr>
  </w:style>
  <w:style w:type="paragraph" w:styleId="Revisin">
    <w:name w:val="Revision"/>
    <w:hidden/>
    <w:uiPriority w:val="99"/>
    <w:semiHidden/>
    <w:rsid w:val="00C40154"/>
    <w:rPr>
      <w:lang w:val="en-US"/>
    </w:rPr>
  </w:style>
  <w:style w:type="character" w:styleId="Refdecomentario">
    <w:name w:val="annotation reference"/>
    <w:basedOn w:val="Fuentedeprrafopredeter"/>
    <w:uiPriority w:val="99"/>
    <w:semiHidden/>
    <w:unhideWhenUsed/>
    <w:rsid w:val="00C40154"/>
    <w:rPr>
      <w:sz w:val="18"/>
      <w:szCs w:val="18"/>
    </w:rPr>
  </w:style>
  <w:style w:type="paragraph" w:styleId="Textocomentario">
    <w:name w:val="annotation text"/>
    <w:basedOn w:val="Normal"/>
    <w:link w:val="TextocomentarioCar"/>
    <w:uiPriority w:val="99"/>
    <w:semiHidden/>
    <w:unhideWhenUsed/>
    <w:rsid w:val="00C40154"/>
  </w:style>
  <w:style w:type="character" w:customStyle="1" w:styleId="TextocomentarioCar">
    <w:name w:val="Texto comentario Car"/>
    <w:basedOn w:val="Fuentedeprrafopredeter"/>
    <w:link w:val="Textocomentario"/>
    <w:uiPriority w:val="99"/>
    <w:semiHidden/>
    <w:rsid w:val="00C40154"/>
    <w:rPr>
      <w:lang w:val="en-US"/>
    </w:rPr>
  </w:style>
  <w:style w:type="paragraph" w:styleId="Asuntodelcomentario">
    <w:name w:val="annotation subject"/>
    <w:basedOn w:val="Textocomentario"/>
    <w:next w:val="Textocomentario"/>
    <w:link w:val="AsuntodelcomentarioCar"/>
    <w:uiPriority w:val="99"/>
    <w:semiHidden/>
    <w:unhideWhenUsed/>
    <w:rsid w:val="00C40154"/>
    <w:rPr>
      <w:b/>
      <w:bCs/>
      <w:sz w:val="20"/>
      <w:szCs w:val="20"/>
    </w:rPr>
  </w:style>
  <w:style w:type="character" w:customStyle="1" w:styleId="AsuntodelcomentarioCar">
    <w:name w:val="Asunto del comentario Car"/>
    <w:basedOn w:val="TextocomentarioCar"/>
    <w:link w:val="Asuntodelcomentario"/>
    <w:uiPriority w:val="99"/>
    <w:semiHidden/>
    <w:rsid w:val="00C40154"/>
    <w:rPr>
      <w:b/>
      <w:bCs/>
      <w:sz w:val="20"/>
      <w:szCs w:val="20"/>
      <w:lang w:val="en-US"/>
    </w:rPr>
  </w:style>
  <w:style w:type="paragraph" w:customStyle="1" w:styleId="EndNoteBibliographyTitle">
    <w:name w:val="EndNote Bibliography Title"/>
    <w:basedOn w:val="Normal"/>
    <w:rsid w:val="00C40154"/>
    <w:pPr>
      <w:jc w:val="center"/>
    </w:pPr>
    <w:rPr>
      <w:rFonts w:ascii="Cambria" w:hAnsi="Cambria"/>
      <w:lang w:val="es-ES"/>
    </w:rPr>
  </w:style>
  <w:style w:type="paragraph" w:customStyle="1" w:styleId="EndNoteBibliography">
    <w:name w:val="EndNote Bibliography"/>
    <w:basedOn w:val="Normal"/>
    <w:rsid w:val="00C40154"/>
    <w:rPr>
      <w:rFonts w:ascii="Cambria" w:hAnsi="Cambria"/>
      <w:lang w:val="es-ES"/>
    </w:rPr>
  </w:style>
  <w:style w:type="character" w:styleId="nfasis">
    <w:name w:val="Emphasis"/>
    <w:uiPriority w:val="20"/>
    <w:qFormat/>
    <w:rsid w:val="00E225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4196</Words>
  <Characters>23084</Characters>
  <Application>Microsoft Office Word</Application>
  <DocSecurity>0</DocSecurity>
  <Lines>192</Lines>
  <Paragraphs>54</Paragraphs>
  <ScaleCrop>false</ScaleCrop>
  <Company/>
  <LinksUpToDate>false</LinksUpToDate>
  <CharactersWithSpaces>27226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BAEZ</dc:creator>
  <cp:keywords/>
  <dc:description/>
  <cp:lastModifiedBy>Agustin Ibanez</cp:lastModifiedBy>
  <cp:revision>3</cp:revision>
  <dcterms:created xsi:type="dcterms:W3CDTF">2020-09-17T09:22:00Z</dcterms:created>
  <dcterms:modified xsi:type="dcterms:W3CDTF">2020-09-17T09:23:00Z</dcterms:modified>
</cp:coreProperties>
</file>