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873" w:rsidRDefault="00FC6873" w:rsidP="00FC6873">
      <w:pPr>
        <w:spacing w:before="100" w:beforeAutospacing="1" w:after="0" w:line="360" w:lineRule="atLeast"/>
        <w:jc w:val="both"/>
        <w:rPr>
          <w:rFonts w:ascii="Times New Roman" w:hAnsi="Times New Roman" w:cs="Times New Roman"/>
          <w:b/>
          <w:sz w:val="24"/>
          <w:szCs w:val="24"/>
        </w:rPr>
      </w:pPr>
    </w:p>
    <w:p w:rsidR="00FC6873" w:rsidRPr="008061EE" w:rsidRDefault="00FC6873" w:rsidP="00FC6873">
      <w:pPr>
        <w:spacing w:before="100" w:beforeAutospacing="1" w:after="0" w:line="360" w:lineRule="atLeast"/>
        <w:jc w:val="both"/>
        <w:rPr>
          <w:rFonts w:ascii="Times New Roman" w:hAnsi="Times New Roman" w:cs="Times New Roman"/>
          <w:b/>
          <w:sz w:val="24"/>
          <w:szCs w:val="24"/>
        </w:rPr>
      </w:pPr>
      <w:r w:rsidRPr="008061EE">
        <w:rPr>
          <w:rFonts w:ascii="Times New Roman" w:hAnsi="Times New Roman" w:cs="Times New Roman"/>
          <w:b/>
          <w:sz w:val="24"/>
          <w:szCs w:val="24"/>
        </w:rPr>
        <w:t>Appendix A</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Data</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sz w:val="24"/>
          <w:szCs w:val="24"/>
        </w:rPr>
        <w:t>The present research used data from Building a Knowledge Base on Population Aging in India (BKPAI), a national level survey conducted in 2011 across seven states of India. The survey was a collaborative work of United Nations population fund New Dehli, IEG New Dehli, TISS Mumbai and ISEC Bangalore. The survey was conducted in seven populous states of India which include, Maharashtra, Kerala, and Himachal Pradesh. All the states were carried out in line with an aim as representative sample in the northern, western, eastern, and southern part of India following a random sampling process. Study used PSU as primary sampling units in rural areas, where as the urban wards were selected as the sampling units for urban areas. 1280 households in each were selected, with total household coverage of 8329 households. The number of elders aged 60 and above were around 9852. The detailed information on sampling and other required information can be seen from the final report of BKPAI report available in the public domain. The present study used the sample of ……older adults only after taking into account the older works adults in the survey.</w:t>
      </w:r>
    </w:p>
    <w:p w:rsidR="00FC6873" w:rsidRPr="008061EE" w:rsidRDefault="00FC6873" w:rsidP="00FC6873">
      <w:pPr>
        <w:jc w:val="both"/>
        <w:rPr>
          <w:rFonts w:ascii="Times New Roman" w:hAnsi="Times New Roman" w:cs="Times New Roman"/>
          <w:b/>
          <w:sz w:val="24"/>
          <w:szCs w:val="24"/>
        </w:rPr>
      </w:pP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Appendix B</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Disability</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sz w:val="24"/>
          <w:szCs w:val="24"/>
        </w:rPr>
        <w:t>Disability was measured on based on a set of questions asked to respondents in terms of their ability to hear, walk, seeing, chew , speaking and remembering. Since the response recorded was in three categories “yes”, “No” and “Partially”. We first generated a score based on the three questions and then computed it as a binary variable with a score of less than  as a no disability and score above 3 as having any disability among the older adults in our study</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b/>
          <w:sz w:val="24"/>
          <w:szCs w:val="24"/>
        </w:rPr>
        <w:t>Self-related health</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sz w:val="24"/>
          <w:szCs w:val="24"/>
        </w:rPr>
        <w:t>Self-rated health was having a scale of 1–5 “poor to excellent” and was categorized as 0 “good” (representing good, very good and excellent) and 1 “poor” (representing poor or fair).</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Subjective Wellbeing</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color w:val="202020"/>
          <w:sz w:val="24"/>
          <w:szCs w:val="24"/>
          <w:shd w:val="clear" w:color="auto" w:fill="FFFFFF"/>
        </w:rPr>
        <w:t xml:space="preserve">Subjective well-being was measured on a scale of 0 to 9. It was categorized as 0 “high” experiencing better experience with scores greater ore equal to 5 and 1 “low” experiencing negative experience with scores of less than five. The variable was finally recorded into binary variable for analytical purpose. </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Psychological Health</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color w:val="202020"/>
          <w:sz w:val="24"/>
          <w:szCs w:val="24"/>
          <w:shd w:val="clear" w:color="auto" w:fill="FFFFFF"/>
        </w:rPr>
        <w:t xml:space="preserve">Psychological health was measured on a scale of 0 to 12 based on experiencing healthful symptoms. It was recoded as 0 “high” (representing six and above scores) and 1 “low” (representing score five and less. The scale was in progressive order, but the responses were recoded and made binary, as mentioned in the above section. Finally the binary variable was computed to carry out analysis in our study. </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Cognition</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sz w:val="24"/>
          <w:szCs w:val="24"/>
        </w:rPr>
        <w:lastRenderedPageBreak/>
        <w:t xml:space="preserve">Cognitive ability was measured by number of words recall. To measure cognitive ability a scale of 0–8 was prepares representing higher the score better the cognitive ability. Five or more words were recoded as “0” “high” representing better cognitive ability and score of four or less was recoded as “1” “low “representing low cognitive ability. </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Social activity</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sz w:val="24"/>
          <w:szCs w:val="24"/>
        </w:rPr>
        <w:t>Participation  in  social  activities  is  defined  as  having  participated  in  any  of  the  five  listed  activities  in  the  last  12  months:  attending  a  public  meeting  with  discussion  of  local,  community  or  political  affairs;  attending  any  group,  club,  society,  union  or  organizational  meeting;  working with other people in your neighborhood to fix or improve something; attending or participating in any religious  programs/services  (not  including  weddings  and  funerals);  going  out  of  the  house  to  visit  friends  or  relatives</w:t>
      </w: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 xml:space="preserve">Multimorbidity </w:t>
      </w:r>
    </w:p>
    <w:p w:rsidR="00FC6873" w:rsidRPr="008061EE" w:rsidRDefault="00FC6873" w:rsidP="00FC6873">
      <w:pPr>
        <w:jc w:val="both"/>
        <w:rPr>
          <w:rFonts w:ascii="Times New Roman" w:hAnsi="Times New Roman" w:cs="Times New Roman"/>
          <w:sz w:val="24"/>
          <w:szCs w:val="24"/>
        </w:rPr>
      </w:pPr>
      <w:r w:rsidRPr="008061EE">
        <w:rPr>
          <w:rFonts w:ascii="Times New Roman" w:hAnsi="Times New Roman" w:cs="Times New Roman"/>
          <w:sz w:val="24"/>
          <w:szCs w:val="24"/>
        </w:rPr>
        <w:t xml:space="preserve">Multimorbidity was computed based on a set of question asked to respondents about their health and various ailments they have be diagnosed with. We combined the scores of all the variables together and finally categorized the variable into three groups “No”, “Single” and “Multimorbidity” in our study. </w:t>
      </w:r>
    </w:p>
    <w:p w:rsidR="00FC6873" w:rsidRPr="008061EE" w:rsidRDefault="00FC6873" w:rsidP="00FC6873">
      <w:pPr>
        <w:jc w:val="both"/>
        <w:rPr>
          <w:rFonts w:ascii="Times New Roman" w:hAnsi="Times New Roman" w:cs="Times New Roman"/>
          <w:sz w:val="24"/>
          <w:szCs w:val="24"/>
        </w:rPr>
      </w:pPr>
    </w:p>
    <w:p w:rsidR="00FC6873" w:rsidRPr="008061EE" w:rsidRDefault="00FC6873" w:rsidP="00FC6873">
      <w:pPr>
        <w:jc w:val="both"/>
        <w:rPr>
          <w:rFonts w:ascii="Times New Roman" w:hAnsi="Times New Roman" w:cs="Times New Roman"/>
          <w:b/>
          <w:sz w:val="24"/>
          <w:szCs w:val="24"/>
        </w:rPr>
      </w:pPr>
      <w:r w:rsidRPr="008061EE">
        <w:rPr>
          <w:rFonts w:ascii="Times New Roman" w:hAnsi="Times New Roman" w:cs="Times New Roman"/>
          <w:b/>
          <w:sz w:val="24"/>
          <w:szCs w:val="24"/>
        </w:rPr>
        <w:t>Wealth Index</w:t>
      </w:r>
    </w:p>
    <w:p w:rsidR="00FC6873" w:rsidRDefault="00FC6873" w:rsidP="00FC6873">
      <w:pPr>
        <w:jc w:val="both"/>
        <w:rPr>
          <w:rFonts w:ascii="Times New Roman" w:hAnsi="Times New Roman" w:cs="Times New Roman"/>
          <w:color w:val="2E2E2E"/>
          <w:sz w:val="24"/>
          <w:szCs w:val="24"/>
        </w:rPr>
      </w:pPr>
      <w:r w:rsidRPr="008061EE">
        <w:rPr>
          <w:rFonts w:ascii="Times New Roman" w:hAnsi="Times New Roman" w:cs="Times New Roman"/>
          <w:color w:val="2E2E2E"/>
          <w:sz w:val="24"/>
          <w:szCs w:val="24"/>
        </w:rPr>
        <w:t>The wealth index drawn on the basis of BKPAI survey is based on the following 30 assets and housing characteristics: household electrification; drinking water source; type of toilet facility; type of house; cooking fuel; house ownership; ownership of a bank or post-office account; and ownership of a mattress, a pressure cooker, a chair, a cot/bed, a table, an electric fan, a radio/transistor, a black and white television, a color television, a sewing machine, a mobile telephone, any landline phone, a computer, internet facility; a refrigerator, a watch or clock, a bicycle, a motorcycle or scooter, an animal-drawn cart, a car, a water pump, a thresher and a tractor. The range of index was from poorest to the richest i.e. ran</w:t>
      </w:r>
      <w:r>
        <w:rPr>
          <w:rFonts w:ascii="Times New Roman" w:hAnsi="Times New Roman" w:cs="Times New Roman"/>
          <w:color w:val="2E2E2E"/>
          <w:sz w:val="24"/>
          <w:szCs w:val="24"/>
        </w:rPr>
        <w:t>ging from lowest to the highest.</w:t>
      </w:r>
    </w:p>
    <w:p w:rsidR="00FC6873" w:rsidRDefault="00FC6873" w:rsidP="00FC6873">
      <w:pPr>
        <w:jc w:val="both"/>
        <w:rPr>
          <w:rFonts w:ascii="Times New Roman" w:hAnsi="Times New Roman" w:cs="Times New Roman"/>
          <w:color w:val="2E2E2E"/>
          <w:sz w:val="24"/>
          <w:szCs w:val="24"/>
        </w:rPr>
      </w:pPr>
    </w:p>
    <w:p w:rsidR="00FC6873" w:rsidRDefault="00FC6873" w:rsidP="00FC6873">
      <w:pPr>
        <w:jc w:val="both"/>
        <w:rPr>
          <w:rFonts w:ascii="Times New Roman" w:hAnsi="Times New Roman" w:cs="Times New Roman"/>
          <w:color w:val="2E2E2E"/>
          <w:sz w:val="24"/>
          <w:szCs w:val="24"/>
        </w:rPr>
      </w:pPr>
    </w:p>
    <w:p w:rsidR="001E7C9F" w:rsidRDefault="001E7C9F">
      <w:bookmarkStart w:id="0" w:name="_GoBack"/>
      <w:bookmarkEnd w:id="0"/>
    </w:p>
    <w:sectPr w:rsidR="001E7C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873"/>
    <w:rsid w:val="001E7C9F"/>
    <w:rsid w:val="00FC68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BF5E5-CD5F-4D91-841B-8EBA3AF1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87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2022-01-09T05:38:00Z</dcterms:created>
  <dcterms:modified xsi:type="dcterms:W3CDTF">2022-01-09T05:39:00Z</dcterms:modified>
</cp:coreProperties>
</file>