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A0E75" w14:textId="77777777" w:rsidR="00C40D0B" w:rsidRDefault="00C40D0B" w:rsidP="00C40D0B">
      <w:pPr>
        <w:spacing w:line="360" w:lineRule="auto"/>
        <w:ind w:firstLineChars="1200" w:firstLine="2530"/>
        <w:jc w:val="left"/>
        <w:rPr>
          <w:rFonts w:ascii="Times New Roman" w:hAnsi="Times New Roman"/>
          <w:b/>
          <w:bCs/>
          <w:szCs w:val="21"/>
        </w:rPr>
      </w:pPr>
      <w:r>
        <w:rPr>
          <w:rFonts w:ascii="Times New Roman" w:hAnsi="Times New Roman"/>
          <w:b/>
          <w:bCs/>
          <w:szCs w:val="21"/>
        </w:rPr>
        <w:t>Appendix 1: relevant data of Figure 1</w:t>
      </w:r>
    </w:p>
    <w:tbl>
      <w:tblPr>
        <w:tblW w:w="3241" w:type="dxa"/>
        <w:jc w:val="center"/>
        <w:tblBorders>
          <w:top w:val="single" w:sz="12" w:space="0" w:color="000000"/>
          <w:left w:val="single" w:sz="6" w:space="0" w:color="000000"/>
          <w:bottom w:val="single" w:sz="12"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80"/>
        <w:gridCol w:w="1080"/>
        <w:gridCol w:w="1081"/>
      </w:tblGrid>
      <w:tr w:rsidR="00C40D0B" w14:paraId="6E05F010" w14:textId="77777777" w:rsidTr="00C40D0B">
        <w:trPr>
          <w:trHeight w:val="312"/>
          <w:jc w:val="center"/>
        </w:trPr>
        <w:tc>
          <w:tcPr>
            <w:tcW w:w="1080" w:type="dxa"/>
            <w:tcBorders>
              <w:top w:val="single" w:sz="12" w:space="0" w:color="000000"/>
              <w:left w:val="single" w:sz="6" w:space="0" w:color="000000"/>
              <w:bottom w:val="single" w:sz="6" w:space="0" w:color="000000"/>
              <w:right w:val="single" w:sz="6" w:space="0" w:color="000000"/>
            </w:tcBorders>
            <w:noWrap/>
            <w:vAlign w:val="center"/>
            <w:hideMark/>
          </w:tcPr>
          <w:p w14:paraId="0A197C51"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Year</w:t>
            </w:r>
          </w:p>
        </w:tc>
        <w:tc>
          <w:tcPr>
            <w:tcW w:w="1080" w:type="dxa"/>
            <w:tcBorders>
              <w:top w:val="single" w:sz="12" w:space="0" w:color="000000"/>
              <w:left w:val="single" w:sz="6" w:space="0" w:color="000000"/>
              <w:bottom w:val="single" w:sz="6" w:space="0" w:color="000000"/>
              <w:right w:val="single" w:sz="6" w:space="0" w:color="000000"/>
            </w:tcBorders>
            <w:noWrap/>
            <w:vAlign w:val="center"/>
            <w:hideMark/>
          </w:tcPr>
          <w:p w14:paraId="0EC2F2CA"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state=0</w:t>
            </w:r>
          </w:p>
        </w:tc>
        <w:tc>
          <w:tcPr>
            <w:tcW w:w="1081" w:type="dxa"/>
            <w:tcBorders>
              <w:top w:val="single" w:sz="12" w:space="0" w:color="000000"/>
              <w:left w:val="single" w:sz="6" w:space="0" w:color="000000"/>
              <w:bottom w:val="single" w:sz="6" w:space="0" w:color="000000"/>
              <w:right w:val="single" w:sz="6" w:space="0" w:color="000000"/>
            </w:tcBorders>
            <w:noWrap/>
            <w:vAlign w:val="center"/>
            <w:hideMark/>
          </w:tcPr>
          <w:p w14:paraId="67E8EE2C"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state=1</w:t>
            </w:r>
          </w:p>
        </w:tc>
      </w:tr>
      <w:tr w:rsidR="00C40D0B" w14:paraId="586BE16B" w14:textId="77777777" w:rsidTr="00C40D0B">
        <w:trPr>
          <w:trHeight w:val="312"/>
          <w:jc w:val="center"/>
        </w:trPr>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74D78D18"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2008 </w:t>
            </w:r>
          </w:p>
        </w:tc>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0C4CD885"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-0.197 </w:t>
            </w:r>
          </w:p>
        </w:tc>
        <w:tc>
          <w:tcPr>
            <w:tcW w:w="1081" w:type="dxa"/>
            <w:tcBorders>
              <w:top w:val="single" w:sz="6" w:space="0" w:color="000000"/>
              <w:left w:val="single" w:sz="6" w:space="0" w:color="000000"/>
              <w:bottom w:val="single" w:sz="6" w:space="0" w:color="000000"/>
              <w:right w:val="single" w:sz="6" w:space="0" w:color="000000"/>
            </w:tcBorders>
            <w:noWrap/>
            <w:vAlign w:val="center"/>
            <w:hideMark/>
          </w:tcPr>
          <w:p w14:paraId="7B1B1119"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-0.170 </w:t>
            </w:r>
          </w:p>
        </w:tc>
      </w:tr>
      <w:tr w:rsidR="00C40D0B" w14:paraId="07A03933" w14:textId="77777777" w:rsidTr="00C40D0B">
        <w:trPr>
          <w:trHeight w:val="312"/>
          <w:jc w:val="center"/>
        </w:trPr>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3DB3B118"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2009 </w:t>
            </w:r>
          </w:p>
        </w:tc>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319DBCC9"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-0.041 </w:t>
            </w:r>
          </w:p>
        </w:tc>
        <w:tc>
          <w:tcPr>
            <w:tcW w:w="1081" w:type="dxa"/>
            <w:tcBorders>
              <w:top w:val="single" w:sz="6" w:space="0" w:color="000000"/>
              <w:left w:val="single" w:sz="6" w:space="0" w:color="000000"/>
              <w:bottom w:val="single" w:sz="6" w:space="0" w:color="000000"/>
              <w:right w:val="single" w:sz="6" w:space="0" w:color="000000"/>
            </w:tcBorders>
            <w:noWrap/>
            <w:vAlign w:val="center"/>
            <w:hideMark/>
          </w:tcPr>
          <w:p w14:paraId="0B604769"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-0.015 </w:t>
            </w:r>
          </w:p>
        </w:tc>
      </w:tr>
      <w:tr w:rsidR="00C40D0B" w14:paraId="5F2A277E" w14:textId="77777777" w:rsidTr="00C40D0B">
        <w:trPr>
          <w:trHeight w:val="312"/>
          <w:jc w:val="center"/>
        </w:trPr>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28BF19E4"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2010 </w:t>
            </w:r>
          </w:p>
        </w:tc>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46511ACA"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-0.106 </w:t>
            </w:r>
          </w:p>
        </w:tc>
        <w:tc>
          <w:tcPr>
            <w:tcW w:w="1081" w:type="dxa"/>
            <w:tcBorders>
              <w:top w:val="single" w:sz="6" w:space="0" w:color="000000"/>
              <w:left w:val="single" w:sz="6" w:space="0" w:color="000000"/>
              <w:bottom w:val="single" w:sz="6" w:space="0" w:color="000000"/>
              <w:right w:val="single" w:sz="6" w:space="0" w:color="000000"/>
            </w:tcBorders>
            <w:noWrap/>
            <w:vAlign w:val="center"/>
            <w:hideMark/>
          </w:tcPr>
          <w:p w14:paraId="307DA4DB"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-0.053 </w:t>
            </w:r>
          </w:p>
        </w:tc>
      </w:tr>
      <w:tr w:rsidR="00C40D0B" w14:paraId="3EAD7C01" w14:textId="77777777" w:rsidTr="00C40D0B">
        <w:trPr>
          <w:trHeight w:val="312"/>
          <w:jc w:val="center"/>
        </w:trPr>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6F3A06FB"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2011 </w:t>
            </w:r>
          </w:p>
        </w:tc>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202AAED7"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-0.167 </w:t>
            </w:r>
          </w:p>
        </w:tc>
        <w:tc>
          <w:tcPr>
            <w:tcW w:w="1081" w:type="dxa"/>
            <w:tcBorders>
              <w:top w:val="single" w:sz="6" w:space="0" w:color="000000"/>
              <w:left w:val="single" w:sz="6" w:space="0" w:color="000000"/>
              <w:bottom w:val="single" w:sz="6" w:space="0" w:color="000000"/>
              <w:right w:val="single" w:sz="6" w:space="0" w:color="000000"/>
            </w:tcBorders>
            <w:noWrap/>
            <w:vAlign w:val="center"/>
            <w:hideMark/>
          </w:tcPr>
          <w:p w14:paraId="20823810"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-0.117 </w:t>
            </w:r>
          </w:p>
        </w:tc>
      </w:tr>
      <w:tr w:rsidR="00C40D0B" w14:paraId="069ADFE2" w14:textId="77777777" w:rsidTr="00C40D0B">
        <w:trPr>
          <w:trHeight w:val="312"/>
          <w:jc w:val="center"/>
        </w:trPr>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207B0310"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2012 </w:t>
            </w:r>
          </w:p>
        </w:tc>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2A314858"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-0.150 </w:t>
            </w:r>
          </w:p>
        </w:tc>
        <w:tc>
          <w:tcPr>
            <w:tcW w:w="1081" w:type="dxa"/>
            <w:tcBorders>
              <w:top w:val="single" w:sz="6" w:space="0" w:color="000000"/>
              <w:left w:val="single" w:sz="6" w:space="0" w:color="000000"/>
              <w:bottom w:val="single" w:sz="6" w:space="0" w:color="000000"/>
              <w:right w:val="single" w:sz="6" w:space="0" w:color="000000"/>
            </w:tcBorders>
            <w:noWrap/>
            <w:vAlign w:val="center"/>
            <w:hideMark/>
          </w:tcPr>
          <w:p w14:paraId="3FB10F0B"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-0.080 </w:t>
            </w:r>
          </w:p>
        </w:tc>
      </w:tr>
      <w:tr w:rsidR="00C40D0B" w14:paraId="2553D10E" w14:textId="77777777" w:rsidTr="00C40D0B">
        <w:trPr>
          <w:trHeight w:val="312"/>
          <w:jc w:val="center"/>
        </w:trPr>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7E8B8E21"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2013 </w:t>
            </w:r>
          </w:p>
        </w:tc>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4AD88E8F"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-0.111 </w:t>
            </w:r>
          </w:p>
        </w:tc>
        <w:tc>
          <w:tcPr>
            <w:tcW w:w="1081" w:type="dxa"/>
            <w:tcBorders>
              <w:top w:val="single" w:sz="6" w:space="0" w:color="000000"/>
              <w:left w:val="single" w:sz="6" w:space="0" w:color="000000"/>
              <w:bottom w:val="single" w:sz="6" w:space="0" w:color="000000"/>
              <w:right w:val="single" w:sz="6" w:space="0" w:color="000000"/>
            </w:tcBorders>
            <w:noWrap/>
            <w:vAlign w:val="center"/>
            <w:hideMark/>
          </w:tcPr>
          <w:p w14:paraId="70E1E67A"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-0.071 </w:t>
            </w:r>
          </w:p>
        </w:tc>
      </w:tr>
      <w:tr w:rsidR="00C40D0B" w14:paraId="1B919291" w14:textId="77777777" w:rsidTr="00C40D0B">
        <w:trPr>
          <w:trHeight w:val="312"/>
          <w:jc w:val="center"/>
        </w:trPr>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1B87CDF2"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2014 </w:t>
            </w:r>
          </w:p>
        </w:tc>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43F477CF"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-0.134 </w:t>
            </w:r>
          </w:p>
        </w:tc>
        <w:tc>
          <w:tcPr>
            <w:tcW w:w="1081" w:type="dxa"/>
            <w:tcBorders>
              <w:top w:val="single" w:sz="6" w:space="0" w:color="000000"/>
              <w:left w:val="single" w:sz="6" w:space="0" w:color="000000"/>
              <w:bottom w:val="single" w:sz="6" w:space="0" w:color="000000"/>
              <w:right w:val="single" w:sz="6" w:space="0" w:color="000000"/>
            </w:tcBorders>
            <w:noWrap/>
            <w:vAlign w:val="center"/>
            <w:hideMark/>
          </w:tcPr>
          <w:p w14:paraId="14A51133"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-0.089 </w:t>
            </w:r>
          </w:p>
        </w:tc>
      </w:tr>
      <w:tr w:rsidR="00C40D0B" w14:paraId="16FD914E" w14:textId="77777777" w:rsidTr="00C40D0B">
        <w:trPr>
          <w:trHeight w:val="312"/>
          <w:jc w:val="center"/>
        </w:trPr>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3AB091A1"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2015 </w:t>
            </w:r>
          </w:p>
        </w:tc>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22CF95DF"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-0.101 </w:t>
            </w:r>
          </w:p>
        </w:tc>
        <w:tc>
          <w:tcPr>
            <w:tcW w:w="1081" w:type="dxa"/>
            <w:tcBorders>
              <w:top w:val="single" w:sz="6" w:space="0" w:color="000000"/>
              <w:left w:val="single" w:sz="6" w:space="0" w:color="000000"/>
              <w:bottom w:val="single" w:sz="6" w:space="0" w:color="000000"/>
              <w:right w:val="single" w:sz="6" w:space="0" w:color="000000"/>
            </w:tcBorders>
            <w:noWrap/>
            <w:vAlign w:val="center"/>
            <w:hideMark/>
          </w:tcPr>
          <w:p w14:paraId="10B55153"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-0.099 </w:t>
            </w:r>
          </w:p>
        </w:tc>
      </w:tr>
      <w:tr w:rsidR="00C40D0B" w14:paraId="22CFBB76" w14:textId="77777777" w:rsidTr="00C40D0B">
        <w:trPr>
          <w:trHeight w:val="312"/>
          <w:jc w:val="center"/>
        </w:trPr>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18BC2100"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2016 </w:t>
            </w:r>
          </w:p>
        </w:tc>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044AB14E"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-0.084 </w:t>
            </w:r>
          </w:p>
        </w:tc>
        <w:tc>
          <w:tcPr>
            <w:tcW w:w="1081" w:type="dxa"/>
            <w:tcBorders>
              <w:top w:val="single" w:sz="6" w:space="0" w:color="000000"/>
              <w:left w:val="single" w:sz="6" w:space="0" w:color="000000"/>
              <w:bottom w:val="single" w:sz="6" w:space="0" w:color="000000"/>
              <w:right w:val="single" w:sz="6" w:space="0" w:color="000000"/>
            </w:tcBorders>
            <w:noWrap/>
            <w:vAlign w:val="center"/>
            <w:hideMark/>
          </w:tcPr>
          <w:p w14:paraId="4080A892"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-0.076 </w:t>
            </w:r>
          </w:p>
        </w:tc>
      </w:tr>
      <w:tr w:rsidR="00C40D0B" w14:paraId="77C7A5DB" w14:textId="77777777" w:rsidTr="00C40D0B">
        <w:trPr>
          <w:trHeight w:val="312"/>
          <w:jc w:val="center"/>
        </w:trPr>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16577037"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2017 </w:t>
            </w:r>
          </w:p>
        </w:tc>
        <w:tc>
          <w:tcPr>
            <w:tcW w:w="1080" w:type="dxa"/>
            <w:tcBorders>
              <w:top w:val="single" w:sz="6" w:space="0" w:color="000000"/>
              <w:left w:val="single" w:sz="6" w:space="0" w:color="000000"/>
              <w:bottom w:val="single" w:sz="6" w:space="0" w:color="000000"/>
              <w:right w:val="single" w:sz="6" w:space="0" w:color="000000"/>
            </w:tcBorders>
            <w:noWrap/>
            <w:vAlign w:val="center"/>
            <w:hideMark/>
          </w:tcPr>
          <w:p w14:paraId="3378B95C"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-0.058 </w:t>
            </w:r>
          </w:p>
        </w:tc>
        <w:tc>
          <w:tcPr>
            <w:tcW w:w="1081" w:type="dxa"/>
            <w:tcBorders>
              <w:top w:val="single" w:sz="6" w:space="0" w:color="000000"/>
              <w:left w:val="single" w:sz="6" w:space="0" w:color="000000"/>
              <w:bottom w:val="single" w:sz="6" w:space="0" w:color="000000"/>
              <w:right w:val="single" w:sz="6" w:space="0" w:color="000000"/>
            </w:tcBorders>
            <w:noWrap/>
            <w:vAlign w:val="center"/>
            <w:hideMark/>
          </w:tcPr>
          <w:p w14:paraId="396BCDEC"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0.004 </w:t>
            </w:r>
          </w:p>
        </w:tc>
      </w:tr>
      <w:tr w:rsidR="00C40D0B" w14:paraId="20B4B7D6" w14:textId="77777777" w:rsidTr="00C40D0B">
        <w:trPr>
          <w:trHeight w:val="312"/>
          <w:jc w:val="center"/>
        </w:trPr>
        <w:tc>
          <w:tcPr>
            <w:tcW w:w="1080" w:type="dxa"/>
            <w:tcBorders>
              <w:top w:val="single" w:sz="6" w:space="0" w:color="000000"/>
              <w:left w:val="single" w:sz="6" w:space="0" w:color="000000"/>
              <w:bottom w:val="single" w:sz="12" w:space="0" w:color="000000"/>
              <w:right w:val="single" w:sz="6" w:space="0" w:color="000000"/>
            </w:tcBorders>
            <w:noWrap/>
            <w:vAlign w:val="center"/>
            <w:hideMark/>
          </w:tcPr>
          <w:p w14:paraId="4132BB91"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2018 </w:t>
            </w:r>
          </w:p>
        </w:tc>
        <w:tc>
          <w:tcPr>
            <w:tcW w:w="1080" w:type="dxa"/>
            <w:tcBorders>
              <w:top w:val="single" w:sz="6" w:space="0" w:color="000000"/>
              <w:left w:val="single" w:sz="6" w:space="0" w:color="000000"/>
              <w:bottom w:val="single" w:sz="12" w:space="0" w:color="000000"/>
              <w:right w:val="single" w:sz="6" w:space="0" w:color="000000"/>
            </w:tcBorders>
            <w:noWrap/>
            <w:vAlign w:val="center"/>
            <w:hideMark/>
          </w:tcPr>
          <w:p w14:paraId="52529100"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-0.227 </w:t>
            </w:r>
          </w:p>
        </w:tc>
        <w:tc>
          <w:tcPr>
            <w:tcW w:w="1081" w:type="dxa"/>
            <w:tcBorders>
              <w:top w:val="single" w:sz="6" w:space="0" w:color="000000"/>
              <w:left w:val="single" w:sz="6" w:space="0" w:color="000000"/>
              <w:bottom w:val="single" w:sz="12" w:space="0" w:color="000000"/>
              <w:right w:val="single" w:sz="6" w:space="0" w:color="000000"/>
            </w:tcBorders>
            <w:noWrap/>
            <w:vAlign w:val="center"/>
            <w:hideMark/>
          </w:tcPr>
          <w:p w14:paraId="44919959" w14:textId="77777777" w:rsidR="00C40D0B" w:rsidRDefault="00C40D0B">
            <w:pPr>
              <w:widowControl/>
              <w:jc w:val="center"/>
              <w:textAlignment w:val="center"/>
              <w:rPr>
                <w:rFonts w:ascii="Times New Roman" w:hAnsi="Times New Roman"/>
                <w:szCs w:val="21"/>
              </w:rPr>
            </w:pPr>
            <w:r>
              <w:rPr>
                <w:rFonts w:ascii="Times New Roman" w:hAnsi="Times New Roman"/>
                <w:kern w:val="0"/>
                <w:szCs w:val="21"/>
                <w:lang w:bidi="ar"/>
              </w:rPr>
              <w:t xml:space="preserve">-0.105 </w:t>
            </w:r>
          </w:p>
        </w:tc>
      </w:tr>
    </w:tbl>
    <w:p w14:paraId="4FFD51AD" w14:textId="77777777" w:rsidR="00C40D0B" w:rsidRDefault="00C40D0B" w:rsidP="00C40D0B">
      <w:pPr>
        <w:rPr>
          <w:rFonts w:ascii="Times New Roman" w:hAnsi="Times New Roman"/>
          <w:b/>
          <w:bCs/>
          <w:szCs w:val="21"/>
        </w:rPr>
      </w:pPr>
    </w:p>
    <w:p w14:paraId="443337E2" w14:textId="77777777" w:rsidR="00C40D0B" w:rsidRDefault="00C40D0B" w:rsidP="00C40D0B">
      <w:pPr>
        <w:jc w:val="center"/>
        <w:rPr>
          <w:rFonts w:ascii="Times New Roman" w:hAnsi="Times New Roman"/>
          <w:b/>
          <w:bCs/>
          <w:szCs w:val="21"/>
        </w:rPr>
      </w:pPr>
    </w:p>
    <w:p w14:paraId="7BF3B15D" w14:textId="77777777" w:rsidR="00C40D0B" w:rsidRDefault="00C40D0B" w:rsidP="00C40D0B">
      <w:pPr>
        <w:jc w:val="center"/>
        <w:rPr>
          <w:rFonts w:ascii="Times New Roman" w:hAnsi="Times New Roman"/>
          <w:b/>
          <w:bCs/>
          <w:szCs w:val="21"/>
        </w:rPr>
      </w:pPr>
    </w:p>
    <w:p w14:paraId="4EE83BF0" w14:textId="77777777" w:rsidR="00C40D0B" w:rsidRDefault="00C40D0B" w:rsidP="00C40D0B">
      <w:pPr>
        <w:jc w:val="center"/>
        <w:rPr>
          <w:rFonts w:ascii="Times New Roman" w:hAnsi="Times New Roman"/>
          <w:b/>
          <w:bCs/>
          <w:szCs w:val="21"/>
        </w:rPr>
      </w:pPr>
    </w:p>
    <w:p w14:paraId="3E504978" w14:textId="77777777" w:rsidR="00C40D0B" w:rsidRDefault="00C40D0B" w:rsidP="00C40D0B">
      <w:pPr>
        <w:jc w:val="center"/>
        <w:rPr>
          <w:rFonts w:ascii="Times New Roman" w:hAnsi="Times New Roman"/>
          <w:b/>
          <w:bCs/>
          <w:szCs w:val="21"/>
        </w:rPr>
      </w:pPr>
    </w:p>
    <w:p w14:paraId="291F4DEC" w14:textId="77777777" w:rsidR="00C40D0B" w:rsidRDefault="00C40D0B" w:rsidP="00C40D0B">
      <w:pPr>
        <w:jc w:val="center"/>
        <w:rPr>
          <w:rFonts w:ascii="Times New Roman" w:hAnsi="Times New Roman"/>
          <w:b/>
          <w:bCs/>
          <w:szCs w:val="21"/>
        </w:rPr>
      </w:pPr>
    </w:p>
    <w:p w14:paraId="30FD1B98" w14:textId="77777777" w:rsidR="00C40D0B" w:rsidRDefault="00C40D0B" w:rsidP="00C40D0B">
      <w:pPr>
        <w:jc w:val="center"/>
        <w:rPr>
          <w:rFonts w:ascii="Times New Roman" w:hAnsi="Times New Roman"/>
          <w:b/>
          <w:bCs/>
          <w:szCs w:val="21"/>
        </w:rPr>
      </w:pPr>
    </w:p>
    <w:p w14:paraId="79186D48" w14:textId="77777777" w:rsidR="00C40D0B" w:rsidRDefault="00C40D0B" w:rsidP="00C40D0B">
      <w:pPr>
        <w:rPr>
          <w:rFonts w:ascii="Times New Roman" w:hAnsi="Times New Roman"/>
          <w:b/>
          <w:bCs/>
          <w:szCs w:val="21"/>
        </w:rPr>
      </w:pPr>
    </w:p>
    <w:p w14:paraId="392565E8" w14:textId="77777777" w:rsidR="00C40D0B" w:rsidRDefault="00C40D0B" w:rsidP="00C40D0B">
      <w:pPr>
        <w:jc w:val="center"/>
        <w:rPr>
          <w:rFonts w:ascii="Times New Roman" w:hAnsi="Times New Roman"/>
          <w:b/>
          <w:bCs/>
          <w:szCs w:val="21"/>
        </w:rPr>
      </w:pPr>
    </w:p>
    <w:p w14:paraId="6AC34DC5" w14:textId="77777777" w:rsidR="00C40D0B" w:rsidRDefault="00C40D0B" w:rsidP="00C40D0B">
      <w:pPr>
        <w:jc w:val="center"/>
        <w:rPr>
          <w:rFonts w:ascii="Times New Roman" w:hAnsi="Times New Roman"/>
          <w:b/>
          <w:bCs/>
          <w:szCs w:val="21"/>
        </w:rPr>
      </w:pPr>
    </w:p>
    <w:p w14:paraId="618B6C42" w14:textId="77777777" w:rsidR="00C40D0B" w:rsidRDefault="00C40D0B" w:rsidP="00C40D0B">
      <w:pPr>
        <w:jc w:val="center"/>
        <w:rPr>
          <w:rFonts w:ascii="Times New Roman" w:hAnsi="Times New Roman"/>
          <w:b/>
          <w:bCs/>
          <w:szCs w:val="21"/>
        </w:rPr>
      </w:pPr>
      <w:r>
        <w:rPr>
          <w:rFonts w:ascii="Times New Roman" w:hAnsi="Times New Roman"/>
          <w:b/>
          <w:bCs/>
          <w:szCs w:val="21"/>
        </w:rPr>
        <w:t>Appendix2: Description of variables in this paper</w:t>
      </w:r>
    </w:p>
    <w:p w14:paraId="3CC51D2F" w14:textId="77777777" w:rsidR="00C40D0B" w:rsidRDefault="00C40D0B" w:rsidP="00C40D0B">
      <w:pPr>
        <w:widowControl/>
        <w:jc w:val="left"/>
        <w:rPr>
          <w:rFonts w:ascii="Times New Roman" w:hAnsi="Times New Roman"/>
          <w:b/>
          <w:bCs/>
          <w:szCs w:val="21"/>
        </w:rPr>
        <w:sectPr w:rsidR="00C40D0B">
          <w:footnotePr>
            <w:numFmt w:val="decimalEnclosedCircleChinese"/>
          </w:footnotePr>
          <w:pgSz w:w="11906" w:h="16838"/>
          <w:pgMar w:top="1440" w:right="1800" w:bottom="1440" w:left="1800" w:header="851" w:footer="992" w:gutter="0"/>
          <w:cols w:space="720"/>
          <w:docGrid w:type="lines" w:linePitch="312"/>
        </w:sectPr>
      </w:pPr>
    </w:p>
    <w:tbl>
      <w:tblPr>
        <w:tblStyle w:val="TableGrid"/>
        <w:tblW w:w="8520" w:type="dxa"/>
        <w:tblInd w:w="0" w:type="dxa"/>
        <w:tblBorders>
          <w:top w:val="single" w:sz="12" w:space="0" w:color="auto"/>
          <w:left w:val="none" w:sz="0" w:space="0" w:color="auto"/>
          <w:bottom w:val="single" w:sz="12" w:space="0" w:color="auto"/>
          <w:right w:val="none" w:sz="0" w:space="0" w:color="auto"/>
          <w:insideH w:val="single" w:sz="6" w:space="0" w:color="auto"/>
          <w:insideV w:val="none" w:sz="0" w:space="0" w:color="auto"/>
        </w:tblBorders>
        <w:tblLayout w:type="fixed"/>
        <w:tblLook w:val="04A0" w:firstRow="1" w:lastRow="0" w:firstColumn="1" w:lastColumn="0" w:noHBand="0" w:noVBand="1"/>
      </w:tblPr>
      <w:tblGrid>
        <w:gridCol w:w="1658"/>
        <w:gridCol w:w="1920"/>
        <w:gridCol w:w="4942"/>
      </w:tblGrid>
      <w:tr w:rsidR="00C40D0B" w14:paraId="70D74F5C" w14:textId="77777777" w:rsidTr="00C40D0B">
        <w:tc>
          <w:tcPr>
            <w:tcW w:w="1659" w:type="dxa"/>
            <w:vMerge w:val="restart"/>
            <w:tcBorders>
              <w:top w:val="single" w:sz="12" w:space="0" w:color="auto"/>
              <w:left w:val="nil"/>
              <w:bottom w:val="single" w:sz="6" w:space="0" w:color="auto"/>
              <w:right w:val="nil"/>
            </w:tcBorders>
            <w:hideMark/>
          </w:tcPr>
          <w:p w14:paraId="70FD5B8E" w14:textId="77777777" w:rsidR="00C40D0B" w:rsidRDefault="00C40D0B">
            <w:pPr>
              <w:snapToGrid w:val="0"/>
              <w:spacing w:line="340" w:lineRule="exact"/>
              <w:rPr>
                <w:rFonts w:ascii="Times New Roman" w:hAnsi="Times New Roman"/>
                <w:b/>
                <w:bCs/>
                <w:szCs w:val="21"/>
              </w:rPr>
            </w:pPr>
            <w:r>
              <w:rPr>
                <w:rFonts w:ascii="Times New Roman" w:hAnsi="Times New Roman"/>
                <w:b/>
                <w:bCs/>
                <w:szCs w:val="21"/>
              </w:rPr>
              <w:lastRenderedPageBreak/>
              <w:t>Explained variable</w:t>
            </w:r>
          </w:p>
        </w:tc>
        <w:tc>
          <w:tcPr>
            <w:tcW w:w="1920" w:type="dxa"/>
            <w:tcBorders>
              <w:top w:val="single" w:sz="12" w:space="0" w:color="auto"/>
              <w:left w:val="nil"/>
              <w:bottom w:val="single" w:sz="6" w:space="0" w:color="auto"/>
              <w:right w:val="nil"/>
            </w:tcBorders>
            <w:vAlign w:val="center"/>
            <w:hideMark/>
          </w:tcPr>
          <w:p w14:paraId="42AE3B5D" w14:textId="77777777" w:rsidR="00C40D0B" w:rsidRDefault="00C40D0B">
            <w:pPr>
              <w:snapToGrid w:val="0"/>
              <w:spacing w:line="340" w:lineRule="exact"/>
              <w:rPr>
                <w:rFonts w:ascii="Times New Roman" w:hAnsi="Times New Roman"/>
                <w:szCs w:val="21"/>
              </w:rPr>
            </w:pPr>
            <w:r>
              <w:rPr>
                <w:rFonts w:ascii="Times New Roman" w:hAnsi="Times New Roman"/>
                <w:position w:val="-4"/>
                <w:szCs w:val="21"/>
              </w:rPr>
              <w:object w:dxaOrig="240" w:dyaOrig="264" w14:anchorId="4F723B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555" o:spid="_x0000_i1025" type="#_x0000_t75" style="width:12pt;height:13.5pt;mso-wrap-style:square;mso-position-horizontal-relative:page;mso-position-vertical-relative:page" o:ole="">
                  <v:fill o:detectmouseclick="t"/>
                  <v:imagedata r:id="rId4" o:title=""/>
                </v:shape>
                <o:OLEObject Type="Embed" ProgID="Equation.KSEE3" ShapeID="Object 555" DrawAspect="Content" ObjectID="_1739000137" r:id="rId5">
                  <o:FieldCodes>\* MERGEFORMAT</o:FieldCodes>
                </o:OLEObject>
              </w:object>
            </w:r>
          </w:p>
        </w:tc>
        <w:tc>
          <w:tcPr>
            <w:tcW w:w="4943" w:type="dxa"/>
            <w:tcBorders>
              <w:top w:val="single" w:sz="12" w:space="0" w:color="auto"/>
              <w:left w:val="nil"/>
              <w:bottom w:val="single" w:sz="6" w:space="0" w:color="auto"/>
              <w:right w:val="nil"/>
            </w:tcBorders>
            <w:hideMark/>
          </w:tcPr>
          <w:p w14:paraId="31284477" w14:textId="77777777" w:rsidR="00C40D0B" w:rsidRDefault="00C40D0B">
            <w:pPr>
              <w:snapToGrid w:val="0"/>
              <w:spacing w:line="340" w:lineRule="exact"/>
              <w:rPr>
                <w:rFonts w:ascii="Times New Roman" w:hAnsi="Times New Roman"/>
                <w:szCs w:val="21"/>
              </w:rPr>
            </w:pPr>
            <w:r>
              <w:rPr>
                <w:rFonts w:ascii="Times New Roman" w:hAnsi="Times New Roman"/>
                <w:szCs w:val="21"/>
              </w:rPr>
              <w:t>Using Choi et al. (2011) and Drake et al. (2015) for reference, the cumulative return on purchases and holdings in the financial year.</w:t>
            </w:r>
          </w:p>
        </w:tc>
      </w:tr>
      <w:tr w:rsidR="00C40D0B" w14:paraId="23519664" w14:textId="77777777" w:rsidTr="00C40D0B">
        <w:tc>
          <w:tcPr>
            <w:tcW w:w="1659" w:type="dxa"/>
            <w:vMerge/>
            <w:tcBorders>
              <w:top w:val="single" w:sz="12" w:space="0" w:color="auto"/>
              <w:left w:val="nil"/>
              <w:bottom w:val="single" w:sz="6" w:space="0" w:color="auto"/>
              <w:right w:val="nil"/>
            </w:tcBorders>
            <w:vAlign w:val="center"/>
            <w:hideMark/>
          </w:tcPr>
          <w:p w14:paraId="0F0C7D3A"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6D2CD6D6" w14:textId="77777777" w:rsidR="00C40D0B" w:rsidRDefault="00C40D0B">
            <w:pPr>
              <w:snapToGrid w:val="0"/>
              <w:spacing w:line="340" w:lineRule="exact"/>
              <w:rPr>
                <w:rFonts w:ascii="Times New Roman" w:hAnsi="Times New Roman"/>
                <w:szCs w:val="21"/>
              </w:rPr>
            </w:pPr>
            <w:r>
              <w:rPr>
                <w:rFonts w:ascii="Times New Roman" w:hAnsi="Times New Roman"/>
                <w:position w:val="-10"/>
                <w:szCs w:val="21"/>
              </w:rPr>
              <w:object w:dxaOrig="504" w:dyaOrig="324" w14:anchorId="6C59E877">
                <v:shape id="Object 1207" o:spid="_x0000_i1026" type="#_x0000_t75" style="width:25.5pt;height:16.5pt;mso-wrap-style:square;mso-position-horizontal-relative:page;mso-position-vertical-relative:page" o:ole="">
                  <v:fill o:detectmouseclick="t"/>
                  <v:imagedata r:id="rId6" o:title=""/>
                </v:shape>
                <o:OLEObject Type="Embed" ProgID="Equation.KSEE3" ShapeID="Object 1207" DrawAspect="Content" ObjectID="_1739000138" r:id="rId7">
                  <o:FieldCodes>\* MERGEFORMAT</o:FieldCodes>
                </o:OLEObject>
              </w:object>
            </w:r>
          </w:p>
        </w:tc>
        <w:tc>
          <w:tcPr>
            <w:tcW w:w="4943" w:type="dxa"/>
            <w:tcBorders>
              <w:top w:val="single" w:sz="6" w:space="0" w:color="auto"/>
              <w:left w:val="nil"/>
              <w:bottom w:val="single" w:sz="6" w:space="0" w:color="auto"/>
              <w:right w:val="nil"/>
            </w:tcBorders>
            <w:hideMark/>
          </w:tcPr>
          <w:p w14:paraId="6C3AB57E" w14:textId="77777777" w:rsidR="00C40D0B" w:rsidRDefault="00C40D0B">
            <w:pPr>
              <w:snapToGrid w:val="0"/>
              <w:spacing w:line="340" w:lineRule="exact"/>
              <w:rPr>
                <w:rFonts w:ascii="Times New Roman" w:hAnsi="Times New Roman"/>
                <w:szCs w:val="21"/>
              </w:rPr>
            </w:pPr>
            <w:r>
              <w:rPr>
                <w:rFonts w:ascii="Times New Roman" w:hAnsi="Times New Roman"/>
                <w:szCs w:val="21"/>
              </w:rPr>
              <w:t xml:space="preserve">Stock price synchronicity is measured by the logarithmic transformation of the regression R2 of the market model (the weekly stock return data) using the methods of </w:t>
            </w:r>
            <w:proofErr w:type="spellStart"/>
            <w:r>
              <w:rPr>
                <w:rFonts w:ascii="Times New Roman" w:hAnsi="Times New Roman"/>
                <w:szCs w:val="21"/>
              </w:rPr>
              <w:t>Morck</w:t>
            </w:r>
            <w:proofErr w:type="spellEnd"/>
            <w:r>
              <w:rPr>
                <w:rFonts w:ascii="Times New Roman" w:hAnsi="Times New Roman"/>
                <w:szCs w:val="21"/>
              </w:rPr>
              <w:t xml:space="preserve"> </w:t>
            </w:r>
            <w:proofErr w:type="gramStart"/>
            <w:r>
              <w:rPr>
                <w:rFonts w:ascii="Times New Roman" w:hAnsi="Times New Roman"/>
                <w:szCs w:val="21"/>
              </w:rPr>
              <w:t>et al.(</w:t>
            </w:r>
            <w:proofErr w:type="gramEnd"/>
            <w:r>
              <w:rPr>
                <w:rFonts w:ascii="Times New Roman" w:hAnsi="Times New Roman"/>
                <w:szCs w:val="21"/>
              </w:rPr>
              <w:t xml:space="preserve">2000),Gul et al.(2010),Xu et al.(2013), </w:t>
            </w:r>
            <w:proofErr w:type="spellStart"/>
            <w:r>
              <w:rPr>
                <w:rFonts w:ascii="Times New Roman" w:hAnsi="Times New Roman"/>
                <w:szCs w:val="21"/>
              </w:rPr>
              <w:t>etc</w:t>
            </w:r>
            <w:proofErr w:type="spellEnd"/>
            <w:r>
              <w:rPr>
                <w:rFonts w:ascii="Times New Roman" w:hAnsi="Times New Roman"/>
                <w:szCs w:val="21"/>
              </w:rPr>
              <w:t>, for reference.</w:t>
            </w:r>
          </w:p>
        </w:tc>
      </w:tr>
      <w:tr w:rsidR="00C40D0B" w14:paraId="448BED16" w14:textId="77777777" w:rsidTr="00C40D0B">
        <w:tc>
          <w:tcPr>
            <w:tcW w:w="1659" w:type="dxa"/>
            <w:vMerge/>
            <w:tcBorders>
              <w:top w:val="single" w:sz="12" w:space="0" w:color="auto"/>
              <w:left w:val="nil"/>
              <w:bottom w:val="single" w:sz="6" w:space="0" w:color="auto"/>
              <w:right w:val="nil"/>
            </w:tcBorders>
            <w:vAlign w:val="center"/>
            <w:hideMark/>
          </w:tcPr>
          <w:p w14:paraId="0C03384C"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72937766" w14:textId="77777777" w:rsidR="00C40D0B" w:rsidRDefault="00C40D0B">
            <w:pPr>
              <w:snapToGrid w:val="0"/>
              <w:spacing w:line="340" w:lineRule="exact"/>
              <w:rPr>
                <w:rFonts w:ascii="Times New Roman" w:hAnsi="Times New Roman"/>
                <w:szCs w:val="21"/>
              </w:rPr>
            </w:pPr>
            <w:r>
              <w:rPr>
                <w:rFonts w:ascii="Times New Roman" w:hAnsi="Times New Roman"/>
                <w:position w:val="-10"/>
                <w:szCs w:val="21"/>
              </w:rPr>
              <w:object w:dxaOrig="564" w:dyaOrig="324" w14:anchorId="503801DC">
                <v:shape id="Object 1208" o:spid="_x0000_i1027" type="#_x0000_t75" style="width:28.5pt;height:16.5pt;mso-wrap-style:square;mso-position-horizontal-relative:page;mso-position-vertical-relative:page" o:ole="">
                  <v:fill o:detectmouseclick="t"/>
                  <v:imagedata r:id="rId8" o:title=""/>
                </v:shape>
                <o:OLEObject Type="Embed" ProgID="Equation.KSEE3" ShapeID="Object 1208" DrawAspect="Content" ObjectID="_1739000139" r:id="rId9">
                  <o:FieldCodes>\* MERGEFORMAT</o:FieldCodes>
                </o:OLEObject>
              </w:object>
            </w:r>
          </w:p>
        </w:tc>
        <w:tc>
          <w:tcPr>
            <w:tcW w:w="4943" w:type="dxa"/>
            <w:tcBorders>
              <w:top w:val="single" w:sz="6" w:space="0" w:color="auto"/>
              <w:left w:val="nil"/>
              <w:bottom w:val="single" w:sz="6" w:space="0" w:color="auto"/>
              <w:right w:val="nil"/>
            </w:tcBorders>
            <w:hideMark/>
          </w:tcPr>
          <w:p w14:paraId="1E588250" w14:textId="77777777" w:rsidR="00C40D0B" w:rsidRDefault="00C40D0B">
            <w:pPr>
              <w:snapToGrid w:val="0"/>
              <w:spacing w:line="340" w:lineRule="exact"/>
              <w:rPr>
                <w:rFonts w:ascii="Times New Roman" w:hAnsi="Times New Roman"/>
                <w:szCs w:val="21"/>
              </w:rPr>
            </w:pPr>
            <w:r>
              <w:rPr>
                <w:rFonts w:ascii="Times New Roman" w:hAnsi="Times New Roman"/>
                <w:szCs w:val="21"/>
              </w:rPr>
              <w:t xml:space="preserve">Stock price synchronicity is measured by the logarithmic transformation of the regression R2 of the market model (the day stock return data) using the methods of </w:t>
            </w:r>
            <w:proofErr w:type="spellStart"/>
            <w:r>
              <w:rPr>
                <w:rFonts w:ascii="Times New Roman" w:hAnsi="Times New Roman"/>
                <w:szCs w:val="21"/>
              </w:rPr>
              <w:t>Morck</w:t>
            </w:r>
            <w:proofErr w:type="spellEnd"/>
            <w:r>
              <w:rPr>
                <w:rFonts w:ascii="Times New Roman" w:hAnsi="Times New Roman"/>
                <w:szCs w:val="21"/>
              </w:rPr>
              <w:t xml:space="preserve"> </w:t>
            </w:r>
            <w:proofErr w:type="gramStart"/>
            <w:r>
              <w:rPr>
                <w:rFonts w:ascii="Times New Roman" w:hAnsi="Times New Roman"/>
                <w:szCs w:val="21"/>
              </w:rPr>
              <w:t>et al.(</w:t>
            </w:r>
            <w:proofErr w:type="gramEnd"/>
            <w:r>
              <w:rPr>
                <w:rFonts w:ascii="Times New Roman" w:hAnsi="Times New Roman"/>
                <w:szCs w:val="21"/>
              </w:rPr>
              <w:t xml:space="preserve">2000),Gul et al.(2010),Xu et al.(2013), </w:t>
            </w:r>
            <w:proofErr w:type="spellStart"/>
            <w:r>
              <w:rPr>
                <w:rFonts w:ascii="Times New Roman" w:hAnsi="Times New Roman"/>
                <w:szCs w:val="21"/>
              </w:rPr>
              <w:t>etc</w:t>
            </w:r>
            <w:proofErr w:type="spellEnd"/>
            <w:r>
              <w:rPr>
                <w:rFonts w:ascii="Times New Roman" w:hAnsi="Times New Roman"/>
                <w:szCs w:val="21"/>
              </w:rPr>
              <w:t>, for reference.</w:t>
            </w:r>
          </w:p>
        </w:tc>
      </w:tr>
      <w:tr w:rsidR="00C40D0B" w14:paraId="4988E9E8" w14:textId="77777777" w:rsidTr="00C40D0B">
        <w:tc>
          <w:tcPr>
            <w:tcW w:w="1659" w:type="dxa"/>
            <w:vMerge/>
            <w:tcBorders>
              <w:top w:val="single" w:sz="12" w:space="0" w:color="auto"/>
              <w:left w:val="nil"/>
              <w:bottom w:val="single" w:sz="6" w:space="0" w:color="auto"/>
              <w:right w:val="nil"/>
            </w:tcBorders>
            <w:vAlign w:val="center"/>
            <w:hideMark/>
          </w:tcPr>
          <w:p w14:paraId="47133D68"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4827A582" w14:textId="77777777" w:rsidR="00C40D0B" w:rsidRDefault="00C40D0B">
            <w:pPr>
              <w:snapToGrid w:val="0"/>
              <w:spacing w:line="340" w:lineRule="exact"/>
              <w:rPr>
                <w:rFonts w:ascii="Times New Roman" w:hAnsi="Times New Roman"/>
                <w:szCs w:val="21"/>
              </w:rPr>
            </w:pPr>
            <w:r>
              <w:rPr>
                <w:rFonts w:ascii="Times New Roman" w:hAnsi="Times New Roman"/>
                <w:position w:val="-6"/>
                <w:szCs w:val="21"/>
              </w:rPr>
              <w:object w:dxaOrig="720" w:dyaOrig="276" w14:anchorId="0FAC2CAB">
                <v:shape id="Object 1627" o:spid="_x0000_i1028" type="#_x0000_t75" style="width:36pt;height:13.5pt;mso-wrap-style:square;mso-position-horizontal-relative:page;mso-position-vertical-relative:page" o:ole="">
                  <v:imagedata r:id="rId10" o:title=""/>
                </v:shape>
                <o:OLEObject Type="Embed" ProgID="Equation.KSEE3" ShapeID="Object 1627" DrawAspect="Content" ObjectID="_1739000140" r:id="rId11">
                  <o:FieldCodes>\* MERGEFORMAT</o:FieldCodes>
                </o:OLEObject>
              </w:object>
            </w:r>
          </w:p>
        </w:tc>
        <w:tc>
          <w:tcPr>
            <w:tcW w:w="4943" w:type="dxa"/>
            <w:tcBorders>
              <w:top w:val="single" w:sz="6" w:space="0" w:color="auto"/>
              <w:left w:val="nil"/>
              <w:bottom w:val="single" w:sz="6" w:space="0" w:color="auto"/>
              <w:right w:val="nil"/>
            </w:tcBorders>
            <w:hideMark/>
          </w:tcPr>
          <w:p w14:paraId="34054731" w14:textId="77777777" w:rsidR="00C40D0B" w:rsidRDefault="00C40D0B">
            <w:pPr>
              <w:snapToGrid w:val="0"/>
              <w:spacing w:line="340" w:lineRule="exact"/>
              <w:rPr>
                <w:rFonts w:ascii="Times New Roman" w:hAnsi="Times New Roman"/>
                <w:szCs w:val="21"/>
              </w:rPr>
            </w:pPr>
            <w:r>
              <w:rPr>
                <w:rFonts w:ascii="Times New Roman" w:hAnsi="Times New Roman"/>
                <w:szCs w:val="21"/>
              </w:rPr>
              <w:t>Earnings forecast error, the absolute value of the difference between analysts' earnings forecast and actual earnings is used, scaled by the stock price at the beginning of the year, and finally multiplied by 100.</w:t>
            </w:r>
          </w:p>
        </w:tc>
      </w:tr>
      <w:tr w:rsidR="00C40D0B" w14:paraId="143E3A58" w14:textId="77777777" w:rsidTr="00C40D0B">
        <w:tc>
          <w:tcPr>
            <w:tcW w:w="1659" w:type="dxa"/>
            <w:vMerge/>
            <w:tcBorders>
              <w:top w:val="single" w:sz="12" w:space="0" w:color="auto"/>
              <w:left w:val="nil"/>
              <w:bottom w:val="single" w:sz="6" w:space="0" w:color="auto"/>
              <w:right w:val="nil"/>
            </w:tcBorders>
            <w:vAlign w:val="center"/>
            <w:hideMark/>
          </w:tcPr>
          <w:p w14:paraId="24825195"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368094F9" w14:textId="77777777" w:rsidR="00C40D0B" w:rsidRDefault="00C40D0B">
            <w:pPr>
              <w:snapToGrid w:val="0"/>
              <w:spacing w:line="340" w:lineRule="exact"/>
              <w:rPr>
                <w:rFonts w:ascii="Times New Roman" w:hAnsi="Times New Roman"/>
                <w:szCs w:val="21"/>
              </w:rPr>
            </w:pPr>
            <w:r>
              <w:rPr>
                <w:position w:val="-4"/>
                <w:szCs w:val="21"/>
              </w:rPr>
              <w:object w:dxaOrig="384" w:dyaOrig="264" w14:anchorId="5B3A4422">
                <v:shape id="Object 1629" o:spid="_x0000_i1029" type="#_x0000_t75" style="width:19.5pt;height:13.5pt;mso-wrap-style:square;mso-position-horizontal-relative:page;mso-position-vertical-relative:page" o:ole="">
                  <v:imagedata r:id="rId12" o:title=""/>
                </v:shape>
                <o:OLEObject Type="Embed" ProgID="Equation.KSEE3" ShapeID="Object 1629" DrawAspect="Content" ObjectID="_1739000141" r:id="rId13">
                  <o:FieldCodes>\* MERGEFORMAT</o:FieldCodes>
                </o:OLEObject>
              </w:object>
            </w:r>
          </w:p>
        </w:tc>
        <w:tc>
          <w:tcPr>
            <w:tcW w:w="4943" w:type="dxa"/>
            <w:tcBorders>
              <w:top w:val="single" w:sz="6" w:space="0" w:color="auto"/>
              <w:left w:val="nil"/>
              <w:bottom w:val="single" w:sz="6" w:space="0" w:color="auto"/>
              <w:right w:val="nil"/>
            </w:tcBorders>
            <w:hideMark/>
          </w:tcPr>
          <w:p w14:paraId="7DDFF81C" w14:textId="77777777" w:rsidR="00C40D0B" w:rsidRDefault="00C40D0B">
            <w:pPr>
              <w:snapToGrid w:val="0"/>
              <w:spacing w:line="340" w:lineRule="exact"/>
              <w:rPr>
                <w:rFonts w:ascii="Times New Roman" w:hAnsi="Times New Roman"/>
                <w:szCs w:val="21"/>
              </w:rPr>
            </w:pPr>
            <w:r>
              <w:rPr>
                <w:rFonts w:ascii="Times New Roman" w:hAnsi="Times New Roman"/>
                <w:szCs w:val="21"/>
              </w:rPr>
              <w:t>The optimistic deviation of earnings forecast uses the difference between the analyst's earnings forecast and the actual earnings, which is scaled by the stock price at the beginning of the year, and finally multiplied by 100.</w:t>
            </w:r>
          </w:p>
        </w:tc>
      </w:tr>
      <w:tr w:rsidR="00C40D0B" w14:paraId="2BF3EE50" w14:textId="77777777" w:rsidTr="00C40D0B">
        <w:tc>
          <w:tcPr>
            <w:tcW w:w="1659" w:type="dxa"/>
            <w:vMerge w:val="restart"/>
            <w:tcBorders>
              <w:top w:val="single" w:sz="6" w:space="0" w:color="auto"/>
              <w:left w:val="nil"/>
              <w:bottom w:val="single" w:sz="6" w:space="0" w:color="auto"/>
              <w:right w:val="nil"/>
            </w:tcBorders>
            <w:hideMark/>
          </w:tcPr>
          <w:p w14:paraId="3250F24C" w14:textId="77777777" w:rsidR="00C40D0B" w:rsidRDefault="00C40D0B">
            <w:pPr>
              <w:snapToGrid w:val="0"/>
              <w:spacing w:line="340" w:lineRule="exact"/>
              <w:rPr>
                <w:rFonts w:ascii="Times New Roman" w:hAnsi="Times New Roman"/>
                <w:b/>
                <w:bCs/>
                <w:szCs w:val="21"/>
              </w:rPr>
            </w:pPr>
            <w:r>
              <w:rPr>
                <w:rFonts w:ascii="Times New Roman" w:hAnsi="Times New Roman"/>
                <w:b/>
                <w:bCs/>
                <w:szCs w:val="21"/>
              </w:rPr>
              <w:t>Explanatory variable</w:t>
            </w:r>
          </w:p>
        </w:tc>
        <w:tc>
          <w:tcPr>
            <w:tcW w:w="1920" w:type="dxa"/>
            <w:tcBorders>
              <w:top w:val="single" w:sz="6" w:space="0" w:color="auto"/>
              <w:left w:val="nil"/>
              <w:bottom w:val="single" w:sz="6" w:space="0" w:color="auto"/>
              <w:right w:val="nil"/>
            </w:tcBorders>
            <w:vAlign w:val="center"/>
            <w:hideMark/>
          </w:tcPr>
          <w:p w14:paraId="666C2D84" w14:textId="77777777" w:rsidR="00C40D0B" w:rsidRDefault="00C40D0B">
            <w:pPr>
              <w:snapToGrid w:val="0"/>
              <w:spacing w:line="340" w:lineRule="exact"/>
              <w:rPr>
                <w:rFonts w:ascii="Times New Roman" w:hAnsi="Times New Roman"/>
                <w:szCs w:val="21"/>
              </w:rPr>
            </w:pPr>
            <w:r>
              <w:rPr>
                <w:rFonts w:ascii="Times New Roman" w:hAnsi="Times New Roman"/>
                <w:position w:val="-10"/>
                <w:szCs w:val="21"/>
              </w:rPr>
              <w:object w:dxaOrig="660" w:dyaOrig="324" w14:anchorId="6554A60A">
                <v:shape id="Object 1249" o:spid="_x0000_i1030" type="#_x0000_t75" style="width:33pt;height:16.5pt;mso-wrap-style:square;mso-position-horizontal-relative:page;mso-position-vertical-relative:page" o:ole="">
                  <v:fill o:detectmouseclick="t"/>
                  <v:imagedata r:id="rId14" o:title=""/>
                </v:shape>
                <o:OLEObject Type="Embed" ProgID="Equation.KSEE3" ShapeID="Object 1249" DrawAspect="Content" ObjectID="_1739000142" r:id="rId15">
                  <o:FieldCodes>\* MERGEFORMAT</o:FieldCodes>
                </o:OLEObject>
              </w:object>
            </w:r>
          </w:p>
        </w:tc>
        <w:tc>
          <w:tcPr>
            <w:tcW w:w="4943" w:type="dxa"/>
            <w:tcBorders>
              <w:top w:val="single" w:sz="6" w:space="0" w:color="auto"/>
              <w:left w:val="nil"/>
              <w:bottom w:val="single" w:sz="6" w:space="0" w:color="auto"/>
              <w:right w:val="nil"/>
            </w:tcBorders>
            <w:hideMark/>
          </w:tcPr>
          <w:p w14:paraId="5F1B0DF9" w14:textId="77777777" w:rsidR="00C40D0B" w:rsidRDefault="00C40D0B">
            <w:pPr>
              <w:snapToGrid w:val="0"/>
              <w:spacing w:line="340" w:lineRule="exact"/>
              <w:rPr>
                <w:rFonts w:ascii="Times New Roman" w:hAnsi="Times New Roman"/>
                <w:szCs w:val="21"/>
              </w:rPr>
            </w:pPr>
            <w:r>
              <w:rPr>
                <w:rFonts w:ascii="Times New Roman" w:hAnsi="Times New Roman"/>
                <w:szCs w:val="21"/>
              </w:rPr>
              <w:t>Cost stickiness, using Weiss (2010) for reference, takes the difference in the slope of the cost function between the last two quarters from the t-3 quarter to the t quarter, in which the activity level decreases in one quarter and increases in the other quarter. The lower the stickiness value, the stronger the cost stickiness.</w:t>
            </w:r>
          </w:p>
        </w:tc>
      </w:tr>
      <w:tr w:rsidR="00C40D0B" w14:paraId="20C01EFD" w14:textId="77777777" w:rsidTr="00C40D0B">
        <w:tc>
          <w:tcPr>
            <w:tcW w:w="1659" w:type="dxa"/>
            <w:vMerge/>
            <w:tcBorders>
              <w:top w:val="single" w:sz="6" w:space="0" w:color="auto"/>
              <w:left w:val="nil"/>
              <w:bottom w:val="single" w:sz="6" w:space="0" w:color="auto"/>
              <w:right w:val="nil"/>
            </w:tcBorders>
            <w:vAlign w:val="center"/>
            <w:hideMark/>
          </w:tcPr>
          <w:p w14:paraId="480A3945"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4B43ED79" w14:textId="77777777" w:rsidR="00C40D0B" w:rsidRDefault="00C40D0B">
            <w:pPr>
              <w:snapToGrid w:val="0"/>
              <w:spacing w:line="340" w:lineRule="exact"/>
              <w:rPr>
                <w:rFonts w:ascii="Times New Roman" w:hAnsi="Times New Roman"/>
                <w:szCs w:val="21"/>
              </w:rPr>
            </w:pPr>
            <w:r>
              <w:rPr>
                <w:rFonts w:ascii="Times New Roman" w:hAnsi="Times New Roman"/>
                <w:position w:val="-10"/>
                <w:szCs w:val="21"/>
              </w:rPr>
              <w:object w:dxaOrig="996" w:dyaOrig="324" w14:anchorId="7B72B7BA">
                <v:shape id="Object 1209" o:spid="_x0000_i1031" type="#_x0000_t75" style="width:49.5pt;height:16.5pt;mso-wrap-style:square;mso-position-horizontal-relative:page;mso-position-vertical-relative:page" o:ole="">
                  <v:fill o:detectmouseclick="t"/>
                  <v:imagedata r:id="rId16" o:title=""/>
                </v:shape>
                <o:OLEObject Type="Embed" ProgID="Equation.KSEE3" ShapeID="Object 1209" DrawAspect="Content" ObjectID="_1739000143" r:id="rId17">
                  <o:FieldCodes>\* MERGEFORMAT</o:FieldCodes>
                </o:OLEObject>
              </w:object>
            </w:r>
          </w:p>
        </w:tc>
        <w:tc>
          <w:tcPr>
            <w:tcW w:w="4943" w:type="dxa"/>
            <w:tcBorders>
              <w:top w:val="single" w:sz="6" w:space="0" w:color="auto"/>
              <w:left w:val="nil"/>
              <w:bottom w:val="single" w:sz="6" w:space="0" w:color="auto"/>
              <w:right w:val="nil"/>
            </w:tcBorders>
            <w:hideMark/>
          </w:tcPr>
          <w:p w14:paraId="07FA19E5" w14:textId="77777777" w:rsidR="00C40D0B" w:rsidRDefault="00C40D0B">
            <w:pPr>
              <w:snapToGrid w:val="0"/>
              <w:spacing w:line="340" w:lineRule="exact"/>
              <w:rPr>
                <w:rFonts w:ascii="Times New Roman" w:hAnsi="Times New Roman"/>
                <w:strike/>
                <w:szCs w:val="21"/>
              </w:rPr>
            </w:pPr>
            <w:r>
              <w:rPr>
                <w:rFonts w:ascii="Times New Roman" w:hAnsi="Times New Roman"/>
                <w:szCs w:val="21"/>
              </w:rPr>
              <w:t>Increase in Cost Stickiness: Cost Stickiness of the current period minus cost stickiness of the previous year.</w:t>
            </w:r>
          </w:p>
        </w:tc>
      </w:tr>
      <w:tr w:rsidR="00C40D0B" w14:paraId="10F8CB95" w14:textId="77777777" w:rsidTr="00C40D0B">
        <w:tc>
          <w:tcPr>
            <w:tcW w:w="1659" w:type="dxa"/>
            <w:vMerge w:val="restart"/>
            <w:tcBorders>
              <w:top w:val="single" w:sz="6" w:space="0" w:color="auto"/>
              <w:left w:val="nil"/>
              <w:bottom w:val="single" w:sz="6" w:space="0" w:color="auto"/>
              <w:right w:val="nil"/>
            </w:tcBorders>
            <w:hideMark/>
          </w:tcPr>
          <w:p w14:paraId="05719D9D" w14:textId="77777777" w:rsidR="00C40D0B" w:rsidRDefault="00C40D0B">
            <w:pPr>
              <w:snapToGrid w:val="0"/>
              <w:spacing w:line="340" w:lineRule="exact"/>
              <w:rPr>
                <w:rFonts w:ascii="Times New Roman" w:hAnsi="Times New Roman"/>
                <w:b/>
                <w:bCs/>
                <w:szCs w:val="21"/>
              </w:rPr>
            </w:pPr>
            <w:r>
              <w:rPr>
                <w:rFonts w:ascii="Times New Roman" w:hAnsi="Times New Roman"/>
                <w:b/>
                <w:bCs/>
                <w:szCs w:val="21"/>
              </w:rPr>
              <w:t>Company characteristics</w:t>
            </w:r>
          </w:p>
        </w:tc>
        <w:tc>
          <w:tcPr>
            <w:tcW w:w="1920" w:type="dxa"/>
            <w:tcBorders>
              <w:top w:val="single" w:sz="6" w:space="0" w:color="auto"/>
              <w:left w:val="nil"/>
              <w:bottom w:val="single" w:sz="6" w:space="0" w:color="auto"/>
              <w:right w:val="nil"/>
            </w:tcBorders>
            <w:vAlign w:val="center"/>
            <w:hideMark/>
          </w:tcPr>
          <w:p w14:paraId="72B8515F" w14:textId="77777777" w:rsidR="00C40D0B" w:rsidRDefault="00C40D0B">
            <w:pPr>
              <w:snapToGrid w:val="0"/>
              <w:spacing w:line="340" w:lineRule="exact"/>
              <w:rPr>
                <w:rFonts w:ascii="Times New Roman" w:hAnsi="Times New Roman"/>
                <w:szCs w:val="21"/>
              </w:rPr>
            </w:pPr>
            <w:r>
              <w:rPr>
                <w:rFonts w:ascii="Times New Roman" w:hAnsi="Times New Roman"/>
                <w:position w:val="-4"/>
                <w:szCs w:val="21"/>
              </w:rPr>
              <w:object w:dxaOrig="276" w:dyaOrig="264" w14:anchorId="7AFF6290">
                <v:shape id="Object 1200" o:spid="_x0000_i1032" type="#_x0000_t75" style="width:13.5pt;height:13.5pt;mso-wrap-style:square;mso-position-horizontal-relative:page;mso-position-vertical-relative:page" o:ole="">
                  <v:fill o:detectmouseclick="t"/>
                  <v:imagedata r:id="rId18" o:title=""/>
                </v:shape>
                <o:OLEObject Type="Embed" ProgID="Equation.KSEE3" ShapeID="Object 1200" DrawAspect="Content" ObjectID="_1739000144" r:id="rId19">
                  <o:FieldCodes>\* MERGEFORMAT</o:FieldCodes>
                </o:OLEObject>
              </w:object>
            </w:r>
          </w:p>
        </w:tc>
        <w:tc>
          <w:tcPr>
            <w:tcW w:w="4943" w:type="dxa"/>
            <w:tcBorders>
              <w:top w:val="single" w:sz="6" w:space="0" w:color="auto"/>
              <w:left w:val="nil"/>
              <w:bottom w:val="single" w:sz="6" w:space="0" w:color="auto"/>
              <w:right w:val="nil"/>
            </w:tcBorders>
            <w:hideMark/>
          </w:tcPr>
          <w:p w14:paraId="24169257" w14:textId="77777777" w:rsidR="00C40D0B" w:rsidRDefault="00C40D0B">
            <w:pPr>
              <w:snapToGrid w:val="0"/>
              <w:spacing w:line="340" w:lineRule="exact"/>
              <w:rPr>
                <w:rFonts w:ascii="Times New Roman" w:hAnsi="Times New Roman"/>
                <w:szCs w:val="21"/>
              </w:rPr>
            </w:pPr>
            <w:r>
              <w:rPr>
                <w:rFonts w:ascii="Times New Roman" w:hAnsi="Times New Roman"/>
                <w:szCs w:val="21"/>
              </w:rPr>
              <w:t>The profits available to ordinary shareholders before deducting extraordinary items shall be standardized according to the initial market value of equity.</w:t>
            </w:r>
          </w:p>
        </w:tc>
      </w:tr>
      <w:tr w:rsidR="00C40D0B" w14:paraId="065AC3FC" w14:textId="77777777" w:rsidTr="00C40D0B">
        <w:tc>
          <w:tcPr>
            <w:tcW w:w="1659" w:type="dxa"/>
            <w:vMerge/>
            <w:tcBorders>
              <w:top w:val="single" w:sz="6" w:space="0" w:color="auto"/>
              <w:left w:val="nil"/>
              <w:bottom w:val="single" w:sz="6" w:space="0" w:color="auto"/>
              <w:right w:val="nil"/>
            </w:tcBorders>
            <w:vAlign w:val="center"/>
            <w:hideMark/>
          </w:tcPr>
          <w:p w14:paraId="33A6BA8B"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1E4F2ECE" w14:textId="77777777" w:rsidR="00C40D0B" w:rsidRDefault="00C40D0B">
            <w:pPr>
              <w:snapToGrid w:val="0"/>
              <w:spacing w:line="340" w:lineRule="exact"/>
              <w:rPr>
                <w:rFonts w:ascii="Times New Roman" w:hAnsi="Times New Roman"/>
                <w:szCs w:val="21"/>
              </w:rPr>
            </w:pPr>
            <w:r>
              <w:rPr>
                <w:rFonts w:ascii="Times New Roman" w:hAnsi="Times New Roman"/>
                <w:position w:val="-6"/>
                <w:szCs w:val="21"/>
              </w:rPr>
              <w:object w:dxaOrig="696" w:dyaOrig="276" w14:anchorId="3275223A">
                <v:shape id="Object 560" o:spid="_x0000_i1033" type="#_x0000_t75" style="width:34.5pt;height:13.5pt;mso-wrap-style:square;mso-position-horizontal-relative:page;mso-position-vertical-relative:page" o:ole="">
                  <v:imagedata r:id="rId20" o:title=""/>
                </v:shape>
                <o:OLEObject Type="Embed" ProgID="Equation.KSEE3" ShapeID="Object 560" DrawAspect="Content" ObjectID="_1739000145" r:id="rId21">
                  <o:FieldCodes>\* MERGEFORMAT</o:FieldCodes>
                </o:OLEObject>
              </w:object>
            </w:r>
          </w:p>
        </w:tc>
        <w:tc>
          <w:tcPr>
            <w:tcW w:w="4943" w:type="dxa"/>
            <w:tcBorders>
              <w:top w:val="single" w:sz="6" w:space="0" w:color="auto"/>
              <w:left w:val="nil"/>
              <w:bottom w:val="single" w:sz="6" w:space="0" w:color="auto"/>
              <w:right w:val="nil"/>
            </w:tcBorders>
            <w:hideMark/>
          </w:tcPr>
          <w:p w14:paraId="5EC3532D" w14:textId="77777777" w:rsidR="00C40D0B" w:rsidRDefault="00C40D0B">
            <w:pPr>
              <w:snapToGrid w:val="0"/>
              <w:spacing w:line="340" w:lineRule="exact"/>
              <w:rPr>
                <w:rFonts w:ascii="Times New Roman" w:hAnsi="Times New Roman"/>
                <w:szCs w:val="21"/>
              </w:rPr>
            </w:pPr>
            <w:r>
              <w:rPr>
                <w:rFonts w:ascii="Times New Roman" w:hAnsi="Times New Roman"/>
                <w:szCs w:val="21"/>
              </w:rPr>
              <w:t>The natural logarithm of the company's total assets at the end of the period is used.</w:t>
            </w:r>
          </w:p>
        </w:tc>
      </w:tr>
      <w:tr w:rsidR="00C40D0B" w14:paraId="798C8C7F" w14:textId="77777777" w:rsidTr="00C40D0B">
        <w:tc>
          <w:tcPr>
            <w:tcW w:w="1659" w:type="dxa"/>
            <w:vMerge/>
            <w:tcBorders>
              <w:top w:val="single" w:sz="6" w:space="0" w:color="auto"/>
              <w:left w:val="nil"/>
              <w:bottom w:val="single" w:sz="6" w:space="0" w:color="auto"/>
              <w:right w:val="nil"/>
            </w:tcBorders>
            <w:vAlign w:val="center"/>
            <w:hideMark/>
          </w:tcPr>
          <w:p w14:paraId="631D5DD5"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78A59290" w14:textId="77777777" w:rsidR="00C40D0B" w:rsidRDefault="00C40D0B">
            <w:pPr>
              <w:snapToGrid w:val="0"/>
              <w:spacing w:line="340" w:lineRule="exact"/>
              <w:rPr>
                <w:rFonts w:ascii="Times New Roman" w:hAnsi="Times New Roman"/>
                <w:szCs w:val="21"/>
              </w:rPr>
            </w:pPr>
            <w:r>
              <w:rPr>
                <w:rFonts w:ascii="Times New Roman" w:hAnsi="Times New Roman"/>
                <w:position w:val="-6"/>
                <w:szCs w:val="21"/>
              </w:rPr>
              <w:object w:dxaOrig="540" w:dyaOrig="276" w14:anchorId="52AEE4E9">
                <v:shape id="Object 561" o:spid="_x0000_i1034" type="#_x0000_t75" style="width:27pt;height:13.5pt;mso-wrap-style:square;mso-position-horizontal-relative:page;mso-position-vertical-relative:page" o:ole="">
                  <v:imagedata r:id="rId22" o:title=""/>
                </v:shape>
                <o:OLEObject Type="Embed" ProgID="Equation.KSEE3" ShapeID="Object 561" DrawAspect="Content" ObjectID="_1739000146" r:id="rId23">
                  <o:FieldCodes>\* MERGEFORMAT</o:FieldCodes>
                </o:OLEObject>
              </w:object>
            </w:r>
          </w:p>
        </w:tc>
        <w:tc>
          <w:tcPr>
            <w:tcW w:w="4943" w:type="dxa"/>
            <w:tcBorders>
              <w:top w:val="single" w:sz="6" w:space="0" w:color="auto"/>
              <w:left w:val="nil"/>
              <w:bottom w:val="single" w:sz="6" w:space="0" w:color="auto"/>
              <w:right w:val="nil"/>
            </w:tcBorders>
            <w:hideMark/>
          </w:tcPr>
          <w:p w14:paraId="02F48485" w14:textId="77777777" w:rsidR="00C40D0B" w:rsidRDefault="00C40D0B">
            <w:pPr>
              <w:snapToGrid w:val="0"/>
              <w:spacing w:line="340" w:lineRule="exact"/>
              <w:rPr>
                <w:rFonts w:ascii="Times New Roman" w:hAnsi="Times New Roman"/>
                <w:szCs w:val="21"/>
              </w:rPr>
            </w:pPr>
            <w:r>
              <w:rPr>
                <w:rFonts w:ascii="Times New Roman" w:hAnsi="Times New Roman"/>
                <w:szCs w:val="21"/>
              </w:rPr>
              <w:t>Loss dummy variable, if there is a financial statement loss, the value is 1, otherwise it is 0.</w:t>
            </w:r>
          </w:p>
        </w:tc>
      </w:tr>
      <w:tr w:rsidR="00C40D0B" w14:paraId="0A0E5B00" w14:textId="77777777" w:rsidTr="00C40D0B">
        <w:tc>
          <w:tcPr>
            <w:tcW w:w="1659" w:type="dxa"/>
            <w:vMerge/>
            <w:tcBorders>
              <w:top w:val="single" w:sz="6" w:space="0" w:color="auto"/>
              <w:left w:val="nil"/>
              <w:bottom w:val="single" w:sz="6" w:space="0" w:color="auto"/>
              <w:right w:val="nil"/>
            </w:tcBorders>
            <w:vAlign w:val="center"/>
            <w:hideMark/>
          </w:tcPr>
          <w:p w14:paraId="1FF6EE75"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5F26D4E5" w14:textId="77777777" w:rsidR="00C40D0B" w:rsidRDefault="00C40D0B">
            <w:pPr>
              <w:snapToGrid w:val="0"/>
              <w:spacing w:line="340" w:lineRule="exact"/>
              <w:rPr>
                <w:rFonts w:ascii="Times New Roman" w:hAnsi="Times New Roman"/>
                <w:szCs w:val="21"/>
              </w:rPr>
            </w:pPr>
            <w:r>
              <w:rPr>
                <w:rFonts w:ascii="Times New Roman" w:hAnsi="Times New Roman"/>
                <w:position w:val="-6"/>
                <w:szCs w:val="21"/>
              </w:rPr>
              <w:object w:dxaOrig="480" w:dyaOrig="276" w14:anchorId="1A909052">
                <v:shape id="Object 562" o:spid="_x0000_i1035" type="#_x0000_t75" style="width:24pt;height:13.5pt;mso-wrap-style:square;mso-position-horizontal-relative:page;mso-position-vertical-relative:page" o:ole="">
                  <v:imagedata r:id="rId24" o:title=""/>
                </v:shape>
                <o:OLEObject Type="Embed" ProgID="Equation.KSEE3" ShapeID="Object 562" DrawAspect="Content" ObjectID="_1739000147" r:id="rId25">
                  <o:FieldCodes>\* MERGEFORMAT</o:FieldCodes>
                </o:OLEObject>
              </w:object>
            </w:r>
          </w:p>
        </w:tc>
        <w:tc>
          <w:tcPr>
            <w:tcW w:w="4943" w:type="dxa"/>
            <w:tcBorders>
              <w:top w:val="single" w:sz="6" w:space="0" w:color="auto"/>
              <w:left w:val="nil"/>
              <w:bottom w:val="single" w:sz="6" w:space="0" w:color="auto"/>
              <w:right w:val="nil"/>
            </w:tcBorders>
            <w:hideMark/>
          </w:tcPr>
          <w:p w14:paraId="6FC23F96" w14:textId="77777777" w:rsidR="00C40D0B" w:rsidRDefault="00C40D0B">
            <w:pPr>
              <w:snapToGrid w:val="0"/>
              <w:spacing w:line="340" w:lineRule="exact"/>
              <w:rPr>
                <w:rFonts w:ascii="Times New Roman" w:hAnsi="Times New Roman"/>
                <w:szCs w:val="21"/>
              </w:rPr>
            </w:pPr>
            <w:r>
              <w:rPr>
                <w:rFonts w:ascii="Times New Roman" w:hAnsi="Times New Roman"/>
                <w:szCs w:val="21"/>
              </w:rPr>
              <w:t>Return on total assets, ratio of net profit of the current year to total assets at the end of the year.</w:t>
            </w:r>
          </w:p>
        </w:tc>
      </w:tr>
      <w:tr w:rsidR="00C40D0B" w14:paraId="71AF71EF" w14:textId="77777777" w:rsidTr="00C40D0B">
        <w:tc>
          <w:tcPr>
            <w:tcW w:w="1659" w:type="dxa"/>
            <w:vMerge/>
            <w:tcBorders>
              <w:top w:val="single" w:sz="6" w:space="0" w:color="auto"/>
              <w:left w:val="nil"/>
              <w:bottom w:val="single" w:sz="6" w:space="0" w:color="auto"/>
              <w:right w:val="nil"/>
            </w:tcBorders>
            <w:vAlign w:val="center"/>
            <w:hideMark/>
          </w:tcPr>
          <w:p w14:paraId="63C5CC11"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36328370" w14:textId="77777777" w:rsidR="00C40D0B" w:rsidRDefault="00C40D0B">
            <w:pPr>
              <w:snapToGrid w:val="0"/>
              <w:spacing w:line="340" w:lineRule="exact"/>
              <w:rPr>
                <w:rFonts w:ascii="Times New Roman" w:hAnsi="Times New Roman"/>
                <w:szCs w:val="21"/>
              </w:rPr>
            </w:pPr>
            <w:r>
              <w:rPr>
                <w:rFonts w:ascii="Times New Roman" w:hAnsi="Times New Roman"/>
                <w:position w:val="-6"/>
                <w:szCs w:val="21"/>
              </w:rPr>
              <w:object w:dxaOrig="444" w:dyaOrig="276" w14:anchorId="36FD4CD1">
                <v:shape id="Object 563" o:spid="_x0000_i1036" type="#_x0000_t75" style="width:22.5pt;height:13.5pt;mso-wrap-style:square;mso-position-horizontal-relative:page;mso-position-vertical-relative:page" o:ole="">
                  <v:imagedata r:id="rId26" o:title=""/>
                </v:shape>
                <o:OLEObject Type="Embed" ProgID="Equation.KSEE3" ShapeID="Object 563" DrawAspect="Content" ObjectID="_1739000148" r:id="rId27">
                  <o:FieldCodes>\* MERGEFORMAT</o:FieldCodes>
                </o:OLEObject>
              </w:object>
            </w:r>
          </w:p>
        </w:tc>
        <w:tc>
          <w:tcPr>
            <w:tcW w:w="4943" w:type="dxa"/>
            <w:tcBorders>
              <w:top w:val="single" w:sz="6" w:space="0" w:color="auto"/>
              <w:left w:val="nil"/>
              <w:bottom w:val="single" w:sz="6" w:space="0" w:color="auto"/>
              <w:right w:val="nil"/>
            </w:tcBorders>
            <w:hideMark/>
          </w:tcPr>
          <w:p w14:paraId="4AE942AB" w14:textId="77777777" w:rsidR="00C40D0B" w:rsidRDefault="00C40D0B">
            <w:pPr>
              <w:adjustRightInd w:val="0"/>
              <w:snapToGrid w:val="0"/>
              <w:spacing w:line="320" w:lineRule="exact"/>
              <w:rPr>
                <w:rFonts w:ascii="Times New Roman" w:hAnsi="Times New Roman"/>
                <w:szCs w:val="21"/>
              </w:rPr>
            </w:pPr>
            <w:r>
              <w:rPr>
                <w:rFonts w:ascii="Times New Roman" w:hAnsi="Times New Roman"/>
                <w:szCs w:val="21"/>
              </w:rPr>
              <w:t>Financial leverage, expressed by dividing the total liabilities of the enterprise by the total assets.</w:t>
            </w:r>
          </w:p>
        </w:tc>
      </w:tr>
      <w:tr w:rsidR="00C40D0B" w14:paraId="4D4C8755" w14:textId="77777777" w:rsidTr="00C40D0B">
        <w:tc>
          <w:tcPr>
            <w:tcW w:w="1659" w:type="dxa"/>
            <w:vMerge/>
            <w:tcBorders>
              <w:top w:val="single" w:sz="6" w:space="0" w:color="auto"/>
              <w:left w:val="nil"/>
              <w:bottom w:val="single" w:sz="6" w:space="0" w:color="auto"/>
              <w:right w:val="nil"/>
            </w:tcBorders>
            <w:vAlign w:val="center"/>
            <w:hideMark/>
          </w:tcPr>
          <w:p w14:paraId="72B2D987"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52500C0C" w14:textId="77777777" w:rsidR="00C40D0B" w:rsidRDefault="00C40D0B">
            <w:pPr>
              <w:snapToGrid w:val="0"/>
              <w:spacing w:line="340" w:lineRule="exact"/>
              <w:rPr>
                <w:rFonts w:ascii="Times New Roman" w:hAnsi="Times New Roman"/>
                <w:szCs w:val="21"/>
              </w:rPr>
            </w:pPr>
            <w:r>
              <w:rPr>
                <w:rFonts w:ascii="Times New Roman" w:hAnsi="Times New Roman"/>
                <w:position w:val="-4"/>
                <w:szCs w:val="21"/>
              </w:rPr>
              <w:object w:dxaOrig="444" w:dyaOrig="264" w14:anchorId="2E78BC27">
                <v:shape id="Object 564" o:spid="_x0000_i1037" type="#_x0000_t75" style="width:22.5pt;height:13.5pt;mso-wrap-style:square;mso-position-horizontal-relative:page;mso-position-vertical-relative:page" o:ole="">
                  <v:imagedata r:id="rId28" o:title=""/>
                </v:shape>
                <o:OLEObject Type="Embed" ProgID="Equation.KSEE3" ShapeID="Object 564" DrawAspect="Content" ObjectID="_1739000149" r:id="rId29">
                  <o:FieldCodes>\* MERGEFORMAT</o:FieldCodes>
                </o:OLEObject>
              </w:object>
            </w:r>
          </w:p>
        </w:tc>
        <w:tc>
          <w:tcPr>
            <w:tcW w:w="4943" w:type="dxa"/>
            <w:tcBorders>
              <w:top w:val="single" w:sz="6" w:space="0" w:color="auto"/>
              <w:left w:val="nil"/>
              <w:bottom w:val="single" w:sz="6" w:space="0" w:color="auto"/>
              <w:right w:val="nil"/>
            </w:tcBorders>
            <w:hideMark/>
          </w:tcPr>
          <w:p w14:paraId="63EB19E0" w14:textId="77777777" w:rsidR="00C40D0B" w:rsidRDefault="00C40D0B">
            <w:pPr>
              <w:snapToGrid w:val="0"/>
              <w:spacing w:line="340" w:lineRule="exact"/>
              <w:rPr>
                <w:rFonts w:ascii="Times New Roman" w:hAnsi="Times New Roman"/>
                <w:szCs w:val="21"/>
              </w:rPr>
            </w:pPr>
            <w:r>
              <w:rPr>
                <w:rFonts w:ascii="Times New Roman" w:hAnsi="Times New Roman"/>
                <w:szCs w:val="21"/>
              </w:rPr>
              <w:t>The ratio of market value to book value refers to the ratio between the market value and book value of the company's owner's equity in the current year.</w:t>
            </w:r>
          </w:p>
        </w:tc>
      </w:tr>
      <w:tr w:rsidR="00C40D0B" w14:paraId="436F08A8" w14:textId="77777777" w:rsidTr="00C40D0B">
        <w:tc>
          <w:tcPr>
            <w:tcW w:w="1659" w:type="dxa"/>
            <w:vMerge/>
            <w:tcBorders>
              <w:top w:val="single" w:sz="6" w:space="0" w:color="auto"/>
              <w:left w:val="nil"/>
              <w:bottom w:val="single" w:sz="6" w:space="0" w:color="auto"/>
              <w:right w:val="nil"/>
            </w:tcBorders>
            <w:vAlign w:val="center"/>
            <w:hideMark/>
          </w:tcPr>
          <w:p w14:paraId="0BF0A35F"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29B81EAC" w14:textId="77777777" w:rsidR="00C40D0B" w:rsidRDefault="00C40D0B">
            <w:pPr>
              <w:snapToGrid w:val="0"/>
              <w:spacing w:line="340" w:lineRule="exact"/>
              <w:rPr>
                <w:rFonts w:ascii="SimSun" w:hAnsi="SimSun" w:cs="SimSun"/>
                <w:position w:val="-14"/>
                <w:szCs w:val="21"/>
              </w:rPr>
            </w:pPr>
            <w:r>
              <w:rPr>
                <w:rFonts w:ascii="Times New Roman" w:hAnsi="Times New Roman"/>
                <w:position w:val="-10"/>
                <w:szCs w:val="21"/>
              </w:rPr>
              <w:object w:dxaOrig="1440" w:dyaOrig="324" w14:anchorId="68D6EFEB">
                <v:shape id="Object 1253" o:spid="_x0000_i1038" type="#_x0000_t75" style="width:1in;height:16.5pt;mso-wrap-style:square;mso-position-horizontal-relative:page;mso-position-vertical-relative:page" o:ole="">
                  <v:fill o:detectmouseclick="t"/>
                  <v:imagedata r:id="rId30" o:title=""/>
                </v:shape>
                <o:OLEObject Type="Embed" ProgID="Equation.KSEE3" ShapeID="Object 1253" DrawAspect="Content" ObjectID="_1739000150" r:id="rId31">
                  <o:FieldCodes>\* MERGEFORMAT</o:FieldCodes>
                </o:OLEObject>
              </w:object>
            </w:r>
          </w:p>
        </w:tc>
        <w:tc>
          <w:tcPr>
            <w:tcW w:w="4943" w:type="dxa"/>
            <w:tcBorders>
              <w:top w:val="single" w:sz="6" w:space="0" w:color="auto"/>
              <w:left w:val="nil"/>
              <w:bottom w:val="single" w:sz="6" w:space="0" w:color="auto"/>
              <w:right w:val="nil"/>
            </w:tcBorders>
            <w:hideMark/>
          </w:tcPr>
          <w:p w14:paraId="177D77F1" w14:textId="77777777" w:rsidR="00C40D0B" w:rsidRDefault="00C40D0B">
            <w:pPr>
              <w:snapToGrid w:val="0"/>
              <w:spacing w:line="340" w:lineRule="exact"/>
              <w:rPr>
                <w:rFonts w:ascii="Times New Roman" w:hAnsi="Times New Roman" w:hint="eastAsia"/>
                <w:szCs w:val="21"/>
              </w:rPr>
            </w:pPr>
            <w:r>
              <w:rPr>
                <w:rFonts w:ascii="Times New Roman"/>
                <w:szCs w:val="21"/>
              </w:rPr>
              <w:t>The degree of the management agency problem is calculated by dividing the enterprise's sales and management expenses by the operating revenue, using the sales and management expense rate as the measurement variable of the agency problem.</w:t>
            </w:r>
          </w:p>
        </w:tc>
      </w:tr>
      <w:tr w:rsidR="00C40D0B" w14:paraId="5DEE15E2" w14:textId="77777777" w:rsidTr="00C40D0B">
        <w:tc>
          <w:tcPr>
            <w:tcW w:w="1659" w:type="dxa"/>
            <w:vMerge/>
            <w:tcBorders>
              <w:top w:val="single" w:sz="6" w:space="0" w:color="auto"/>
              <w:left w:val="nil"/>
              <w:bottom w:val="single" w:sz="6" w:space="0" w:color="auto"/>
              <w:right w:val="nil"/>
            </w:tcBorders>
            <w:vAlign w:val="center"/>
            <w:hideMark/>
          </w:tcPr>
          <w:p w14:paraId="15ABE00A"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7DBE8C49" w14:textId="77777777" w:rsidR="00C40D0B" w:rsidRDefault="00C40D0B">
            <w:pPr>
              <w:snapToGrid w:val="0"/>
              <w:spacing w:line="340" w:lineRule="exact"/>
              <w:rPr>
                <w:rFonts w:ascii="Times New Roman" w:hAnsi="Times New Roman"/>
                <w:szCs w:val="21"/>
              </w:rPr>
            </w:pPr>
            <w:r>
              <w:rPr>
                <w:rFonts w:ascii="SimSun" w:hAnsi="SimSun" w:cs="SimSun" w:hint="eastAsia"/>
                <w:position w:val="-6"/>
                <w:szCs w:val="21"/>
              </w:rPr>
              <w:object w:dxaOrig="624" w:dyaOrig="276" w14:anchorId="18BEFCB7">
                <v:shape id="Object 565" o:spid="_x0000_i1039" type="#_x0000_t75" style="width:31.5pt;height:13.5pt;mso-wrap-style:square;mso-position-horizontal-relative:page;mso-position-vertical-relative:page" o:ole="">
                  <v:fill o:detectmouseclick="t"/>
                  <v:imagedata r:id="rId32" o:title=""/>
                </v:shape>
                <o:OLEObject Type="Embed" ProgID="Equation.KSEE3" ShapeID="Object 565" DrawAspect="Content" ObjectID="_1739000151" r:id="rId33"/>
              </w:object>
            </w:r>
          </w:p>
        </w:tc>
        <w:tc>
          <w:tcPr>
            <w:tcW w:w="4943" w:type="dxa"/>
            <w:tcBorders>
              <w:top w:val="single" w:sz="6" w:space="0" w:color="auto"/>
              <w:left w:val="nil"/>
              <w:bottom w:val="single" w:sz="6" w:space="0" w:color="auto"/>
              <w:right w:val="nil"/>
            </w:tcBorders>
            <w:hideMark/>
          </w:tcPr>
          <w:p w14:paraId="1218D69E" w14:textId="77777777" w:rsidR="00C40D0B" w:rsidRDefault="00C40D0B">
            <w:pPr>
              <w:snapToGrid w:val="0"/>
              <w:spacing w:line="340" w:lineRule="exact"/>
              <w:rPr>
                <w:rFonts w:ascii="Times New Roman" w:hAnsi="Times New Roman"/>
                <w:szCs w:val="21"/>
              </w:rPr>
            </w:pPr>
            <w:r>
              <w:rPr>
                <w:rFonts w:ascii="Times New Roman" w:hAnsi="Times New Roman"/>
                <w:szCs w:val="21"/>
              </w:rPr>
              <w:t>The proportion of institutional shares held by institutional investors in the total outstanding shares.</w:t>
            </w:r>
          </w:p>
        </w:tc>
      </w:tr>
      <w:tr w:rsidR="00C40D0B" w14:paraId="1DCBAD9C" w14:textId="77777777" w:rsidTr="00C40D0B">
        <w:tc>
          <w:tcPr>
            <w:tcW w:w="1659" w:type="dxa"/>
            <w:vMerge/>
            <w:tcBorders>
              <w:top w:val="single" w:sz="6" w:space="0" w:color="auto"/>
              <w:left w:val="nil"/>
              <w:bottom w:val="single" w:sz="6" w:space="0" w:color="auto"/>
              <w:right w:val="nil"/>
            </w:tcBorders>
            <w:vAlign w:val="center"/>
            <w:hideMark/>
          </w:tcPr>
          <w:p w14:paraId="11CA5892"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1AB487DF" w14:textId="77777777" w:rsidR="00C40D0B" w:rsidRDefault="00C40D0B">
            <w:pPr>
              <w:snapToGrid w:val="0"/>
              <w:spacing w:line="340" w:lineRule="exact"/>
              <w:rPr>
                <w:rFonts w:ascii="Times New Roman" w:hAnsi="Times New Roman"/>
                <w:szCs w:val="21"/>
              </w:rPr>
            </w:pPr>
            <w:r>
              <w:rPr>
                <w:rFonts w:ascii="Times New Roman" w:hAnsi="Times New Roman"/>
                <w:position w:val="-6"/>
                <w:szCs w:val="21"/>
              </w:rPr>
              <w:object w:dxaOrig="840" w:dyaOrig="276" w14:anchorId="71F1B2FF">
                <v:shape id="Object 566" o:spid="_x0000_i1040" type="#_x0000_t75" style="width:42pt;height:13.5pt;mso-wrap-style:square;mso-position-horizontal-relative:page;mso-position-vertical-relative:page" o:ole="">
                  <v:fill o:detectmouseclick="t"/>
                  <v:imagedata r:id="rId34" o:title=""/>
                </v:shape>
                <o:OLEObject Type="Embed" ProgID="Equation.KSEE3" ShapeID="Object 566" DrawAspect="Content" ObjectID="_1739000152" r:id="rId35">
                  <o:FieldCodes>\* MERGEFORMAT</o:FieldCodes>
                </o:OLEObject>
              </w:object>
            </w:r>
          </w:p>
        </w:tc>
        <w:tc>
          <w:tcPr>
            <w:tcW w:w="4943" w:type="dxa"/>
            <w:tcBorders>
              <w:top w:val="single" w:sz="6" w:space="0" w:color="auto"/>
              <w:left w:val="nil"/>
              <w:bottom w:val="single" w:sz="6" w:space="0" w:color="auto"/>
              <w:right w:val="nil"/>
            </w:tcBorders>
            <w:hideMark/>
          </w:tcPr>
          <w:p w14:paraId="1ACD3DA5" w14:textId="77777777" w:rsidR="00C40D0B" w:rsidRDefault="00C40D0B">
            <w:pPr>
              <w:rPr>
                <w:rFonts w:ascii="Times New Roman" w:hAnsi="Times New Roman"/>
                <w:szCs w:val="21"/>
              </w:rPr>
            </w:pPr>
            <w:r>
              <w:rPr>
                <w:rFonts w:ascii="Times New Roman" w:hAnsi="Times New Roman"/>
                <w:szCs w:val="21"/>
              </w:rPr>
              <w:t>Transparency of accounting information</w:t>
            </w:r>
          </w:p>
          <w:p w14:paraId="4EC2AF4B" w14:textId="77777777" w:rsidR="00C40D0B" w:rsidRDefault="00C40D0B">
            <w:pPr>
              <w:rPr>
                <w:rFonts w:ascii="Times New Roman" w:hAnsi="Times New Roman"/>
                <w:szCs w:val="21"/>
              </w:rPr>
            </w:pPr>
            <w:r>
              <w:rPr>
                <w:rFonts w:ascii="Times New Roman" w:hAnsi="Times New Roman"/>
                <w:position w:val="-16"/>
                <w:szCs w:val="21"/>
              </w:rPr>
              <w:object w:dxaOrig="4500" w:dyaOrig="384" w14:anchorId="606CDB84">
                <v:shape id="Object 567" o:spid="_x0000_i1041" type="#_x0000_t75" style="width:225pt;height:19.5pt;mso-wrap-style:square;mso-position-horizontal-relative:page;mso-position-vertical-relative:page" o:ole="">
                  <v:imagedata r:id="rId36" o:title=""/>
                </v:shape>
                <o:OLEObject Type="Embed" ProgID="Equation.KSEE3" ShapeID="Object 567" DrawAspect="Content" ObjectID="_1739000153" r:id="rId37"/>
              </w:object>
            </w:r>
            <w:proofErr w:type="gramStart"/>
            <w:r>
              <w:rPr>
                <w:rFonts w:ascii="Times New Roman" w:hAnsi="Times New Roman"/>
                <w:szCs w:val="21"/>
              </w:rPr>
              <w:t>,Where</w:t>
            </w:r>
            <w:proofErr w:type="gramEnd"/>
            <w:r>
              <w:rPr>
                <w:rFonts w:ascii="Times New Roman" w:hAnsi="Times New Roman"/>
                <w:szCs w:val="21"/>
              </w:rPr>
              <w:t xml:space="preserve">, </w:t>
            </w:r>
            <w:r>
              <w:rPr>
                <w:rFonts w:ascii="Times New Roman" w:hAnsi="Times New Roman"/>
                <w:position w:val="-10"/>
                <w:szCs w:val="21"/>
              </w:rPr>
              <w:object w:dxaOrig="696" w:dyaOrig="300" w14:anchorId="4B2E52F6">
                <v:shape id="Object 1498" o:spid="_x0000_i1042" type="#_x0000_t75" style="width:34.5pt;height:15pt;mso-wrap-style:square;mso-position-horizontal-relative:page;mso-position-vertical-relative:page" o:ole="">
                  <v:imagedata r:id="rId38" o:title=""/>
                </v:shape>
                <o:OLEObject Type="Embed" ProgID="Equation.KSEE3" ShapeID="Object 1498" DrawAspect="Content" ObjectID="_1739000154" r:id="rId39"/>
              </w:object>
            </w:r>
            <w:r>
              <w:rPr>
                <w:rFonts w:ascii="Times New Roman" w:hAnsi="Times New Roman"/>
                <w:szCs w:val="21"/>
              </w:rPr>
              <w:t>is the absolute value of the controllable accrued profit obtained from the modified Jones model(Hutton et al.,2009).</w:t>
            </w:r>
          </w:p>
        </w:tc>
      </w:tr>
      <w:tr w:rsidR="00C40D0B" w14:paraId="7A508F00" w14:textId="77777777" w:rsidTr="00C40D0B">
        <w:tc>
          <w:tcPr>
            <w:tcW w:w="1659" w:type="dxa"/>
            <w:vMerge/>
            <w:tcBorders>
              <w:top w:val="single" w:sz="6" w:space="0" w:color="auto"/>
              <w:left w:val="nil"/>
              <w:bottom w:val="single" w:sz="6" w:space="0" w:color="auto"/>
              <w:right w:val="nil"/>
            </w:tcBorders>
            <w:vAlign w:val="center"/>
            <w:hideMark/>
          </w:tcPr>
          <w:p w14:paraId="29CFF996"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2AA6C703" w14:textId="77777777" w:rsidR="00C40D0B" w:rsidRDefault="00C40D0B">
            <w:pPr>
              <w:snapToGrid w:val="0"/>
              <w:spacing w:line="340" w:lineRule="exact"/>
              <w:rPr>
                <w:rFonts w:ascii="Times New Roman" w:hAnsi="Times New Roman"/>
                <w:szCs w:val="21"/>
              </w:rPr>
            </w:pPr>
            <w:r>
              <w:rPr>
                <w:rFonts w:ascii="Times New Roman" w:hAnsi="Times New Roman"/>
                <w:b/>
                <w:bCs/>
                <w:position w:val="-6"/>
                <w:szCs w:val="21"/>
              </w:rPr>
              <w:object w:dxaOrig="972" w:dyaOrig="276" w14:anchorId="4B317272">
                <v:shape id="Object 1212" o:spid="_x0000_i1043" type="#_x0000_t75" style="width:48.75pt;height:13.5pt;mso-wrap-style:square;mso-position-horizontal-relative:page;mso-position-vertical-relative:page" o:ole="">
                  <v:fill o:detectmouseclick="t"/>
                  <v:imagedata r:id="rId40" o:title=""/>
                </v:shape>
                <o:OLEObject Type="Embed" ProgID="Equation.3" ShapeID="Object 1212" DrawAspect="Content" ObjectID="_1739000155" r:id="rId41"/>
              </w:object>
            </w:r>
          </w:p>
        </w:tc>
        <w:tc>
          <w:tcPr>
            <w:tcW w:w="4943" w:type="dxa"/>
            <w:tcBorders>
              <w:top w:val="single" w:sz="6" w:space="0" w:color="auto"/>
              <w:left w:val="nil"/>
              <w:bottom w:val="single" w:sz="6" w:space="0" w:color="auto"/>
              <w:right w:val="nil"/>
            </w:tcBorders>
            <w:hideMark/>
          </w:tcPr>
          <w:p w14:paraId="5B2D778F" w14:textId="77777777" w:rsidR="00C40D0B" w:rsidRDefault="00C40D0B">
            <w:pPr>
              <w:snapToGrid w:val="0"/>
              <w:spacing w:line="340" w:lineRule="exact"/>
              <w:rPr>
                <w:rFonts w:ascii="Times New Roman" w:hAnsi="Times New Roman"/>
                <w:szCs w:val="21"/>
              </w:rPr>
            </w:pPr>
            <w:r>
              <w:rPr>
                <w:rFonts w:ascii="Times New Roman" w:hAnsi="Times New Roman"/>
                <w:szCs w:val="21"/>
              </w:rPr>
              <w:t>Cash dividends per share.</w:t>
            </w:r>
          </w:p>
        </w:tc>
      </w:tr>
      <w:tr w:rsidR="00C40D0B" w14:paraId="35A0C685" w14:textId="77777777" w:rsidTr="00C40D0B">
        <w:tc>
          <w:tcPr>
            <w:tcW w:w="1659" w:type="dxa"/>
            <w:vMerge/>
            <w:tcBorders>
              <w:top w:val="single" w:sz="6" w:space="0" w:color="auto"/>
              <w:left w:val="nil"/>
              <w:bottom w:val="single" w:sz="6" w:space="0" w:color="auto"/>
              <w:right w:val="nil"/>
            </w:tcBorders>
            <w:vAlign w:val="center"/>
            <w:hideMark/>
          </w:tcPr>
          <w:p w14:paraId="7F8ADBF9"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0D25CBBB" w14:textId="77777777" w:rsidR="00C40D0B" w:rsidRDefault="00C40D0B">
            <w:pPr>
              <w:snapToGrid w:val="0"/>
              <w:spacing w:line="340" w:lineRule="exact"/>
              <w:rPr>
                <w:rFonts w:ascii="Times New Roman" w:hAnsi="Times New Roman"/>
                <w:szCs w:val="21"/>
              </w:rPr>
            </w:pPr>
            <w:r>
              <w:rPr>
                <w:rFonts w:ascii="Times New Roman" w:hAnsi="Times New Roman"/>
                <w:position w:val="-10"/>
                <w:szCs w:val="21"/>
              </w:rPr>
              <w:object w:dxaOrig="816" w:dyaOrig="324" w14:anchorId="43005967">
                <v:shape id="Object 569" o:spid="_x0000_i1044" type="#_x0000_t75" style="width:40.5pt;height:16.5pt;mso-wrap-style:square;mso-position-horizontal-relative:page;mso-position-vertical-relative:page" o:ole="">
                  <v:fill o:detectmouseclick="t"/>
                  <v:imagedata r:id="rId42" o:title=""/>
                </v:shape>
                <o:OLEObject Type="Embed" ProgID="Equation.KSEE3" ShapeID="Object 569" DrawAspect="Content" ObjectID="_1739000156" r:id="rId43">
                  <o:FieldCodes>\* MERGEFORMAT</o:FieldCodes>
                </o:OLEObject>
              </w:object>
            </w:r>
          </w:p>
        </w:tc>
        <w:tc>
          <w:tcPr>
            <w:tcW w:w="4943" w:type="dxa"/>
            <w:tcBorders>
              <w:top w:val="single" w:sz="6" w:space="0" w:color="auto"/>
              <w:left w:val="nil"/>
              <w:bottom w:val="single" w:sz="6" w:space="0" w:color="auto"/>
              <w:right w:val="nil"/>
            </w:tcBorders>
            <w:hideMark/>
          </w:tcPr>
          <w:p w14:paraId="7E058A8A" w14:textId="77777777" w:rsidR="00C40D0B" w:rsidRDefault="00C40D0B">
            <w:pPr>
              <w:snapToGrid w:val="0"/>
              <w:spacing w:line="340" w:lineRule="exact"/>
              <w:rPr>
                <w:rFonts w:ascii="Times New Roman" w:hAnsi="Times New Roman"/>
                <w:szCs w:val="21"/>
              </w:rPr>
            </w:pPr>
            <w:r>
              <w:rPr>
                <w:rFonts w:ascii="Times New Roman" w:hAnsi="Times New Roman"/>
                <w:szCs w:val="21"/>
              </w:rPr>
              <w:t>Add 1 to the number of analysts covered by the listed company, and then take the natural logarithm.</w:t>
            </w:r>
          </w:p>
        </w:tc>
      </w:tr>
      <w:tr w:rsidR="00C40D0B" w14:paraId="7DE8894F" w14:textId="77777777" w:rsidTr="00C40D0B">
        <w:tc>
          <w:tcPr>
            <w:tcW w:w="1659" w:type="dxa"/>
            <w:vMerge/>
            <w:tcBorders>
              <w:top w:val="single" w:sz="6" w:space="0" w:color="auto"/>
              <w:left w:val="nil"/>
              <w:bottom w:val="single" w:sz="6" w:space="0" w:color="auto"/>
              <w:right w:val="nil"/>
            </w:tcBorders>
            <w:vAlign w:val="center"/>
            <w:hideMark/>
          </w:tcPr>
          <w:p w14:paraId="73ECB5DA"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5B096EB8" w14:textId="77777777" w:rsidR="00C40D0B" w:rsidRDefault="00C40D0B">
            <w:pPr>
              <w:snapToGrid w:val="0"/>
              <w:spacing w:line="340" w:lineRule="exact"/>
              <w:rPr>
                <w:rFonts w:ascii="Times New Roman" w:hAnsi="Times New Roman"/>
                <w:szCs w:val="21"/>
              </w:rPr>
            </w:pPr>
            <w:r>
              <w:rPr>
                <w:rFonts w:ascii="Times New Roman" w:hAnsi="Times New Roman"/>
                <w:b/>
                <w:bCs/>
                <w:position w:val="-6"/>
                <w:szCs w:val="21"/>
              </w:rPr>
              <w:object w:dxaOrig="564" w:dyaOrig="288" w14:anchorId="7F72A406">
                <v:shape id="Object 570" o:spid="_x0000_i1045" type="#_x0000_t75" style="width:28.5pt;height:14.25pt;mso-wrap-style:square;mso-position-horizontal-relative:page;mso-position-vertical-relative:page" o:ole="">
                  <v:fill o:detectmouseclick="t"/>
                  <v:imagedata r:id="rId44" o:title=""/>
                </v:shape>
                <o:OLEObject Type="Embed" ProgID="Equation.KSEE3" ShapeID="Object 570" DrawAspect="Content" ObjectID="_1739000157" r:id="rId45">
                  <o:FieldCodes>\* MERGEFORMAT</o:FieldCodes>
                </o:OLEObject>
              </w:object>
            </w:r>
          </w:p>
        </w:tc>
        <w:tc>
          <w:tcPr>
            <w:tcW w:w="4943" w:type="dxa"/>
            <w:tcBorders>
              <w:top w:val="single" w:sz="6" w:space="0" w:color="auto"/>
              <w:left w:val="nil"/>
              <w:bottom w:val="single" w:sz="6" w:space="0" w:color="auto"/>
              <w:right w:val="nil"/>
            </w:tcBorders>
            <w:hideMark/>
          </w:tcPr>
          <w:p w14:paraId="13E972DF" w14:textId="77777777" w:rsidR="00C40D0B" w:rsidRDefault="00C40D0B">
            <w:pPr>
              <w:snapToGrid w:val="0"/>
              <w:spacing w:line="340" w:lineRule="exact"/>
              <w:rPr>
                <w:rFonts w:ascii="Times New Roman" w:hAnsi="Times New Roman"/>
                <w:szCs w:val="21"/>
              </w:rPr>
            </w:pPr>
            <w:r>
              <w:rPr>
                <w:rFonts w:ascii="Times New Roman" w:hAnsi="Times New Roman"/>
                <w:szCs w:val="21"/>
              </w:rPr>
              <w:t>For the property right nature of the enterprise, if the actual controller is the government, take 1; otherwise, take 0.</w:t>
            </w:r>
          </w:p>
        </w:tc>
      </w:tr>
      <w:tr w:rsidR="00C40D0B" w14:paraId="3765B2B3" w14:textId="77777777" w:rsidTr="00C40D0B">
        <w:tc>
          <w:tcPr>
            <w:tcW w:w="1659" w:type="dxa"/>
            <w:vMerge/>
            <w:tcBorders>
              <w:top w:val="single" w:sz="6" w:space="0" w:color="auto"/>
              <w:left w:val="nil"/>
              <w:bottom w:val="single" w:sz="6" w:space="0" w:color="auto"/>
              <w:right w:val="nil"/>
            </w:tcBorders>
            <w:vAlign w:val="center"/>
            <w:hideMark/>
          </w:tcPr>
          <w:p w14:paraId="5CE893A8"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61758CE4" w14:textId="77777777" w:rsidR="00C40D0B" w:rsidRDefault="00C40D0B">
            <w:pPr>
              <w:snapToGrid w:val="0"/>
              <w:spacing w:line="340" w:lineRule="exact"/>
              <w:rPr>
                <w:rFonts w:ascii="Times New Roman" w:hAnsi="Times New Roman"/>
                <w:szCs w:val="21"/>
              </w:rPr>
            </w:pPr>
            <w:r>
              <w:rPr>
                <w:rFonts w:ascii="Times New Roman" w:hAnsi="Times New Roman"/>
                <w:b/>
                <w:bCs/>
                <w:position w:val="-10"/>
                <w:szCs w:val="21"/>
              </w:rPr>
              <w:object w:dxaOrig="564" w:dyaOrig="324" w14:anchorId="6C0B71B0">
                <v:shape id="Object 571" o:spid="_x0000_i1046" type="#_x0000_t75" style="width:28.5pt;height:16.5pt;mso-wrap-style:square;mso-position-horizontal-relative:page;mso-position-vertical-relative:page" o:ole="">
                  <v:fill o:detectmouseclick="t"/>
                  <v:imagedata r:id="rId46" o:title=""/>
                </v:shape>
                <o:OLEObject Type="Embed" ProgID="Equation.KSEE3" ShapeID="Object 571" DrawAspect="Content" ObjectID="_1739000158" r:id="rId47">
                  <o:FieldCodes>\* MERGEFORMAT</o:FieldCodes>
                </o:OLEObject>
              </w:object>
            </w:r>
          </w:p>
        </w:tc>
        <w:tc>
          <w:tcPr>
            <w:tcW w:w="4943" w:type="dxa"/>
            <w:tcBorders>
              <w:top w:val="single" w:sz="6" w:space="0" w:color="auto"/>
              <w:left w:val="nil"/>
              <w:bottom w:val="single" w:sz="6" w:space="0" w:color="auto"/>
              <w:right w:val="nil"/>
            </w:tcBorders>
            <w:hideMark/>
          </w:tcPr>
          <w:p w14:paraId="75AAE024" w14:textId="77777777" w:rsidR="00C40D0B" w:rsidRDefault="00C40D0B">
            <w:pPr>
              <w:snapToGrid w:val="0"/>
              <w:spacing w:line="340" w:lineRule="exact"/>
              <w:rPr>
                <w:rFonts w:ascii="Times New Roman" w:hAnsi="Times New Roman"/>
                <w:szCs w:val="21"/>
              </w:rPr>
            </w:pPr>
            <w:r>
              <w:rPr>
                <w:rFonts w:ascii="Times New Roman" w:hAnsi="Times New Roman"/>
                <w:szCs w:val="21"/>
              </w:rPr>
              <w:t>An indicator variable equal to one if the auditor giving the audit opinion is a Big 4 audit firm, and zero otherwise.</w:t>
            </w:r>
          </w:p>
        </w:tc>
      </w:tr>
      <w:tr w:rsidR="00C40D0B" w14:paraId="7146032B" w14:textId="77777777" w:rsidTr="00C40D0B">
        <w:tc>
          <w:tcPr>
            <w:tcW w:w="1659" w:type="dxa"/>
            <w:vMerge w:val="restart"/>
            <w:tcBorders>
              <w:top w:val="single" w:sz="6" w:space="0" w:color="auto"/>
              <w:left w:val="nil"/>
              <w:bottom w:val="single" w:sz="6" w:space="0" w:color="auto"/>
              <w:right w:val="nil"/>
            </w:tcBorders>
            <w:hideMark/>
          </w:tcPr>
          <w:p w14:paraId="53854CFA" w14:textId="77777777" w:rsidR="00C40D0B" w:rsidRDefault="00C40D0B">
            <w:pPr>
              <w:snapToGrid w:val="0"/>
              <w:spacing w:line="340" w:lineRule="exact"/>
              <w:rPr>
                <w:rFonts w:ascii="Times New Roman" w:hAnsi="Times New Roman"/>
                <w:b/>
                <w:bCs/>
                <w:szCs w:val="21"/>
              </w:rPr>
            </w:pPr>
            <w:r>
              <w:rPr>
                <w:rFonts w:ascii="Times New Roman" w:hAnsi="Times New Roman"/>
                <w:b/>
                <w:bCs/>
                <w:szCs w:val="21"/>
              </w:rPr>
              <w:t>Income uncertainty</w:t>
            </w:r>
          </w:p>
        </w:tc>
        <w:tc>
          <w:tcPr>
            <w:tcW w:w="1920" w:type="dxa"/>
            <w:tcBorders>
              <w:top w:val="single" w:sz="6" w:space="0" w:color="auto"/>
              <w:left w:val="nil"/>
              <w:bottom w:val="single" w:sz="6" w:space="0" w:color="auto"/>
              <w:right w:val="nil"/>
            </w:tcBorders>
            <w:vAlign w:val="center"/>
            <w:hideMark/>
          </w:tcPr>
          <w:p w14:paraId="3BE6E564" w14:textId="77777777" w:rsidR="00C40D0B" w:rsidRDefault="00C40D0B">
            <w:pPr>
              <w:snapToGrid w:val="0"/>
              <w:spacing w:line="340" w:lineRule="exact"/>
              <w:rPr>
                <w:rFonts w:ascii="Times New Roman" w:hAnsi="Times New Roman"/>
                <w:szCs w:val="21"/>
              </w:rPr>
            </w:pPr>
            <w:r>
              <w:rPr>
                <w:rFonts w:ascii="Times New Roman" w:hAnsi="Times New Roman"/>
                <w:position w:val="-10"/>
                <w:szCs w:val="21"/>
              </w:rPr>
              <w:object w:dxaOrig="900" w:dyaOrig="324" w14:anchorId="0E15625A">
                <v:shape id="Object 572" o:spid="_x0000_i1047" type="#_x0000_t75" style="width:45pt;height:16.5pt;mso-wrap-style:square;mso-position-horizontal-relative:page;mso-position-vertical-relative:page" o:ole="">
                  <v:imagedata r:id="rId48" o:title=""/>
                </v:shape>
                <o:OLEObject Type="Embed" ProgID="Equation.KSEE3" ShapeID="Object 572" DrawAspect="Content" ObjectID="_1739000159" r:id="rId49">
                  <o:FieldCodes>\* MERGEFORMAT</o:FieldCodes>
                </o:OLEObject>
              </w:object>
            </w:r>
          </w:p>
        </w:tc>
        <w:tc>
          <w:tcPr>
            <w:tcW w:w="4943" w:type="dxa"/>
            <w:tcBorders>
              <w:top w:val="single" w:sz="6" w:space="0" w:color="auto"/>
              <w:left w:val="nil"/>
              <w:bottom w:val="single" w:sz="6" w:space="0" w:color="auto"/>
              <w:right w:val="nil"/>
            </w:tcBorders>
            <w:hideMark/>
          </w:tcPr>
          <w:p w14:paraId="23FB0D9D" w14:textId="77777777" w:rsidR="00C40D0B" w:rsidRDefault="00C40D0B">
            <w:pPr>
              <w:rPr>
                <w:rFonts w:ascii="Times New Roman" w:hAnsi="Times New Roman"/>
                <w:szCs w:val="21"/>
              </w:rPr>
            </w:pPr>
            <w:r>
              <w:rPr>
                <w:rFonts w:ascii="Times New Roman" w:hAnsi="Times New Roman"/>
                <w:szCs w:val="21"/>
              </w:rPr>
              <w:t>Unexpected earnings. The absolute difference between annual earnings before extraordinary items at time t and annual earnings at time t-1, divided by the annual earnings at time t-1.</w:t>
            </w:r>
          </w:p>
        </w:tc>
      </w:tr>
      <w:tr w:rsidR="00C40D0B" w14:paraId="10E00FA9" w14:textId="77777777" w:rsidTr="00C40D0B">
        <w:tc>
          <w:tcPr>
            <w:tcW w:w="1659" w:type="dxa"/>
            <w:vMerge/>
            <w:tcBorders>
              <w:top w:val="single" w:sz="6" w:space="0" w:color="auto"/>
              <w:left w:val="nil"/>
              <w:bottom w:val="single" w:sz="6" w:space="0" w:color="auto"/>
              <w:right w:val="nil"/>
            </w:tcBorders>
            <w:vAlign w:val="center"/>
            <w:hideMark/>
          </w:tcPr>
          <w:p w14:paraId="25F47F3C"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2FC1E8F4" w14:textId="77777777" w:rsidR="00C40D0B" w:rsidRDefault="00C40D0B">
            <w:pPr>
              <w:snapToGrid w:val="0"/>
              <w:spacing w:line="340" w:lineRule="exact"/>
              <w:rPr>
                <w:rFonts w:ascii="Times New Roman" w:hAnsi="Times New Roman"/>
                <w:szCs w:val="21"/>
              </w:rPr>
            </w:pPr>
            <w:r>
              <w:rPr>
                <w:rFonts w:ascii="Times New Roman" w:hAnsi="Times New Roman"/>
                <w:position w:val="-10"/>
                <w:szCs w:val="21"/>
              </w:rPr>
              <w:object w:dxaOrig="636" w:dyaOrig="324" w14:anchorId="656AE272">
                <v:shape id="Object 573" o:spid="_x0000_i1048" type="#_x0000_t75" style="width:31.5pt;height:16.5pt;mso-wrap-style:square;mso-position-horizontal-relative:page;mso-position-vertical-relative:page" o:ole="">
                  <v:imagedata r:id="rId50" o:title=""/>
                </v:shape>
                <o:OLEObject Type="Embed" ProgID="Equation.KSEE3" ShapeID="Object 573" DrawAspect="Content" ObjectID="_1739000160" r:id="rId51">
                  <o:FieldCodes>\* MERGEFORMAT</o:FieldCodes>
                </o:OLEObject>
              </w:object>
            </w:r>
          </w:p>
        </w:tc>
        <w:tc>
          <w:tcPr>
            <w:tcW w:w="4943" w:type="dxa"/>
            <w:tcBorders>
              <w:top w:val="single" w:sz="6" w:space="0" w:color="auto"/>
              <w:left w:val="nil"/>
              <w:bottom w:val="single" w:sz="6" w:space="0" w:color="auto"/>
              <w:right w:val="nil"/>
            </w:tcBorders>
            <w:hideMark/>
          </w:tcPr>
          <w:p w14:paraId="3D12AF68" w14:textId="77777777" w:rsidR="00C40D0B" w:rsidRDefault="00C40D0B">
            <w:pPr>
              <w:snapToGrid w:val="0"/>
              <w:spacing w:line="340" w:lineRule="exact"/>
              <w:rPr>
                <w:rFonts w:ascii="Times New Roman" w:hAnsi="Times New Roman"/>
                <w:szCs w:val="21"/>
              </w:rPr>
            </w:pPr>
            <w:r>
              <w:rPr>
                <w:rFonts w:ascii="Times New Roman" w:hAnsi="Times New Roman"/>
                <w:szCs w:val="21"/>
              </w:rPr>
              <w:t>Operating leverage, the ratio between</w:t>
            </w:r>
            <w:r>
              <w:rPr>
                <w:rFonts w:ascii="Times New Roman" w:hAnsi="Times New Roman"/>
                <w:position w:val="-6"/>
                <w:szCs w:val="21"/>
              </w:rPr>
              <w:object w:dxaOrig="636" w:dyaOrig="276" w14:anchorId="507E21C1">
                <v:shape id="Object 1501" o:spid="_x0000_i1049" type="#_x0000_t75" style="width:31.5pt;height:13.5pt;mso-wrap-style:square;mso-position-horizontal-relative:page;mso-position-vertical-relative:page" o:ole="">
                  <v:imagedata r:id="rId52" o:title=""/>
                </v:shape>
                <o:OLEObject Type="Embed" ProgID="Equation.KSEE3" ShapeID="Object 1501" DrawAspect="Content" ObjectID="_1739000161" r:id="rId53">
                  <o:FieldCodes>\* MERGEFORMAT</o:FieldCodes>
                </o:OLEObject>
              </w:object>
            </w:r>
            <w:r>
              <w:rPr>
                <w:rFonts w:ascii="Times New Roman" w:hAnsi="Times New Roman"/>
                <w:szCs w:val="21"/>
              </w:rPr>
              <w:t xml:space="preserve">minus </w:t>
            </w:r>
            <w:r>
              <w:rPr>
                <w:rFonts w:ascii="Times New Roman" w:hAnsi="Times New Roman"/>
                <w:position w:val="-6"/>
                <w:szCs w:val="21"/>
              </w:rPr>
              <w:object w:dxaOrig="612" w:dyaOrig="240" w14:anchorId="11E1CA00">
                <v:shape id="Object 1499" o:spid="_x0000_i1050" type="#_x0000_t75" style="width:30.75pt;height:12pt;mso-wrap-style:square;mso-position-horizontal-relative:page;mso-position-vertical-relative:page" o:ole="">
                  <v:fill o:detectmouseclick="t"/>
                  <v:imagedata r:id="rId54" o:title=""/>
                </v:shape>
                <o:OLEObject Type="Embed" ProgID="Equation.KSEE3" ShapeID="Object 1499" DrawAspect="Content" ObjectID="_1739000162" r:id="rId55">
                  <o:FieldCodes>\* MERGEFORMAT</o:FieldCodes>
                </o:OLEObject>
              </w:object>
            </w:r>
            <w:r>
              <w:rPr>
                <w:rFonts w:ascii="Times New Roman" w:hAnsi="Times New Roman"/>
                <w:szCs w:val="21"/>
              </w:rPr>
              <w:t>and</w:t>
            </w:r>
            <w:r>
              <w:rPr>
                <w:rFonts w:ascii="Times New Roman" w:hAnsi="Times New Roman"/>
                <w:position w:val="-6"/>
                <w:szCs w:val="21"/>
              </w:rPr>
              <w:object w:dxaOrig="636" w:dyaOrig="276" w14:anchorId="1E0F1029">
                <v:shape id="Object 1500" o:spid="_x0000_i1051" type="#_x0000_t75" style="width:31.5pt;height:13.5pt;mso-wrap-style:square;mso-position-horizontal-relative:page;mso-position-vertical-relative:page" o:ole="">
                  <v:fill o:detectmouseclick="t"/>
                  <v:imagedata r:id="rId52" o:title=""/>
                </v:shape>
                <o:OLEObject Type="Embed" ProgID="Equation.KSEE3" ShapeID="Object 1500" DrawAspect="Content" ObjectID="_1739000163" r:id="rId56">
                  <o:FieldCodes>\* MERGEFORMAT</o:FieldCodes>
                </o:OLEObject>
              </w:object>
            </w:r>
            <w:r>
              <w:rPr>
                <w:rFonts w:ascii="Times New Roman" w:hAnsi="Times New Roman"/>
                <w:szCs w:val="21"/>
              </w:rPr>
              <w:t xml:space="preserve">; values below 0 or above 1 are </w:t>
            </w:r>
            <w:proofErr w:type="spellStart"/>
            <w:r>
              <w:rPr>
                <w:rFonts w:ascii="Times New Roman" w:hAnsi="Times New Roman"/>
                <w:szCs w:val="21"/>
              </w:rPr>
              <w:t>winsorized</w:t>
            </w:r>
            <w:proofErr w:type="spellEnd"/>
            <w:r>
              <w:rPr>
                <w:rFonts w:ascii="Times New Roman" w:hAnsi="Times New Roman"/>
                <w:szCs w:val="21"/>
              </w:rPr>
              <w:t>.</w:t>
            </w:r>
          </w:p>
        </w:tc>
      </w:tr>
      <w:tr w:rsidR="00C40D0B" w14:paraId="14F9ADA9" w14:textId="77777777" w:rsidTr="00C40D0B">
        <w:tc>
          <w:tcPr>
            <w:tcW w:w="1659" w:type="dxa"/>
            <w:vMerge/>
            <w:tcBorders>
              <w:top w:val="single" w:sz="6" w:space="0" w:color="auto"/>
              <w:left w:val="nil"/>
              <w:bottom w:val="single" w:sz="6" w:space="0" w:color="auto"/>
              <w:right w:val="nil"/>
            </w:tcBorders>
            <w:vAlign w:val="center"/>
            <w:hideMark/>
          </w:tcPr>
          <w:p w14:paraId="7EC588ED"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7B22F7B0" w14:textId="77777777" w:rsidR="00C40D0B" w:rsidRDefault="00C40D0B">
            <w:pPr>
              <w:snapToGrid w:val="0"/>
              <w:spacing w:line="340" w:lineRule="exact"/>
              <w:rPr>
                <w:rFonts w:ascii="Times New Roman" w:hAnsi="Times New Roman"/>
                <w:szCs w:val="21"/>
              </w:rPr>
            </w:pPr>
            <w:r>
              <w:rPr>
                <w:rFonts w:ascii="Times New Roman" w:hAnsi="Times New Roman"/>
                <w:position w:val="-4"/>
                <w:szCs w:val="21"/>
              </w:rPr>
              <w:object w:dxaOrig="564" w:dyaOrig="264" w14:anchorId="42EBA42D">
                <v:shape id="Object 574" o:spid="_x0000_i1052" type="#_x0000_t75" style="width:28.5pt;height:13.5pt;mso-wrap-style:square;mso-position-horizontal-relative:page;mso-position-vertical-relative:page" o:ole="">
                  <v:fill o:detectmouseclick="t"/>
                  <v:imagedata r:id="rId57" o:title=""/>
                </v:shape>
                <o:OLEObject Type="Embed" ProgID="Equation.KSEE3" ShapeID="Object 574" DrawAspect="Content" ObjectID="_1739000164" r:id="rId58">
                  <o:FieldCodes>\* MERGEFORMAT</o:FieldCodes>
                </o:OLEObject>
              </w:object>
            </w:r>
          </w:p>
        </w:tc>
        <w:tc>
          <w:tcPr>
            <w:tcW w:w="4943" w:type="dxa"/>
            <w:tcBorders>
              <w:top w:val="single" w:sz="6" w:space="0" w:color="auto"/>
              <w:left w:val="nil"/>
              <w:bottom w:val="single" w:sz="6" w:space="0" w:color="auto"/>
              <w:right w:val="nil"/>
            </w:tcBorders>
            <w:hideMark/>
          </w:tcPr>
          <w:p w14:paraId="07850411" w14:textId="77777777" w:rsidR="00C40D0B" w:rsidRDefault="00C40D0B">
            <w:pPr>
              <w:snapToGrid w:val="0"/>
              <w:spacing w:line="340" w:lineRule="exact"/>
              <w:rPr>
                <w:rFonts w:ascii="Times New Roman" w:hAnsi="Times New Roman"/>
                <w:szCs w:val="21"/>
              </w:rPr>
            </w:pPr>
            <w:r>
              <w:rPr>
                <w:rFonts w:ascii="Times New Roman" w:hAnsi="Times New Roman"/>
                <w:szCs w:val="21"/>
              </w:rPr>
              <w:t>It refers to the sum of deferred income tax divided by the highest legal corporate tax rate and then divided by the total assets at the beginning of the year (Hanlon 2005).</w:t>
            </w:r>
          </w:p>
        </w:tc>
      </w:tr>
      <w:tr w:rsidR="00C40D0B" w14:paraId="1594DD85" w14:textId="77777777" w:rsidTr="00C40D0B">
        <w:tc>
          <w:tcPr>
            <w:tcW w:w="1659" w:type="dxa"/>
            <w:vMerge/>
            <w:tcBorders>
              <w:top w:val="single" w:sz="6" w:space="0" w:color="auto"/>
              <w:left w:val="nil"/>
              <w:bottom w:val="single" w:sz="6" w:space="0" w:color="auto"/>
              <w:right w:val="nil"/>
            </w:tcBorders>
            <w:vAlign w:val="center"/>
            <w:hideMark/>
          </w:tcPr>
          <w:p w14:paraId="4987E9B0"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7E1CCEBD" w14:textId="77777777" w:rsidR="00C40D0B" w:rsidRDefault="00C40D0B">
            <w:pPr>
              <w:snapToGrid w:val="0"/>
              <w:spacing w:line="340" w:lineRule="exact"/>
              <w:rPr>
                <w:rFonts w:ascii="Times New Roman" w:hAnsi="Times New Roman"/>
                <w:szCs w:val="21"/>
              </w:rPr>
            </w:pPr>
            <w:r>
              <w:rPr>
                <w:rFonts w:ascii="Times New Roman" w:hAnsi="Times New Roman"/>
                <w:position w:val="-4"/>
                <w:szCs w:val="21"/>
              </w:rPr>
              <w:object w:dxaOrig="372" w:dyaOrig="288" w14:anchorId="65061D6D">
                <v:shape id="Object 1250" o:spid="_x0000_i1053" type="#_x0000_t75" style="width:18.75pt;height:14.25pt;mso-wrap-style:square;mso-position-horizontal-relative:page;mso-position-vertical-relative:page" o:ole="">
                  <v:fill o:detectmouseclick="t"/>
                  <v:imagedata r:id="rId59" o:title=""/>
                </v:shape>
                <o:OLEObject Type="Embed" ProgID="Equation.KSEE3" ShapeID="Object 1250" DrawAspect="Content" ObjectID="_1739000165" r:id="rId60">
                  <o:FieldCodes>\* MERGEFORMAT</o:FieldCodes>
                </o:OLEObject>
              </w:object>
            </w:r>
          </w:p>
        </w:tc>
        <w:tc>
          <w:tcPr>
            <w:tcW w:w="4943" w:type="dxa"/>
            <w:tcBorders>
              <w:top w:val="single" w:sz="6" w:space="0" w:color="auto"/>
              <w:left w:val="nil"/>
              <w:bottom w:val="single" w:sz="6" w:space="0" w:color="auto"/>
              <w:right w:val="nil"/>
            </w:tcBorders>
            <w:hideMark/>
          </w:tcPr>
          <w:p w14:paraId="323425A4" w14:textId="77777777" w:rsidR="00C40D0B" w:rsidRDefault="00C40D0B">
            <w:pPr>
              <w:snapToGrid w:val="0"/>
              <w:spacing w:line="340" w:lineRule="exact"/>
              <w:rPr>
                <w:rFonts w:ascii="Times New Roman" w:hAnsi="Times New Roman"/>
                <w:szCs w:val="21"/>
              </w:rPr>
            </w:pPr>
            <w:r>
              <w:rPr>
                <w:rFonts w:ascii="Times New Roman" w:hAnsi="Times New Roman"/>
                <w:szCs w:val="21"/>
              </w:rPr>
              <w:t>Virtual variable of foreign income. If the company reports foreign income before tax, the indicator variable is equal to 1, otherwise it is equal to 0.</w:t>
            </w:r>
          </w:p>
        </w:tc>
      </w:tr>
      <w:tr w:rsidR="00C40D0B" w14:paraId="5FB0D8A0" w14:textId="77777777" w:rsidTr="00C40D0B">
        <w:tc>
          <w:tcPr>
            <w:tcW w:w="1659" w:type="dxa"/>
            <w:vMerge/>
            <w:tcBorders>
              <w:top w:val="single" w:sz="6" w:space="0" w:color="auto"/>
              <w:left w:val="nil"/>
              <w:bottom w:val="single" w:sz="6" w:space="0" w:color="auto"/>
              <w:right w:val="nil"/>
            </w:tcBorders>
            <w:vAlign w:val="center"/>
            <w:hideMark/>
          </w:tcPr>
          <w:p w14:paraId="0B030219"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0D743733" w14:textId="77777777" w:rsidR="00C40D0B" w:rsidRDefault="00C40D0B">
            <w:pPr>
              <w:snapToGrid w:val="0"/>
              <w:spacing w:line="340" w:lineRule="exact"/>
              <w:rPr>
                <w:rFonts w:ascii="Times New Roman" w:hAnsi="Times New Roman"/>
                <w:szCs w:val="21"/>
              </w:rPr>
            </w:pPr>
            <w:r>
              <w:rPr>
                <w:rFonts w:ascii="Times New Roman" w:hAnsi="Times New Roman"/>
                <w:position w:val="-6"/>
                <w:szCs w:val="21"/>
              </w:rPr>
              <w:object w:dxaOrig="864" w:dyaOrig="276" w14:anchorId="36A3B896">
                <v:shape id="Object 576" o:spid="_x0000_i1054" type="#_x0000_t75" style="width:43.5pt;height:13.5pt;mso-wrap-style:square;mso-position-horizontal-relative:page;mso-position-vertical-relative:page" o:ole="">
                  <v:imagedata r:id="rId61" o:title=""/>
                </v:shape>
                <o:OLEObject Type="Embed" ProgID="Equation.KSEE3" ShapeID="Object 576" DrawAspect="Content" ObjectID="_1739000166" r:id="rId62">
                  <o:FieldCodes>\* MERGEFORMAT</o:FieldCodes>
                </o:OLEObject>
              </w:object>
            </w:r>
          </w:p>
        </w:tc>
        <w:tc>
          <w:tcPr>
            <w:tcW w:w="4943" w:type="dxa"/>
            <w:tcBorders>
              <w:top w:val="single" w:sz="6" w:space="0" w:color="auto"/>
              <w:left w:val="nil"/>
              <w:bottom w:val="single" w:sz="6" w:space="0" w:color="auto"/>
              <w:right w:val="nil"/>
            </w:tcBorders>
            <w:hideMark/>
          </w:tcPr>
          <w:p w14:paraId="3E766942" w14:textId="77777777" w:rsidR="00C40D0B" w:rsidRDefault="00C40D0B">
            <w:pPr>
              <w:snapToGrid w:val="0"/>
              <w:spacing w:line="340" w:lineRule="exact"/>
              <w:rPr>
                <w:rFonts w:ascii="Times New Roman" w:hAnsi="Times New Roman"/>
                <w:szCs w:val="21"/>
              </w:rPr>
            </w:pPr>
            <w:r>
              <w:rPr>
                <w:rFonts w:ascii="Times New Roman" w:hAnsi="Times New Roman"/>
                <w:szCs w:val="21"/>
              </w:rPr>
              <w:t xml:space="preserve">Return volatility, </w:t>
            </w:r>
            <w:proofErr w:type="gramStart"/>
            <w:r>
              <w:rPr>
                <w:rFonts w:ascii="Times New Roman" w:hAnsi="Times New Roman"/>
                <w:szCs w:val="21"/>
              </w:rPr>
              <w:t>i.e.</w:t>
            </w:r>
            <w:proofErr w:type="gramEnd"/>
            <w:r>
              <w:rPr>
                <w:rFonts w:ascii="Times New Roman" w:hAnsi="Times New Roman"/>
                <w:szCs w:val="21"/>
              </w:rPr>
              <w:t xml:space="preserve"> standard deviation of return on assets in the previous three years.</w:t>
            </w:r>
          </w:p>
        </w:tc>
      </w:tr>
      <w:tr w:rsidR="00C40D0B" w14:paraId="402D2825" w14:textId="77777777" w:rsidTr="00C40D0B">
        <w:tc>
          <w:tcPr>
            <w:tcW w:w="1659" w:type="dxa"/>
            <w:vMerge/>
            <w:tcBorders>
              <w:top w:val="single" w:sz="6" w:space="0" w:color="auto"/>
              <w:left w:val="nil"/>
              <w:bottom w:val="single" w:sz="6" w:space="0" w:color="auto"/>
              <w:right w:val="nil"/>
            </w:tcBorders>
            <w:vAlign w:val="center"/>
            <w:hideMark/>
          </w:tcPr>
          <w:p w14:paraId="1E734F30"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48B1AED7" w14:textId="77777777" w:rsidR="00C40D0B" w:rsidRDefault="00C40D0B">
            <w:pPr>
              <w:snapToGrid w:val="0"/>
              <w:spacing w:line="340" w:lineRule="exact"/>
              <w:rPr>
                <w:rFonts w:ascii="Times New Roman" w:hAnsi="Times New Roman"/>
                <w:szCs w:val="21"/>
              </w:rPr>
            </w:pPr>
            <w:r>
              <w:rPr>
                <w:rFonts w:ascii="Times New Roman" w:hAnsi="Times New Roman"/>
                <w:position w:val="-6"/>
                <w:szCs w:val="21"/>
              </w:rPr>
              <w:object w:dxaOrig="660" w:dyaOrig="276" w14:anchorId="41ED321A">
                <v:shape id="Object 1251" o:spid="_x0000_i1055" type="#_x0000_t75" style="width:33pt;height:13.5pt;mso-wrap-style:square;mso-position-horizontal-relative:page;mso-position-vertical-relative:page" o:ole="">
                  <v:fill o:detectmouseclick="t"/>
                  <v:imagedata r:id="rId63" o:title=""/>
                </v:shape>
                <o:OLEObject Type="Embed" ProgID="Equation.KSEE3" ShapeID="Object 1251" DrawAspect="Content" ObjectID="_1739000167" r:id="rId64"/>
              </w:object>
            </w:r>
          </w:p>
        </w:tc>
        <w:tc>
          <w:tcPr>
            <w:tcW w:w="4943" w:type="dxa"/>
            <w:tcBorders>
              <w:top w:val="single" w:sz="6" w:space="0" w:color="auto"/>
              <w:left w:val="nil"/>
              <w:bottom w:val="single" w:sz="6" w:space="0" w:color="auto"/>
              <w:right w:val="nil"/>
            </w:tcBorders>
            <w:hideMark/>
          </w:tcPr>
          <w:p w14:paraId="638D561B" w14:textId="77777777" w:rsidR="00C40D0B" w:rsidRDefault="00C40D0B">
            <w:pPr>
              <w:snapToGrid w:val="0"/>
              <w:spacing w:line="340" w:lineRule="exact"/>
              <w:rPr>
                <w:rFonts w:ascii="Times New Roman" w:hAnsi="Times New Roman"/>
                <w:snapToGrid w:val="0"/>
                <w:spacing w:val="-4"/>
                <w:kern w:val="0"/>
                <w:szCs w:val="21"/>
              </w:rPr>
            </w:pPr>
            <w:r>
              <w:rPr>
                <w:rFonts w:ascii="Times New Roman" w:hAnsi="Times New Roman"/>
                <w:snapToGrid w:val="0"/>
                <w:spacing w:val="-4"/>
                <w:kern w:val="0"/>
                <w:szCs w:val="21"/>
              </w:rPr>
              <w:t>Turnover rate refers to the monthly average turnover rate of listed companies' stock transactions in each year.</w:t>
            </w:r>
          </w:p>
        </w:tc>
      </w:tr>
      <w:tr w:rsidR="00C40D0B" w14:paraId="13F8AD5D" w14:textId="77777777" w:rsidTr="00C40D0B">
        <w:tc>
          <w:tcPr>
            <w:tcW w:w="1659" w:type="dxa"/>
            <w:vMerge/>
            <w:tcBorders>
              <w:top w:val="single" w:sz="6" w:space="0" w:color="auto"/>
              <w:left w:val="nil"/>
              <w:bottom w:val="single" w:sz="6" w:space="0" w:color="auto"/>
              <w:right w:val="nil"/>
            </w:tcBorders>
            <w:vAlign w:val="center"/>
            <w:hideMark/>
          </w:tcPr>
          <w:p w14:paraId="1F69E138"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3BF1E9A6" w14:textId="77777777" w:rsidR="00C40D0B" w:rsidRDefault="00C40D0B">
            <w:pPr>
              <w:snapToGrid w:val="0"/>
              <w:spacing w:line="340" w:lineRule="exact"/>
              <w:rPr>
                <w:rFonts w:ascii="Times New Roman" w:hAnsi="Times New Roman"/>
                <w:szCs w:val="21"/>
              </w:rPr>
            </w:pPr>
            <w:r>
              <w:rPr>
                <w:rFonts w:ascii="Times New Roman" w:hAnsi="Times New Roman"/>
                <w:position w:val="-6"/>
                <w:szCs w:val="21"/>
              </w:rPr>
              <w:object w:dxaOrig="696" w:dyaOrig="276" w14:anchorId="43A7E098">
                <v:shape id="Object 577" o:spid="_x0000_i1056" type="#_x0000_t75" style="width:34.5pt;height:13.5pt;mso-wrap-style:square;mso-position-horizontal-relative:page;mso-position-vertical-relative:page" o:ole="">
                  <v:fill o:detectmouseclick="t"/>
                  <v:imagedata r:id="rId65" o:title=""/>
                </v:shape>
                <o:OLEObject Type="Embed" ProgID="Equation.KSEE3" ShapeID="Object 577" DrawAspect="Content" ObjectID="_1739000168" r:id="rId66">
                  <o:FieldCodes>\* MERGEFORMAT</o:FieldCodes>
                </o:OLEObject>
              </w:object>
            </w:r>
          </w:p>
        </w:tc>
        <w:tc>
          <w:tcPr>
            <w:tcW w:w="4943" w:type="dxa"/>
            <w:tcBorders>
              <w:top w:val="single" w:sz="6" w:space="0" w:color="auto"/>
              <w:left w:val="nil"/>
              <w:bottom w:val="single" w:sz="6" w:space="0" w:color="auto"/>
              <w:right w:val="nil"/>
            </w:tcBorders>
            <w:hideMark/>
          </w:tcPr>
          <w:p w14:paraId="4A9D6A02" w14:textId="77777777" w:rsidR="00C40D0B" w:rsidRDefault="00C40D0B">
            <w:pPr>
              <w:snapToGrid w:val="0"/>
              <w:spacing w:line="340" w:lineRule="exact"/>
              <w:rPr>
                <w:rFonts w:ascii="Times New Roman" w:hAnsi="Times New Roman"/>
                <w:szCs w:val="21"/>
              </w:rPr>
            </w:pPr>
            <w:r>
              <w:rPr>
                <w:rFonts w:ascii="Times New Roman" w:hAnsi="Times New Roman"/>
                <w:snapToGrid w:val="0"/>
                <w:spacing w:val="-4"/>
                <w:kern w:val="0"/>
                <w:szCs w:val="21"/>
              </w:rPr>
              <w:t xml:space="preserve">Volatility of stock price return, the standard deviation of </w:t>
            </w:r>
            <w:r>
              <w:rPr>
                <w:rFonts w:ascii="Times New Roman" w:hAnsi="Times New Roman"/>
                <w:snapToGrid w:val="0"/>
                <w:spacing w:val="-4"/>
                <w:kern w:val="0"/>
                <w:szCs w:val="21"/>
              </w:rPr>
              <w:lastRenderedPageBreak/>
              <w:t>stock returns over the past 12 months.</w:t>
            </w:r>
          </w:p>
        </w:tc>
      </w:tr>
      <w:tr w:rsidR="00C40D0B" w14:paraId="14FE1BB2" w14:textId="77777777" w:rsidTr="00C40D0B">
        <w:tc>
          <w:tcPr>
            <w:tcW w:w="1659" w:type="dxa"/>
            <w:vMerge/>
            <w:tcBorders>
              <w:top w:val="single" w:sz="6" w:space="0" w:color="auto"/>
              <w:left w:val="nil"/>
              <w:bottom w:val="single" w:sz="6" w:space="0" w:color="auto"/>
              <w:right w:val="nil"/>
            </w:tcBorders>
            <w:vAlign w:val="center"/>
            <w:hideMark/>
          </w:tcPr>
          <w:p w14:paraId="461F8C12"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434D6CB9" w14:textId="77777777" w:rsidR="00C40D0B" w:rsidRDefault="00C40D0B">
            <w:pPr>
              <w:snapToGrid w:val="0"/>
              <w:spacing w:line="340" w:lineRule="exact"/>
              <w:rPr>
                <w:rFonts w:ascii="Times New Roman" w:hAnsi="Times New Roman"/>
                <w:szCs w:val="21"/>
              </w:rPr>
            </w:pPr>
            <w:r>
              <w:rPr>
                <w:rFonts w:ascii="Times New Roman" w:hAnsi="Times New Roman"/>
                <w:position w:val="-6"/>
                <w:szCs w:val="21"/>
              </w:rPr>
              <w:object w:dxaOrig="636" w:dyaOrig="300" w14:anchorId="1A5FF632">
                <v:shape id="Object 578" o:spid="_x0000_i1057" type="#_x0000_t75" style="width:31.5pt;height:15pt;mso-wrap-style:square;mso-position-horizontal-relative:page;mso-position-vertical-relative:page" o:ole="">
                  <v:fill o:detectmouseclick="t"/>
                  <v:imagedata r:id="rId67" o:title=""/>
                </v:shape>
                <o:OLEObject Type="Embed" ProgID="Equation.KSEE3" ShapeID="Object 578" DrawAspect="Content" ObjectID="_1739000169" r:id="rId68">
                  <o:FieldCodes>\* MERGEFORMAT</o:FieldCodes>
                </o:OLEObject>
              </w:object>
            </w:r>
          </w:p>
        </w:tc>
        <w:tc>
          <w:tcPr>
            <w:tcW w:w="4943" w:type="dxa"/>
            <w:tcBorders>
              <w:top w:val="single" w:sz="6" w:space="0" w:color="auto"/>
              <w:left w:val="nil"/>
              <w:bottom w:val="single" w:sz="6" w:space="0" w:color="auto"/>
              <w:right w:val="nil"/>
            </w:tcBorders>
            <w:hideMark/>
          </w:tcPr>
          <w:p w14:paraId="0C50DB6A" w14:textId="77777777" w:rsidR="00C40D0B" w:rsidRDefault="00C40D0B">
            <w:pPr>
              <w:snapToGrid w:val="0"/>
              <w:spacing w:line="340" w:lineRule="exact"/>
              <w:rPr>
                <w:rFonts w:ascii="Times New Roman" w:hAnsi="Times New Roman"/>
                <w:szCs w:val="21"/>
              </w:rPr>
            </w:pPr>
            <w:r>
              <w:rPr>
                <w:rFonts w:ascii="Times New Roman" w:hAnsi="Times New Roman"/>
                <w:szCs w:val="21"/>
              </w:rPr>
              <w:t>The activity level variation coefficient directly captures the volatility of the activity level.</w:t>
            </w:r>
          </w:p>
        </w:tc>
      </w:tr>
      <w:tr w:rsidR="00C40D0B" w14:paraId="0C4C728D" w14:textId="77777777" w:rsidTr="00C40D0B">
        <w:tc>
          <w:tcPr>
            <w:tcW w:w="1659" w:type="dxa"/>
            <w:vMerge/>
            <w:tcBorders>
              <w:top w:val="single" w:sz="6" w:space="0" w:color="auto"/>
              <w:left w:val="nil"/>
              <w:bottom w:val="single" w:sz="6" w:space="0" w:color="auto"/>
              <w:right w:val="nil"/>
            </w:tcBorders>
            <w:vAlign w:val="center"/>
            <w:hideMark/>
          </w:tcPr>
          <w:p w14:paraId="73793941"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0C96584B" w14:textId="77777777" w:rsidR="00C40D0B" w:rsidRDefault="00C40D0B">
            <w:pPr>
              <w:snapToGrid w:val="0"/>
              <w:spacing w:line="340" w:lineRule="exact"/>
              <w:rPr>
                <w:rFonts w:ascii="Times New Roman" w:hAnsi="Times New Roman"/>
                <w:szCs w:val="21"/>
              </w:rPr>
            </w:pPr>
            <w:r>
              <w:rPr>
                <w:position w:val="-6"/>
                <w:szCs w:val="21"/>
              </w:rPr>
              <w:object w:dxaOrig="1152" w:dyaOrig="300" w14:anchorId="6E74A0DF">
                <v:shape id="Object 579" o:spid="_x0000_i1058" type="#_x0000_t75" style="width:57.75pt;height:15pt;mso-wrap-style:square;mso-position-horizontal-relative:page;mso-position-vertical-relative:page" o:ole="">
                  <v:fill o:detectmouseclick="t"/>
                  <v:imagedata r:id="rId69" o:title=""/>
                </v:shape>
                <o:OLEObject Type="Embed" ProgID="Equation.KSEE3" ShapeID="Object 579" DrawAspect="Content" ObjectID="_1739000170" r:id="rId70">
                  <o:FieldCodes>\* MERGEFORMAT</o:FieldCodes>
                </o:OLEObject>
              </w:object>
            </w:r>
          </w:p>
        </w:tc>
        <w:tc>
          <w:tcPr>
            <w:tcW w:w="4943" w:type="dxa"/>
            <w:tcBorders>
              <w:top w:val="single" w:sz="6" w:space="0" w:color="auto"/>
              <w:left w:val="nil"/>
              <w:bottom w:val="single" w:sz="6" w:space="0" w:color="auto"/>
              <w:right w:val="nil"/>
            </w:tcBorders>
            <w:hideMark/>
          </w:tcPr>
          <w:p w14:paraId="7EC5FB73" w14:textId="77777777" w:rsidR="00C40D0B" w:rsidRDefault="00C40D0B">
            <w:pPr>
              <w:snapToGrid w:val="0"/>
              <w:spacing w:line="340" w:lineRule="exact"/>
              <w:rPr>
                <w:rFonts w:ascii="Times New Roman" w:hAnsi="Times New Roman"/>
                <w:b/>
                <w:bCs/>
                <w:szCs w:val="21"/>
              </w:rPr>
            </w:pPr>
            <w:r>
              <w:rPr>
                <w:rFonts w:ascii="Times New Roman" w:hAnsi="Times New Roman"/>
                <w:szCs w:val="21"/>
              </w:rPr>
              <w:t>The quarterly fluctuation of annual operating revenue refers to the standard deviation of the company's operating revenue in the four quarters of each year.</w:t>
            </w:r>
          </w:p>
        </w:tc>
      </w:tr>
      <w:tr w:rsidR="00C40D0B" w14:paraId="6C1D5AA0" w14:textId="77777777" w:rsidTr="00C40D0B">
        <w:tc>
          <w:tcPr>
            <w:tcW w:w="1659" w:type="dxa"/>
            <w:vMerge/>
            <w:tcBorders>
              <w:top w:val="single" w:sz="6" w:space="0" w:color="auto"/>
              <w:left w:val="nil"/>
              <w:bottom w:val="single" w:sz="6" w:space="0" w:color="auto"/>
              <w:right w:val="nil"/>
            </w:tcBorders>
            <w:vAlign w:val="center"/>
            <w:hideMark/>
          </w:tcPr>
          <w:p w14:paraId="6BD343CB" w14:textId="77777777" w:rsidR="00C40D0B" w:rsidRDefault="00C40D0B">
            <w:pPr>
              <w:rPr>
                <w:rFonts w:ascii="Times New Roman" w:hAnsi="Times New Roman"/>
                <w:b/>
                <w:bCs/>
                <w:szCs w:val="21"/>
              </w:rPr>
            </w:pPr>
          </w:p>
        </w:tc>
        <w:tc>
          <w:tcPr>
            <w:tcW w:w="1920" w:type="dxa"/>
            <w:tcBorders>
              <w:top w:val="single" w:sz="6" w:space="0" w:color="auto"/>
              <w:left w:val="nil"/>
              <w:bottom w:val="single" w:sz="6" w:space="0" w:color="auto"/>
              <w:right w:val="nil"/>
            </w:tcBorders>
            <w:vAlign w:val="center"/>
            <w:hideMark/>
          </w:tcPr>
          <w:p w14:paraId="22DCA1E8" w14:textId="77777777" w:rsidR="00C40D0B" w:rsidRDefault="00C40D0B">
            <w:pPr>
              <w:snapToGrid w:val="0"/>
              <w:spacing w:line="340" w:lineRule="exact"/>
              <w:rPr>
                <w:rFonts w:ascii="Times New Roman" w:hAnsi="Times New Roman"/>
                <w:szCs w:val="21"/>
              </w:rPr>
            </w:pPr>
            <w:r>
              <w:rPr>
                <w:rFonts w:ascii="Times New Roman" w:hAnsi="Times New Roman"/>
                <w:position w:val="-6"/>
                <w:szCs w:val="21"/>
              </w:rPr>
              <w:object w:dxaOrig="684" w:dyaOrig="276" w14:anchorId="0B4C7A82">
                <v:shape id="Object 580" o:spid="_x0000_i1059" type="#_x0000_t75" style="width:34.5pt;height:13.5pt;mso-wrap-style:square;mso-position-horizontal-relative:page;mso-position-vertical-relative:page" o:ole="">
                  <v:fill o:detectmouseclick="t"/>
                  <v:imagedata r:id="rId71" o:title=""/>
                </v:shape>
                <o:OLEObject Type="Embed" ProgID="Equation.KSEE3" ShapeID="Object 580" DrawAspect="Content" ObjectID="_1739000171" r:id="rId72">
                  <o:FieldCodes>\* MERGEFORMAT</o:FieldCodes>
                </o:OLEObject>
              </w:object>
            </w:r>
          </w:p>
        </w:tc>
        <w:tc>
          <w:tcPr>
            <w:tcW w:w="4943" w:type="dxa"/>
            <w:tcBorders>
              <w:top w:val="single" w:sz="6" w:space="0" w:color="auto"/>
              <w:left w:val="nil"/>
              <w:bottom w:val="single" w:sz="6" w:space="0" w:color="auto"/>
              <w:right w:val="nil"/>
            </w:tcBorders>
            <w:hideMark/>
          </w:tcPr>
          <w:p w14:paraId="053C0F23" w14:textId="77777777" w:rsidR="00C40D0B" w:rsidRDefault="00C40D0B">
            <w:pPr>
              <w:snapToGrid w:val="0"/>
              <w:spacing w:line="340" w:lineRule="exact"/>
              <w:rPr>
                <w:rFonts w:ascii="Times New Roman" w:hAnsi="Times New Roman"/>
                <w:b/>
                <w:bCs/>
                <w:szCs w:val="21"/>
              </w:rPr>
            </w:pPr>
            <w:r>
              <w:rPr>
                <w:rFonts w:ascii="Times New Roman" w:hAnsi="Times New Roman"/>
                <w:szCs w:val="21"/>
              </w:rPr>
              <w:t xml:space="preserve">Cash flow volatility, the standard deviation of cash flows from operating activities over the three years. Cash flows from operating activities (using date-to-date </w:t>
            </w:r>
            <w:proofErr w:type="spellStart"/>
            <w:r>
              <w:rPr>
                <w:rFonts w:ascii="Times New Roman" w:hAnsi="Times New Roman"/>
                <w:szCs w:val="21"/>
              </w:rPr>
              <w:t>oancfy</w:t>
            </w:r>
            <w:proofErr w:type="spellEnd"/>
            <w:r>
              <w:rPr>
                <w:rFonts w:ascii="Times New Roman" w:hAnsi="Times New Roman"/>
                <w:szCs w:val="21"/>
              </w:rPr>
              <w:t>) is divided by total assets.</w:t>
            </w:r>
          </w:p>
        </w:tc>
      </w:tr>
      <w:tr w:rsidR="00C40D0B" w14:paraId="565A6D90" w14:textId="77777777" w:rsidTr="00C40D0B">
        <w:tc>
          <w:tcPr>
            <w:tcW w:w="1659" w:type="dxa"/>
            <w:vMerge w:val="restart"/>
            <w:tcBorders>
              <w:top w:val="single" w:sz="6" w:space="0" w:color="auto"/>
              <w:left w:val="nil"/>
              <w:bottom w:val="single" w:sz="12" w:space="0" w:color="auto"/>
              <w:right w:val="nil"/>
            </w:tcBorders>
          </w:tcPr>
          <w:p w14:paraId="3D2A8CB5" w14:textId="77777777" w:rsidR="00C40D0B" w:rsidRDefault="00C40D0B">
            <w:pPr>
              <w:snapToGrid w:val="0"/>
              <w:spacing w:line="340" w:lineRule="exact"/>
              <w:rPr>
                <w:rFonts w:ascii="Times New Roman" w:hAnsi="Times New Roman"/>
                <w:szCs w:val="21"/>
              </w:rPr>
            </w:pPr>
          </w:p>
        </w:tc>
        <w:tc>
          <w:tcPr>
            <w:tcW w:w="1920" w:type="dxa"/>
            <w:tcBorders>
              <w:top w:val="single" w:sz="6" w:space="0" w:color="auto"/>
              <w:left w:val="nil"/>
              <w:bottom w:val="single" w:sz="6" w:space="0" w:color="auto"/>
              <w:right w:val="nil"/>
            </w:tcBorders>
            <w:vAlign w:val="center"/>
            <w:hideMark/>
          </w:tcPr>
          <w:p w14:paraId="2464DAD7" w14:textId="77777777" w:rsidR="00C40D0B" w:rsidRDefault="00C40D0B">
            <w:pPr>
              <w:snapToGrid w:val="0"/>
              <w:spacing w:line="340" w:lineRule="exact"/>
              <w:rPr>
                <w:rFonts w:ascii="Times New Roman" w:hAnsi="Times New Roman"/>
                <w:szCs w:val="21"/>
              </w:rPr>
            </w:pPr>
            <w:r>
              <w:rPr>
                <w:rFonts w:ascii="Times New Roman" w:hAnsi="Times New Roman"/>
                <w:position w:val="-14"/>
                <w:szCs w:val="21"/>
              </w:rPr>
              <w:object w:dxaOrig="804" w:dyaOrig="396" w14:anchorId="10048B7F">
                <v:shape id="Object 581" o:spid="_x0000_i1060" type="#_x0000_t75" style="width:40.5pt;height:19.5pt;mso-wrap-style:square;mso-position-horizontal-relative:page;mso-position-vertical-relative:page" o:ole="">
                  <v:imagedata r:id="rId73" o:title=""/>
                </v:shape>
                <o:OLEObject Type="Embed" ProgID="Equation.KSEE3" ShapeID="Object 581" DrawAspect="Content" ObjectID="_1739000172" r:id="rId74">
                  <o:FieldCodes>\* MERGEFORMAT</o:FieldCodes>
                </o:OLEObject>
              </w:object>
            </w:r>
          </w:p>
        </w:tc>
        <w:tc>
          <w:tcPr>
            <w:tcW w:w="4943" w:type="dxa"/>
            <w:tcBorders>
              <w:top w:val="single" w:sz="6" w:space="0" w:color="auto"/>
              <w:left w:val="nil"/>
              <w:bottom w:val="single" w:sz="6" w:space="0" w:color="auto"/>
              <w:right w:val="nil"/>
            </w:tcBorders>
            <w:hideMark/>
          </w:tcPr>
          <w:p w14:paraId="4C2C30D6" w14:textId="77777777" w:rsidR="00C40D0B" w:rsidRDefault="00C40D0B">
            <w:pPr>
              <w:rPr>
                <w:rFonts w:ascii="Times New Roman" w:hAnsi="Times New Roman"/>
                <w:b/>
                <w:bCs/>
                <w:szCs w:val="21"/>
              </w:rPr>
            </w:pPr>
            <w:r>
              <w:rPr>
                <w:rFonts w:ascii="Times New Roman" w:hAnsi="Times New Roman"/>
                <w:szCs w:val="21"/>
              </w:rPr>
              <w:t>Annual dummy variable to control the impact of annual effect on the accuracy of analysts' forecasts.</w:t>
            </w:r>
          </w:p>
        </w:tc>
      </w:tr>
      <w:tr w:rsidR="00C40D0B" w14:paraId="66DBEEE6" w14:textId="77777777" w:rsidTr="00C40D0B">
        <w:trPr>
          <w:trHeight w:val="670"/>
        </w:trPr>
        <w:tc>
          <w:tcPr>
            <w:tcW w:w="1659" w:type="dxa"/>
            <w:vMerge/>
            <w:tcBorders>
              <w:top w:val="single" w:sz="6" w:space="0" w:color="auto"/>
              <w:left w:val="nil"/>
              <w:bottom w:val="single" w:sz="12" w:space="0" w:color="auto"/>
              <w:right w:val="nil"/>
            </w:tcBorders>
            <w:vAlign w:val="center"/>
            <w:hideMark/>
          </w:tcPr>
          <w:p w14:paraId="662A15C3" w14:textId="77777777" w:rsidR="00C40D0B" w:rsidRDefault="00C40D0B">
            <w:pPr>
              <w:rPr>
                <w:rFonts w:ascii="Times New Roman" w:hAnsi="Times New Roman"/>
                <w:szCs w:val="21"/>
              </w:rPr>
            </w:pPr>
          </w:p>
        </w:tc>
        <w:tc>
          <w:tcPr>
            <w:tcW w:w="1920" w:type="dxa"/>
            <w:tcBorders>
              <w:top w:val="single" w:sz="6" w:space="0" w:color="auto"/>
              <w:left w:val="nil"/>
              <w:bottom w:val="single" w:sz="12" w:space="0" w:color="auto"/>
              <w:right w:val="nil"/>
            </w:tcBorders>
            <w:vAlign w:val="center"/>
            <w:hideMark/>
          </w:tcPr>
          <w:p w14:paraId="7791BB9E" w14:textId="77777777" w:rsidR="00C40D0B" w:rsidRDefault="00C40D0B">
            <w:pPr>
              <w:snapToGrid w:val="0"/>
              <w:spacing w:line="340" w:lineRule="exact"/>
              <w:rPr>
                <w:rFonts w:ascii="Times New Roman" w:hAnsi="Times New Roman"/>
                <w:szCs w:val="21"/>
              </w:rPr>
            </w:pPr>
            <w:r>
              <w:rPr>
                <w:rFonts w:ascii="Times New Roman" w:hAnsi="Times New Roman"/>
                <w:position w:val="-14"/>
                <w:szCs w:val="21"/>
              </w:rPr>
              <w:object w:dxaOrig="1176" w:dyaOrig="396" w14:anchorId="19683871">
                <v:shape id="Object 582" o:spid="_x0000_i1061" type="#_x0000_t75" style="width:58.5pt;height:19.5pt;mso-wrap-style:square;mso-position-horizontal-relative:page;mso-position-vertical-relative:page" o:ole="">
                  <v:imagedata r:id="rId75" o:title=""/>
                </v:shape>
                <o:OLEObject Type="Embed" ProgID="Equation.KSEE3" ShapeID="Object 582" DrawAspect="Content" ObjectID="_1739000173" r:id="rId76">
                  <o:FieldCodes>\* MERGEFORMAT</o:FieldCodes>
                </o:OLEObject>
              </w:object>
            </w:r>
          </w:p>
        </w:tc>
        <w:tc>
          <w:tcPr>
            <w:tcW w:w="4943" w:type="dxa"/>
            <w:tcBorders>
              <w:top w:val="single" w:sz="6" w:space="0" w:color="auto"/>
              <w:left w:val="nil"/>
              <w:bottom w:val="single" w:sz="12" w:space="0" w:color="auto"/>
              <w:right w:val="nil"/>
            </w:tcBorders>
            <w:hideMark/>
          </w:tcPr>
          <w:p w14:paraId="2CD79E2D" w14:textId="77777777" w:rsidR="00C40D0B" w:rsidRDefault="00C40D0B">
            <w:pPr>
              <w:snapToGrid w:val="0"/>
              <w:spacing w:line="340" w:lineRule="exact"/>
              <w:rPr>
                <w:rFonts w:ascii="Times New Roman" w:hAnsi="Times New Roman"/>
                <w:b/>
                <w:bCs/>
                <w:szCs w:val="21"/>
              </w:rPr>
            </w:pPr>
            <w:r>
              <w:rPr>
                <w:rFonts w:ascii="Times New Roman" w:hAnsi="Times New Roman"/>
                <w:szCs w:val="21"/>
              </w:rPr>
              <w:t xml:space="preserve">Industry dummy variables to control the impact of industry effects on the accuracy of analysts' forecasts. The industry adopts two </w:t>
            </w:r>
            <w:proofErr w:type="gramStart"/>
            <w:r>
              <w:rPr>
                <w:rFonts w:ascii="Times New Roman" w:hAnsi="Times New Roman"/>
                <w:szCs w:val="21"/>
              </w:rPr>
              <w:t>digit</w:t>
            </w:r>
            <w:proofErr w:type="gramEnd"/>
            <w:r>
              <w:rPr>
                <w:rFonts w:ascii="Times New Roman" w:hAnsi="Times New Roman"/>
                <w:szCs w:val="21"/>
              </w:rPr>
              <w:t xml:space="preserve"> SIC code classification.</w:t>
            </w:r>
          </w:p>
        </w:tc>
      </w:tr>
    </w:tbl>
    <w:p w14:paraId="1E68E37F" w14:textId="77777777" w:rsidR="00C40D0B" w:rsidRDefault="00C40D0B" w:rsidP="00C40D0B">
      <w:pPr>
        <w:jc w:val="left"/>
        <w:rPr>
          <w:rFonts w:ascii="Times New Roman" w:hAnsi="Times New Roman"/>
          <w:b/>
          <w:bCs/>
          <w:szCs w:val="21"/>
        </w:rPr>
      </w:pPr>
    </w:p>
    <w:p w14:paraId="38EC2EDE" w14:textId="77777777" w:rsidR="00C40D0B" w:rsidRDefault="00C40D0B" w:rsidP="00C40D0B">
      <w:pPr>
        <w:jc w:val="left"/>
        <w:rPr>
          <w:rFonts w:ascii="Times New Roman" w:hAnsi="Times New Roman"/>
          <w:b/>
          <w:bCs/>
          <w:szCs w:val="21"/>
        </w:rPr>
      </w:pPr>
    </w:p>
    <w:p w14:paraId="57CEC92C" w14:textId="77777777" w:rsidR="00C40D0B" w:rsidRDefault="00C40D0B" w:rsidP="00C40D0B">
      <w:pPr>
        <w:jc w:val="left"/>
        <w:rPr>
          <w:rFonts w:ascii="Times New Roman" w:hAnsi="Times New Roman"/>
          <w:b/>
          <w:bCs/>
          <w:szCs w:val="21"/>
        </w:rPr>
      </w:pPr>
    </w:p>
    <w:p w14:paraId="3308849C" w14:textId="77777777" w:rsidR="00C40D0B" w:rsidRDefault="00C40D0B" w:rsidP="00C40D0B">
      <w:pPr>
        <w:jc w:val="left"/>
        <w:rPr>
          <w:rFonts w:ascii="Times New Roman" w:hAnsi="Times New Roman"/>
          <w:b/>
          <w:bCs/>
          <w:szCs w:val="21"/>
        </w:rPr>
      </w:pPr>
    </w:p>
    <w:p w14:paraId="68D43687" w14:textId="77777777" w:rsidR="00C40D0B" w:rsidRDefault="00C40D0B" w:rsidP="00C40D0B">
      <w:pPr>
        <w:jc w:val="left"/>
        <w:rPr>
          <w:rFonts w:ascii="Times New Roman" w:hAnsi="Times New Roman"/>
          <w:b/>
          <w:bCs/>
          <w:szCs w:val="21"/>
        </w:rPr>
      </w:pPr>
    </w:p>
    <w:p w14:paraId="303CBB6D" w14:textId="77777777" w:rsidR="00C40D0B" w:rsidRDefault="00C40D0B" w:rsidP="00C40D0B">
      <w:pPr>
        <w:jc w:val="left"/>
        <w:rPr>
          <w:rFonts w:ascii="Times New Roman" w:hAnsi="Times New Roman"/>
          <w:b/>
          <w:bCs/>
          <w:szCs w:val="21"/>
        </w:rPr>
      </w:pPr>
    </w:p>
    <w:p w14:paraId="24EF0B08" w14:textId="77777777" w:rsidR="00C40D0B" w:rsidRDefault="00C40D0B" w:rsidP="00C40D0B">
      <w:pPr>
        <w:jc w:val="left"/>
        <w:rPr>
          <w:rFonts w:ascii="Times New Roman" w:hAnsi="Times New Roman"/>
          <w:b/>
          <w:bCs/>
          <w:szCs w:val="21"/>
        </w:rPr>
      </w:pPr>
    </w:p>
    <w:p w14:paraId="50132437" w14:textId="77777777" w:rsidR="00DF63FB" w:rsidRDefault="00C40D0B"/>
    <w:sectPr w:rsidR="00DF63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numFmt w:val="decimalEnclosedCircleChines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D0B"/>
    <w:rsid w:val="00364E71"/>
    <w:rsid w:val="00785E20"/>
    <w:rsid w:val="00C40D0B"/>
    <w:rsid w:val="00F94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2F13C"/>
  <w15:chartTrackingRefBased/>
  <w15:docId w15:val="{6A3E01B1-16A2-4E7B-A001-E5711687C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D0B"/>
    <w:pPr>
      <w:widowControl w:val="0"/>
      <w:spacing w:after="0" w:line="240" w:lineRule="auto"/>
      <w:jc w:val="both"/>
    </w:pPr>
    <w:rPr>
      <w:rFonts w:ascii="Calibri" w:eastAsia="SimSun" w:hAnsi="Calibri" w:cs="Times New Roman"/>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C40D0B"/>
    <w:pPr>
      <w:widowControl w:val="0"/>
      <w:spacing w:after="0" w:line="240" w:lineRule="auto"/>
      <w:jc w:val="both"/>
    </w:pPr>
    <w:rPr>
      <w:rFonts w:ascii="Times New Roman" w:eastAsia="SimSu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20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wmf"/><Relationship Id="rId21" Type="http://schemas.openxmlformats.org/officeDocument/2006/relationships/oleObject" Target="embeddings/oleObject9.bin"/><Relationship Id="rId42" Type="http://schemas.openxmlformats.org/officeDocument/2006/relationships/image" Target="media/image20.wmf"/><Relationship Id="rId47" Type="http://schemas.openxmlformats.org/officeDocument/2006/relationships/oleObject" Target="embeddings/oleObject22.bin"/><Relationship Id="rId63" Type="http://schemas.openxmlformats.org/officeDocument/2006/relationships/image" Target="media/image30.wmf"/><Relationship Id="rId68" Type="http://schemas.openxmlformats.org/officeDocument/2006/relationships/oleObject" Target="embeddings/oleObject33.bin"/><Relationship Id="rId16" Type="http://schemas.openxmlformats.org/officeDocument/2006/relationships/image" Target="media/image7.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7.bin"/><Relationship Id="rId40" Type="http://schemas.openxmlformats.org/officeDocument/2006/relationships/image" Target="media/image19.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oleObject" Target="embeddings/oleObject36.bin"/><Relationship Id="rId5" Type="http://schemas.openxmlformats.org/officeDocument/2006/relationships/oleObject" Target="embeddings/oleObject1.bin"/><Relationship Id="rId61" Type="http://schemas.openxmlformats.org/officeDocument/2006/relationships/image" Target="media/image29.wmf"/><Relationship Id="rId19" Type="http://schemas.openxmlformats.org/officeDocument/2006/relationships/oleObject" Target="embeddings/oleObject8.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3.wmf"/><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image" Target="media/image33.wmf"/><Relationship Id="rId77" Type="http://schemas.openxmlformats.org/officeDocument/2006/relationships/fontTable" Target="fontTable.xml"/><Relationship Id="rId8" Type="http://schemas.openxmlformats.org/officeDocument/2006/relationships/image" Target="media/image3.wmf"/><Relationship Id="rId51" Type="http://schemas.openxmlformats.org/officeDocument/2006/relationships/oleObject" Target="embeddings/oleObject24.bin"/><Relationship Id="rId72" Type="http://schemas.openxmlformats.org/officeDocument/2006/relationships/oleObject" Target="embeddings/oleObject35.bin"/><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28.wmf"/><Relationship Id="rId67" Type="http://schemas.openxmlformats.org/officeDocument/2006/relationships/image" Target="media/image32.wmf"/><Relationship Id="rId20" Type="http://schemas.openxmlformats.org/officeDocument/2006/relationships/image" Target="media/image9.wmf"/><Relationship Id="rId41" Type="http://schemas.openxmlformats.org/officeDocument/2006/relationships/oleObject" Target="embeddings/oleObject19.bin"/><Relationship Id="rId54" Type="http://schemas.openxmlformats.org/officeDocument/2006/relationships/image" Target="media/image26.wmf"/><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image" Target="media/image36.wmf"/><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3.bin"/><Relationship Id="rId57" Type="http://schemas.openxmlformats.org/officeDocument/2006/relationships/image" Target="media/image27.wmf"/><Relationship Id="rId10" Type="http://schemas.openxmlformats.org/officeDocument/2006/relationships/image" Target="media/image4.wmf"/><Relationship Id="rId31" Type="http://schemas.openxmlformats.org/officeDocument/2006/relationships/oleObject" Target="embeddings/oleObject14.bin"/><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oleObject" Target="embeddings/oleObject29.bin"/><Relationship Id="rId65" Type="http://schemas.openxmlformats.org/officeDocument/2006/relationships/image" Target="media/image31.wmf"/><Relationship Id="rId73" Type="http://schemas.openxmlformats.org/officeDocument/2006/relationships/image" Target="media/image35.wmf"/><Relationship Id="rId78"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oleObject" Target="embeddings/oleObject3.bin"/><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oleObject" Target="embeddings/oleObject18.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6.bin"/><Relationship Id="rId76" Type="http://schemas.openxmlformats.org/officeDocument/2006/relationships/oleObject" Target="embeddings/oleObject37.bin"/><Relationship Id="rId7" Type="http://schemas.openxmlformats.org/officeDocument/2006/relationships/oleObject" Target="embeddings/oleObject2.bin"/><Relationship Id="rId71" Type="http://schemas.openxmlformats.org/officeDocument/2006/relationships/image" Target="media/image34.wmf"/><Relationship Id="rId2" Type="http://schemas.openxmlformats.org/officeDocument/2006/relationships/settings" Target="settings.xml"/><Relationship Id="rId29"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995</Words>
  <Characters>5674</Characters>
  <Application>Microsoft Office Word</Application>
  <DocSecurity>0</DocSecurity>
  <Lines>47</Lines>
  <Paragraphs>13</Paragraphs>
  <ScaleCrop>false</ScaleCrop>
  <Company>Springer Nature</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2023-02-27T10:48:00Z</dcterms:created>
  <dcterms:modified xsi:type="dcterms:W3CDTF">2023-02-27T10:49:00Z</dcterms:modified>
</cp:coreProperties>
</file>