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A22CA" w14:textId="7B3369F6" w:rsidR="003C6C06" w:rsidRPr="003C6C06" w:rsidRDefault="003C6C06" w:rsidP="003C6C06">
      <w:pPr>
        <w:spacing w:before="240" w:after="240"/>
        <w:jc w:val="both"/>
        <w:rPr>
          <w:rFonts w:ascii="Georgia" w:eastAsia="Georgia" w:hAnsi="Georgia" w:cs="Georgia"/>
          <w:b/>
          <w:sz w:val="24"/>
          <w:szCs w:val="24"/>
        </w:rPr>
      </w:pPr>
      <w:r w:rsidRPr="003C6C06">
        <w:rPr>
          <w:rFonts w:ascii="Georgia" w:eastAsia="Georgia" w:hAnsi="Georgia" w:cs="Georgia"/>
          <w:b/>
          <w:sz w:val="24"/>
          <w:szCs w:val="24"/>
        </w:rPr>
        <w:t>Supplementary text 1</w:t>
      </w:r>
    </w:p>
    <w:p w14:paraId="10EE8CB3" w14:textId="0E87512A" w:rsidR="003C6C06" w:rsidRPr="003C6C06" w:rsidRDefault="00603B2D" w:rsidP="001F6372">
      <w:pPr>
        <w:spacing w:before="240" w:after="240"/>
        <w:jc w:val="both"/>
        <w:rPr>
          <w:rFonts w:ascii="Georgia" w:eastAsia="Georgia" w:hAnsi="Georgia" w:cs="Georgia"/>
          <w:bCs/>
          <w:sz w:val="24"/>
          <w:szCs w:val="24"/>
          <w:lang w:val="en-US"/>
        </w:rPr>
      </w:pPr>
      <w:r w:rsidRPr="00603B2D">
        <w:rPr>
          <w:rFonts w:ascii="Georgia" w:eastAsia="Georgia" w:hAnsi="Georgia" w:cs="Georgia"/>
          <w:bCs/>
          <w:sz w:val="24"/>
          <w:szCs w:val="24"/>
        </w:rPr>
        <w:t>The networks were constructed based on the following sources (</w:t>
      </w:r>
      <w:proofErr w:type="spellStart"/>
      <w:r w:rsidR="00246064" w:rsidRPr="00E522A3">
        <w:rPr>
          <w:rFonts w:ascii="Georgia" w:hAnsi="Georgia"/>
          <w:sz w:val="24"/>
          <w:szCs w:val="24"/>
          <w:lang w:val="en-US"/>
        </w:rPr>
        <w:t>Zellentin</w:t>
      </w:r>
      <w:proofErr w:type="spellEnd"/>
      <w:r w:rsidR="00246064" w:rsidRPr="00E522A3">
        <w:rPr>
          <w:rFonts w:ascii="Georgia" w:hAnsi="Georgia"/>
          <w:b/>
          <w:bCs/>
          <w:sz w:val="24"/>
          <w:szCs w:val="24"/>
        </w:rPr>
        <w:t xml:space="preserve"> </w:t>
      </w:r>
      <w:r>
        <w:rPr>
          <w:rFonts w:ascii="Georgia" w:eastAsia="Georgia" w:hAnsi="Georgia" w:cs="Georgia"/>
          <w:sz w:val="24"/>
          <w:szCs w:val="24"/>
        </w:rPr>
        <w:t>20</w:t>
      </w:r>
      <w:r w:rsidR="00246064">
        <w:rPr>
          <w:rFonts w:ascii="Georgia" w:eastAsia="Georgia" w:hAnsi="Georgia" w:cs="Georgia"/>
          <w:sz w:val="24"/>
          <w:szCs w:val="24"/>
        </w:rPr>
        <w:t>11</w:t>
      </w:r>
      <w:r>
        <w:rPr>
          <w:rFonts w:ascii="Georgia" w:eastAsia="Georgia" w:hAnsi="Georgia" w:cs="Georgia"/>
          <w:sz w:val="24"/>
          <w:szCs w:val="24"/>
        </w:rPr>
        <w:t xml:space="preserve">, pp. </w:t>
      </w:r>
      <w:r w:rsidRPr="00603B2D">
        <w:rPr>
          <w:rFonts w:ascii="Georgia" w:eastAsia="Georgia" w:hAnsi="Georgia" w:cs="Georgia"/>
          <w:sz w:val="24"/>
          <w:szCs w:val="24"/>
          <w:lang w:val="en-US"/>
        </w:rPr>
        <w:t>137–166</w:t>
      </w:r>
      <w:r>
        <w:rPr>
          <w:rFonts w:ascii="Georgia" w:eastAsia="Georgia" w:hAnsi="Georgia" w:cs="Georgia"/>
          <w:sz w:val="24"/>
          <w:szCs w:val="24"/>
          <w:lang w:val="en-US"/>
        </w:rPr>
        <w:t>;</w:t>
      </w:r>
      <w:r w:rsidR="001F6372" w:rsidRPr="001F6372">
        <w:rPr>
          <w:rFonts w:ascii="Georgia" w:eastAsia="Georgia" w:hAnsi="Georgia" w:cs="Georgia"/>
          <w:sz w:val="24"/>
          <w:szCs w:val="24"/>
          <w:lang w:val="en-US"/>
        </w:rPr>
        <w:t xml:space="preserve"> </w:t>
      </w:r>
      <w:proofErr w:type="spellStart"/>
      <w:r w:rsidR="001F6372" w:rsidRPr="00E522A3">
        <w:rPr>
          <w:rFonts w:ascii="Georgia" w:eastAsia="Georgia" w:hAnsi="Georgia" w:cs="Georgia"/>
          <w:sz w:val="24"/>
          <w:szCs w:val="24"/>
          <w:lang w:val="en-US"/>
        </w:rPr>
        <w:t>Teppler</w:t>
      </w:r>
      <w:proofErr w:type="spellEnd"/>
      <w:r w:rsidR="001F6372">
        <w:rPr>
          <w:rFonts w:ascii="Georgia" w:eastAsia="Georgia" w:hAnsi="Georgia" w:cs="Georgia"/>
          <w:sz w:val="24"/>
          <w:szCs w:val="24"/>
          <w:lang w:val="en-US"/>
        </w:rPr>
        <w:t xml:space="preserve"> 2007, pp. </w:t>
      </w:r>
      <w:r w:rsidR="001F6372" w:rsidRPr="001F6372">
        <w:rPr>
          <w:rFonts w:ascii="Georgia" w:eastAsia="Georgia" w:hAnsi="Georgia" w:cs="Georgia"/>
          <w:sz w:val="24"/>
          <w:szCs w:val="24"/>
          <w:lang w:val="en-US"/>
        </w:rPr>
        <w:t>250– 277</w:t>
      </w:r>
      <w:r w:rsidR="001F6372">
        <w:rPr>
          <w:rFonts w:ascii="Georgia" w:eastAsia="Georgia" w:hAnsi="Georgia" w:cs="Georgia"/>
          <w:sz w:val="24"/>
          <w:szCs w:val="24"/>
          <w:lang w:val="en-US"/>
        </w:rPr>
        <w:t>;</w:t>
      </w:r>
      <w:r w:rsidRPr="00603B2D">
        <w:rPr>
          <w:rFonts w:ascii="Georgia" w:eastAsia="Georgia" w:hAnsi="Georgia" w:cs="Georgia"/>
          <w:sz w:val="24"/>
          <w:szCs w:val="24"/>
        </w:rPr>
        <w:t xml:space="preserve"> </w:t>
      </w:r>
      <w:r w:rsidR="003C6C06" w:rsidRPr="003C6C06">
        <w:rPr>
          <w:rFonts w:ascii="Georgia" w:eastAsia="Georgia" w:hAnsi="Georgia" w:cs="Georgia"/>
          <w:sz w:val="24"/>
          <w:szCs w:val="24"/>
        </w:rPr>
        <w:t>Bar-Asher Siegal 2013; 2019</w:t>
      </w:r>
      <w:r w:rsidR="003C6C06" w:rsidRPr="003C6C06">
        <w:rPr>
          <w:rFonts w:ascii="Georgia" w:eastAsia="Georgia" w:hAnsi="Georgia" w:cs="Georgia"/>
          <w:bCs/>
          <w:sz w:val="24"/>
          <w:szCs w:val="24"/>
        </w:rPr>
        <w:t>). Below we elaborate on each of the nodes in the network</w:t>
      </w:r>
      <w:r w:rsidR="003C6C06">
        <w:rPr>
          <w:rFonts w:ascii="Georgia" w:eastAsia="Georgia" w:hAnsi="Georgia" w:cs="Georgia"/>
          <w:bCs/>
          <w:sz w:val="24"/>
          <w:szCs w:val="24"/>
        </w:rPr>
        <w:t>s.</w:t>
      </w:r>
    </w:p>
    <w:p w14:paraId="00000002" w14:textId="17FE46CB" w:rsidR="00455645" w:rsidRPr="003C6C06" w:rsidRDefault="00266741" w:rsidP="003C6C06">
      <w:pPr>
        <w:spacing w:before="240" w:after="240"/>
        <w:jc w:val="both"/>
        <w:rPr>
          <w:rFonts w:ascii="Georgia" w:eastAsia="Georgia" w:hAnsi="Georgia" w:cs="Georgia"/>
          <w:b/>
          <w:sz w:val="24"/>
          <w:szCs w:val="24"/>
        </w:rPr>
      </w:pPr>
      <w:r w:rsidRPr="003C6C06">
        <w:rPr>
          <w:rFonts w:ascii="Georgia" w:eastAsia="Georgia" w:hAnsi="Georgia" w:cs="Georgia"/>
          <w:b/>
          <w:sz w:val="24"/>
          <w:szCs w:val="24"/>
        </w:rPr>
        <w:t>The Hullin Network:</w:t>
      </w:r>
    </w:p>
    <w:p w14:paraId="00000003"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The hub created by this network is the </w:t>
      </w:r>
      <w:proofErr w:type="spellStart"/>
      <w:r w:rsidRPr="003C6C06">
        <w:rPr>
          <w:rFonts w:ascii="Georgia" w:eastAsia="Georgia" w:hAnsi="Georgia" w:cs="Georgia"/>
          <w:sz w:val="24"/>
          <w:szCs w:val="24"/>
        </w:rPr>
        <w:t>talmudic</w:t>
      </w:r>
      <w:proofErr w:type="spellEnd"/>
      <w:r w:rsidRPr="003C6C06">
        <w:rPr>
          <w:rFonts w:ascii="Georgia" w:eastAsia="Georgia" w:hAnsi="Georgia" w:cs="Georgia"/>
          <w:sz w:val="24"/>
          <w:szCs w:val="24"/>
        </w:rPr>
        <w:t xml:space="preserve"> passage in BT tractate Hullin 87a, and we connected it to Christian passages that contain traditions attested in the </w:t>
      </w:r>
      <w:proofErr w:type="spellStart"/>
      <w:r w:rsidRPr="003C6C06">
        <w:rPr>
          <w:rFonts w:ascii="Georgia" w:eastAsia="Georgia" w:hAnsi="Georgia" w:cs="Georgia"/>
          <w:sz w:val="24"/>
          <w:szCs w:val="24"/>
        </w:rPr>
        <w:t>talmudic</w:t>
      </w:r>
      <w:proofErr w:type="spellEnd"/>
      <w:r w:rsidRPr="003C6C06">
        <w:rPr>
          <w:rFonts w:ascii="Georgia" w:eastAsia="Georgia" w:hAnsi="Georgia" w:cs="Georgia"/>
          <w:sz w:val="24"/>
          <w:szCs w:val="24"/>
        </w:rPr>
        <w:t xml:space="preserve"> text.</w:t>
      </w:r>
    </w:p>
    <w:p w14:paraId="00000004" w14:textId="393AF285" w:rsidR="00455645" w:rsidRPr="003C6C06" w:rsidRDefault="00266741" w:rsidP="003C6C06">
      <w:pPr>
        <w:jc w:val="both"/>
        <w:rPr>
          <w:rFonts w:ascii="Georgia" w:eastAsia="Georgia" w:hAnsi="Georgia" w:cs="Georgia"/>
          <w:sz w:val="24"/>
          <w:szCs w:val="24"/>
        </w:rPr>
      </w:pPr>
      <w:r w:rsidRPr="003C6C06">
        <w:rPr>
          <w:rFonts w:ascii="Georgia" w:eastAsia="Georgia" w:hAnsi="Georgia" w:cs="Georgia"/>
          <w:sz w:val="24"/>
          <w:szCs w:val="24"/>
        </w:rPr>
        <w:t xml:space="preserve">The early edges show connections between </w:t>
      </w:r>
      <w:proofErr w:type="spellStart"/>
      <w:r w:rsidRPr="003C6C06">
        <w:rPr>
          <w:rFonts w:ascii="Georgia" w:eastAsia="Georgia" w:hAnsi="Georgia" w:cs="Georgia"/>
          <w:sz w:val="24"/>
          <w:szCs w:val="24"/>
        </w:rPr>
        <w:t>talmudic</w:t>
      </w:r>
      <w:proofErr w:type="spellEnd"/>
      <w:r w:rsidRPr="003C6C06">
        <w:rPr>
          <w:rFonts w:ascii="Georgia" w:eastAsia="Georgia" w:hAnsi="Georgia" w:cs="Georgia"/>
          <w:sz w:val="24"/>
          <w:szCs w:val="24"/>
        </w:rPr>
        <w:t xml:space="preserve"> </w:t>
      </w:r>
      <w:proofErr w:type="gramStart"/>
      <w:r w:rsidRPr="003C6C06">
        <w:rPr>
          <w:rFonts w:ascii="Georgia" w:eastAsia="Georgia" w:hAnsi="Georgia" w:cs="Georgia"/>
          <w:sz w:val="24"/>
          <w:szCs w:val="24"/>
        </w:rPr>
        <w:t>traditions</w:t>
      </w:r>
      <w:proofErr w:type="gramEnd"/>
      <w:r w:rsidRPr="003C6C06">
        <w:rPr>
          <w:rFonts w:ascii="Georgia" w:eastAsia="Georgia" w:hAnsi="Georgia" w:cs="Georgia"/>
          <w:sz w:val="24"/>
          <w:szCs w:val="24"/>
        </w:rPr>
        <w:t xml:space="preserve"> and the same traditions known from the New Testament. </w:t>
      </w:r>
    </w:p>
    <w:p w14:paraId="00000005" w14:textId="77777777" w:rsidR="00455645" w:rsidRPr="003C6C06" w:rsidRDefault="00455645" w:rsidP="003C6C06">
      <w:pPr>
        <w:jc w:val="both"/>
        <w:rPr>
          <w:rFonts w:ascii="Georgia" w:eastAsia="Georgia" w:hAnsi="Georgia" w:cs="Georgia"/>
          <w:sz w:val="24"/>
          <w:szCs w:val="24"/>
        </w:rPr>
      </w:pPr>
    </w:p>
    <w:p w14:paraId="00000006" w14:textId="3E8FEC59" w:rsidR="00455645" w:rsidRPr="003C6C06" w:rsidRDefault="00266741" w:rsidP="003C6C06">
      <w:pPr>
        <w:jc w:val="both"/>
        <w:rPr>
          <w:rFonts w:ascii="Georgia" w:eastAsia="Georgia" w:hAnsi="Georgia" w:cs="Georgia"/>
          <w:sz w:val="24"/>
          <w:szCs w:val="24"/>
        </w:rPr>
      </w:pPr>
      <w:r w:rsidRPr="003C6C06">
        <w:rPr>
          <w:rFonts w:ascii="Georgia" w:eastAsia="Georgia" w:hAnsi="Georgia" w:cs="Georgia"/>
          <w:sz w:val="24"/>
          <w:szCs w:val="24"/>
        </w:rPr>
        <w:t>The Matthew-Hullin edge and the Luke-Hullin edge, both represent a shared tradition about Jesus’ proclaiming his return after three days. It is found in the New Testament in Matthew 27 and in Luke 24. The Talmudic story in Hullin uses this tradition in its story about an argument between a heretic and a rabbi</w:t>
      </w:r>
      <w:r w:rsidR="00935752">
        <w:rPr>
          <w:rFonts w:ascii="Georgia" w:eastAsia="Georgia" w:hAnsi="Georgia" w:cs="Georgia"/>
          <w:sz w:val="24"/>
          <w:szCs w:val="24"/>
        </w:rPr>
        <w:t xml:space="preserve"> (</w:t>
      </w:r>
      <w:r w:rsidR="00935752" w:rsidRPr="009421D9">
        <w:rPr>
          <w:rFonts w:ascii="Georgia" w:eastAsia="Georgia" w:hAnsi="Georgia" w:cs="Georgia"/>
          <w:b/>
          <w:bCs/>
          <w:sz w:val="24"/>
          <w:szCs w:val="24"/>
        </w:rPr>
        <w:t>Medium certainty</w:t>
      </w:r>
      <w:r w:rsidR="00935752">
        <w:rPr>
          <w:rFonts w:ascii="Georgia" w:eastAsia="Georgia" w:hAnsi="Georgia" w:cs="Georgia"/>
          <w:sz w:val="24"/>
          <w:szCs w:val="24"/>
        </w:rPr>
        <w:t>)</w:t>
      </w:r>
      <w:r w:rsidRPr="003C6C06">
        <w:rPr>
          <w:rFonts w:ascii="Georgia" w:eastAsia="Georgia" w:hAnsi="Georgia" w:cs="Georgia"/>
          <w:sz w:val="24"/>
          <w:szCs w:val="24"/>
        </w:rPr>
        <w:t>.</w:t>
      </w:r>
    </w:p>
    <w:p w14:paraId="00000007" w14:textId="77777777" w:rsidR="00455645" w:rsidRPr="003C6C06" w:rsidRDefault="00455645" w:rsidP="003C6C06">
      <w:pPr>
        <w:jc w:val="both"/>
        <w:rPr>
          <w:rFonts w:ascii="Georgia" w:eastAsia="Georgia" w:hAnsi="Georgia" w:cs="Georgia"/>
          <w:sz w:val="24"/>
          <w:szCs w:val="24"/>
        </w:rPr>
      </w:pPr>
    </w:p>
    <w:p w14:paraId="00000008" w14:textId="127E0D7A" w:rsidR="00455645" w:rsidRPr="003C6C06" w:rsidRDefault="00266741" w:rsidP="003C6C06">
      <w:pPr>
        <w:jc w:val="both"/>
        <w:rPr>
          <w:rFonts w:ascii="Georgia" w:eastAsia="Georgia" w:hAnsi="Georgia" w:cs="Georgia"/>
          <w:sz w:val="24"/>
          <w:szCs w:val="24"/>
        </w:rPr>
      </w:pPr>
      <w:r w:rsidRPr="003C6C06">
        <w:rPr>
          <w:rFonts w:ascii="Georgia" w:eastAsia="Georgia" w:hAnsi="Georgia" w:cs="Georgia"/>
          <w:sz w:val="24"/>
          <w:szCs w:val="24"/>
        </w:rPr>
        <w:t xml:space="preserve">Another edge, John-Hullin represents a shared tradition known from sources such as John 19: according to this literary tradition, Jesus used the verse in Psalms 69:22 in his last moments on the cross. The </w:t>
      </w:r>
      <w:proofErr w:type="spellStart"/>
      <w:r w:rsidRPr="003C6C06">
        <w:rPr>
          <w:rFonts w:ascii="Georgia" w:eastAsia="Georgia" w:hAnsi="Georgia" w:cs="Georgia"/>
          <w:sz w:val="24"/>
          <w:szCs w:val="24"/>
        </w:rPr>
        <w:t>talmudic</w:t>
      </w:r>
      <w:proofErr w:type="spellEnd"/>
      <w:r w:rsidRPr="003C6C06">
        <w:rPr>
          <w:rFonts w:ascii="Georgia" w:eastAsia="Georgia" w:hAnsi="Georgia" w:cs="Georgia"/>
          <w:sz w:val="24"/>
          <w:szCs w:val="24"/>
        </w:rPr>
        <w:t xml:space="preserve"> story is aware of this central tradition and mocks it</w:t>
      </w:r>
      <w:r w:rsidR="00935752">
        <w:rPr>
          <w:rFonts w:ascii="Georgia" w:eastAsia="Georgia" w:hAnsi="Georgia" w:cs="Georgia"/>
          <w:sz w:val="24"/>
          <w:szCs w:val="24"/>
        </w:rPr>
        <w:t xml:space="preserve"> </w:t>
      </w:r>
      <w:r w:rsidR="00935752">
        <w:rPr>
          <w:rFonts w:ascii="Georgia" w:eastAsia="Georgia" w:hAnsi="Georgia" w:cs="Georgia"/>
          <w:sz w:val="24"/>
          <w:szCs w:val="24"/>
        </w:rPr>
        <w:t>(</w:t>
      </w:r>
      <w:r w:rsidR="00935752" w:rsidRPr="009421D9">
        <w:rPr>
          <w:rFonts w:ascii="Georgia" w:eastAsia="Georgia" w:hAnsi="Georgia" w:cs="Georgia"/>
          <w:b/>
          <w:bCs/>
          <w:sz w:val="24"/>
          <w:szCs w:val="24"/>
        </w:rPr>
        <w:t>Medium certainty</w:t>
      </w:r>
      <w:r w:rsidR="00935752">
        <w:rPr>
          <w:rFonts w:ascii="Georgia" w:eastAsia="Georgia" w:hAnsi="Georgia" w:cs="Georgia"/>
          <w:sz w:val="24"/>
          <w:szCs w:val="24"/>
        </w:rPr>
        <w:t>)</w:t>
      </w:r>
      <w:r w:rsidR="00935752" w:rsidRPr="003C6C06">
        <w:rPr>
          <w:rFonts w:ascii="Georgia" w:eastAsia="Georgia" w:hAnsi="Georgia" w:cs="Georgia"/>
          <w:sz w:val="24"/>
          <w:szCs w:val="24"/>
        </w:rPr>
        <w:t>.</w:t>
      </w:r>
      <w:r w:rsidRPr="003C6C06">
        <w:rPr>
          <w:rFonts w:ascii="Georgia" w:eastAsia="Georgia" w:hAnsi="Georgia" w:cs="Georgia"/>
          <w:sz w:val="24"/>
          <w:szCs w:val="24"/>
        </w:rPr>
        <w:t xml:space="preserve"> </w:t>
      </w:r>
    </w:p>
    <w:p w14:paraId="00000009" w14:textId="77777777" w:rsidR="00455645" w:rsidRPr="003C6C06" w:rsidRDefault="00455645" w:rsidP="003C6C06">
      <w:pPr>
        <w:jc w:val="both"/>
        <w:rPr>
          <w:rFonts w:ascii="Georgia" w:eastAsia="Georgia" w:hAnsi="Georgia" w:cs="Georgia"/>
          <w:sz w:val="24"/>
          <w:szCs w:val="24"/>
        </w:rPr>
      </w:pPr>
    </w:p>
    <w:p w14:paraId="0000000A" w14:textId="6AC46BA9" w:rsidR="00455645" w:rsidRPr="003C6C06" w:rsidRDefault="00266741" w:rsidP="003C6C06">
      <w:pPr>
        <w:jc w:val="both"/>
        <w:rPr>
          <w:rFonts w:ascii="Georgia" w:eastAsia="Georgia" w:hAnsi="Georgia" w:cs="Georgia"/>
          <w:sz w:val="24"/>
          <w:szCs w:val="24"/>
        </w:rPr>
      </w:pPr>
      <w:r w:rsidRPr="003C6C06">
        <w:rPr>
          <w:rFonts w:ascii="Georgia" w:eastAsia="Georgia" w:hAnsi="Georgia" w:cs="Georgia"/>
          <w:sz w:val="24"/>
          <w:szCs w:val="24"/>
        </w:rPr>
        <w:t>The Revelation-Hullin edge uses a shared literary tradition as well: the use of the biblical Song of Songs metaphor of “standing at the door” to express the coming of the Messiah</w:t>
      </w:r>
      <w:r w:rsidR="00935752">
        <w:rPr>
          <w:rFonts w:ascii="Georgia" w:eastAsia="Georgia" w:hAnsi="Georgia" w:cs="Georgia"/>
          <w:sz w:val="24"/>
          <w:szCs w:val="24"/>
        </w:rPr>
        <w:t xml:space="preserve"> </w:t>
      </w:r>
      <w:r w:rsidR="00935752">
        <w:rPr>
          <w:rFonts w:ascii="Georgia" w:eastAsia="Georgia" w:hAnsi="Georgia" w:cs="Georgia"/>
          <w:sz w:val="24"/>
          <w:szCs w:val="24"/>
        </w:rPr>
        <w:t>(</w:t>
      </w:r>
      <w:r w:rsidR="00935752" w:rsidRPr="009421D9">
        <w:rPr>
          <w:rFonts w:ascii="Georgia" w:eastAsia="Georgia" w:hAnsi="Georgia" w:cs="Georgia"/>
          <w:b/>
          <w:bCs/>
          <w:sz w:val="24"/>
          <w:szCs w:val="24"/>
        </w:rPr>
        <w:t>Medium certainty</w:t>
      </w:r>
      <w:r w:rsidR="00935752">
        <w:rPr>
          <w:rFonts w:ascii="Georgia" w:eastAsia="Georgia" w:hAnsi="Georgia" w:cs="Georgia"/>
          <w:sz w:val="24"/>
          <w:szCs w:val="24"/>
        </w:rPr>
        <w:t>)</w:t>
      </w:r>
      <w:r w:rsidR="00935752" w:rsidRPr="003C6C06">
        <w:rPr>
          <w:rFonts w:ascii="Georgia" w:eastAsia="Georgia" w:hAnsi="Georgia" w:cs="Georgia"/>
          <w:sz w:val="24"/>
          <w:szCs w:val="24"/>
        </w:rPr>
        <w:t>.</w:t>
      </w:r>
      <w:r w:rsidRPr="003C6C06">
        <w:rPr>
          <w:rFonts w:ascii="Georgia" w:eastAsia="Georgia" w:hAnsi="Georgia" w:cs="Georgia"/>
          <w:sz w:val="24"/>
          <w:szCs w:val="24"/>
        </w:rPr>
        <w:t xml:space="preserve"> </w:t>
      </w:r>
    </w:p>
    <w:p w14:paraId="0000000B" w14:textId="77777777" w:rsidR="00455645" w:rsidRPr="003C6C06" w:rsidRDefault="00455645" w:rsidP="003C6C06">
      <w:pPr>
        <w:jc w:val="both"/>
        <w:rPr>
          <w:rFonts w:ascii="Georgia" w:eastAsia="Georgia" w:hAnsi="Georgia" w:cs="Georgia"/>
          <w:sz w:val="24"/>
          <w:szCs w:val="24"/>
        </w:rPr>
      </w:pPr>
    </w:p>
    <w:p w14:paraId="0000000C" w14:textId="77777777" w:rsidR="00455645" w:rsidRPr="003C6C06" w:rsidRDefault="00266741" w:rsidP="003C6C06">
      <w:pPr>
        <w:jc w:val="both"/>
        <w:rPr>
          <w:rFonts w:ascii="Georgia" w:eastAsia="Georgia" w:hAnsi="Georgia" w:cs="Georgia"/>
          <w:sz w:val="24"/>
          <w:szCs w:val="24"/>
        </w:rPr>
      </w:pPr>
      <w:r w:rsidRPr="003C6C06">
        <w:rPr>
          <w:rFonts w:ascii="Georgia" w:eastAsia="Georgia" w:hAnsi="Georgia" w:cs="Georgia"/>
          <w:sz w:val="24"/>
          <w:szCs w:val="24"/>
        </w:rPr>
        <w:t xml:space="preserve">Note that these New Testament traditions could have been known to the rabbinic authors from multiple later sources. The edges do </w:t>
      </w:r>
      <w:r w:rsidRPr="003C6C06">
        <w:rPr>
          <w:rFonts w:ascii="Georgia" w:eastAsia="Georgia" w:hAnsi="Georgia" w:cs="Georgia"/>
          <w:i/>
          <w:sz w:val="24"/>
          <w:szCs w:val="24"/>
        </w:rPr>
        <w:t xml:space="preserve">not </w:t>
      </w:r>
      <w:r w:rsidRPr="003C6C06">
        <w:rPr>
          <w:rFonts w:ascii="Georgia" w:eastAsia="Georgia" w:hAnsi="Georgia" w:cs="Georgia"/>
          <w:sz w:val="24"/>
          <w:szCs w:val="24"/>
        </w:rPr>
        <w:t xml:space="preserve">depict from </w:t>
      </w:r>
      <w:r w:rsidRPr="003C6C06">
        <w:rPr>
          <w:rFonts w:ascii="Georgia" w:eastAsia="Georgia" w:hAnsi="Georgia" w:cs="Georgia"/>
          <w:i/>
          <w:sz w:val="24"/>
          <w:szCs w:val="24"/>
        </w:rPr>
        <w:t xml:space="preserve">where </w:t>
      </w:r>
      <w:r w:rsidRPr="003C6C06">
        <w:rPr>
          <w:rFonts w:ascii="Georgia" w:eastAsia="Georgia" w:hAnsi="Georgia" w:cs="Georgia"/>
          <w:sz w:val="24"/>
          <w:szCs w:val="24"/>
        </w:rPr>
        <w:t xml:space="preserve">the traditions were taken, but rather shared knowledge. This shared knowledge testifies to literary connections between the religious communities that produced these texts. </w:t>
      </w:r>
    </w:p>
    <w:p w14:paraId="0000000D" w14:textId="77777777" w:rsidR="00455645" w:rsidRPr="003C6C06" w:rsidRDefault="00455645" w:rsidP="003C6C06">
      <w:pPr>
        <w:jc w:val="both"/>
        <w:rPr>
          <w:rFonts w:ascii="Georgia" w:eastAsia="Georgia" w:hAnsi="Georgia" w:cs="Georgia"/>
          <w:sz w:val="24"/>
          <w:szCs w:val="24"/>
        </w:rPr>
      </w:pPr>
    </w:p>
    <w:p w14:paraId="0000000E" w14:textId="131FDF1A" w:rsidR="00455645" w:rsidRPr="003C6C06" w:rsidRDefault="00266741" w:rsidP="003C6C06">
      <w:pPr>
        <w:jc w:val="both"/>
        <w:rPr>
          <w:rFonts w:ascii="Georgia" w:eastAsia="Georgia" w:hAnsi="Georgia" w:cs="Georgia"/>
          <w:sz w:val="24"/>
          <w:szCs w:val="24"/>
        </w:rPr>
      </w:pPr>
      <w:r w:rsidRPr="003C6C06">
        <w:rPr>
          <w:rFonts w:ascii="Georgia" w:eastAsia="Georgia" w:hAnsi="Georgia" w:cs="Georgia"/>
          <w:sz w:val="24"/>
          <w:szCs w:val="24"/>
        </w:rPr>
        <w:t xml:space="preserve">The fasting-Hullin edge represents a rabbinic knowledge of a religious praxis: fasting before Easter, known from Christian texts such as the second century writer Irenaeus (preserved in Eusebius’ </w:t>
      </w:r>
      <w:r w:rsidRPr="003C6C06">
        <w:rPr>
          <w:rFonts w:ascii="Georgia" w:eastAsia="Georgia" w:hAnsi="Georgia" w:cs="Georgia"/>
          <w:i/>
          <w:sz w:val="24"/>
          <w:szCs w:val="24"/>
        </w:rPr>
        <w:t>Church History</w:t>
      </w:r>
      <w:r w:rsidRPr="003C6C06">
        <w:rPr>
          <w:rFonts w:ascii="Georgia" w:eastAsia="Georgia" w:hAnsi="Georgia" w:cs="Georgia"/>
          <w:sz w:val="24"/>
          <w:szCs w:val="24"/>
        </w:rPr>
        <w:t xml:space="preserve"> 5.24.12). The Hullin story uses this knowledge mockingly, testifying to its familiarity with this tradition</w:t>
      </w:r>
      <w:r w:rsidR="00935752">
        <w:rPr>
          <w:rFonts w:ascii="Georgia" w:eastAsia="Georgia" w:hAnsi="Georgia" w:cs="Georgia"/>
          <w:sz w:val="24"/>
          <w:szCs w:val="24"/>
        </w:rPr>
        <w:t xml:space="preserve"> </w:t>
      </w:r>
      <w:r w:rsidR="00935752">
        <w:rPr>
          <w:rFonts w:ascii="Georgia" w:eastAsia="Georgia" w:hAnsi="Georgia" w:cs="Georgia"/>
          <w:sz w:val="24"/>
          <w:szCs w:val="24"/>
        </w:rPr>
        <w:t>(</w:t>
      </w:r>
      <w:r w:rsidR="00935752" w:rsidRPr="009421D9">
        <w:rPr>
          <w:rFonts w:ascii="Georgia" w:eastAsia="Georgia" w:hAnsi="Georgia" w:cs="Georgia"/>
          <w:b/>
          <w:bCs/>
          <w:sz w:val="24"/>
          <w:szCs w:val="24"/>
        </w:rPr>
        <w:t>Low</w:t>
      </w:r>
      <w:r w:rsidR="00935752" w:rsidRPr="009421D9">
        <w:rPr>
          <w:rFonts w:ascii="Georgia" w:eastAsia="Georgia" w:hAnsi="Georgia" w:cs="Georgia"/>
          <w:b/>
          <w:bCs/>
          <w:sz w:val="24"/>
          <w:szCs w:val="24"/>
        </w:rPr>
        <w:t xml:space="preserve"> certainty</w:t>
      </w:r>
      <w:r w:rsidR="00935752">
        <w:rPr>
          <w:rFonts w:ascii="Georgia" w:eastAsia="Georgia" w:hAnsi="Georgia" w:cs="Georgia"/>
          <w:sz w:val="24"/>
          <w:szCs w:val="24"/>
        </w:rPr>
        <w:t>)</w:t>
      </w:r>
      <w:r w:rsidR="00935752" w:rsidRPr="003C6C06">
        <w:rPr>
          <w:rFonts w:ascii="Georgia" w:eastAsia="Georgia" w:hAnsi="Georgia" w:cs="Georgia"/>
          <w:sz w:val="24"/>
          <w:szCs w:val="24"/>
        </w:rPr>
        <w:t>.</w:t>
      </w:r>
      <w:r w:rsidRPr="003C6C06">
        <w:rPr>
          <w:rFonts w:ascii="Georgia" w:eastAsia="Georgia" w:hAnsi="Georgia" w:cs="Georgia"/>
          <w:sz w:val="24"/>
          <w:szCs w:val="24"/>
        </w:rPr>
        <w:t xml:space="preserve">  </w:t>
      </w:r>
    </w:p>
    <w:p w14:paraId="0000000F" w14:textId="0AEDCA2C"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Later edges in our network represent traditions found both in the </w:t>
      </w:r>
      <w:proofErr w:type="spellStart"/>
      <w:r w:rsidRPr="003C6C06">
        <w:rPr>
          <w:rFonts w:ascii="Georgia" w:eastAsia="Georgia" w:hAnsi="Georgia" w:cs="Georgia"/>
          <w:sz w:val="24"/>
          <w:szCs w:val="24"/>
        </w:rPr>
        <w:t>talmudic</w:t>
      </w:r>
      <w:proofErr w:type="spellEnd"/>
      <w:r w:rsidRPr="003C6C06">
        <w:rPr>
          <w:rFonts w:ascii="Georgia" w:eastAsia="Georgia" w:hAnsi="Georgia" w:cs="Georgia"/>
          <w:sz w:val="24"/>
          <w:szCs w:val="24"/>
        </w:rPr>
        <w:t xml:space="preserve"> Hullin story as well as in Ambrose of Milan and Basil of Caesarea, (4th century); as well as Cyril of Alexandria (5th century). These are examples for writers discussing the Christian </w:t>
      </w:r>
      <w:r w:rsidRPr="003C6C06">
        <w:rPr>
          <w:rFonts w:ascii="Georgia" w:eastAsia="Georgia" w:hAnsi="Georgia" w:cs="Georgia"/>
          <w:sz w:val="24"/>
          <w:szCs w:val="24"/>
        </w:rPr>
        <w:lastRenderedPageBreak/>
        <w:t xml:space="preserve">argument over the status of the Holy Spirit to which the Talmud refers. These connections are especially important since the Christian argument over the status of the Holy Spirit can be dated to no earlier than the 4h century. </w:t>
      </w:r>
      <w:proofErr w:type="gramStart"/>
      <w:r w:rsidRPr="003C6C06">
        <w:rPr>
          <w:rFonts w:ascii="Georgia" w:eastAsia="Georgia" w:hAnsi="Georgia" w:cs="Georgia"/>
          <w:sz w:val="24"/>
          <w:szCs w:val="24"/>
        </w:rPr>
        <w:t>So</w:t>
      </w:r>
      <w:proofErr w:type="gramEnd"/>
      <w:r w:rsidRPr="003C6C06">
        <w:rPr>
          <w:rFonts w:ascii="Georgia" w:eastAsia="Georgia" w:hAnsi="Georgia" w:cs="Georgia"/>
          <w:sz w:val="24"/>
          <w:szCs w:val="24"/>
        </w:rPr>
        <w:t xml:space="preserve"> while the other edges could have been known to the </w:t>
      </w:r>
      <w:proofErr w:type="spellStart"/>
      <w:r w:rsidRPr="003C6C06">
        <w:rPr>
          <w:rFonts w:ascii="Georgia" w:eastAsia="Georgia" w:hAnsi="Georgia" w:cs="Georgia"/>
          <w:sz w:val="24"/>
          <w:szCs w:val="24"/>
        </w:rPr>
        <w:t>talmudic</w:t>
      </w:r>
      <w:proofErr w:type="spellEnd"/>
      <w:r w:rsidRPr="003C6C06">
        <w:rPr>
          <w:rFonts w:ascii="Georgia" w:eastAsia="Georgia" w:hAnsi="Georgia" w:cs="Georgia"/>
          <w:sz w:val="24"/>
          <w:szCs w:val="24"/>
        </w:rPr>
        <w:t xml:space="preserve"> authors any time since their composition in the first century CE until the redaction of the Talmud in the 6th or 7th century, the literary dialogue between the Jewish and </w:t>
      </w:r>
      <w:r w:rsidR="004F1584" w:rsidRPr="003C6C06">
        <w:rPr>
          <w:rFonts w:ascii="Georgia" w:eastAsia="Georgia" w:hAnsi="Georgia" w:cs="Georgia"/>
          <w:sz w:val="24"/>
          <w:szCs w:val="24"/>
        </w:rPr>
        <w:t>Christian</w:t>
      </w:r>
      <w:r w:rsidRPr="003C6C06">
        <w:rPr>
          <w:rFonts w:ascii="Georgia" w:eastAsia="Georgia" w:hAnsi="Georgia" w:cs="Georgia"/>
          <w:sz w:val="24"/>
          <w:szCs w:val="24"/>
        </w:rPr>
        <w:t xml:space="preserve"> traditions can thus, be more accurately timed</w:t>
      </w:r>
      <w:r w:rsidR="00935752">
        <w:rPr>
          <w:rFonts w:ascii="Georgia" w:eastAsia="Georgia" w:hAnsi="Georgia" w:cs="Georgia"/>
          <w:sz w:val="24"/>
          <w:szCs w:val="24"/>
        </w:rPr>
        <w:t xml:space="preserve"> </w:t>
      </w:r>
      <w:r w:rsidR="00935752">
        <w:rPr>
          <w:rFonts w:ascii="Georgia" w:eastAsia="Georgia" w:hAnsi="Georgia" w:cs="Georgia"/>
          <w:sz w:val="24"/>
          <w:szCs w:val="24"/>
        </w:rPr>
        <w:t>(</w:t>
      </w:r>
      <w:r w:rsidR="00935752" w:rsidRPr="009421D9">
        <w:rPr>
          <w:rFonts w:ascii="Georgia" w:eastAsia="Georgia" w:hAnsi="Georgia" w:cs="Georgia"/>
          <w:b/>
          <w:bCs/>
          <w:sz w:val="24"/>
          <w:szCs w:val="24"/>
        </w:rPr>
        <w:t>High</w:t>
      </w:r>
      <w:r w:rsidR="00935752" w:rsidRPr="009421D9">
        <w:rPr>
          <w:rFonts w:ascii="Georgia" w:eastAsia="Georgia" w:hAnsi="Georgia" w:cs="Georgia"/>
          <w:b/>
          <w:bCs/>
          <w:sz w:val="24"/>
          <w:szCs w:val="24"/>
        </w:rPr>
        <w:t xml:space="preserve"> certainty</w:t>
      </w:r>
      <w:r w:rsidR="00935752">
        <w:rPr>
          <w:rFonts w:ascii="Georgia" w:eastAsia="Georgia" w:hAnsi="Georgia" w:cs="Georgia"/>
          <w:sz w:val="24"/>
          <w:szCs w:val="24"/>
        </w:rPr>
        <w:t>)</w:t>
      </w:r>
      <w:r w:rsidR="00935752" w:rsidRPr="003C6C06">
        <w:rPr>
          <w:rFonts w:ascii="Georgia" w:eastAsia="Georgia" w:hAnsi="Georgia" w:cs="Georgia"/>
          <w:sz w:val="24"/>
          <w:szCs w:val="24"/>
        </w:rPr>
        <w:t>.</w:t>
      </w:r>
      <w:r w:rsidRPr="003C6C06">
        <w:rPr>
          <w:rFonts w:ascii="Georgia" w:eastAsia="Georgia" w:hAnsi="Georgia" w:cs="Georgia"/>
          <w:sz w:val="24"/>
          <w:szCs w:val="24"/>
        </w:rPr>
        <w:t xml:space="preserve"> </w:t>
      </w:r>
    </w:p>
    <w:p w14:paraId="00000010" w14:textId="15197AB9"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The LXX Amos-Hullin edge (the Septuagint version of the verse in Amos 4:13) refers to a knowledge of a change from the Hebrew version of the verse </w:t>
      </w:r>
      <w:r w:rsidRPr="003C6C06">
        <w:rPr>
          <w:rFonts w:ascii="Georgia" w:eastAsia="Georgia" w:hAnsi="Georgia" w:cs="Georgia"/>
          <w:i/>
          <w:sz w:val="24"/>
          <w:szCs w:val="24"/>
        </w:rPr>
        <w:t>Me-Siho</w:t>
      </w:r>
      <w:r w:rsidRPr="003C6C06">
        <w:rPr>
          <w:rFonts w:ascii="Georgia" w:eastAsia="Georgia" w:hAnsi="Georgia" w:cs="Georgia"/>
          <w:sz w:val="24"/>
          <w:szCs w:val="24"/>
        </w:rPr>
        <w:t xml:space="preserve"> [=his thoughts] to a Greek translation of </w:t>
      </w:r>
      <w:r w:rsidRPr="003C6C06">
        <w:rPr>
          <w:rFonts w:ascii="Georgia" w:eastAsia="Georgia" w:hAnsi="Georgia" w:cs="Georgia"/>
          <w:i/>
          <w:sz w:val="24"/>
          <w:szCs w:val="24"/>
        </w:rPr>
        <w:t>Me-Shih</w:t>
      </w:r>
      <w:r w:rsidRPr="003C6C06">
        <w:rPr>
          <w:rFonts w:ascii="Georgia" w:eastAsia="Georgia" w:hAnsi="Georgia" w:cs="Georgia"/>
          <w:sz w:val="24"/>
          <w:szCs w:val="24"/>
        </w:rPr>
        <w:t xml:space="preserve">o [=his anointed, his Christ]. This version, as it refers to a divine proclamation of the Messiah, stands at the center of Christian debates regarding the pronouncement of Christ. The </w:t>
      </w:r>
      <w:proofErr w:type="spellStart"/>
      <w:r w:rsidRPr="003C6C06">
        <w:rPr>
          <w:rFonts w:ascii="Georgia" w:eastAsia="Georgia" w:hAnsi="Georgia" w:cs="Georgia"/>
          <w:sz w:val="24"/>
          <w:szCs w:val="24"/>
        </w:rPr>
        <w:t>talmudic</w:t>
      </w:r>
      <w:proofErr w:type="spellEnd"/>
      <w:r w:rsidRPr="003C6C06">
        <w:rPr>
          <w:rFonts w:ascii="Georgia" w:eastAsia="Georgia" w:hAnsi="Georgia" w:cs="Georgia"/>
          <w:sz w:val="24"/>
          <w:szCs w:val="24"/>
        </w:rPr>
        <w:t xml:space="preserve"> passage is aware of the </w:t>
      </w:r>
      <w:proofErr w:type="spellStart"/>
      <w:r w:rsidRPr="003C6C06">
        <w:rPr>
          <w:rFonts w:ascii="Georgia" w:eastAsia="Georgia" w:hAnsi="Georgia" w:cs="Georgia"/>
          <w:sz w:val="24"/>
          <w:szCs w:val="24"/>
        </w:rPr>
        <w:t>Chritian</w:t>
      </w:r>
      <w:proofErr w:type="spellEnd"/>
      <w:r w:rsidRPr="003C6C06">
        <w:rPr>
          <w:rFonts w:ascii="Georgia" w:eastAsia="Georgia" w:hAnsi="Georgia" w:cs="Georgia"/>
          <w:sz w:val="24"/>
          <w:szCs w:val="24"/>
        </w:rPr>
        <w:t xml:space="preserve"> use of this </w:t>
      </w:r>
      <w:proofErr w:type="spellStart"/>
      <w:r w:rsidRPr="003C6C06">
        <w:rPr>
          <w:rFonts w:ascii="Georgia" w:eastAsia="Georgia" w:hAnsi="Georgia" w:cs="Georgia"/>
          <w:sz w:val="24"/>
          <w:szCs w:val="24"/>
        </w:rPr>
        <w:t>septuagint</w:t>
      </w:r>
      <w:proofErr w:type="spellEnd"/>
      <w:r w:rsidRPr="003C6C06">
        <w:rPr>
          <w:rFonts w:ascii="Georgia" w:eastAsia="Georgia" w:hAnsi="Georgia" w:cs="Georgia"/>
          <w:sz w:val="24"/>
          <w:szCs w:val="24"/>
        </w:rPr>
        <w:t xml:space="preserve"> version</w:t>
      </w:r>
      <w:r w:rsidR="00935752">
        <w:rPr>
          <w:rFonts w:ascii="Georgia" w:eastAsia="Georgia" w:hAnsi="Georgia" w:cs="Georgia"/>
          <w:sz w:val="24"/>
          <w:szCs w:val="24"/>
        </w:rPr>
        <w:t xml:space="preserve"> </w:t>
      </w:r>
      <w:r w:rsidR="00935752">
        <w:rPr>
          <w:rFonts w:ascii="Georgia" w:eastAsia="Georgia" w:hAnsi="Georgia" w:cs="Georgia"/>
          <w:sz w:val="24"/>
          <w:szCs w:val="24"/>
        </w:rPr>
        <w:t>(</w:t>
      </w:r>
      <w:r w:rsidR="00935752" w:rsidRPr="009421D9">
        <w:rPr>
          <w:rFonts w:ascii="Georgia" w:eastAsia="Georgia" w:hAnsi="Georgia" w:cs="Georgia"/>
          <w:b/>
          <w:bCs/>
          <w:sz w:val="24"/>
          <w:szCs w:val="24"/>
        </w:rPr>
        <w:t>Medium certainty</w:t>
      </w:r>
      <w:r w:rsidR="00935752">
        <w:rPr>
          <w:rFonts w:ascii="Georgia" w:eastAsia="Georgia" w:hAnsi="Georgia" w:cs="Georgia"/>
          <w:sz w:val="24"/>
          <w:szCs w:val="24"/>
        </w:rPr>
        <w:t>)</w:t>
      </w:r>
      <w:r w:rsidR="00935752" w:rsidRPr="003C6C06">
        <w:rPr>
          <w:rFonts w:ascii="Georgia" w:eastAsia="Georgia" w:hAnsi="Georgia" w:cs="Georgia"/>
          <w:sz w:val="24"/>
          <w:szCs w:val="24"/>
        </w:rPr>
        <w:t>.</w:t>
      </w:r>
      <w:r w:rsidRPr="003C6C06">
        <w:rPr>
          <w:rFonts w:ascii="Georgia" w:eastAsia="Georgia" w:hAnsi="Georgia" w:cs="Georgia"/>
          <w:sz w:val="24"/>
          <w:szCs w:val="24"/>
        </w:rPr>
        <w:t xml:space="preserve"> </w:t>
      </w:r>
    </w:p>
    <w:p w14:paraId="00000011" w14:textId="04FAB562"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The Hullin-</w:t>
      </w:r>
      <w:proofErr w:type="spellStart"/>
      <w:r w:rsidRPr="003C6C06">
        <w:rPr>
          <w:rFonts w:ascii="Georgia" w:eastAsia="Georgia" w:hAnsi="Georgia" w:cs="Georgia"/>
          <w:i/>
          <w:sz w:val="24"/>
          <w:szCs w:val="24"/>
        </w:rPr>
        <w:t>euangelion</w:t>
      </w:r>
      <w:proofErr w:type="spellEnd"/>
      <w:r w:rsidRPr="003C6C06">
        <w:rPr>
          <w:rFonts w:ascii="Georgia" w:eastAsia="Georgia" w:hAnsi="Georgia" w:cs="Georgia"/>
          <w:i/>
          <w:sz w:val="24"/>
          <w:szCs w:val="24"/>
        </w:rPr>
        <w:t xml:space="preserve"> </w:t>
      </w:r>
      <w:r w:rsidRPr="003C6C06">
        <w:rPr>
          <w:rFonts w:ascii="Georgia" w:eastAsia="Georgia" w:hAnsi="Georgia" w:cs="Georgia"/>
          <w:sz w:val="24"/>
          <w:szCs w:val="24"/>
        </w:rPr>
        <w:t xml:space="preserve">edge refers to the term </w:t>
      </w:r>
      <w:proofErr w:type="spellStart"/>
      <w:r w:rsidRPr="003C6C06">
        <w:rPr>
          <w:rFonts w:ascii="Georgia" w:eastAsia="Georgia" w:hAnsi="Georgia" w:cs="Georgia"/>
          <w:i/>
          <w:sz w:val="24"/>
          <w:szCs w:val="24"/>
        </w:rPr>
        <w:t>euangelion</w:t>
      </w:r>
      <w:proofErr w:type="spellEnd"/>
      <w:r w:rsidRPr="003C6C06">
        <w:rPr>
          <w:rFonts w:ascii="Georgia" w:eastAsia="Georgia" w:hAnsi="Georgia" w:cs="Georgia"/>
          <w:sz w:val="24"/>
          <w:szCs w:val="24"/>
        </w:rPr>
        <w:t xml:space="preserve">, gospel, which receives in our networks two nodes: the term was understood to mean the “good news” of the coming of Jesus already in the first century CE, but later on, in the second century CE, the term was used to refer also to the written versions of the life story and sayings of Jesus and his followers. Two edges in our network represent rabbinic knowledge of these meanings of the term. One edge represents the literary connection between Hullin and the first meaning of the </w:t>
      </w:r>
      <w:proofErr w:type="gramStart"/>
      <w:r w:rsidRPr="003C6C06">
        <w:rPr>
          <w:rFonts w:ascii="Georgia" w:eastAsia="Georgia" w:hAnsi="Georgia" w:cs="Georgia"/>
          <w:sz w:val="24"/>
          <w:szCs w:val="24"/>
        </w:rPr>
        <w:t>term, since</w:t>
      </w:r>
      <w:proofErr w:type="gramEnd"/>
      <w:r w:rsidRPr="003C6C06">
        <w:rPr>
          <w:rFonts w:ascii="Georgia" w:eastAsia="Georgia" w:hAnsi="Georgia" w:cs="Georgia"/>
          <w:sz w:val="24"/>
          <w:szCs w:val="24"/>
        </w:rPr>
        <w:t xml:space="preserve"> the story in Hullin uses this Christian tradition</w:t>
      </w:r>
      <w:r w:rsidR="00935752">
        <w:rPr>
          <w:rFonts w:ascii="Georgia" w:eastAsia="Georgia" w:hAnsi="Georgia" w:cs="Georgia"/>
          <w:sz w:val="24"/>
          <w:szCs w:val="24"/>
        </w:rPr>
        <w:t xml:space="preserve"> </w:t>
      </w:r>
      <w:r w:rsidR="00935752">
        <w:rPr>
          <w:rFonts w:ascii="Georgia" w:eastAsia="Georgia" w:hAnsi="Georgia" w:cs="Georgia"/>
          <w:sz w:val="24"/>
          <w:szCs w:val="24"/>
        </w:rPr>
        <w:t>(</w:t>
      </w:r>
      <w:r w:rsidR="00935752" w:rsidRPr="009421D9">
        <w:rPr>
          <w:rFonts w:ascii="Georgia" w:eastAsia="Georgia" w:hAnsi="Georgia" w:cs="Georgia"/>
          <w:b/>
          <w:bCs/>
          <w:sz w:val="24"/>
          <w:szCs w:val="24"/>
        </w:rPr>
        <w:t>High</w:t>
      </w:r>
      <w:r w:rsidR="00935752" w:rsidRPr="009421D9">
        <w:rPr>
          <w:rFonts w:ascii="Georgia" w:eastAsia="Georgia" w:hAnsi="Georgia" w:cs="Georgia"/>
          <w:b/>
          <w:bCs/>
          <w:sz w:val="24"/>
          <w:szCs w:val="24"/>
        </w:rPr>
        <w:t xml:space="preserve"> certainty</w:t>
      </w:r>
      <w:r w:rsidR="00935752">
        <w:rPr>
          <w:rFonts w:ascii="Georgia" w:eastAsia="Georgia" w:hAnsi="Georgia" w:cs="Georgia"/>
          <w:sz w:val="24"/>
          <w:szCs w:val="24"/>
        </w:rPr>
        <w:t>)</w:t>
      </w:r>
      <w:r w:rsidR="00935752" w:rsidRPr="003C6C06">
        <w:rPr>
          <w:rFonts w:ascii="Georgia" w:eastAsia="Georgia" w:hAnsi="Georgia" w:cs="Georgia"/>
          <w:sz w:val="24"/>
          <w:szCs w:val="24"/>
        </w:rPr>
        <w:t>.</w:t>
      </w:r>
      <w:r w:rsidRPr="003C6C06">
        <w:rPr>
          <w:rFonts w:ascii="Georgia" w:eastAsia="Georgia" w:hAnsi="Georgia" w:cs="Georgia"/>
          <w:sz w:val="24"/>
          <w:szCs w:val="24"/>
        </w:rPr>
        <w:t xml:space="preserve"> A second edge was added to show that another passage in the Babylonian Talmud knows about this term and refers to it in tractate Shabbat 115a-b, in a discussion about what books should be rescued from a fire on the Shabbat</w:t>
      </w:r>
      <w:r w:rsidR="00935752">
        <w:rPr>
          <w:rFonts w:ascii="Georgia" w:eastAsia="Georgia" w:hAnsi="Georgia" w:cs="Georgia"/>
          <w:sz w:val="24"/>
          <w:szCs w:val="24"/>
        </w:rPr>
        <w:t xml:space="preserve"> </w:t>
      </w:r>
      <w:r w:rsidR="00935752">
        <w:rPr>
          <w:rFonts w:ascii="Georgia" w:eastAsia="Georgia" w:hAnsi="Georgia" w:cs="Georgia"/>
          <w:sz w:val="24"/>
          <w:szCs w:val="24"/>
        </w:rPr>
        <w:t>(</w:t>
      </w:r>
      <w:r w:rsidR="00935752" w:rsidRPr="009421D9">
        <w:rPr>
          <w:rFonts w:ascii="Georgia" w:eastAsia="Georgia" w:hAnsi="Georgia" w:cs="Georgia"/>
          <w:b/>
          <w:bCs/>
          <w:sz w:val="24"/>
          <w:szCs w:val="24"/>
        </w:rPr>
        <w:t>Medium certainty</w:t>
      </w:r>
      <w:r w:rsidR="00935752">
        <w:rPr>
          <w:rFonts w:ascii="Georgia" w:eastAsia="Georgia" w:hAnsi="Georgia" w:cs="Georgia"/>
          <w:sz w:val="24"/>
          <w:szCs w:val="24"/>
        </w:rPr>
        <w:t>)</w:t>
      </w:r>
      <w:r w:rsidR="00935752" w:rsidRPr="003C6C06">
        <w:rPr>
          <w:rFonts w:ascii="Georgia" w:eastAsia="Georgia" w:hAnsi="Georgia" w:cs="Georgia"/>
          <w:sz w:val="24"/>
          <w:szCs w:val="24"/>
        </w:rPr>
        <w:t>.</w:t>
      </w:r>
      <w:r w:rsidRPr="003C6C06">
        <w:rPr>
          <w:rFonts w:ascii="Georgia" w:eastAsia="Georgia" w:hAnsi="Georgia" w:cs="Georgia"/>
          <w:sz w:val="24"/>
          <w:szCs w:val="24"/>
        </w:rPr>
        <w:t xml:space="preserve"> This example is an interesting one: the authors of the passage in tractate Hullin use an earlier meaning of the term </w:t>
      </w:r>
      <w:proofErr w:type="spellStart"/>
      <w:r w:rsidRPr="003C6C06">
        <w:rPr>
          <w:rFonts w:ascii="Georgia" w:eastAsia="Georgia" w:hAnsi="Georgia" w:cs="Georgia"/>
          <w:i/>
          <w:sz w:val="24"/>
          <w:szCs w:val="24"/>
        </w:rPr>
        <w:t>euangelion</w:t>
      </w:r>
      <w:proofErr w:type="spellEnd"/>
      <w:r w:rsidRPr="003C6C06">
        <w:rPr>
          <w:rFonts w:ascii="Georgia" w:eastAsia="Georgia" w:hAnsi="Georgia" w:cs="Georgia"/>
          <w:sz w:val="24"/>
          <w:szCs w:val="24"/>
        </w:rPr>
        <w:t xml:space="preserve"> in a section we can date to later than the 4-5th century due to its use of the holy spirit debate; While a different tractate, Shabbat, refers to a later use of the term in the meaning of a book. But the two </w:t>
      </w:r>
      <w:proofErr w:type="spellStart"/>
      <w:r w:rsidRPr="003C6C06">
        <w:rPr>
          <w:rFonts w:ascii="Georgia" w:eastAsia="Georgia" w:hAnsi="Georgia" w:cs="Georgia"/>
          <w:sz w:val="24"/>
          <w:szCs w:val="24"/>
        </w:rPr>
        <w:t>talmudic</w:t>
      </w:r>
      <w:proofErr w:type="spellEnd"/>
      <w:r w:rsidRPr="003C6C06">
        <w:rPr>
          <w:rFonts w:ascii="Georgia" w:eastAsia="Georgia" w:hAnsi="Georgia" w:cs="Georgia"/>
          <w:sz w:val="24"/>
          <w:szCs w:val="24"/>
        </w:rPr>
        <w:t xml:space="preserve"> passages are also linked as they are both aware of the Christian term and its meaning.</w:t>
      </w:r>
    </w:p>
    <w:p w14:paraId="00000012" w14:textId="2AB03687" w:rsidR="00455645" w:rsidRPr="009D3FE0" w:rsidRDefault="00266741" w:rsidP="00E40445">
      <w:pPr>
        <w:spacing w:before="240" w:after="240"/>
        <w:jc w:val="both"/>
        <w:rPr>
          <w:rFonts w:ascii="Georgia" w:eastAsia="Georgia" w:hAnsi="Georgia" w:cs="Georgia"/>
          <w:sz w:val="24"/>
          <w:szCs w:val="24"/>
          <w:lang w:val="en-US"/>
        </w:rPr>
      </w:pPr>
      <w:r w:rsidRPr="00986B76">
        <w:rPr>
          <w:rFonts w:ascii="Georgia" w:eastAsia="Georgia" w:hAnsi="Georgia" w:cs="Georgia"/>
          <w:sz w:val="24"/>
          <w:szCs w:val="24"/>
        </w:rPr>
        <w:t xml:space="preserve">The edges between the nodes in this graph network were </w:t>
      </w:r>
      <w:r w:rsidRPr="009D3FE0">
        <w:rPr>
          <w:rFonts w:ascii="Georgia" w:eastAsia="Georgia" w:hAnsi="Georgia" w:cs="Georgia"/>
          <w:sz w:val="24"/>
          <w:szCs w:val="24"/>
        </w:rPr>
        <w:t>weighted according to the level of certainty regarding the connection between the sources</w:t>
      </w:r>
      <w:r w:rsidR="005E69C7" w:rsidRPr="009D3FE0">
        <w:rPr>
          <w:rFonts w:ascii="Georgia" w:eastAsia="Georgia" w:hAnsi="Georgia" w:cs="Georgia"/>
          <w:sz w:val="24"/>
          <w:szCs w:val="24"/>
        </w:rPr>
        <w:t xml:space="preserve">.  </w:t>
      </w:r>
      <w:r w:rsidR="0019680B" w:rsidRPr="009D3FE0">
        <w:rPr>
          <w:rFonts w:ascii="Georgia" w:eastAsia="Georgia" w:hAnsi="Georgia" w:cs="Georgia"/>
          <w:sz w:val="24"/>
          <w:szCs w:val="24"/>
        </w:rPr>
        <w:t xml:space="preserve">In total, in our data set, we identified three levels of certainty in the knowledge of the shared tradition: </w:t>
      </w:r>
      <w:r w:rsidR="00E40445" w:rsidRPr="009D3FE0">
        <w:rPr>
          <w:rFonts w:ascii="Georgia" w:eastAsia="Georgia" w:hAnsi="Georgia" w:cs="Georgia"/>
          <w:sz w:val="24"/>
          <w:szCs w:val="24"/>
        </w:rPr>
        <w:t xml:space="preserve">high, </w:t>
      </w:r>
      <w:proofErr w:type="gramStart"/>
      <w:r w:rsidR="00E40445" w:rsidRPr="009D3FE0">
        <w:rPr>
          <w:rFonts w:ascii="Georgia" w:eastAsia="Georgia" w:hAnsi="Georgia" w:cs="Georgia"/>
          <w:sz w:val="24"/>
          <w:szCs w:val="24"/>
        </w:rPr>
        <w:t>medium</w:t>
      </w:r>
      <w:proofErr w:type="gramEnd"/>
      <w:r w:rsidR="00E40445" w:rsidRPr="009D3FE0">
        <w:rPr>
          <w:rFonts w:ascii="Georgia" w:eastAsia="Georgia" w:hAnsi="Georgia" w:cs="Georgia"/>
          <w:sz w:val="24"/>
          <w:szCs w:val="24"/>
        </w:rPr>
        <w:t xml:space="preserve"> and low</w:t>
      </w:r>
      <w:r w:rsidR="0019680B" w:rsidRPr="009D3FE0">
        <w:rPr>
          <w:rFonts w:ascii="Georgia" w:eastAsia="Georgia" w:hAnsi="Georgia" w:cs="Georgia"/>
          <w:sz w:val="24"/>
          <w:szCs w:val="24"/>
        </w:rPr>
        <w:t>.</w:t>
      </w:r>
      <w:r w:rsidR="003A0AB3" w:rsidRPr="009D3FE0">
        <w:rPr>
          <w:rFonts w:ascii="Georgia" w:eastAsia="Georgia" w:hAnsi="Georgia" w:cs="Georgia"/>
          <w:sz w:val="24"/>
          <w:szCs w:val="24"/>
        </w:rPr>
        <w:t> </w:t>
      </w:r>
      <w:r w:rsidRPr="009D3FE0">
        <w:rPr>
          <w:rFonts w:ascii="Georgia" w:eastAsia="Georgia" w:hAnsi="Georgia" w:cs="Georgia"/>
          <w:sz w:val="24"/>
          <w:szCs w:val="24"/>
        </w:rPr>
        <w:t>For example, while the dispute about the status of the Holy Spirit and its connection the verse</w:t>
      </w:r>
      <w:r w:rsidRPr="00986B76">
        <w:rPr>
          <w:rFonts w:ascii="Georgia" w:eastAsia="Georgia" w:hAnsi="Georgia" w:cs="Georgia"/>
          <w:sz w:val="24"/>
          <w:szCs w:val="24"/>
        </w:rPr>
        <w:t xml:space="preserve"> in Amos is a clear evidence for a shared tradition between the </w:t>
      </w:r>
      <w:proofErr w:type="spellStart"/>
      <w:r w:rsidRPr="00986B76">
        <w:rPr>
          <w:rFonts w:ascii="Georgia" w:eastAsia="Georgia" w:hAnsi="Georgia" w:cs="Georgia"/>
          <w:sz w:val="24"/>
          <w:szCs w:val="24"/>
        </w:rPr>
        <w:t>ta</w:t>
      </w:r>
      <w:r w:rsidR="003B1E36" w:rsidRPr="00986B76">
        <w:rPr>
          <w:rFonts w:ascii="Georgia" w:eastAsia="Georgia" w:hAnsi="Georgia" w:cs="Georgia"/>
          <w:sz w:val="24"/>
          <w:szCs w:val="24"/>
        </w:rPr>
        <w:t>l</w:t>
      </w:r>
      <w:r w:rsidRPr="00986B76">
        <w:rPr>
          <w:rFonts w:ascii="Georgia" w:eastAsia="Georgia" w:hAnsi="Georgia" w:cs="Georgia"/>
          <w:sz w:val="24"/>
          <w:szCs w:val="24"/>
        </w:rPr>
        <w:t>mudic</w:t>
      </w:r>
      <w:proofErr w:type="spellEnd"/>
      <w:r w:rsidRPr="00986B76">
        <w:rPr>
          <w:rFonts w:ascii="Georgia" w:eastAsia="Georgia" w:hAnsi="Georgia" w:cs="Georgia"/>
          <w:sz w:val="24"/>
          <w:szCs w:val="24"/>
        </w:rPr>
        <w:t xml:space="preserve"> authors and the traditions mentioned in the writings of Cyril, Ambrose and Basil; other shared traditions such as the three days fast of rabbi and the </w:t>
      </w:r>
      <w:r w:rsidR="002D27D2" w:rsidRPr="00986B76">
        <w:rPr>
          <w:rFonts w:ascii="Georgia" w:eastAsia="Georgia" w:hAnsi="Georgia" w:cs="Georgia"/>
          <w:sz w:val="24"/>
          <w:szCs w:val="24"/>
        </w:rPr>
        <w:t>costume</w:t>
      </w:r>
      <w:r w:rsidRPr="00986B76">
        <w:rPr>
          <w:rFonts w:ascii="Georgia" w:eastAsia="Georgia" w:hAnsi="Georgia" w:cs="Georgia"/>
          <w:sz w:val="24"/>
          <w:szCs w:val="24"/>
        </w:rPr>
        <w:t xml:space="preserve"> </w:t>
      </w:r>
      <w:proofErr w:type="spellStart"/>
      <w:r w:rsidRPr="00986B76">
        <w:rPr>
          <w:rFonts w:ascii="Georgia" w:eastAsia="Georgia" w:hAnsi="Georgia" w:cs="Georgia"/>
          <w:sz w:val="24"/>
          <w:szCs w:val="24"/>
        </w:rPr>
        <w:t>to</w:t>
      </w:r>
      <w:proofErr w:type="spellEnd"/>
      <w:r w:rsidRPr="00986B76">
        <w:rPr>
          <w:rFonts w:ascii="Georgia" w:eastAsia="Georgia" w:hAnsi="Georgia" w:cs="Georgia"/>
          <w:sz w:val="24"/>
          <w:szCs w:val="24"/>
        </w:rPr>
        <w:t xml:space="preserve"> fast for three days before Easter are less certain.  The edge between the two rabbinic nodes (Hullin and Shab</w:t>
      </w:r>
      <w:r w:rsidR="003B1E36" w:rsidRPr="00986B76">
        <w:rPr>
          <w:rFonts w:ascii="Georgia" w:eastAsia="Georgia" w:hAnsi="Georgia" w:cs="Georgia"/>
          <w:sz w:val="24"/>
          <w:szCs w:val="24"/>
        </w:rPr>
        <w:t>b</w:t>
      </w:r>
      <w:r w:rsidRPr="00986B76">
        <w:rPr>
          <w:rFonts w:ascii="Georgia" w:eastAsia="Georgia" w:hAnsi="Georgia" w:cs="Georgia"/>
          <w:sz w:val="24"/>
          <w:szCs w:val="24"/>
        </w:rPr>
        <w:t xml:space="preserve">at) receives </w:t>
      </w:r>
      <w:r w:rsidR="00935752">
        <w:rPr>
          <w:rFonts w:ascii="Georgia" w:eastAsia="Georgia" w:hAnsi="Georgia" w:cs="Georgia"/>
          <w:sz w:val="24"/>
          <w:szCs w:val="24"/>
        </w:rPr>
        <w:t>low</w:t>
      </w:r>
      <w:r w:rsidRPr="00986B76">
        <w:rPr>
          <w:rFonts w:ascii="Georgia" w:eastAsia="Georgia" w:hAnsi="Georgia" w:cs="Georgia"/>
          <w:sz w:val="24"/>
          <w:szCs w:val="24"/>
        </w:rPr>
        <w:t xml:space="preserve"> certainty because they both refer to the term </w:t>
      </w:r>
      <w:proofErr w:type="spellStart"/>
      <w:r w:rsidRPr="00986B76">
        <w:rPr>
          <w:rFonts w:ascii="Georgia" w:eastAsia="Georgia" w:hAnsi="Georgia" w:cs="Georgia"/>
          <w:i/>
          <w:sz w:val="24"/>
          <w:szCs w:val="24"/>
        </w:rPr>
        <w:t>euangelion</w:t>
      </w:r>
      <w:proofErr w:type="spellEnd"/>
      <w:r w:rsidRPr="00986B76">
        <w:rPr>
          <w:rFonts w:ascii="Georgia" w:eastAsia="Georgia" w:hAnsi="Georgia" w:cs="Georgia"/>
          <w:sz w:val="24"/>
          <w:szCs w:val="24"/>
        </w:rPr>
        <w:t>, but to different meanings of the term.</w:t>
      </w:r>
      <w:r w:rsidRPr="003C6C06">
        <w:rPr>
          <w:rFonts w:ascii="Georgia" w:eastAsia="Georgia" w:hAnsi="Georgia" w:cs="Georgia"/>
          <w:sz w:val="24"/>
          <w:szCs w:val="24"/>
        </w:rPr>
        <w:t xml:space="preserve"> </w:t>
      </w:r>
    </w:p>
    <w:p w14:paraId="1877B665" w14:textId="77777777" w:rsidR="00DF6588" w:rsidRDefault="00DF6588" w:rsidP="003C6C06">
      <w:pPr>
        <w:spacing w:before="240" w:after="240"/>
        <w:jc w:val="both"/>
        <w:rPr>
          <w:rFonts w:ascii="Georgia" w:eastAsia="Georgia" w:hAnsi="Georgia" w:cs="Georgia"/>
          <w:b/>
          <w:sz w:val="24"/>
          <w:szCs w:val="24"/>
          <w:rtl/>
        </w:rPr>
      </w:pPr>
    </w:p>
    <w:p w14:paraId="00000013" w14:textId="5AC025D1" w:rsidR="00455645" w:rsidRPr="003C6C06" w:rsidRDefault="00266741" w:rsidP="003C6C06">
      <w:pPr>
        <w:spacing w:before="240" w:after="240"/>
        <w:jc w:val="both"/>
        <w:rPr>
          <w:rFonts w:ascii="Georgia" w:eastAsia="Georgia" w:hAnsi="Georgia" w:cs="Georgia"/>
          <w:b/>
          <w:sz w:val="24"/>
          <w:szCs w:val="24"/>
        </w:rPr>
      </w:pPr>
      <w:r w:rsidRPr="003C6C06">
        <w:rPr>
          <w:rFonts w:ascii="Georgia" w:eastAsia="Georgia" w:hAnsi="Georgia" w:cs="Georgia"/>
          <w:b/>
          <w:sz w:val="24"/>
          <w:szCs w:val="24"/>
        </w:rPr>
        <w:t>The Monastic Network:</w:t>
      </w:r>
    </w:p>
    <w:p w14:paraId="00000014"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This network demonstrates literary analogies between Christian monastic (=of the monks) texts and rabbinic traditions.</w:t>
      </w:r>
    </w:p>
    <w:p w14:paraId="00000015" w14:textId="3315507F"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The edges between the rabbinic passages in BT Shabbat 33b and PT </w:t>
      </w:r>
      <w:proofErr w:type="spellStart"/>
      <w:r w:rsidRPr="003C6C06">
        <w:rPr>
          <w:rFonts w:ascii="Georgia" w:eastAsia="Georgia" w:hAnsi="Georgia" w:cs="Georgia"/>
          <w:sz w:val="24"/>
          <w:szCs w:val="24"/>
        </w:rPr>
        <w:t>Nedarim</w:t>
      </w:r>
      <w:proofErr w:type="spellEnd"/>
      <w:r w:rsidRPr="003C6C06">
        <w:rPr>
          <w:rFonts w:ascii="Georgia" w:eastAsia="Georgia" w:hAnsi="Georgia" w:cs="Georgia"/>
          <w:sz w:val="24"/>
          <w:szCs w:val="24"/>
        </w:rPr>
        <w:t xml:space="preserve"> 11 and the node representing the Christian writers Jerome and Paphnutius represent examples of shared traditions relating the stories of the holy men (monks), their lives and their sayings. The Christian node is given as examples for extremely popular literature (known to be so from many manuscripts and translations of the time), containing the traditions known by the rabbinic authors. In this case the edges between this node and the BT Shabbat and PT </w:t>
      </w:r>
      <w:proofErr w:type="spellStart"/>
      <w:r w:rsidRPr="003C6C06">
        <w:rPr>
          <w:rFonts w:ascii="Georgia" w:eastAsia="Georgia" w:hAnsi="Georgia" w:cs="Georgia"/>
          <w:sz w:val="24"/>
          <w:szCs w:val="24"/>
        </w:rPr>
        <w:t>Nedarim</w:t>
      </w:r>
      <w:proofErr w:type="spellEnd"/>
      <w:r w:rsidRPr="003C6C06">
        <w:rPr>
          <w:rFonts w:ascii="Georgia" w:eastAsia="Georgia" w:hAnsi="Georgia" w:cs="Georgia"/>
          <w:sz w:val="24"/>
          <w:szCs w:val="24"/>
        </w:rPr>
        <w:t xml:space="preserve"> nodes, represent the fact that both the Babylonian Talmud tractate Shabbat 33b and the </w:t>
      </w:r>
      <w:proofErr w:type="spellStart"/>
      <w:r w:rsidRPr="003C6C06">
        <w:rPr>
          <w:rFonts w:ascii="Georgia" w:eastAsia="Georgia" w:hAnsi="Georgia" w:cs="Georgia"/>
          <w:sz w:val="24"/>
          <w:szCs w:val="24"/>
        </w:rPr>
        <w:t>Palestinan</w:t>
      </w:r>
      <w:proofErr w:type="spellEnd"/>
      <w:r w:rsidRPr="003C6C06">
        <w:rPr>
          <w:rFonts w:ascii="Georgia" w:eastAsia="Georgia" w:hAnsi="Georgia" w:cs="Georgia"/>
          <w:sz w:val="24"/>
          <w:szCs w:val="24"/>
        </w:rPr>
        <w:t xml:space="preserve"> Talmud tractate </w:t>
      </w:r>
      <w:proofErr w:type="spellStart"/>
      <w:r w:rsidRPr="003C6C06">
        <w:rPr>
          <w:rFonts w:ascii="Georgia" w:eastAsia="Georgia" w:hAnsi="Georgia" w:cs="Georgia"/>
          <w:sz w:val="24"/>
          <w:szCs w:val="24"/>
        </w:rPr>
        <w:t>Nedarim</w:t>
      </w:r>
      <w:proofErr w:type="spellEnd"/>
      <w:r w:rsidRPr="003C6C06">
        <w:rPr>
          <w:rFonts w:ascii="Georgia" w:eastAsia="Georgia" w:hAnsi="Georgia" w:cs="Georgia"/>
          <w:sz w:val="24"/>
          <w:szCs w:val="24"/>
        </w:rPr>
        <w:t xml:space="preserve"> 42c, 11:1 are aware of traditions of Christian holy men dwelling in caves, and a few specific aspects of their sojourn there (fountain of water, carob tree, absence of clothes and more). </w:t>
      </w:r>
    </w:p>
    <w:p w14:paraId="00000016"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It is important to stress that our network does not attempt to find the exact Christian source for a tradition found in rabbinic sources. Rather, it depicts literary connections suggesting knowledge of a tradition that can be confined in time and space. Therefore, we combined two Christian Palestinian century monastic sources, from the third and fourth century (i.e. Jerome and Paphnutius nodes), because we cannot determine whether the Rabbinic nodes are familiar with either of them (or with a similar monastic source). The connection between the nodes is certain as it relates to the content, but not as it relates to actual contact between the writers. We deal with shared traditions found in both, but not with actual contacts between corpora, which cannot be established.  </w:t>
      </w:r>
    </w:p>
    <w:p w14:paraId="00000017" w14:textId="53BDF3B3"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A different Christian node represents a central literary corpus of sayings of the desert fathers called the </w:t>
      </w:r>
      <w:proofErr w:type="spellStart"/>
      <w:r w:rsidRPr="003C6C06">
        <w:rPr>
          <w:rFonts w:ascii="Georgia" w:eastAsia="Georgia" w:hAnsi="Georgia" w:cs="Georgia"/>
          <w:i/>
          <w:sz w:val="24"/>
          <w:szCs w:val="24"/>
        </w:rPr>
        <w:t>Apophthegmata</w:t>
      </w:r>
      <w:proofErr w:type="spellEnd"/>
      <w:r w:rsidRPr="003C6C06">
        <w:rPr>
          <w:rFonts w:ascii="Georgia" w:eastAsia="Georgia" w:hAnsi="Georgia" w:cs="Georgia"/>
          <w:i/>
          <w:sz w:val="24"/>
          <w:szCs w:val="24"/>
        </w:rPr>
        <w:t xml:space="preserve"> Patrum</w:t>
      </w:r>
      <w:r w:rsidRPr="003C6C06">
        <w:rPr>
          <w:rFonts w:ascii="Georgia" w:eastAsia="Georgia" w:hAnsi="Georgia" w:cs="Georgia"/>
          <w:sz w:val="24"/>
          <w:szCs w:val="24"/>
        </w:rPr>
        <w:t xml:space="preserve"> (=AP), a set of early monastic literary traditions anonymously edited in Palestine in the second half of the fifth century.</w:t>
      </w:r>
    </w:p>
    <w:p w14:paraId="00000018"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The AP-Babylonian Talmud, tractate Shabbat 33b edge shows shared familiarity with monastic tropes found in the famous story about R. Shimon b. </w:t>
      </w:r>
      <w:proofErr w:type="spellStart"/>
      <w:r w:rsidRPr="003C6C06">
        <w:rPr>
          <w:rFonts w:ascii="Georgia" w:eastAsia="Georgia" w:hAnsi="Georgia" w:cs="Georgia"/>
          <w:sz w:val="24"/>
          <w:szCs w:val="24"/>
        </w:rPr>
        <w:t>Yohai’s</w:t>
      </w:r>
      <w:proofErr w:type="spellEnd"/>
      <w:r w:rsidRPr="003C6C06">
        <w:rPr>
          <w:rFonts w:ascii="Georgia" w:eastAsia="Georgia" w:hAnsi="Georgia" w:cs="Georgia"/>
          <w:sz w:val="24"/>
          <w:szCs w:val="24"/>
        </w:rPr>
        <w:t xml:space="preserve"> stay in a cave, and literary traditions that are transmitted in the </w:t>
      </w:r>
      <w:proofErr w:type="spellStart"/>
      <w:r w:rsidRPr="003C6C06">
        <w:rPr>
          <w:rFonts w:ascii="Georgia" w:eastAsia="Georgia" w:hAnsi="Georgia" w:cs="Georgia"/>
          <w:sz w:val="24"/>
          <w:szCs w:val="24"/>
        </w:rPr>
        <w:t>Apophthegmata</w:t>
      </w:r>
      <w:proofErr w:type="spellEnd"/>
      <w:r w:rsidRPr="003C6C06">
        <w:rPr>
          <w:rFonts w:ascii="Georgia" w:eastAsia="Georgia" w:hAnsi="Georgia" w:cs="Georgia"/>
          <w:sz w:val="24"/>
          <w:szCs w:val="24"/>
        </w:rPr>
        <w:t xml:space="preserve"> Patrum. The connection in this case is not only knowledge of the phenomenon of holy men dwelling in caves, but a more specific knowledge of literary traditions that likely emanated from this specific corpus. In this case the Talmud is mirroring a monastic literary tradition of a parallel story which even includes the term “everlasting life”. </w:t>
      </w:r>
    </w:p>
    <w:p w14:paraId="00000019"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The Babylonian Talmud shows knowledge of literary traditions from this important monastic corpus, the AP, in other places too. </w:t>
      </w:r>
    </w:p>
    <w:p w14:paraId="0000001A"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lastRenderedPageBreak/>
        <w:t xml:space="preserve">The AP-BT Yoma 87a edge shows knowledge of a shared tradition regarding the extent to which one should go when asking for forgiveness. </w:t>
      </w:r>
    </w:p>
    <w:p w14:paraId="0000001B"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The AP-BT </w:t>
      </w:r>
      <w:proofErr w:type="spellStart"/>
      <w:r w:rsidRPr="003C6C06">
        <w:rPr>
          <w:rFonts w:ascii="Georgia" w:eastAsia="Georgia" w:hAnsi="Georgia" w:cs="Georgia"/>
          <w:sz w:val="24"/>
          <w:szCs w:val="24"/>
        </w:rPr>
        <w:t>Berachot</w:t>
      </w:r>
      <w:proofErr w:type="spellEnd"/>
      <w:r w:rsidRPr="003C6C06">
        <w:rPr>
          <w:rFonts w:ascii="Georgia" w:eastAsia="Georgia" w:hAnsi="Georgia" w:cs="Georgia"/>
          <w:sz w:val="24"/>
          <w:szCs w:val="24"/>
        </w:rPr>
        <w:t xml:space="preserve"> 18b edge contains a parallel story about a holy man who talks to the dead in a cemetery about a lost deposit. </w:t>
      </w:r>
    </w:p>
    <w:p w14:paraId="0000001C"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The AP-BT </w:t>
      </w:r>
      <w:proofErr w:type="spellStart"/>
      <w:r w:rsidRPr="003C6C06">
        <w:rPr>
          <w:rFonts w:ascii="Georgia" w:eastAsia="Georgia" w:hAnsi="Georgia" w:cs="Georgia"/>
          <w:sz w:val="24"/>
          <w:szCs w:val="24"/>
        </w:rPr>
        <w:t>Avodah</w:t>
      </w:r>
      <w:proofErr w:type="spellEnd"/>
      <w:r w:rsidRPr="003C6C06">
        <w:rPr>
          <w:rFonts w:ascii="Georgia" w:eastAsia="Georgia" w:hAnsi="Georgia" w:cs="Georgia"/>
          <w:sz w:val="24"/>
          <w:szCs w:val="24"/>
        </w:rPr>
        <w:t xml:space="preserve"> Zarah 17a edge </w:t>
      </w:r>
      <w:proofErr w:type="spellStart"/>
      <w:r w:rsidRPr="003C6C06">
        <w:rPr>
          <w:rFonts w:ascii="Georgia" w:eastAsia="Georgia" w:hAnsi="Georgia" w:cs="Georgia"/>
          <w:sz w:val="24"/>
          <w:szCs w:val="24"/>
        </w:rPr>
        <w:t>respresents</w:t>
      </w:r>
      <w:proofErr w:type="spellEnd"/>
      <w:r w:rsidRPr="003C6C06">
        <w:rPr>
          <w:rFonts w:ascii="Georgia" w:eastAsia="Georgia" w:hAnsi="Georgia" w:cs="Georgia"/>
          <w:sz w:val="24"/>
          <w:szCs w:val="24"/>
        </w:rPr>
        <w:t xml:space="preserve"> a literary connection in a story concerning the fast repentance of a dying prostitute. </w:t>
      </w:r>
    </w:p>
    <w:p w14:paraId="0000001D" w14:textId="77777777" w:rsidR="00455645" w:rsidRPr="003C6C06" w:rsidRDefault="00266741" w:rsidP="003C6C06">
      <w:pPr>
        <w:spacing w:before="240" w:after="240"/>
        <w:jc w:val="both"/>
        <w:rPr>
          <w:rFonts w:ascii="Georgia" w:eastAsia="Georgia" w:hAnsi="Georgia" w:cs="Georgia"/>
          <w:sz w:val="24"/>
          <w:szCs w:val="24"/>
        </w:rPr>
      </w:pPr>
      <w:r w:rsidRPr="003C6C06">
        <w:rPr>
          <w:rFonts w:ascii="Georgia" w:eastAsia="Georgia" w:hAnsi="Georgia" w:cs="Georgia"/>
          <w:sz w:val="24"/>
          <w:szCs w:val="24"/>
        </w:rPr>
        <w:t xml:space="preserve">The AP-Avot </w:t>
      </w:r>
      <w:proofErr w:type="spellStart"/>
      <w:r w:rsidRPr="003C6C06">
        <w:rPr>
          <w:rFonts w:ascii="Georgia" w:eastAsia="Georgia" w:hAnsi="Georgia" w:cs="Georgia"/>
          <w:sz w:val="24"/>
          <w:szCs w:val="24"/>
        </w:rPr>
        <w:t>deRabbi</w:t>
      </w:r>
      <w:proofErr w:type="spellEnd"/>
      <w:r w:rsidRPr="003C6C06">
        <w:rPr>
          <w:rFonts w:ascii="Georgia" w:eastAsia="Georgia" w:hAnsi="Georgia" w:cs="Georgia"/>
          <w:sz w:val="24"/>
          <w:szCs w:val="24"/>
        </w:rPr>
        <w:t xml:space="preserve"> Natan A6  edge connects the </w:t>
      </w:r>
      <w:proofErr w:type="spellStart"/>
      <w:r w:rsidRPr="003C6C06">
        <w:rPr>
          <w:rFonts w:ascii="Georgia" w:eastAsia="Georgia" w:hAnsi="Georgia" w:cs="Georgia"/>
          <w:sz w:val="24"/>
          <w:szCs w:val="24"/>
        </w:rPr>
        <w:t>Apophthegmata</w:t>
      </w:r>
      <w:proofErr w:type="spellEnd"/>
      <w:r w:rsidRPr="003C6C06">
        <w:rPr>
          <w:rFonts w:ascii="Georgia" w:eastAsia="Georgia" w:hAnsi="Georgia" w:cs="Georgia"/>
          <w:sz w:val="24"/>
          <w:szCs w:val="24"/>
        </w:rPr>
        <w:t xml:space="preserve"> Patrum to yet another rabbinic source, this time Palestinian, when it shows familiarity with tradition about a holy man learning from eroding stone at a water well about the nature of God.</w:t>
      </w:r>
    </w:p>
    <w:p w14:paraId="0000001E" w14:textId="77777777" w:rsidR="00455645" w:rsidRPr="003C6C06" w:rsidRDefault="00266741" w:rsidP="003C6C06">
      <w:pPr>
        <w:spacing w:before="240" w:after="240"/>
        <w:jc w:val="both"/>
        <w:rPr>
          <w:sz w:val="24"/>
          <w:szCs w:val="24"/>
        </w:rPr>
      </w:pPr>
      <w:r w:rsidRPr="003C6C06">
        <w:rPr>
          <w:rFonts w:ascii="Georgia" w:eastAsia="Georgia" w:hAnsi="Georgia" w:cs="Georgia"/>
          <w:sz w:val="24"/>
          <w:szCs w:val="24"/>
        </w:rPr>
        <w:t xml:space="preserve">Both the Palestinian Talmud </w:t>
      </w:r>
      <w:proofErr w:type="spellStart"/>
      <w:r w:rsidRPr="003C6C06">
        <w:rPr>
          <w:rFonts w:ascii="Georgia" w:eastAsia="Georgia" w:hAnsi="Georgia" w:cs="Georgia"/>
          <w:sz w:val="24"/>
          <w:szCs w:val="24"/>
        </w:rPr>
        <w:t>Nedarim</w:t>
      </w:r>
      <w:proofErr w:type="spellEnd"/>
      <w:r w:rsidRPr="003C6C06">
        <w:rPr>
          <w:rFonts w:ascii="Georgia" w:eastAsia="Georgia" w:hAnsi="Georgia" w:cs="Georgia"/>
          <w:sz w:val="24"/>
          <w:szCs w:val="24"/>
        </w:rPr>
        <w:t xml:space="preserve"> 11, and Avot </w:t>
      </w:r>
      <w:proofErr w:type="spellStart"/>
      <w:r w:rsidRPr="003C6C06">
        <w:rPr>
          <w:rFonts w:ascii="Georgia" w:eastAsia="Georgia" w:hAnsi="Georgia" w:cs="Georgia"/>
          <w:sz w:val="24"/>
          <w:szCs w:val="24"/>
        </w:rPr>
        <w:t>deRabbi</w:t>
      </w:r>
      <w:proofErr w:type="spellEnd"/>
      <w:r w:rsidRPr="003C6C06">
        <w:rPr>
          <w:rFonts w:ascii="Georgia" w:eastAsia="Georgia" w:hAnsi="Georgia" w:cs="Georgia"/>
          <w:sz w:val="24"/>
          <w:szCs w:val="24"/>
        </w:rPr>
        <w:t xml:space="preserve"> Natan A, 6 are sources redacted in the Land of </w:t>
      </w:r>
      <w:proofErr w:type="spellStart"/>
      <w:r w:rsidRPr="003C6C06">
        <w:rPr>
          <w:rFonts w:ascii="Georgia" w:eastAsia="Georgia" w:hAnsi="Georgia" w:cs="Georgia"/>
          <w:sz w:val="24"/>
          <w:szCs w:val="24"/>
        </w:rPr>
        <w:t>israel</w:t>
      </w:r>
      <w:proofErr w:type="spellEnd"/>
      <w:r w:rsidRPr="003C6C06">
        <w:rPr>
          <w:rFonts w:ascii="Georgia" w:eastAsia="Georgia" w:hAnsi="Georgia" w:cs="Georgia"/>
          <w:sz w:val="24"/>
          <w:szCs w:val="24"/>
        </w:rPr>
        <w:t xml:space="preserve">. While most of the examples surveyed in this article are meant to showcase  the centrality of the Babylonian Talmud when demonstrating the possible connections between the Jewish and Christian religious communities using literary traditions; It is by no means  limited to this corpus nor its time and place (Sassanid Empire, redacted around the 6th or 7th century). It can be expanded to include sources from Palestine as well (both Palestinian Talmud and Avot </w:t>
      </w:r>
      <w:proofErr w:type="spellStart"/>
      <w:r w:rsidRPr="003C6C06">
        <w:rPr>
          <w:rFonts w:ascii="Georgia" w:eastAsia="Georgia" w:hAnsi="Georgia" w:cs="Georgia"/>
          <w:sz w:val="24"/>
          <w:szCs w:val="24"/>
        </w:rPr>
        <w:t>deRabbi</w:t>
      </w:r>
      <w:proofErr w:type="spellEnd"/>
      <w:r w:rsidRPr="003C6C06">
        <w:rPr>
          <w:rFonts w:ascii="Georgia" w:eastAsia="Georgia" w:hAnsi="Georgia" w:cs="Georgia"/>
          <w:sz w:val="24"/>
          <w:szCs w:val="24"/>
        </w:rPr>
        <w:t xml:space="preserve"> Natan), or edited in earlier times (Palestinian Talmud redacted around the end of the fifth century).  </w:t>
      </w:r>
    </w:p>
    <w:sectPr w:rsidR="00455645" w:rsidRPr="003C6C0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645"/>
    <w:rsid w:val="00051595"/>
    <w:rsid w:val="0019680B"/>
    <w:rsid w:val="001F6372"/>
    <w:rsid w:val="00246064"/>
    <w:rsid w:val="00266741"/>
    <w:rsid w:val="002C684B"/>
    <w:rsid w:val="002D27D2"/>
    <w:rsid w:val="00386131"/>
    <w:rsid w:val="003A0AB3"/>
    <w:rsid w:val="003B1E36"/>
    <w:rsid w:val="003C6C06"/>
    <w:rsid w:val="00404232"/>
    <w:rsid w:val="00455645"/>
    <w:rsid w:val="004F1584"/>
    <w:rsid w:val="005E69C7"/>
    <w:rsid w:val="00603B2D"/>
    <w:rsid w:val="00726F10"/>
    <w:rsid w:val="0091334A"/>
    <w:rsid w:val="00935752"/>
    <w:rsid w:val="009421D9"/>
    <w:rsid w:val="00986B76"/>
    <w:rsid w:val="009D3FE0"/>
    <w:rsid w:val="00A44AB1"/>
    <w:rsid w:val="00C33137"/>
    <w:rsid w:val="00DF6588"/>
    <w:rsid w:val="00E40445"/>
    <w:rsid w:val="00EE50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2FB1C"/>
  <w15:docId w15:val="{864F4B38-4709-47CE-9956-152E7971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Revision"/>
    <w:hidden/>
    <w:uiPriority w:val="99"/>
    <w:semiHidden/>
    <w:rsid w:val="002D27D2"/>
    <w:pPr>
      <w:spacing w:line="240" w:lineRule="auto"/>
    </w:pPr>
  </w:style>
  <w:style w:type="paragraph" w:styleId="a6">
    <w:name w:val="Balloon Text"/>
    <w:basedOn w:val="a"/>
    <w:link w:val="a7"/>
    <w:uiPriority w:val="99"/>
    <w:semiHidden/>
    <w:unhideWhenUsed/>
    <w:rsid w:val="00EE506E"/>
    <w:pPr>
      <w:spacing w:line="240" w:lineRule="auto"/>
    </w:pPr>
    <w:rPr>
      <w:rFonts w:ascii="Segoe UI" w:hAnsi="Segoe UI" w:cs="Segoe UI"/>
      <w:sz w:val="18"/>
      <w:szCs w:val="18"/>
    </w:rPr>
  </w:style>
  <w:style w:type="character" w:customStyle="1" w:styleId="a7">
    <w:name w:val="טקסט בלונים תו"/>
    <w:basedOn w:val="a0"/>
    <w:link w:val="a6"/>
    <w:uiPriority w:val="99"/>
    <w:semiHidden/>
    <w:rsid w:val="00EE506E"/>
    <w:rPr>
      <w:rFonts w:ascii="Segoe UI" w:hAnsi="Segoe UI" w:cs="Segoe UI"/>
      <w:sz w:val="18"/>
      <w:szCs w:val="18"/>
    </w:rPr>
  </w:style>
  <w:style w:type="character" w:styleId="a8">
    <w:name w:val="annotation reference"/>
    <w:basedOn w:val="a0"/>
    <w:uiPriority w:val="99"/>
    <w:semiHidden/>
    <w:unhideWhenUsed/>
    <w:rsid w:val="00E40445"/>
    <w:rPr>
      <w:sz w:val="16"/>
      <w:szCs w:val="16"/>
    </w:rPr>
  </w:style>
  <w:style w:type="paragraph" w:styleId="a9">
    <w:name w:val="annotation text"/>
    <w:basedOn w:val="a"/>
    <w:link w:val="aa"/>
    <w:uiPriority w:val="99"/>
    <w:semiHidden/>
    <w:unhideWhenUsed/>
    <w:rsid w:val="00E40445"/>
    <w:pPr>
      <w:spacing w:line="240" w:lineRule="auto"/>
    </w:pPr>
    <w:rPr>
      <w:sz w:val="20"/>
      <w:szCs w:val="20"/>
    </w:rPr>
  </w:style>
  <w:style w:type="character" w:customStyle="1" w:styleId="aa">
    <w:name w:val="טקסט הערה תו"/>
    <w:basedOn w:val="a0"/>
    <w:link w:val="a9"/>
    <w:uiPriority w:val="99"/>
    <w:semiHidden/>
    <w:rsid w:val="00E40445"/>
    <w:rPr>
      <w:sz w:val="20"/>
      <w:szCs w:val="20"/>
    </w:rPr>
  </w:style>
  <w:style w:type="paragraph" w:styleId="ab">
    <w:name w:val="annotation subject"/>
    <w:basedOn w:val="a9"/>
    <w:next w:val="a9"/>
    <w:link w:val="ac"/>
    <w:uiPriority w:val="99"/>
    <w:semiHidden/>
    <w:unhideWhenUsed/>
    <w:rsid w:val="00E40445"/>
    <w:rPr>
      <w:b/>
      <w:bCs/>
    </w:rPr>
  </w:style>
  <w:style w:type="character" w:customStyle="1" w:styleId="ac">
    <w:name w:val="נושא הערה תו"/>
    <w:basedOn w:val="aa"/>
    <w:link w:val="ab"/>
    <w:uiPriority w:val="99"/>
    <w:semiHidden/>
    <w:rsid w:val="00E404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1417</Words>
  <Characters>8081</Characters>
  <Application>Microsoft Office Word</Application>
  <DocSecurity>0</DocSecurity>
  <Lines>67</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BarAsherSiega</dc:creator>
  <cp:lastModifiedBy>מיכל בר-אשר סיגל</cp:lastModifiedBy>
  <cp:revision>2</cp:revision>
  <dcterms:created xsi:type="dcterms:W3CDTF">2022-12-31T20:45:00Z</dcterms:created>
  <dcterms:modified xsi:type="dcterms:W3CDTF">2022-12-31T20:45:00Z</dcterms:modified>
</cp:coreProperties>
</file>