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45FA6" w14:textId="77777777" w:rsidR="00C969BB" w:rsidRPr="00421F53" w:rsidRDefault="00C969BB" w:rsidP="00C969BB">
      <w:pPr>
        <w:widowControl w:val="0"/>
        <w:spacing w:line="360" w:lineRule="auto"/>
        <w:ind w:right="-2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  <w:bookmarkStart w:id="0" w:name="_heading=h.30j0zll" w:colFirst="0" w:colLast="0"/>
      <w:bookmarkEnd w:id="0"/>
      <w:r w:rsidRPr="00421F53">
        <w:rPr>
          <w:rFonts w:ascii="Times New Roman" w:eastAsia="Times New Roman" w:hAnsi="Times New Roman" w:cs="Times New Roman"/>
          <w:b/>
          <w:bCs/>
          <w:sz w:val="26"/>
          <w:szCs w:val="26"/>
          <w:lang w:val="en"/>
        </w:rPr>
        <w:t>Political stability and foreign direct investment inflows in 25 Asia Pacific countries: The moderating role of trade openness</w:t>
      </w:r>
    </w:p>
    <w:p w14:paraId="78765139" w14:textId="77777777" w:rsidR="00C969BB" w:rsidRPr="00421F53" w:rsidRDefault="00C969BB" w:rsidP="00C969BB">
      <w:pPr>
        <w:widowControl w:val="0"/>
        <w:spacing w:line="360" w:lineRule="auto"/>
        <w:ind w:right="-2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</w:p>
    <w:p w14:paraId="6E16E387" w14:textId="77777777" w:rsidR="00C969BB" w:rsidRPr="00421F53" w:rsidRDefault="00C969BB" w:rsidP="00C969BB">
      <w:pPr>
        <w:pBdr>
          <w:top w:val="nil"/>
          <w:left w:val="nil"/>
          <w:bottom w:val="nil"/>
          <w:right w:val="nil"/>
          <w:between w:val="nil"/>
        </w:pBdr>
        <w:spacing w:before="40" w:after="1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421F53">
        <w:rPr>
          <w:rFonts w:ascii="Times New Roman" w:eastAsia="Times New Roman" w:hAnsi="Times New Roman" w:cs="Times New Roman"/>
          <w:sz w:val="24"/>
          <w:szCs w:val="24"/>
          <w:lang w:val="en"/>
        </w:rPr>
        <w:t>Ai Ngoc Nhan Le</w:t>
      </w:r>
    </w:p>
    <w:p w14:paraId="7F239A90" w14:textId="77777777" w:rsidR="00C969BB" w:rsidRPr="00421F53" w:rsidRDefault="00C969BB" w:rsidP="00C969BB">
      <w:pPr>
        <w:pBdr>
          <w:top w:val="nil"/>
          <w:left w:val="nil"/>
          <w:bottom w:val="nil"/>
          <w:right w:val="nil"/>
          <w:between w:val="nil"/>
        </w:pBdr>
        <w:spacing w:before="40" w:after="100" w:line="48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</w:pPr>
      <w:r w:rsidRPr="00421F53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Faculty of Finance and Banking, Van Lang University, Vietnam. </w:t>
      </w:r>
      <w:bookmarkStart w:id="1" w:name="_Hlk126250074"/>
      <w:r w:rsidRPr="00421F53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en"/>
        </w:rPr>
        <w:t>Email address</w:t>
      </w:r>
      <w:bookmarkEnd w:id="1"/>
      <w:r w:rsidRPr="00421F53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en"/>
        </w:rPr>
        <w:t xml:space="preserve">: </w:t>
      </w:r>
      <w:hyperlink r:id="rId7" w:history="1">
        <w:r w:rsidRPr="00421F53">
          <w:rPr>
            <w:rFonts w:ascii="Times New Roman" w:eastAsia="Times New Roman" w:hAnsi="Times New Roman" w:cs="Times New Roman"/>
            <w:bCs/>
            <w:i/>
            <w:iCs/>
            <w:color w:val="0563C1" w:themeColor="hyperlink"/>
            <w:sz w:val="20"/>
            <w:szCs w:val="20"/>
            <w:u w:val="single"/>
            <w:lang w:val="en"/>
          </w:rPr>
          <w:t>ai.lnn@vlu.edu.vn</w:t>
        </w:r>
      </w:hyperlink>
      <w:r w:rsidRPr="00421F53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en"/>
        </w:rPr>
        <w:t xml:space="preserve"> </w:t>
      </w:r>
    </w:p>
    <w:p w14:paraId="13ED9581" w14:textId="77777777" w:rsidR="00C969BB" w:rsidRPr="00421F53" w:rsidRDefault="00C969BB" w:rsidP="00C969BB">
      <w:pPr>
        <w:pBdr>
          <w:top w:val="nil"/>
          <w:left w:val="nil"/>
          <w:bottom w:val="nil"/>
          <w:right w:val="nil"/>
          <w:between w:val="nil"/>
        </w:pBdr>
        <w:spacing w:before="40" w:after="100" w:line="48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"/>
        </w:rPr>
      </w:pPr>
      <w:r w:rsidRPr="00421F53">
        <w:rPr>
          <w:rFonts w:ascii="Times New Roman" w:eastAsia="Times New Roman" w:hAnsi="Times New Roman" w:cs="Times New Roman"/>
          <w:iCs/>
          <w:sz w:val="24"/>
          <w:szCs w:val="24"/>
          <w:lang w:val="en"/>
        </w:rPr>
        <w:t>Ha Pham</w:t>
      </w:r>
    </w:p>
    <w:p w14:paraId="1C8D2DD6" w14:textId="77777777" w:rsidR="00C969BB" w:rsidRPr="00421F53" w:rsidRDefault="00C969BB" w:rsidP="00C969BB">
      <w:pPr>
        <w:pBdr>
          <w:top w:val="nil"/>
          <w:left w:val="nil"/>
          <w:bottom w:val="nil"/>
          <w:right w:val="nil"/>
          <w:between w:val="nil"/>
        </w:pBdr>
        <w:spacing w:before="40" w:after="100" w:line="480" w:lineRule="auto"/>
        <w:jc w:val="center"/>
        <w:rPr>
          <w:rFonts w:ascii="Times New Roman" w:eastAsia="Times New Roman" w:hAnsi="Times New Roman" w:cs="Times New Roman"/>
          <w:i/>
          <w:color w:val="0563C1" w:themeColor="hyperlink"/>
          <w:sz w:val="20"/>
          <w:szCs w:val="20"/>
          <w:u w:val="single"/>
          <w:lang w:val="en"/>
        </w:rPr>
      </w:pPr>
      <w:r w:rsidRPr="00421F53">
        <w:rPr>
          <w:rFonts w:ascii="Times New Roman" w:eastAsia="Times New Roman" w:hAnsi="Times New Roman" w:cs="Times New Roman"/>
          <w:i/>
          <w:sz w:val="20"/>
          <w:szCs w:val="20"/>
          <w:lang w:val="en"/>
        </w:rPr>
        <w:t xml:space="preserve">Faculty of Finance and Banking, Ho Chi Minh City Open University, Vietnam. Email address: </w:t>
      </w:r>
      <w:hyperlink r:id="rId8" w:history="1">
        <w:r w:rsidRPr="00421F53">
          <w:rPr>
            <w:rFonts w:ascii="Times New Roman" w:eastAsia="Times New Roman" w:hAnsi="Times New Roman" w:cs="Times New Roman"/>
            <w:i/>
            <w:color w:val="0563C1" w:themeColor="hyperlink"/>
            <w:sz w:val="20"/>
            <w:szCs w:val="20"/>
            <w:u w:val="single"/>
            <w:lang w:val="en"/>
          </w:rPr>
          <w:t>ha.p@ou.edu.vn</w:t>
        </w:r>
      </w:hyperlink>
      <w:r w:rsidRPr="00421F53">
        <w:rPr>
          <w:rFonts w:ascii="Times New Roman" w:eastAsia="Times New Roman" w:hAnsi="Times New Roman" w:cs="Times New Roman"/>
          <w:i/>
          <w:sz w:val="20"/>
          <w:szCs w:val="20"/>
          <w:lang w:val="en"/>
        </w:rPr>
        <w:t xml:space="preserve"> </w:t>
      </w:r>
    </w:p>
    <w:p w14:paraId="6F243884" w14:textId="77777777" w:rsidR="00C969BB" w:rsidRPr="00421F53" w:rsidRDefault="00C969BB" w:rsidP="00C969BB">
      <w:pPr>
        <w:pBdr>
          <w:top w:val="nil"/>
          <w:left w:val="nil"/>
          <w:bottom w:val="nil"/>
          <w:right w:val="nil"/>
          <w:between w:val="nil"/>
        </w:pBdr>
        <w:spacing w:before="40" w:after="100" w:line="48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"/>
        </w:rPr>
      </w:pPr>
      <w:bookmarkStart w:id="2" w:name="_Hlk102571179"/>
      <w:r w:rsidRPr="00421F53">
        <w:rPr>
          <w:rFonts w:ascii="Times New Roman" w:eastAsia="Times New Roman" w:hAnsi="Times New Roman" w:cs="Times New Roman"/>
          <w:iCs/>
          <w:sz w:val="24"/>
          <w:szCs w:val="24"/>
          <w:lang w:val="en"/>
        </w:rPr>
        <w:t xml:space="preserve">Dung </w:t>
      </w:r>
      <w:proofErr w:type="spellStart"/>
      <w:r w:rsidRPr="00421F53">
        <w:rPr>
          <w:rFonts w:ascii="Times New Roman" w:eastAsia="Times New Roman" w:hAnsi="Times New Roman" w:cs="Times New Roman"/>
          <w:iCs/>
          <w:sz w:val="24"/>
          <w:szCs w:val="24"/>
          <w:lang w:val="en"/>
        </w:rPr>
        <w:t>Thi</w:t>
      </w:r>
      <w:proofErr w:type="spellEnd"/>
      <w:r w:rsidRPr="00421F53">
        <w:rPr>
          <w:rFonts w:ascii="Times New Roman" w:eastAsia="Times New Roman" w:hAnsi="Times New Roman" w:cs="Times New Roman"/>
          <w:iCs/>
          <w:sz w:val="24"/>
          <w:szCs w:val="24"/>
          <w:lang w:val="en"/>
        </w:rPr>
        <w:t xml:space="preserve"> Ngoc Pham</w:t>
      </w:r>
    </w:p>
    <w:p w14:paraId="5B990E9F" w14:textId="77777777" w:rsidR="00C969BB" w:rsidRPr="00421F53" w:rsidRDefault="00C969BB" w:rsidP="00C969BB">
      <w:pPr>
        <w:pBdr>
          <w:top w:val="nil"/>
          <w:left w:val="nil"/>
          <w:bottom w:val="nil"/>
          <w:right w:val="nil"/>
          <w:between w:val="nil"/>
        </w:pBdr>
        <w:spacing w:before="40" w:after="100" w:line="48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"/>
        </w:rPr>
      </w:pPr>
      <w:r w:rsidRPr="00421F53">
        <w:rPr>
          <w:rFonts w:ascii="Times New Roman" w:eastAsia="Times New Roman" w:hAnsi="Times New Roman" w:cs="Times New Roman"/>
          <w:i/>
          <w:sz w:val="20"/>
          <w:szCs w:val="20"/>
          <w:lang w:val="en"/>
        </w:rPr>
        <w:t xml:space="preserve">Faculty of Finance and Banking, Ton Duc Thang University, Vietnam. </w:t>
      </w:r>
      <w:r w:rsidRPr="00421F53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en"/>
        </w:rPr>
        <w:t>Email address</w:t>
      </w:r>
      <w:r w:rsidRPr="00421F53">
        <w:rPr>
          <w:rFonts w:ascii="Times New Roman" w:eastAsia="Times New Roman" w:hAnsi="Times New Roman" w:cs="Times New Roman"/>
          <w:i/>
          <w:sz w:val="20"/>
          <w:szCs w:val="20"/>
          <w:lang w:val="en"/>
        </w:rPr>
        <w:t xml:space="preserve">: </w:t>
      </w:r>
      <w:hyperlink r:id="rId9" w:history="1">
        <w:r w:rsidRPr="00421F53">
          <w:rPr>
            <w:rFonts w:ascii="Times New Roman" w:eastAsia="Times New Roman" w:hAnsi="Times New Roman" w:cs="Times New Roman"/>
            <w:i/>
            <w:color w:val="0563C1" w:themeColor="hyperlink"/>
            <w:sz w:val="20"/>
            <w:szCs w:val="20"/>
            <w:u w:val="single"/>
            <w:lang w:val="en"/>
          </w:rPr>
          <w:t>phamthingocdung@tdtu.edu.vn</w:t>
        </w:r>
      </w:hyperlink>
      <w:r w:rsidRPr="00421F53">
        <w:rPr>
          <w:rFonts w:ascii="Times New Roman" w:eastAsia="Times New Roman" w:hAnsi="Times New Roman" w:cs="Times New Roman"/>
          <w:i/>
          <w:sz w:val="20"/>
          <w:szCs w:val="20"/>
          <w:lang w:val="en"/>
        </w:rPr>
        <w:t xml:space="preserve"> </w:t>
      </w:r>
    </w:p>
    <w:p w14:paraId="19E6E1B0" w14:textId="5CC91744" w:rsidR="00C969BB" w:rsidRDefault="00C969BB" w:rsidP="00C969BB">
      <w:pPr>
        <w:pBdr>
          <w:top w:val="nil"/>
          <w:left w:val="nil"/>
          <w:bottom w:val="nil"/>
          <w:right w:val="nil"/>
          <w:between w:val="nil"/>
        </w:pBdr>
        <w:spacing w:before="40" w:after="10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/>
        </w:rPr>
        <w:sectPr w:rsidR="00C969BB" w:rsidSect="00C969BB">
          <w:footnotePr>
            <w:numFmt w:val="chicago"/>
          </w:footnotePr>
          <w:type w:val="continuous"/>
          <w:pgSz w:w="12240" w:h="15840" w:code="1"/>
          <w:pgMar w:top="1440" w:right="1440" w:bottom="1440" w:left="1440" w:header="0" w:footer="720" w:gutter="0"/>
          <w:cols w:space="720"/>
          <w:docGrid w:linePitch="360"/>
        </w:sectPr>
      </w:pPr>
      <w:r w:rsidRPr="00421F53">
        <w:rPr>
          <w:rFonts w:ascii="Times New Roman" w:eastAsia="Times New Roman" w:hAnsi="Times New Roman" w:cs="Times New Roman"/>
          <w:sz w:val="24"/>
          <w:szCs w:val="24"/>
          <w:lang w:val="en"/>
        </w:rPr>
        <w:t>Khoa Dang Duong</w:t>
      </w:r>
      <w:r w:rsidRPr="00421F53">
        <w:rPr>
          <w:rFonts w:ascii="Times New Roman" w:eastAsia="Times New Roman" w:hAnsi="Times New Roman" w:cs="Times New Roman"/>
          <w:sz w:val="24"/>
          <w:szCs w:val="24"/>
          <w:vertAlign w:val="superscript"/>
          <w:lang w:val="en"/>
        </w:rPr>
        <w:footnoteReference w:id="1"/>
      </w:r>
    </w:p>
    <w:p w14:paraId="474A69BC" w14:textId="10914B94" w:rsidR="00C969BB" w:rsidRPr="00421F53" w:rsidRDefault="00C969BB" w:rsidP="00C969BB">
      <w:pPr>
        <w:pBdr>
          <w:top w:val="nil"/>
          <w:left w:val="nil"/>
          <w:bottom w:val="nil"/>
          <w:right w:val="nil"/>
          <w:between w:val="nil"/>
        </w:pBdr>
        <w:spacing w:before="40" w:after="100" w:line="480" w:lineRule="auto"/>
        <w:jc w:val="center"/>
        <w:rPr>
          <w:rFonts w:ascii="Times New Roman" w:eastAsia="Times New Roman" w:hAnsi="Times New Roman" w:cs="Times New Roman"/>
          <w:i/>
          <w:color w:val="0563C1" w:themeColor="hyperlink"/>
          <w:sz w:val="20"/>
          <w:szCs w:val="20"/>
          <w:u w:val="single"/>
          <w:lang w:val="en"/>
        </w:rPr>
      </w:pPr>
      <w:r w:rsidRPr="00421F53">
        <w:rPr>
          <w:rFonts w:ascii="Times New Roman" w:eastAsia="Times New Roman" w:hAnsi="Times New Roman" w:cs="Times New Roman"/>
          <w:i/>
          <w:sz w:val="20"/>
          <w:szCs w:val="20"/>
          <w:lang w:val="en"/>
        </w:rPr>
        <w:t xml:space="preserve">Faculty of Finance and Banking, Ton Duc Thang University, Vietnam. </w:t>
      </w:r>
      <w:r w:rsidRPr="00421F53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en"/>
        </w:rPr>
        <w:t>Email address</w:t>
      </w:r>
      <w:r w:rsidRPr="00421F53">
        <w:rPr>
          <w:rFonts w:ascii="Times New Roman" w:eastAsia="Times New Roman" w:hAnsi="Times New Roman" w:cs="Times New Roman"/>
          <w:i/>
          <w:sz w:val="20"/>
          <w:szCs w:val="20"/>
          <w:lang w:val="en"/>
        </w:rPr>
        <w:t xml:space="preserve">: </w:t>
      </w:r>
      <w:hyperlink r:id="rId10" w:history="1">
        <w:r w:rsidRPr="00421F53">
          <w:rPr>
            <w:rFonts w:ascii="Times New Roman" w:eastAsia="Times New Roman" w:hAnsi="Times New Roman" w:cs="Times New Roman"/>
            <w:i/>
            <w:color w:val="0563C1" w:themeColor="hyperlink"/>
            <w:sz w:val="20"/>
            <w:szCs w:val="20"/>
            <w:u w:val="single"/>
            <w:lang w:val="en"/>
          </w:rPr>
          <w:t>duongdangkhoa@tdtu.edu.vn</w:t>
        </w:r>
      </w:hyperlink>
      <w:r w:rsidRPr="00421F53">
        <w:rPr>
          <w:rFonts w:ascii="Times New Roman" w:eastAsia="Times New Roman" w:hAnsi="Times New Roman" w:cs="Times New Roman"/>
          <w:i/>
          <w:sz w:val="20"/>
          <w:szCs w:val="20"/>
          <w:lang w:val="en"/>
        </w:rPr>
        <w:t xml:space="preserve">  </w:t>
      </w:r>
    </w:p>
    <w:bookmarkEnd w:id="2"/>
    <w:p w14:paraId="4BBB2B54" w14:textId="77777777" w:rsidR="00C969BB" w:rsidRDefault="00C969BB" w:rsidP="001B7469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/>
      </w:r>
    </w:p>
    <w:p w14:paraId="74CB5ACC" w14:textId="77777777" w:rsidR="00C969BB" w:rsidRDefault="00C969BB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14:paraId="6645008C" w14:textId="667A16D8" w:rsidR="00C6527F" w:rsidRPr="00692411" w:rsidRDefault="00C6527F" w:rsidP="001B7469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241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APPENDIX</w:t>
      </w:r>
    </w:p>
    <w:p w14:paraId="0032EF74" w14:textId="77777777" w:rsidR="00C6527F" w:rsidRPr="00692411" w:rsidRDefault="00C6527F" w:rsidP="00C6527F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2411">
        <w:rPr>
          <w:rFonts w:ascii="Times New Roman" w:eastAsia="Times New Roman" w:hAnsi="Times New Roman" w:cs="Times New Roman"/>
          <w:b/>
          <w:sz w:val="26"/>
          <w:szCs w:val="26"/>
        </w:rPr>
        <w:t>Appendix A: Variable Definitions</w:t>
      </w:r>
    </w:p>
    <w:tbl>
      <w:tblPr>
        <w:tblStyle w:val="aa"/>
        <w:tblW w:w="9921" w:type="dxa"/>
        <w:tblLayout w:type="fixed"/>
        <w:tblLook w:val="0600" w:firstRow="0" w:lastRow="0" w:firstColumn="0" w:lastColumn="0" w:noHBand="1" w:noVBand="1"/>
      </w:tblPr>
      <w:tblGrid>
        <w:gridCol w:w="1418"/>
        <w:gridCol w:w="1417"/>
        <w:gridCol w:w="5778"/>
        <w:gridCol w:w="1308"/>
      </w:tblGrid>
      <w:tr w:rsidR="00C6527F" w:rsidRPr="00692411" w14:paraId="10B5EB33" w14:textId="77777777" w:rsidTr="007F4B6B">
        <w:trPr>
          <w:trHeight w:val="549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8DA88" w14:textId="77777777" w:rsidR="00C6527F" w:rsidRPr="00692411" w:rsidRDefault="00C6527F" w:rsidP="007F4B6B">
            <w:pPr>
              <w:spacing w:before="240" w:after="240" w:line="480" w:lineRule="auto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Style w:val="normaltextrun"/>
                <w:rFonts w:ascii="Times New Roman" w:hAnsi="Times New Roman" w:cs="Times New Roman"/>
                <w:b/>
                <w:sz w:val="26"/>
                <w:szCs w:val="26"/>
                <w:bdr w:val="none" w:sz="0" w:space="0" w:color="auto" w:frame="1"/>
                <w:lang w:val="vi-VN"/>
              </w:rPr>
              <w:t>V</w:t>
            </w:r>
            <w:proofErr w:type="spellStart"/>
            <w:r w:rsidRPr="00692411">
              <w:rPr>
                <w:rStyle w:val="normaltextrun"/>
                <w:rFonts w:ascii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>ariable</w:t>
            </w:r>
            <w:proofErr w:type="spellEnd"/>
            <w:r w:rsidRPr="00692411">
              <w:rPr>
                <w:rStyle w:val="normaltextrun"/>
                <w:rFonts w:ascii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 xml:space="preserve"> meaning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45F62" w14:textId="77777777" w:rsidR="00C6527F" w:rsidRPr="00692411" w:rsidRDefault="00C6527F" w:rsidP="007F4B6B">
            <w:pPr>
              <w:spacing w:before="240" w:after="240" w:line="480" w:lineRule="auto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Style w:val="normaltextrun"/>
                <w:rFonts w:ascii="Times New Roman" w:hAnsi="Times New Roman" w:cs="Times New Roman"/>
                <w:b/>
                <w:sz w:val="26"/>
                <w:szCs w:val="26"/>
                <w:bdr w:val="none" w:sz="0" w:space="0" w:color="auto" w:frame="1"/>
                <w:lang w:val="vi-VN"/>
              </w:rPr>
              <w:t>V</w:t>
            </w:r>
            <w:proofErr w:type="spellStart"/>
            <w:r w:rsidRPr="00692411">
              <w:rPr>
                <w:rStyle w:val="normaltextrun"/>
                <w:rFonts w:ascii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>ariable</w:t>
            </w:r>
            <w:proofErr w:type="spellEnd"/>
            <w:r w:rsidRPr="00692411">
              <w:rPr>
                <w:rStyle w:val="normaltextrun"/>
                <w:rFonts w:ascii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 xml:space="preserve"> symbol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C21DE" w14:textId="26B2DB86" w:rsidR="00C6527F" w:rsidRPr="00692411" w:rsidRDefault="00C6527F" w:rsidP="007F4B6B">
            <w:pPr>
              <w:spacing w:before="240" w:after="240" w:line="480" w:lineRule="auto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Style w:val="normaltextrun"/>
                <w:rFonts w:ascii="Times New Roman" w:hAnsi="Times New Roman" w:cs="Times New Roman"/>
                <w:b/>
                <w:sz w:val="26"/>
                <w:szCs w:val="26"/>
                <w:bdr w:val="none" w:sz="0" w:space="0" w:color="auto" w:frame="1"/>
                <w:lang w:val="vi-VN"/>
              </w:rPr>
              <w:t>C</w:t>
            </w:r>
            <w:proofErr w:type="spellStart"/>
            <w:r w:rsidR="00E14CDB" w:rsidRPr="00692411">
              <w:rPr>
                <w:rStyle w:val="normaltextrun"/>
                <w:rFonts w:ascii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>alculation</w:t>
            </w:r>
            <w:proofErr w:type="spellEnd"/>
            <w:r w:rsidRPr="00692411">
              <w:rPr>
                <w:rStyle w:val="normaltextrun"/>
                <w:rFonts w:ascii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 xml:space="preserve"> formula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BC37D0" w14:textId="77777777" w:rsidR="00C6527F" w:rsidRPr="00692411" w:rsidRDefault="00C6527F" w:rsidP="007F4B6B">
            <w:pPr>
              <w:spacing w:before="240" w:after="240" w:line="480" w:lineRule="auto"/>
              <w:ind w:hanging="73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Style w:val="normaltextrun"/>
                <w:rFonts w:ascii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>Reference</w:t>
            </w:r>
          </w:p>
        </w:tc>
      </w:tr>
      <w:tr w:rsidR="00C6527F" w:rsidRPr="00692411" w14:paraId="13A5FE5D" w14:textId="77777777" w:rsidTr="007F4B6B">
        <w:trPr>
          <w:trHeight w:val="332"/>
        </w:trPr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14:paraId="2E0CC5B1" w14:textId="77777777" w:rsidR="00C6527F" w:rsidRPr="00692411" w:rsidRDefault="00C6527F" w:rsidP="007F4B6B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Dependent Variable</w:t>
            </w:r>
          </w:p>
        </w:tc>
        <w:tc>
          <w:tcPr>
            <w:tcW w:w="5778" w:type="dxa"/>
            <w:tcBorders>
              <w:top w:val="single" w:sz="4" w:space="0" w:color="auto"/>
            </w:tcBorders>
            <w:vAlign w:val="center"/>
          </w:tcPr>
          <w:p w14:paraId="3B08D9B0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5D940C3A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6527F" w:rsidRPr="00692411" w14:paraId="03EBA46E" w14:textId="77777777" w:rsidTr="007F4B6B">
        <w:trPr>
          <w:trHeight w:val="779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21C01D6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Foreign Direct Investment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77F5697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FDI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1B29D59F" w14:textId="77777777" w:rsidR="00C6527F" w:rsidRPr="00692411" w:rsidRDefault="00C6527F" w:rsidP="007F4B6B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Net FDI inflow (% of GDP). Data is collected from World Bank Database.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2EF4E46B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(Mariotti &amp; Marzano, 2021, Duong et al. (2022)</w:t>
            </w:r>
          </w:p>
        </w:tc>
      </w:tr>
      <w:tr w:rsidR="00C6527F" w:rsidRPr="00692411" w14:paraId="1ABA8441" w14:textId="77777777" w:rsidTr="007F4B6B">
        <w:trPr>
          <w:trHeight w:val="250"/>
        </w:trPr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14:paraId="020FD559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Independent variables</w:t>
            </w:r>
          </w:p>
        </w:tc>
        <w:tc>
          <w:tcPr>
            <w:tcW w:w="5778" w:type="dxa"/>
            <w:tcBorders>
              <w:top w:val="single" w:sz="4" w:space="0" w:color="auto"/>
            </w:tcBorders>
            <w:vAlign w:val="center"/>
          </w:tcPr>
          <w:p w14:paraId="34787274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0BCB8BB0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6527F" w:rsidRPr="00692411" w14:paraId="1BE57FC7" w14:textId="77777777" w:rsidTr="007F4B6B">
        <w:trPr>
          <w:trHeight w:val="260"/>
        </w:trPr>
        <w:tc>
          <w:tcPr>
            <w:tcW w:w="1418" w:type="dxa"/>
            <w:vAlign w:val="center"/>
          </w:tcPr>
          <w:p w14:paraId="007076A0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Trade openness</w:t>
            </w:r>
          </w:p>
        </w:tc>
        <w:tc>
          <w:tcPr>
            <w:tcW w:w="1417" w:type="dxa"/>
            <w:vAlign w:val="center"/>
          </w:tcPr>
          <w:p w14:paraId="758396C3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TO</w:t>
            </w:r>
          </w:p>
        </w:tc>
        <w:tc>
          <w:tcPr>
            <w:tcW w:w="5778" w:type="dxa"/>
            <w:vAlign w:val="center"/>
          </w:tcPr>
          <w:p w14:paraId="543BB159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Trade openness = </w:t>
            </w:r>
            <w:proofErr w:type="spellStart"/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Import+Export</w:t>
            </w:r>
            <w:proofErr w:type="spellEnd"/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(% of GDP). Data is collected from World Bank Database.</w:t>
            </w:r>
          </w:p>
        </w:tc>
        <w:tc>
          <w:tcPr>
            <w:tcW w:w="1308" w:type="dxa"/>
            <w:vAlign w:val="center"/>
          </w:tcPr>
          <w:p w14:paraId="110F881D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(Mariotti &amp; Marzano, 2021, Duong et al. (2022)</w:t>
            </w:r>
          </w:p>
        </w:tc>
      </w:tr>
      <w:tr w:rsidR="00C6527F" w:rsidRPr="00692411" w14:paraId="78C6A4C9" w14:textId="77777777" w:rsidTr="007F4B6B">
        <w:trPr>
          <w:trHeight w:val="62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E63B475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Political Stability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20ECB10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POL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6C91077E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The estimate of governance performance ranges from -2.5 (weak) to 2.5 (strong) governance performance. Data is collected from </w:t>
            </w:r>
            <w:proofErr w:type="gramStart"/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World</w:t>
            </w:r>
            <w:proofErr w:type="gramEnd"/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Bank Database.</w:t>
            </w:r>
          </w:p>
          <w:p w14:paraId="12D94F15" w14:textId="77777777" w:rsidR="00C6527F" w:rsidRPr="00692411" w:rsidRDefault="00C6527F" w:rsidP="007F4B6B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35BB9818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(Xu et al., 2021)</w:t>
            </w:r>
          </w:p>
        </w:tc>
      </w:tr>
      <w:tr w:rsidR="00C6527F" w:rsidRPr="00692411" w14:paraId="1A6D98CC" w14:textId="77777777" w:rsidTr="007F4B6B">
        <w:trPr>
          <w:trHeight w:val="156"/>
        </w:trPr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14:paraId="77ACAB93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Controls Variables</w:t>
            </w:r>
          </w:p>
        </w:tc>
        <w:tc>
          <w:tcPr>
            <w:tcW w:w="5778" w:type="dxa"/>
            <w:tcBorders>
              <w:top w:val="single" w:sz="4" w:space="0" w:color="auto"/>
            </w:tcBorders>
            <w:vAlign w:val="center"/>
          </w:tcPr>
          <w:p w14:paraId="363F30A5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313A08BA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6527F" w:rsidRPr="00692411" w14:paraId="0C6124B4" w14:textId="77777777" w:rsidTr="007F4B6B">
        <w:trPr>
          <w:trHeight w:val="493"/>
        </w:trPr>
        <w:tc>
          <w:tcPr>
            <w:tcW w:w="1418" w:type="dxa"/>
            <w:vAlign w:val="center"/>
          </w:tcPr>
          <w:p w14:paraId="798B79B0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Consumer price index</w:t>
            </w:r>
          </w:p>
        </w:tc>
        <w:tc>
          <w:tcPr>
            <w:tcW w:w="1417" w:type="dxa"/>
            <w:vAlign w:val="center"/>
          </w:tcPr>
          <w:p w14:paraId="76C83BE3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CPI (Inflation)</w:t>
            </w:r>
          </w:p>
        </w:tc>
        <w:tc>
          <w:tcPr>
            <w:tcW w:w="5778" w:type="dxa"/>
            <w:vAlign w:val="center"/>
          </w:tcPr>
          <w:p w14:paraId="7AAE637B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Annual consumer price index. Data is collected from World Bank Database.</w:t>
            </w:r>
          </w:p>
        </w:tc>
        <w:tc>
          <w:tcPr>
            <w:tcW w:w="1308" w:type="dxa"/>
            <w:vAlign w:val="center"/>
          </w:tcPr>
          <w:p w14:paraId="0F2B54CE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(Babatunde, 2011)</w:t>
            </w:r>
          </w:p>
        </w:tc>
      </w:tr>
      <w:tr w:rsidR="00C6527F" w:rsidRPr="00692411" w14:paraId="66B28B1A" w14:textId="77777777" w:rsidTr="007F4B6B">
        <w:trPr>
          <w:trHeight w:val="370"/>
        </w:trPr>
        <w:tc>
          <w:tcPr>
            <w:tcW w:w="1418" w:type="dxa"/>
            <w:vAlign w:val="center"/>
          </w:tcPr>
          <w:p w14:paraId="05C9B3E8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Control of Corruption</w:t>
            </w:r>
          </w:p>
        </w:tc>
        <w:tc>
          <w:tcPr>
            <w:tcW w:w="1417" w:type="dxa"/>
            <w:vAlign w:val="center"/>
          </w:tcPr>
          <w:p w14:paraId="26078CB2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COC</w:t>
            </w:r>
          </w:p>
        </w:tc>
        <w:tc>
          <w:tcPr>
            <w:tcW w:w="5778" w:type="dxa"/>
            <w:vAlign w:val="center"/>
          </w:tcPr>
          <w:p w14:paraId="0AAD5219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The indicator grades countries from </w:t>
            </w:r>
            <w:r w:rsidRPr="00692411">
              <w:rPr>
                <w:rFonts w:ascii="Times New Roman" w:eastAsia="Gungsuh" w:hAnsi="Times New Roman" w:cs="Times New Roman"/>
                <w:color w:val="auto"/>
                <w:sz w:val="26"/>
                <w:szCs w:val="26"/>
              </w:rPr>
              <w:t xml:space="preserve">2.5 (highly corrupt) 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to +2.5 (very clean), so a higher score reflects more corruption control. Data is collected from World Bank Database.</w:t>
            </w:r>
          </w:p>
        </w:tc>
        <w:tc>
          <w:tcPr>
            <w:tcW w:w="1308" w:type="dxa"/>
            <w:vAlign w:val="center"/>
          </w:tcPr>
          <w:p w14:paraId="36333CDC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(Quazi et al., 2019; Xu et al., 2021)</w:t>
            </w:r>
          </w:p>
        </w:tc>
      </w:tr>
      <w:tr w:rsidR="00C6527F" w:rsidRPr="00692411" w14:paraId="7692F9D3" w14:textId="77777777" w:rsidTr="007F4B6B">
        <w:trPr>
          <w:trHeight w:val="639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A8F53B6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The Growth Rate in GDP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78B6335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GDP_</w:t>
            </w:r>
          </w:p>
          <w:p w14:paraId="5969A5EB" w14:textId="77777777" w:rsidR="00C6527F" w:rsidRPr="00692411" w:rsidRDefault="00C6527F" w:rsidP="007F4B6B">
            <w:pPr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Growth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450F1504" w14:textId="77777777" w:rsidR="00C6527F" w:rsidRPr="00692411" w:rsidRDefault="00C6527F" w:rsidP="007F4B6B">
            <w:pPr>
              <w:keepNext/>
              <w:keepLines/>
              <w:spacing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The growth of real GDP is the annual percentage growth rate of GDP at market prices based on constant local currency at the level of the country I in year t. Data is collected from World Bank Database.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6EA622D3" w14:textId="77777777" w:rsidR="00C6527F" w:rsidRPr="00692411" w:rsidRDefault="00C6527F" w:rsidP="007F4B6B">
            <w:pPr>
              <w:spacing w:before="240" w:line="48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(Duong et al., 2022)</w:t>
            </w:r>
          </w:p>
        </w:tc>
      </w:tr>
    </w:tbl>
    <w:p w14:paraId="7F87198C" w14:textId="77777777" w:rsidR="00C6527F" w:rsidRPr="00692411" w:rsidRDefault="00C6527F" w:rsidP="00C6527F">
      <w:pPr>
        <w:pBdr>
          <w:top w:val="nil"/>
          <w:left w:val="nil"/>
          <w:bottom w:val="nil"/>
          <w:right w:val="nil"/>
          <w:between w:val="nil"/>
        </w:pBdr>
        <w:snapToGrid w:val="0"/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CEC0079" w14:textId="77777777" w:rsidR="00C6527F" w:rsidRPr="00692411" w:rsidRDefault="00C6527F" w:rsidP="00C6527F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2411">
        <w:rPr>
          <w:rFonts w:ascii="Times New Roman" w:eastAsia="Times New Roman" w:hAnsi="Times New Roman" w:cs="Times New Roman"/>
          <w:b/>
          <w:sz w:val="26"/>
          <w:szCs w:val="26"/>
        </w:rPr>
        <w:t xml:space="preserve">Appendix B: </w:t>
      </w:r>
      <w:r w:rsidRPr="00692411">
        <w:rPr>
          <w:rFonts w:ascii="Times New Roman" w:hAnsi="Times New Roman" w:cs="Times New Roman"/>
          <w:b/>
          <w:sz w:val="26"/>
          <w:szCs w:val="26"/>
        </w:rPr>
        <w:t>Robustness test</w:t>
      </w:r>
      <w:r w:rsidRPr="00692411">
        <w:rPr>
          <w:rFonts w:ascii="Times New Roman" w:eastAsia="Times New Roman" w:hAnsi="Times New Roman" w:cs="Times New Roman"/>
          <w:b/>
          <w:sz w:val="26"/>
          <w:szCs w:val="26"/>
        </w:rPr>
        <w:t xml:space="preserve"> results with the TSLS method</w:t>
      </w:r>
      <w:sdt>
        <w:sdtPr>
          <w:rPr>
            <w:rFonts w:ascii="Times New Roman" w:hAnsi="Times New Roman" w:cs="Times New Roman"/>
            <w:b/>
            <w:sz w:val="26"/>
            <w:szCs w:val="26"/>
          </w:rPr>
          <w:tag w:val="goog_rdk_135"/>
          <w:id w:val="-1226607352"/>
        </w:sdtPr>
        <w:sdtEndPr/>
        <w:sdtContent/>
      </w:sdt>
      <w:sdt>
        <w:sdtPr>
          <w:rPr>
            <w:rFonts w:ascii="Times New Roman" w:hAnsi="Times New Roman" w:cs="Times New Roman"/>
            <w:b/>
            <w:sz w:val="26"/>
            <w:szCs w:val="26"/>
          </w:rPr>
          <w:tag w:val="goog_rdk_136"/>
          <w:id w:val="26762661"/>
        </w:sdtPr>
        <w:sdtEndPr/>
        <w:sdtContent/>
      </w:sdt>
      <w:r w:rsidRPr="00692411">
        <w:rPr>
          <w:rFonts w:ascii="Times New Roman" w:eastAsia="Times New Roman" w:hAnsi="Times New Roman" w:cs="Times New Roman"/>
          <w:b/>
          <w:sz w:val="26"/>
          <w:szCs w:val="26"/>
        </w:rPr>
        <w:t> </w:t>
      </w:r>
    </w:p>
    <w:p w14:paraId="04DB2277" w14:textId="77777777" w:rsidR="00C6527F" w:rsidRPr="00692411" w:rsidRDefault="00C6527F" w:rsidP="00C6527F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</w:p>
    <w:p w14:paraId="65C5D01F" w14:textId="77777777" w:rsidR="00C6527F" w:rsidRPr="00692411" w:rsidRDefault="00C6527F" w:rsidP="00C6527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f"/>
        <w:tblW w:w="9360" w:type="dxa"/>
        <w:jc w:val="center"/>
        <w:tblLayout w:type="fixed"/>
        <w:tblLook w:val="0600" w:firstRow="0" w:lastRow="0" w:firstColumn="0" w:lastColumn="0" w:noHBand="1" w:noVBand="1"/>
      </w:tblPr>
      <w:tblGrid>
        <w:gridCol w:w="2420"/>
        <w:gridCol w:w="1735"/>
        <w:gridCol w:w="1735"/>
        <w:gridCol w:w="1735"/>
        <w:gridCol w:w="1735"/>
      </w:tblGrid>
      <w:tr w:rsidR="00C6527F" w:rsidRPr="00692411" w14:paraId="2F9465D2" w14:textId="77777777" w:rsidTr="007F4B6B">
        <w:trPr>
          <w:trHeight w:val="232"/>
          <w:jc w:val="center"/>
        </w:trPr>
        <w:tc>
          <w:tcPr>
            <w:tcW w:w="2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CE2B7F" w14:textId="77777777" w:rsidR="00C6527F" w:rsidRPr="00692411" w:rsidRDefault="00C6527F" w:rsidP="007F4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Variable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3067991B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Model 1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11695EED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Model 2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14:paraId="126B73D5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Model 3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75BAA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Model 4</w:t>
            </w:r>
          </w:p>
        </w:tc>
      </w:tr>
      <w:tr w:rsidR="00C6527F" w:rsidRPr="00692411" w14:paraId="33663FD4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6B12F3B1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TO</w:t>
            </w:r>
          </w:p>
        </w:tc>
        <w:tc>
          <w:tcPr>
            <w:tcW w:w="1735" w:type="dxa"/>
            <w:vAlign w:val="center"/>
          </w:tcPr>
          <w:p w14:paraId="511BB54D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0.05001***</w:t>
            </w:r>
          </w:p>
        </w:tc>
        <w:tc>
          <w:tcPr>
            <w:tcW w:w="1735" w:type="dxa"/>
            <w:vAlign w:val="center"/>
          </w:tcPr>
          <w:p w14:paraId="2F07294F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40C8897A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684ED5A0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0.0347</w:t>
            </w:r>
            <w:r w:rsidRPr="0069241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**</w:t>
            </w: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6527F" w:rsidRPr="00692411" w14:paraId="3FC9C50F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74AB86A6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Align w:val="center"/>
          </w:tcPr>
          <w:p w14:paraId="735977F3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(21.51)</w:t>
            </w:r>
          </w:p>
        </w:tc>
        <w:tc>
          <w:tcPr>
            <w:tcW w:w="1735" w:type="dxa"/>
            <w:vAlign w:val="center"/>
          </w:tcPr>
          <w:p w14:paraId="4A5BA9FA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3994A9AC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173DFAC3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10.02</w:t>
            </w: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6527F" w:rsidRPr="00692411" w14:paraId="0288FC10" w14:textId="77777777" w:rsidTr="007F4B6B">
        <w:trPr>
          <w:trHeight w:val="420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3A99AF75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POL</w:t>
            </w:r>
          </w:p>
        </w:tc>
        <w:tc>
          <w:tcPr>
            <w:tcW w:w="1735" w:type="dxa"/>
            <w:vAlign w:val="center"/>
          </w:tcPr>
          <w:p w14:paraId="34ED01A2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Align w:val="center"/>
          </w:tcPr>
          <w:p w14:paraId="03646D6F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0.9491**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EC6FD09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0.0377***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2E62792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-0.5360</w:t>
            </w:r>
          </w:p>
        </w:tc>
      </w:tr>
      <w:tr w:rsidR="00C6527F" w:rsidRPr="00692411" w14:paraId="6CC5EA17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5C3A9434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Align w:val="center"/>
          </w:tcPr>
          <w:p w14:paraId="4E54770B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Align w:val="center"/>
          </w:tcPr>
          <w:p w14:paraId="1967BDE9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(2.14)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BED501D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(6.82)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1A27326B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(-1.39)</w:t>
            </w:r>
          </w:p>
        </w:tc>
      </w:tr>
      <w:tr w:rsidR="00C6527F" w:rsidRPr="00692411" w14:paraId="2A2C18C1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7FB26F89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TO*POL</w:t>
            </w:r>
          </w:p>
        </w:tc>
        <w:tc>
          <w:tcPr>
            <w:tcW w:w="1735" w:type="dxa"/>
            <w:vAlign w:val="center"/>
          </w:tcPr>
          <w:p w14:paraId="7B6DCC48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Align w:val="center"/>
          </w:tcPr>
          <w:p w14:paraId="3E42ED8D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28A01CC1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217BEC7C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0.0191</w:t>
            </w:r>
            <w:r w:rsidRPr="0069241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**</w:t>
            </w: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6527F" w:rsidRPr="00692411" w14:paraId="0299533E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78BE776E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Align w:val="center"/>
          </w:tcPr>
          <w:p w14:paraId="3DF8B690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Align w:val="center"/>
          </w:tcPr>
          <w:p w14:paraId="0980990B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257BEF99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1EA387B1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5.74</w:t>
            </w: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6527F" w:rsidRPr="00692411" w14:paraId="03387BBE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4F1B1F01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CPI</w:t>
            </w:r>
          </w:p>
        </w:tc>
        <w:tc>
          <w:tcPr>
            <w:tcW w:w="1735" w:type="dxa"/>
            <w:vAlign w:val="center"/>
          </w:tcPr>
          <w:p w14:paraId="5E814D05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0.016056**</w:t>
            </w:r>
          </w:p>
        </w:tc>
        <w:tc>
          <w:tcPr>
            <w:tcW w:w="1735" w:type="dxa"/>
            <w:vAlign w:val="center"/>
          </w:tcPr>
          <w:p w14:paraId="217499A0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0.02304**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11365CAE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0.0203**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6D8E329C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0.0167**</w:t>
            </w:r>
          </w:p>
        </w:tc>
      </w:tr>
      <w:tr w:rsidR="00C6527F" w:rsidRPr="00692411" w14:paraId="32196A14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28EFDF3F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Align w:val="center"/>
          </w:tcPr>
          <w:p w14:paraId="155448B6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(2.17)</w:t>
            </w:r>
          </w:p>
        </w:tc>
        <w:tc>
          <w:tcPr>
            <w:tcW w:w="1735" w:type="dxa"/>
            <w:vAlign w:val="center"/>
          </w:tcPr>
          <w:p w14:paraId="5D7629E9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(2.22)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1932A78A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(1.62)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47520F15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2.36</w:t>
            </w: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6527F" w:rsidRPr="00692411" w14:paraId="7C94A4A9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140745C1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COC</w:t>
            </w:r>
          </w:p>
        </w:tc>
        <w:tc>
          <w:tcPr>
            <w:tcW w:w="1735" w:type="dxa"/>
            <w:vAlign w:val="center"/>
          </w:tcPr>
          <w:p w14:paraId="760BB156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0.302162</w:t>
            </w:r>
          </w:p>
        </w:tc>
        <w:tc>
          <w:tcPr>
            <w:tcW w:w="1735" w:type="dxa"/>
            <w:vAlign w:val="center"/>
          </w:tcPr>
          <w:p w14:paraId="399F213C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1.7998***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28CAD157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-0.6915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07CDC895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-0.3086</w:t>
            </w:r>
          </w:p>
        </w:tc>
      </w:tr>
      <w:tr w:rsidR="00C6527F" w:rsidRPr="00692411" w14:paraId="3603D809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6D7DF1DC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Align w:val="center"/>
          </w:tcPr>
          <w:p w14:paraId="13B4788A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(1.49)</w:t>
            </w:r>
          </w:p>
        </w:tc>
        <w:tc>
          <w:tcPr>
            <w:tcW w:w="1735" w:type="dxa"/>
            <w:vAlign w:val="center"/>
          </w:tcPr>
          <w:p w14:paraId="0D81041A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(5.12)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2987153D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(-1.38)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E469D0D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(-1.21)</w:t>
            </w:r>
          </w:p>
        </w:tc>
      </w:tr>
      <w:tr w:rsidR="00C6527F" w:rsidRPr="00692411" w14:paraId="0F7B124D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4C83A2B7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GDP_GROWTH</w:t>
            </w:r>
          </w:p>
        </w:tc>
        <w:tc>
          <w:tcPr>
            <w:tcW w:w="1735" w:type="dxa"/>
            <w:vAlign w:val="center"/>
          </w:tcPr>
          <w:p w14:paraId="71063153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0.350115***</w:t>
            </w:r>
          </w:p>
        </w:tc>
        <w:tc>
          <w:tcPr>
            <w:tcW w:w="1735" w:type="dxa"/>
            <w:vAlign w:val="center"/>
          </w:tcPr>
          <w:p w14:paraId="159F3E1B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0.5404***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191E5C84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0.3249***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CCFEB1A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0.2930</w:t>
            </w: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***</w:t>
            </w:r>
          </w:p>
        </w:tc>
      </w:tr>
      <w:tr w:rsidR="00C6527F" w:rsidRPr="00692411" w14:paraId="23FBEEC2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center"/>
          </w:tcPr>
          <w:p w14:paraId="7F79BCE1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Align w:val="center"/>
          </w:tcPr>
          <w:p w14:paraId="7C500AAE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(6.24)</w:t>
            </w:r>
          </w:p>
        </w:tc>
        <w:tc>
          <w:tcPr>
            <w:tcW w:w="1735" w:type="dxa"/>
            <w:vAlign w:val="center"/>
          </w:tcPr>
          <w:p w14:paraId="25B6BAA9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(6.87)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6E23AC33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(3.14)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69921351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5.27</w:t>
            </w: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6527F" w:rsidRPr="00692411" w14:paraId="6F938861" w14:textId="77777777" w:rsidTr="007F4B6B">
        <w:trPr>
          <w:trHeight w:val="232"/>
          <w:jc w:val="center"/>
        </w:trPr>
        <w:tc>
          <w:tcPr>
            <w:tcW w:w="2420" w:type="dxa"/>
            <w:vMerge w:val="restart"/>
            <w:shd w:val="clear" w:color="auto" w:fill="auto"/>
          </w:tcPr>
          <w:p w14:paraId="13034446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1735" w:type="dxa"/>
            <w:vAlign w:val="center"/>
          </w:tcPr>
          <w:p w14:paraId="7F5EE2F4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-3.543562***</w:t>
            </w:r>
          </w:p>
        </w:tc>
        <w:tc>
          <w:tcPr>
            <w:tcW w:w="1735" w:type="dxa"/>
            <w:vAlign w:val="center"/>
          </w:tcPr>
          <w:p w14:paraId="7635AD50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-0.3507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0446CDE0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-0.4255***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2B54CEF0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-2.4947***</w:t>
            </w:r>
          </w:p>
        </w:tc>
      </w:tr>
      <w:tr w:rsidR="00C6527F" w:rsidRPr="00692411" w14:paraId="4610E020" w14:textId="77777777" w:rsidTr="007F4B6B">
        <w:trPr>
          <w:trHeight w:val="232"/>
          <w:jc w:val="center"/>
        </w:trPr>
        <w:tc>
          <w:tcPr>
            <w:tcW w:w="24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3DE1D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05CCAF2B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(-4.25)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1868B3AE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(-0.30)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D063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(-0.30)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425F4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(-2.98)</w:t>
            </w:r>
          </w:p>
        </w:tc>
      </w:tr>
      <w:tr w:rsidR="00C6527F" w:rsidRPr="00692411" w14:paraId="0FB9F0D6" w14:textId="77777777" w:rsidTr="007F4B6B">
        <w:trPr>
          <w:trHeight w:val="232"/>
          <w:jc w:val="center"/>
        </w:trPr>
        <w:tc>
          <w:tcPr>
            <w:tcW w:w="24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730757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R-squared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14:paraId="27ED54AC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0.5960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14:paraId="56D60993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0.1961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3A23FE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0.5092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83AE14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0.6291</w:t>
            </w:r>
          </w:p>
        </w:tc>
      </w:tr>
      <w:tr w:rsidR="00C6527F" w:rsidRPr="00692411" w14:paraId="04D883B0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bottom"/>
          </w:tcPr>
          <w:p w14:paraId="6B5904BA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b/>
                <w:sz w:val="26"/>
                <w:szCs w:val="26"/>
              </w:rPr>
              <w:t>Adjusted R-squared</w:t>
            </w:r>
          </w:p>
        </w:tc>
        <w:tc>
          <w:tcPr>
            <w:tcW w:w="1735" w:type="dxa"/>
            <w:vAlign w:val="center"/>
          </w:tcPr>
          <w:p w14:paraId="51173C3F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0.5925</w:t>
            </w:r>
          </w:p>
        </w:tc>
        <w:tc>
          <w:tcPr>
            <w:tcW w:w="1735" w:type="dxa"/>
            <w:vAlign w:val="center"/>
          </w:tcPr>
          <w:p w14:paraId="036F0D4A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0.1891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565D7F89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0.5049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5BF298B0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0.6242</w:t>
            </w:r>
          </w:p>
        </w:tc>
      </w:tr>
      <w:tr w:rsidR="00C6527F" w:rsidRPr="00692411" w14:paraId="396147E0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bottom"/>
          </w:tcPr>
          <w:p w14:paraId="0140B20F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b/>
                <w:sz w:val="26"/>
                <w:szCs w:val="26"/>
              </w:rPr>
              <w:t>F-statistic</w:t>
            </w:r>
          </w:p>
        </w:tc>
        <w:tc>
          <w:tcPr>
            <w:tcW w:w="1735" w:type="dxa"/>
            <w:vAlign w:val="center"/>
          </w:tcPr>
          <w:p w14:paraId="29FBA8FD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168.9479</w:t>
            </w:r>
          </w:p>
        </w:tc>
        <w:tc>
          <w:tcPr>
            <w:tcW w:w="1735" w:type="dxa"/>
            <w:vAlign w:val="center"/>
          </w:tcPr>
          <w:p w14:paraId="368ECCF3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27.9306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1F595FDB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118.7858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42BF20FC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128.9136</w:t>
            </w:r>
          </w:p>
        </w:tc>
      </w:tr>
      <w:tr w:rsidR="00C6527F" w:rsidRPr="00692411" w14:paraId="5FFD6C68" w14:textId="77777777" w:rsidTr="007F4B6B">
        <w:trPr>
          <w:trHeight w:val="232"/>
          <w:jc w:val="center"/>
        </w:trPr>
        <w:tc>
          <w:tcPr>
            <w:tcW w:w="2420" w:type="dxa"/>
            <w:shd w:val="clear" w:color="auto" w:fill="auto"/>
            <w:vAlign w:val="bottom"/>
          </w:tcPr>
          <w:p w14:paraId="640F3E87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b/>
                <w:sz w:val="26"/>
                <w:szCs w:val="26"/>
              </w:rPr>
              <w:t>Prob(F-statistic)</w:t>
            </w:r>
          </w:p>
        </w:tc>
        <w:tc>
          <w:tcPr>
            <w:tcW w:w="1735" w:type="dxa"/>
            <w:vAlign w:val="center"/>
          </w:tcPr>
          <w:p w14:paraId="37DEBF4C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&lt;0.0001</w:t>
            </w:r>
          </w:p>
        </w:tc>
        <w:tc>
          <w:tcPr>
            <w:tcW w:w="1735" w:type="dxa"/>
            <w:vAlign w:val="center"/>
          </w:tcPr>
          <w:p w14:paraId="775DA2EB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&lt;0.0001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5E40092E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&lt;0.0001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59AD14A2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&lt;0.0001</w:t>
            </w:r>
          </w:p>
        </w:tc>
      </w:tr>
      <w:tr w:rsidR="00C6527F" w:rsidRPr="00692411" w14:paraId="4EAFFD70" w14:textId="77777777" w:rsidTr="007F4B6B">
        <w:trPr>
          <w:trHeight w:val="232"/>
          <w:jc w:val="center"/>
        </w:trPr>
        <w:tc>
          <w:tcPr>
            <w:tcW w:w="24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34BEA8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3A82E396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463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4A61BFF1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463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D6136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463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7143B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463</w:t>
            </w:r>
          </w:p>
        </w:tc>
      </w:tr>
    </w:tbl>
    <w:p w14:paraId="509AA201" w14:textId="77777777" w:rsidR="00C6527F" w:rsidRPr="00692411" w:rsidRDefault="00C6527F" w:rsidP="00C6527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745E4EA" w14:textId="2505BAF3" w:rsidR="00C6527F" w:rsidRPr="00692411" w:rsidRDefault="00C6527F" w:rsidP="00C6527F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92411">
        <w:rPr>
          <w:rFonts w:ascii="Times New Roman" w:eastAsia="Times New Roman" w:hAnsi="Times New Roman" w:cs="Times New Roman"/>
          <w:i/>
          <w:sz w:val="26"/>
          <w:szCs w:val="26"/>
        </w:rPr>
        <w:t xml:space="preserve">Note: This table reports the robustness test with the non-tax TSLS method among 25 countries in APAC from 1990 to 2020. All the variable definitions are in Appendix A. The </w:t>
      </w:r>
      <w:proofErr w:type="gramStart"/>
      <w:r w:rsidRPr="00692411">
        <w:rPr>
          <w:rFonts w:ascii="Times New Roman" w:eastAsia="Times New Roman" w:hAnsi="Times New Roman" w:cs="Times New Roman"/>
          <w:i/>
          <w:sz w:val="26"/>
          <w:szCs w:val="26"/>
        </w:rPr>
        <w:t>symbol</w:t>
      </w:r>
      <w:proofErr w:type="gramEnd"/>
      <w:r w:rsidRPr="00692411">
        <w:rPr>
          <w:rFonts w:ascii="Times New Roman" w:eastAsia="Times New Roman" w:hAnsi="Times New Roman" w:cs="Times New Roman"/>
          <w:i/>
          <w:sz w:val="26"/>
          <w:szCs w:val="26"/>
        </w:rPr>
        <w:t xml:space="preserve"> **</w:t>
      </w:r>
      <w:r w:rsidR="00D232FB" w:rsidRPr="00692411">
        <w:rPr>
          <w:rFonts w:ascii="Times New Roman" w:eastAsia="Times New Roman" w:hAnsi="Times New Roman" w:cs="Times New Roman"/>
          <w:i/>
          <w:sz w:val="26"/>
          <w:szCs w:val="26"/>
        </w:rPr>
        <w:t>*, *</w:t>
      </w:r>
      <w:r w:rsidRPr="00692411">
        <w:rPr>
          <w:rFonts w:ascii="Times New Roman" w:eastAsia="Times New Roman" w:hAnsi="Times New Roman" w:cs="Times New Roman"/>
          <w:i/>
          <w:sz w:val="26"/>
          <w:szCs w:val="26"/>
        </w:rPr>
        <w:t>*, and * represents the significant level at 1%. 5% and 10%, respectively. The T-values are in parentheses.</w:t>
      </w:r>
    </w:p>
    <w:p w14:paraId="2F6BDC12" w14:textId="77777777" w:rsidR="00C6527F" w:rsidRPr="00692411" w:rsidRDefault="00C6527F" w:rsidP="00C652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E66A11" w14:textId="3EAD54A9" w:rsidR="00C6527F" w:rsidRPr="00692411" w:rsidRDefault="00C6527F" w:rsidP="00C6527F">
      <w:pPr>
        <w:spacing w:before="320" w:after="80" w:line="48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2411">
        <w:rPr>
          <w:rFonts w:ascii="Times New Roman" w:eastAsia="Times New Roman" w:hAnsi="Times New Roman" w:cs="Times New Roman"/>
          <w:b/>
          <w:sz w:val="26"/>
          <w:szCs w:val="26"/>
        </w:rPr>
        <w:t xml:space="preserve">Appendix C: </w:t>
      </w:r>
      <w:r w:rsidRPr="00692411">
        <w:rPr>
          <w:rFonts w:ascii="Times New Roman" w:hAnsi="Times New Roman" w:cs="Times New Roman"/>
          <w:b/>
          <w:sz w:val="26"/>
          <w:szCs w:val="26"/>
        </w:rPr>
        <w:t>Robustness test</w:t>
      </w:r>
      <w:r w:rsidRPr="00692411">
        <w:rPr>
          <w:rFonts w:ascii="Times New Roman" w:eastAsia="Times New Roman" w:hAnsi="Times New Roman" w:cs="Times New Roman"/>
          <w:b/>
          <w:sz w:val="26"/>
          <w:szCs w:val="26"/>
        </w:rPr>
        <w:t xml:space="preserve"> results in </w:t>
      </w:r>
      <w:r w:rsidR="00D232FB" w:rsidRPr="00692411">
        <w:rPr>
          <w:rFonts w:ascii="Times New Roman" w:eastAsia="Times New Roman" w:hAnsi="Times New Roman" w:cs="Times New Roman"/>
          <w:b/>
          <w:sz w:val="26"/>
          <w:szCs w:val="26"/>
        </w:rPr>
        <w:t>non-tax</w:t>
      </w:r>
      <w:r w:rsidRPr="00692411">
        <w:rPr>
          <w:rFonts w:ascii="Times New Roman" w:eastAsia="Times New Roman" w:hAnsi="Times New Roman" w:cs="Times New Roman"/>
          <w:b/>
          <w:sz w:val="26"/>
          <w:szCs w:val="26"/>
        </w:rPr>
        <w:t xml:space="preserve"> havens countries</w:t>
      </w:r>
      <w:sdt>
        <w:sdtPr>
          <w:rPr>
            <w:rFonts w:ascii="Times New Roman" w:hAnsi="Times New Roman" w:cs="Times New Roman"/>
            <w:b/>
            <w:sz w:val="26"/>
            <w:szCs w:val="26"/>
          </w:rPr>
          <w:tag w:val="goog_rdk_135"/>
          <w:id w:val="-1847238342"/>
        </w:sdtPr>
        <w:sdtEndPr/>
        <w:sdtContent/>
      </w:sdt>
      <w:sdt>
        <w:sdtPr>
          <w:rPr>
            <w:rFonts w:ascii="Times New Roman" w:hAnsi="Times New Roman" w:cs="Times New Roman"/>
            <w:b/>
            <w:sz w:val="26"/>
            <w:szCs w:val="26"/>
          </w:rPr>
          <w:tag w:val="goog_rdk_136"/>
          <w:id w:val="1223556344"/>
        </w:sdtPr>
        <w:sdtEndPr/>
        <w:sdtContent/>
      </w:sdt>
      <w:r w:rsidRPr="00692411">
        <w:rPr>
          <w:rFonts w:ascii="Times New Roman" w:eastAsia="Times New Roman" w:hAnsi="Times New Roman" w:cs="Times New Roman"/>
          <w:b/>
          <w:sz w:val="26"/>
          <w:szCs w:val="26"/>
        </w:rPr>
        <w:t xml:space="preserve">  </w:t>
      </w:r>
    </w:p>
    <w:tbl>
      <w:tblPr>
        <w:tblStyle w:val="af2"/>
        <w:tblW w:w="7600" w:type="dxa"/>
        <w:jc w:val="center"/>
        <w:tblLayout w:type="fixed"/>
        <w:tblLook w:val="0600" w:firstRow="0" w:lastRow="0" w:firstColumn="0" w:lastColumn="0" w:noHBand="1" w:noVBand="1"/>
      </w:tblPr>
      <w:tblGrid>
        <w:gridCol w:w="2494"/>
        <w:gridCol w:w="2553"/>
        <w:gridCol w:w="2553"/>
      </w:tblGrid>
      <w:tr w:rsidR="00C6527F" w:rsidRPr="00692411" w14:paraId="008AED7D" w14:textId="77777777" w:rsidTr="007F4B6B">
        <w:trPr>
          <w:trHeight w:val="206"/>
          <w:jc w:val="center"/>
        </w:trPr>
        <w:tc>
          <w:tcPr>
            <w:tcW w:w="2494" w:type="dxa"/>
            <w:tcBorders>
              <w:bottom w:val="single" w:sz="4" w:space="0" w:color="auto"/>
            </w:tcBorders>
            <w:vAlign w:val="center"/>
          </w:tcPr>
          <w:p w14:paraId="3D7FEB9D" w14:textId="77777777" w:rsidR="00C6527F" w:rsidRPr="00692411" w:rsidRDefault="00C6527F" w:rsidP="007F4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Variables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vAlign w:val="center"/>
          </w:tcPr>
          <w:p w14:paraId="6F7EACEA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Full sample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vAlign w:val="center"/>
          </w:tcPr>
          <w:p w14:paraId="69BC86C4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Non-tax havens</w:t>
            </w:r>
          </w:p>
        </w:tc>
      </w:tr>
      <w:tr w:rsidR="00C6527F" w:rsidRPr="00692411" w14:paraId="1F564172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6CC5978B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proofErr w:type="gramStart"/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FDI(</w:t>
            </w:r>
            <w:proofErr w:type="gramEnd"/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-1)</w:t>
            </w:r>
          </w:p>
        </w:tc>
        <w:tc>
          <w:tcPr>
            <w:tcW w:w="2553" w:type="dxa"/>
            <w:vAlign w:val="center"/>
          </w:tcPr>
          <w:p w14:paraId="7353A61B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0.4404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***</w:t>
            </w:r>
          </w:p>
        </w:tc>
        <w:tc>
          <w:tcPr>
            <w:tcW w:w="2553" w:type="dxa"/>
            <w:vAlign w:val="center"/>
          </w:tcPr>
          <w:p w14:paraId="6B1853DD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  <w:r w:rsidRPr="0069241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4614***</w:t>
            </w:r>
          </w:p>
        </w:tc>
      </w:tr>
      <w:tr w:rsidR="00C6527F" w:rsidRPr="00692411" w14:paraId="2F373707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4B196524" w14:textId="77777777" w:rsidR="00C6527F" w:rsidRPr="00692411" w:rsidRDefault="00C6527F" w:rsidP="007F4B6B">
            <w:pPr>
              <w:spacing w:before="320" w:after="8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553" w:type="dxa"/>
            <w:vAlign w:val="center"/>
          </w:tcPr>
          <w:p w14:paraId="2849EECC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31.98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2553" w:type="dxa"/>
            <w:vAlign w:val="center"/>
          </w:tcPr>
          <w:p w14:paraId="375ABDFC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(24.24)</w:t>
            </w:r>
          </w:p>
        </w:tc>
      </w:tr>
      <w:tr w:rsidR="00C6527F" w:rsidRPr="00692411" w14:paraId="60DA23E0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7446D025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TO</w:t>
            </w:r>
          </w:p>
        </w:tc>
        <w:tc>
          <w:tcPr>
            <w:tcW w:w="2553" w:type="dxa"/>
            <w:vAlign w:val="center"/>
          </w:tcPr>
          <w:p w14:paraId="5BAC1C04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  <w:r w:rsidRPr="0069241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0276**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*</w:t>
            </w:r>
          </w:p>
        </w:tc>
        <w:tc>
          <w:tcPr>
            <w:tcW w:w="2553" w:type="dxa"/>
            <w:vAlign w:val="center"/>
          </w:tcPr>
          <w:p w14:paraId="74BBB9F7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  <w:r w:rsidRPr="0069241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0113***</w:t>
            </w:r>
          </w:p>
        </w:tc>
      </w:tr>
      <w:tr w:rsidR="00C6527F" w:rsidRPr="00692411" w14:paraId="3CD12C8A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2B9F3EFD" w14:textId="77777777" w:rsidR="00C6527F" w:rsidRPr="00692411" w:rsidRDefault="00C6527F" w:rsidP="007F4B6B">
            <w:pPr>
              <w:spacing w:before="320" w:after="8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553" w:type="dxa"/>
            <w:vAlign w:val="center"/>
          </w:tcPr>
          <w:p w14:paraId="174037FE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3.27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2553" w:type="dxa"/>
            <w:vAlign w:val="center"/>
          </w:tcPr>
          <w:p w14:paraId="15B0DB13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(5.13)</w:t>
            </w:r>
          </w:p>
        </w:tc>
      </w:tr>
      <w:tr w:rsidR="00C6527F" w:rsidRPr="00692411" w14:paraId="0B905778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3FA66C4B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POL</w:t>
            </w:r>
          </w:p>
        </w:tc>
        <w:tc>
          <w:tcPr>
            <w:tcW w:w="2553" w:type="dxa"/>
            <w:vAlign w:val="center"/>
          </w:tcPr>
          <w:p w14:paraId="6E9561FE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-1.</w:t>
            </w:r>
            <w:r w:rsidRPr="00692411">
              <w:rPr>
                <w:rFonts w:ascii="Times New Roman" w:hAnsi="Times New Roman" w:cs="Times New Roman"/>
                <w:color w:val="auto"/>
                <w:sz w:val="26"/>
                <w:szCs w:val="26"/>
                <w:lang w:val="vi-VN"/>
              </w:rPr>
              <w:t>9194*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**</w:t>
            </w:r>
          </w:p>
        </w:tc>
        <w:tc>
          <w:tcPr>
            <w:tcW w:w="2553" w:type="dxa"/>
            <w:vAlign w:val="center"/>
          </w:tcPr>
          <w:p w14:paraId="73DD4AED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-0.</w:t>
            </w:r>
            <w:r w:rsidRPr="0069241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5969**</w:t>
            </w:r>
          </w:p>
        </w:tc>
      </w:tr>
      <w:tr w:rsidR="00C6527F" w:rsidRPr="00692411" w14:paraId="35668BB4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3B784354" w14:textId="77777777" w:rsidR="00C6527F" w:rsidRPr="00692411" w:rsidRDefault="00C6527F" w:rsidP="007F4B6B">
            <w:pPr>
              <w:spacing w:before="320" w:after="8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553" w:type="dxa"/>
            <w:vAlign w:val="center"/>
          </w:tcPr>
          <w:p w14:paraId="0FBBB1DA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-4.88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2553" w:type="dxa"/>
            <w:vAlign w:val="center"/>
          </w:tcPr>
          <w:p w14:paraId="2EA2C4D9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(-2.48)</w:t>
            </w:r>
          </w:p>
        </w:tc>
      </w:tr>
      <w:tr w:rsidR="00C6527F" w:rsidRPr="00692411" w14:paraId="612703CD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3A0A4E2F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vi-VN"/>
              </w:rPr>
              <w:t>TO*</w:t>
            </w: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POL</w:t>
            </w:r>
          </w:p>
        </w:tc>
        <w:tc>
          <w:tcPr>
            <w:tcW w:w="2553" w:type="dxa"/>
            <w:vAlign w:val="center"/>
          </w:tcPr>
          <w:p w14:paraId="38663A17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0.</w:t>
            </w:r>
            <w:r w:rsidRPr="00692411">
              <w:rPr>
                <w:rFonts w:ascii="Times New Roman" w:hAnsi="Times New Roman" w:cs="Times New Roman"/>
                <w:color w:val="auto"/>
                <w:sz w:val="26"/>
                <w:szCs w:val="26"/>
                <w:lang w:val="vi-VN"/>
              </w:rPr>
              <w:t>0135**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*</w:t>
            </w:r>
          </w:p>
        </w:tc>
        <w:tc>
          <w:tcPr>
            <w:tcW w:w="2553" w:type="dxa"/>
            <w:vAlign w:val="center"/>
          </w:tcPr>
          <w:p w14:paraId="44CF561A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-0.0052</w:t>
            </w:r>
          </w:p>
        </w:tc>
      </w:tr>
      <w:tr w:rsidR="00C6527F" w:rsidRPr="00692411" w14:paraId="075AA767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30C9BFF1" w14:textId="77777777" w:rsidR="00C6527F" w:rsidRPr="00692411" w:rsidRDefault="00C6527F" w:rsidP="007F4B6B">
            <w:pPr>
              <w:spacing w:before="320" w:after="8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553" w:type="dxa"/>
            <w:vAlign w:val="center"/>
          </w:tcPr>
          <w:p w14:paraId="46D54CAE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4.92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2553" w:type="dxa"/>
            <w:vAlign w:val="center"/>
          </w:tcPr>
          <w:p w14:paraId="7FEB77AA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(-1.35)</w:t>
            </w:r>
          </w:p>
        </w:tc>
      </w:tr>
      <w:tr w:rsidR="00C6527F" w:rsidRPr="00692411" w14:paraId="20D1603A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3BD4CA99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CPI</w:t>
            </w:r>
          </w:p>
        </w:tc>
        <w:tc>
          <w:tcPr>
            <w:tcW w:w="2553" w:type="dxa"/>
            <w:vAlign w:val="center"/>
          </w:tcPr>
          <w:p w14:paraId="6D6D218D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0.0023</w:t>
            </w:r>
          </w:p>
        </w:tc>
        <w:tc>
          <w:tcPr>
            <w:tcW w:w="2553" w:type="dxa"/>
            <w:vAlign w:val="center"/>
          </w:tcPr>
          <w:p w14:paraId="0EAD137D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0.0024</w:t>
            </w:r>
          </w:p>
        </w:tc>
      </w:tr>
      <w:tr w:rsidR="00C6527F" w:rsidRPr="00692411" w14:paraId="2D5DDAF2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1B65654B" w14:textId="77777777" w:rsidR="00C6527F" w:rsidRPr="00692411" w:rsidRDefault="00C6527F" w:rsidP="007F4B6B">
            <w:pPr>
              <w:spacing w:before="320" w:after="8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553" w:type="dxa"/>
            <w:vAlign w:val="center"/>
          </w:tcPr>
          <w:p w14:paraId="1BEBA805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0.27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2553" w:type="dxa"/>
            <w:vAlign w:val="center"/>
          </w:tcPr>
          <w:p w14:paraId="3A997D04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(1.20)</w:t>
            </w:r>
          </w:p>
        </w:tc>
      </w:tr>
      <w:tr w:rsidR="00C6527F" w:rsidRPr="00692411" w14:paraId="2D28304A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04A53D40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COC</w:t>
            </w:r>
          </w:p>
        </w:tc>
        <w:tc>
          <w:tcPr>
            <w:tcW w:w="2553" w:type="dxa"/>
            <w:vAlign w:val="center"/>
          </w:tcPr>
          <w:p w14:paraId="522B70BA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-1.</w:t>
            </w:r>
            <w:r w:rsidRPr="0069241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5652***</w:t>
            </w:r>
          </w:p>
        </w:tc>
        <w:tc>
          <w:tcPr>
            <w:tcW w:w="2553" w:type="dxa"/>
            <w:vAlign w:val="center"/>
          </w:tcPr>
          <w:p w14:paraId="67907D6A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-0.</w:t>
            </w:r>
            <w:r w:rsidRPr="0069241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9241*</w:t>
            </w:r>
          </w:p>
        </w:tc>
      </w:tr>
      <w:tr w:rsidR="00C6527F" w:rsidRPr="00692411" w14:paraId="1C7F4F2E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79D1461E" w14:textId="77777777" w:rsidR="00C6527F" w:rsidRPr="00692411" w:rsidRDefault="00C6527F" w:rsidP="007F4B6B">
            <w:pPr>
              <w:spacing w:before="320" w:after="8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553" w:type="dxa"/>
            <w:vAlign w:val="center"/>
          </w:tcPr>
          <w:p w14:paraId="6C7BF8CA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-2.92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2553" w:type="dxa"/>
            <w:vAlign w:val="center"/>
          </w:tcPr>
          <w:p w14:paraId="6B043C04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(-1.87)</w:t>
            </w:r>
          </w:p>
        </w:tc>
      </w:tr>
      <w:tr w:rsidR="00C6527F" w:rsidRPr="00692411" w14:paraId="2E0CD25C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5B0D5693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GDP_GROWTH</w:t>
            </w:r>
          </w:p>
        </w:tc>
        <w:tc>
          <w:tcPr>
            <w:tcW w:w="2553" w:type="dxa"/>
            <w:vAlign w:val="center"/>
          </w:tcPr>
          <w:p w14:paraId="29BF2E74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0.3373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***</w:t>
            </w:r>
          </w:p>
        </w:tc>
        <w:tc>
          <w:tcPr>
            <w:tcW w:w="2553" w:type="dxa"/>
            <w:vAlign w:val="center"/>
          </w:tcPr>
          <w:p w14:paraId="2665E4F2" w14:textId="77777777" w:rsidR="00C6527F" w:rsidRPr="00692411" w:rsidRDefault="00C6527F" w:rsidP="007F4B6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  <w:r w:rsidRPr="0069241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2824***</w:t>
            </w:r>
          </w:p>
        </w:tc>
      </w:tr>
      <w:tr w:rsidR="00C6527F" w:rsidRPr="00692411" w14:paraId="4589D4A8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3CEEE0F9" w14:textId="77777777" w:rsidR="00C6527F" w:rsidRPr="00692411" w:rsidRDefault="00C6527F" w:rsidP="007F4B6B">
            <w:pPr>
              <w:spacing w:before="320" w:after="8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553" w:type="dxa"/>
            <w:vAlign w:val="center"/>
          </w:tcPr>
          <w:p w14:paraId="33398A39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(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10.64</w:t>
            </w: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2553" w:type="dxa"/>
            <w:vAlign w:val="center"/>
          </w:tcPr>
          <w:p w14:paraId="41787769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(7.96)</w:t>
            </w:r>
          </w:p>
        </w:tc>
      </w:tr>
      <w:tr w:rsidR="00C6527F" w:rsidRPr="00692411" w14:paraId="5B368983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53AFFEE2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J-statistics</w:t>
            </w:r>
          </w:p>
        </w:tc>
        <w:tc>
          <w:tcPr>
            <w:tcW w:w="2553" w:type="dxa"/>
            <w:vAlign w:val="center"/>
          </w:tcPr>
          <w:p w14:paraId="21D1F361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19.55</w:t>
            </w:r>
          </w:p>
        </w:tc>
        <w:tc>
          <w:tcPr>
            <w:tcW w:w="2553" w:type="dxa"/>
            <w:vAlign w:val="center"/>
          </w:tcPr>
          <w:p w14:paraId="0E728A76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16.27</w:t>
            </w:r>
          </w:p>
        </w:tc>
      </w:tr>
      <w:tr w:rsidR="00C6527F" w:rsidRPr="00692411" w14:paraId="476FCF01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56464CB7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Prob(J-statistic)</w:t>
            </w:r>
          </w:p>
        </w:tc>
        <w:tc>
          <w:tcPr>
            <w:tcW w:w="2553" w:type="dxa"/>
            <w:vAlign w:val="center"/>
          </w:tcPr>
          <w:p w14:paraId="61F9F86C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  <w:r w:rsidRPr="0069241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36</w:t>
            </w:r>
          </w:p>
        </w:tc>
        <w:tc>
          <w:tcPr>
            <w:tcW w:w="2553" w:type="dxa"/>
            <w:vAlign w:val="center"/>
          </w:tcPr>
          <w:p w14:paraId="4DBC2F4F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0.36</w:t>
            </w:r>
          </w:p>
        </w:tc>
      </w:tr>
      <w:tr w:rsidR="00C6527F" w:rsidRPr="00692411" w14:paraId="06A02FE6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27652305" w14:textId="306F5BB6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Prob (Arellano–Bond test for </w:t>
            </w:r>
            <w:r w:rsidR="00D232FB" w:rsidRPr="0069241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AR (</w:t>
            </w:r>
            <w:r w:rsidRPr="0069241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1))</w:t>
            </w:r>
          </w:p>
        </w:tc>
        <w:tc>
          <w:tcPr>
            <w:tcW w:w="2553" w:type="dxa"/>
            <w:vAlign w:val="center"/>
          </w:tcPr>
          <w:p w14:paraId="6DFD3F7F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NA</w:t>
            </w:r>
          </w:p>
        </w:tc>
        <w:tc>
          <w:tcPr>
            <w:tcW w:w="2553" w:type="dxa"/>
            <w:vAlign w:val="center"/>
          </w:tcPr>
          <w:p w14:paraId="2779CC52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NA</w:t>
            </w:r>
          </w:p>
        </w:tc>
      </w:tr>
      <w:tr w:rsidR="00C6527F" w:rsidRPr="00692411" w14:paraId="6F715CA6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4A5A3051" w14:textId="3844CEA9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 xml:space="preserve">Prob (Arellano–Bond test for </w:t>
            </w:r>
            <w:r w:rsidR="00D232FB" w:rsidRPr="0069241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AR (</w:t>
            </w:r>
            <w:r w:rsidRPr="0069241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2)</w:t>
            </w:r>
          </w:p>
        </w:tc>
        <w:tc>
          <w:tcPr>
            <w:tcW w:w="2553" w:type="dxa"/>
            <w:vAlign w:val="center"/>
          </w:tcPr>
          <w:p w14:paraId="00FC8240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0.9914</w:t>
            </w:r>
          </w:p>
        </w:tc>
        <w:tc>
          <w:tcPr>
            <w:tcW w:w="2553" w:type="dxa"/>
            <w:vAlign w:val="center"/>
          </w:tcPr>
          <w:p w14:paraId="721D7729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sz w:val="26"/>
                <w:szCs w:val="26"/>
              </w:rPr>
              <w:t>NA</w:t>
            </w:r>
          </w:p>
        </w:tc>
      </w:tr>
      <w:tr w:rsidR="00C6527F" w:rsidRPr="00692411" w14:paraId="5DC4F853" w14:textId="77777777" w:rsidTr="007F4B6B">
        <w:trPr>
          <w:trHeight w:val="206"/>
          <w:jc w:val="center"/>
        </w:trPr>
        <w:tc>
          <w:tcPr>
            <w:tcW w:w="2494" w:type="dxa"/>
            <w:vAlign w:val="center"/>
          </w:tcPr>
          <w:p w14:paraId="6AFC4251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Instrument rank</w:t>
            </w:r>
          </w:p>
        </w:tc>
        <w:tc>
          <w:tcPr>
            <w:tcW w:w="2553" w:type="dxa"/>
            <w:vAlign w:val="center"/>
          </w:tcPr>
          <w:p w14:paraId="6A88FA8F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25</w:t>
            </w:r>
          </w:p>
        </w:tc>
        <w:tc>
          <w:tcPr>
            <w:tcW w:w="2553" w:type="dxa"/>
            <w:vAlign w:val="center"/>
          </w:tcPr>
          <w:p w14:paraId="240137C3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22</w:t>
            </w:r>
          </w:p>
        </w:tc>
      </w:tr>
      <w:tr w:rsidR="00C6527F" w:rsidRPr="00692411" w14:paraId="7265B796" w14:textId="77777777" w:rsidTr="007F4B6B">
        <w:trPr>
          <w:trHeight w:val="206"/>
          <w:jc w:val="center"/>
        </w:trPr>
        <w:tc>
          <w:tcPr>
            <w:tcW w:w="2494" w:type="dxa"/>
            <w:tcBorders>
              <w:bottom w:val="single" w:sz="4" w:space="0" w:color="auto"/>
            </w:tcBorders>
            <w:vAlign w:val="center"/>
          </w:tcPr>
          <w:p w14:paraId="687762BD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N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vAlign w:val="center"/>
          </w:tcPr>
          <w:p w14:paraId="4713DDA7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413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vAlign w:val="center"/>
          </w:tcPr>
          <w:p w14:paraId="602B2635" w14:textId="77777777" w:rsidR="00C6527F" w:rsidRPr="00692411" w:rsidRDefault="00C6527F" w:rsidP="007F4B6B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69241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>357</w:t>
            </w:r>
          </w:p>
        </w:tc>
      </w:tr>
    </w:tbl>
    <w:p w14:paraId="4340EAC1" w14:textId="2751F220" w:rsidR="00C6527F" w:rsidRPr="00C6527F" w:rsidRDefault="00C6527F" w:rsidP="00C6527F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92411">
        <w:rPr>
          <w:rFonts w:ascii="Times New Roman" w:eastAsia="Times New Roman" w:hAnsi="Times New Roman" w:cs="Times New Roman"/>
          <w:i/>
          <w:sz w:val="26"/>
          <w:szCs w:val="26"/>
        </w:rPr>
        <w:t xml:space="preserve">Note: This table reports the robustness test in non-tax heaven nations among 25 countries in APAC from 1990 to 2020. All the variable definitions are in Appendix A. The </w:t>
      </w:r>
      <w:proofErr w:type="gramStart"/>
      <w:r w:rsidRPr="00692411">
        <w:rPr>
          <w:rFonts w:ascii="Times New Roman" w:eastAsia="Times New Roman" w:hAnsi="Times New Roman" w:cs="Times New Roman"/>
          <w:i/>
          <w:sz w:val="26"/>
          <w:szCs w:val="26"/>
        </w:rPr>
        <w:t>symbol</w:t>
      </w:r>
      <w:proofErr w:type="gramEnd"/>
      <w:r w:rsidRPr="00692411">
        <w:rPr>
          <w:rFonts w:ascii="Times New Roman" w:eastAsia="Times New Roman" w:hAnsi="Times New Roman" w:cs="Times New Roman"/>
          <w:i/>
          <w:sz w:val="26"/>
          <w:szCs w:val="26"/>
        </w:rPr>
        <w:t xml:space="preserve"> **</w:t>
      </w:r>
      <w:r w:rsidR="00D232FB" w:rsidRPr="00692411">
        <w:rPr>
          <w:rFonts w:ascii="Times New Roman" w:eastAsia="Times New Roman" w:hAnsi="Times New Roman" w:cs="Times New Roman"/>
          <w:i/>
          <w:sz w:val="26"/>
          <w:szCs w:val="26"/>
        </w:rPr>
        <w:t>*, *</w:t>
      </w:r>
      <w:r w:rsidRPr="00692411">
        <w:rPr>
          <w:rFonts w:ascii="Times New Roman" w:eastAsia="Times New Roman" w:hAnsi="Times New Roman" w:cs="Times New Roman"/>
          <w:i/>
          <w:sz w:val="26"/>
          <w:szCs w:val="26"/>
        </w:rPr>
        <w:t>*, and * represents the significant level at 1%. 5% and 10%, respectively. The T-values are in parentheses.</w:t>
      </w:r>
      <w:r w:rsidRPr="00C6527F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14:paraId="2C7AD24B" w14:textId="77777777" w:rsidR="00B17464" w:rsidRPr="00C6527F" w:rsidRDefault="00B17464">
      <w:pPr>
        <w:rPr>
          <w:rFonts w:ascii="Times New Roman" w:hAnsi="Times New Roman" w:cs="Times New Roman"/>
        </w:rPr>
      </w:pPr>
    </w:p>
    <w:sectPr w:rsidR="00B17464" w:rsidRPr="00C6527F" w:rsidSect="00C969BB">
      <w:type w:val="continuous"/>
      <w:pgSz w:w="12240" w:h="15840" w:code="1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F57F7" w14:textId="77777777" w:rsidR="00C969BB" w:rsidRDefault="00C969BB" w:rsidP="00C969BB">
      <w:pPr>
        <w:spacing w:line="240" w:lineRule="auto"/>
      </w:pPr>
      <w:r>
        <w:separator/>
      </w:r>
    </w:p>
  </w:endnote>
  <w:endnote w:type="continuationSeparator" w:id="0">
    <w:p w14:paraId="28B9920A" w14:textId="77777777" w:rsidR="00C969BB" w:rsidRDefault="00C969BB" w:rsidP="00C969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0E88E" w14:textId="77777777" w:rsidR="00C969BB" w:rsidRDefault="00C969BB" w:rsidP="00C969BB">
      <w:pPr>
        <w:spacing w:line="240" w:lineRule="auto"/>
      </w:pPr>
      <w:r>
        <w:separator/>
      </w:r>
    </w:p>
  </w:footnote>
  <w:footnote w:type="continuationSeparator" w:id="0">
    <w:p w14:paraId="0EC9163C" w14:textId="77777777" w:rsidR="00C969BB" w:rsidRDefault="00C969BB" w:rsidP="00C969BB">
      <w:pPr>
        <w:spacing w:line="240" w:lineRule="auto"/>
      </w:pPr>
      <w:r>
        <w:continuationSeparator/>
      </w:r>
    </w:p>
  </w:footnote>
  <w:footnote w:id="1">
    <w:p w14:paraId="0CC736D4" w14:textId="77777777" w:rsidR="00C969BB" w:rsidRPr="002D330F" w:rsidRDefault="00C969BB" w:rsidP="00C969BB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2D330F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D330F">
        <w:rPr>
          <w:rFonts w:ascii="Times New Roman" w:hAnsi="Times New Roman" w:cs="Times New Roman"/>
          <w:color w:val="000000"/>
          <w:sz w:val="20"/>
          <w:szCs w:val="20"/>
        </w:rPr>
        <w:t xml:space="preserve">Corresponding author at Faculty of Finance and Banking, Ton Duc Thang University, 19 Nguyen Huu Tho Street, Tan Phong Ward, District 7, Ho Chi Minh City, Vietnam. Email address: </w:t>
      </w:r>
      <w:hyperlink r:id="rId1" w:history="1">
        <w:r w:rsidRPr="002D330F">
          <w:rPr>
            <w:rFonts w:ascii="Times New Roman" w:hAnsi="Times New Roman" w:cs="Times New Roman"/>
            <w:color w:val="0563C1"/>
            <w:sz w:val="20"/>
            <w:szCs w:val="20"/>
            <w:u w:val="single"/>
          </w:rPr>
          <w:t>duongdangkhoa@tdtu.edu.vn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27F"/>
    <w:rsid w:val="001B7469"/>
    <w:rsid w:val="00270DD2"/>
    <w:rsid w:val="002D330F"/>
    <w:rsid w:val="0039197E"/>
    <w:rsid w:val="00475AD5"/>
    <w:rsid w:val="00692411"/>
    <w:rsid w:val="00696C57"/>
    <w:rsid w:val="00B17464"/>
    <w:rsid w:val="00C6527F"/>
    <w:rsid w:val="00C969BB"/>
    <w:rsid w:val="00D232FB"/>
    <w:rsid w:val="00D42EB3"/>
    <w:rsid w:val="00E1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62F3D"/>
  <w15:chartTrackingRefBased/>
  <w15:docId w15:val="{9E0D1C54-9387-4310-AB07-BA14ABE4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27F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a">
    <w:name w:val="aa"/>
    <w:basedOn w:val="TableNormal"/>
    <w:rsid w:val="00C6527F"/>
    <w:pPr>
      <w:spacing w:after="0" w:line="240" w:lineRule="auto"/>
    </w:pPr>
    <w:rPr>
      <w:rFonts w:ascii="Arial" w:eastAsia="Arial" w:hAnsi="Arial" w:cs="Arial"/>
      <w:color w:val="000000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f">
    <w:name w:val="af"/>
    <w:basedOn w:val="TableNormal"/>
    <w:rsid w:val="00C6527F"/>
    <w:pPr>
      <w:spacing w:after="0" w:line="240" w:lineRule="auto"/>
    </w:pPr>
    <w:rPr>
      <w:rFonts w:ascii="Arial" w:eastAsia="Arial" w:hAnsi="Arial" w:cs="Arial"/>
      <w:color w:val="000000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f2">
    <w:name w:val="af2"/>
    <w:basedOn w:val="TableNormal"/>
    <w:rsid w:val="00C6527F"/>
    <w:pPr>
      <w:spacing w:after="0" w:line="240" w:lineRule="auto"/>
    </w:pPr>
    <w:rPr>
      <w:rFonts w:ascii="Arial" w:eastAsia="Arial" w:hAnsi="Arial" w:cs="Arial"/>
      <w:color w:val="000000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normaltextrun">
    <w:name w:val="normaltextrun"/>
    <w:basedOn w:val="DefaultParagraphFont"/>
    <w:rsid w:val="00C6527F"/>
  </w:style>
  <w:style w:type="paragraph" w:customStyle="1" w:styleId="paragraph">
    <w:name w:val="paragraph"/>
    <w:basedOn w:val="Normal"/>
    <w:rsid w:val="0027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270DD2"/>
  </w:style>
  <w:style w:type="character" w:customStyle="1" w:styleId="superscript">
    <w:name w:val="superscript"/>
    <w:basedOn w:val="DefaultParagraphFont"/>
    <w:rsid w:val="00270DD2"/>
  </w:style>
  <w:style w:type="character" w:styleId="FootnoteReference">
    <w:name w:val="footnote reference"/>
    <w:basedOn w:val="DefaultParagraphFont"/>
    <w:uiPriority w:val="99"/>
    <w:semiHidden/>
    <w:unhideWhenUsed/>
    <w:rsid w:val="00C969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.p@ou.edu.v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i.lnn@vlu.edu.v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uongdangkhoa@tdtu.edu.v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hamthingocdung@tdtu.edu.vn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uongdangkhoa@tdtu.ed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A4E58-DA06-44D1-9903-53CA989D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Ngọc Nhân Ái - Khoa Tài chính - Ngân hàng</dc:creator>
  <cp:keywords/>
  <dc:description/>
  <cp:lastModifiedBy>Dương Đăng Khoa</cp:lastModifiedBy>
  <cp:revision>3</cp:revision>
  <dcterms:created xsi:type="dcterms:W3CDTF">2023-08-10T07:55:00Z</dcterms:created>
  <dcterms:modified xsi:type="dcterms:W3CDTF">2023-08-10T08:00:00Z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33196e0b40cad3bf0f6212ec544a51c9cf20826dfc6b2cbba74895c879b8ec39</vt:lpwstr>
  </property>
</Properties>
</file>