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5BA2D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4A8445FC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4F7DB521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249A9200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58DFC9C3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1C4C2DC9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318539BC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5F04A03C" w14:textId="77777777" w:rsidR="00582450" w:rsidRDefault="00582450">
      <w:pPr>
        <w:pStyle w:val="Title"/>
        <w:spacing w:before="0" w:after="60"/>
        <w:rPr>
          <w:sz w:val="32"/>
          <w:szCs w:val="32"/>
        </w:rPr>
      </w:pPr>
    </w:p>
    <w:p w14:paraId="4F840DD0" w14:textId="77777777" w:rsidR="00582450" w:rsidRDefault="00582450"/>
    <w:p w14:paraId="1812D39C" w14:textId="77777777" w:rsidR="00582450" w:rsidRDefault="00582450">
      <w:pPr>
        <w:pStyle w:val="Title"/>
        <w:spacing w:before="0" w:after="60"/>
        <w:jc w:val="center"/>
        <w:rPr>
          <w:sz w:val="32"/>
          <w:szCs w:val="32"/>
        </w:rPr>
      </w:pPr>
    </w:p>
    <w:p w14:paraId="254CC27E" w14:textId="77777777" w:rsidR="00582450" w:rsidRDefault="00D25114">
      <w:pPr>
        <w:pStyle w:val="Title"/>
        <w:spacing w:before="0" w:after="60"/>
        <w:jc w:val="center"/>
        <w:rPr>
          <w:sz w:val="32"/>
          <w:szCs w:val="32"/>
        </w:rPr>
      </w:pPr>
      <w:r>
        <w:rPr>
          <w:sz w:val="32"/>
          <w:szCs w:val="32"/>
        </w:rPr>
        <w:t>Evaluations of training programs to improve capacity in K*: A systematic scoping review of methods applied and outcomes assessed</w:t>
      </w:r>
    </w:p>
    <w:p w14:paraId="0CCE25CE" w14:textId="77777777" w:rsidR="00582450" w:rsidRDefault="00582450">
      <w:pPr>
        <w:rPr>
          <w:b/>
          <w:sz w:val="24"/>
          <w:szCs w:val="24"/>
        </w:rPr>
      </w:pPr>
    </w:p>
    <w:p w14:paraId="5B8D14FE" w14:textId="77777777" w:rsidR="00582450" w:rsidRDefault="00D251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Supplemental Information A: </w:t>
      </w:r>
    </w:p>
    <w:p w14:paraId="4E6B4736" w14:textId="736CCD1D" w:rsidR="00582450" w:rsidRDefault="00D251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Definition</w:t>
      </w:r>
      <w:r w:rsidR="001F0DD2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of </w:t>
      </w:r>
      <w:r w:rsidR="001F0DD2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 xml:space="preserve">ey </w:t>
      </w:r>
      <w:r w:rsidR="001F0DD2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 xml:space="preserve">erms </w:t>
      </w:r>
    </w:p>
    <w:p w14:paraId="0497D4E3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center"/>
        <w:rPr>
          <w:b/>
          <w:sz w:val="24"/>
          <w:szCs w:val="24"/>
        </w:rPr>
      </w:pPr>
    </w:p>
    <w:p w14:paraId="4FCEBC04" w14:textId="77777777" w:rsidR="00582450" w:rsidRDefault="00D25114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Samantha Shewchuk, James Wallace, and Mia Seibold</w:t>
      </w:r>
    </w:p>
    <w:p w14:paraId="490FBE18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7BFC73FC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1EFA7F83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0AFA8CE6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48FC11E5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09475CD4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11C0F44E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32690C29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030440BD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55343CD8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500F0E6D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6CA941EA" w14:textId="77777777" w:rsidR="00D25114" w:rsidRDefault="00D2511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80"/>
        <w:jc w:val="right"/>
        <w:rPr>
          <w:b/>
          <w:sz w:val="27"/>
          <w:szCs w:val="27"/>
        </w:rPr>
      </w:pPr>
    </w:p>
    <w:p w14:paraId="34529170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right="3006"/>
        <w:rPr>
          <w:b/>
          <w:color w:val="000000"/>
          <w:sz w:val="27"/>
          <w:szCs w:val="27"/>
        </w:rPr>
      </w:pPr>
    </w:p>
    <w:tbl>
      <w:tblPr>
        <w:tblStyle w:val="a"/>
        <w:tblW w:w="9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7375"/>
      </w:tblGrid>
      <w:tr w:rsidR="00582450" w14:paraId="0E34EEB0" w14:textId="77777777">
        <w:trPr>
          <w:trHeight w:val="262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25106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Term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B3D22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Definition </w:t>
            </w:r>
          </w:p>
        </w:tc>
      </w:tr>
      <w:tr w:rsidR="00582450" w14:paraId="4D0C7F85" w14:textId="77777777">
        <w:trPr>
          <w:trHeight w:val="1022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5854B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Boundary  </w:t>
            </w:r>
          </w:p>
          <w:p w14:paraId="11C7604C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Spanning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5F31E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9" w:right="84" w:firstLine="9"/>
              <w:rPr>
                <w:color w:val="000000"/>
                <w:sz w:val="24"/>
                <w:szCs w:val="24"/>
                <w:shd w:val="clear" w:color="auto" w:fill="FCFCFC"/>
              </w:rPr>
            </w:pPr>
            <w:r>
              <w:rPr>
                <w:color w:val="000000"/>
                <w:sz w:val="24"/>
                <w:szCs w:val="24"/>
                <w:shd w:val="clear" w:color="auto" w:fill="FCFCFC"/>
              </w:rPr>
              <w:t>Boundary spanning works to enable exchange between the production and use of knowledge to support evidence-informed decision-making in a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CFCFC"/>
              </w:rPr>
              <w:t xml:space="preserve">specific context </w:t>
            </w:r>
            <w:r>
              <w:rPr>
                <w:color w:val="000000"/>
                <w:sz w:val="24"/>
                <w:szCs w:val="24"/>
              </w:rPr>
              <w:t>(Bednarek et al., 2018)</w:t>
            </w:r>
            <w:r>
              <w:rPr>
                <w:color w:val="000000"/>
                <w:sz w:val="24"/>
                <w:szCs w:val="24"/>
                <w:shd w:val="clear" w:color="auto" w:fill="FCFCFC"/>
              </w:rPr>
              <w:t xml:space="preserve">. Boundary spanning is a common synonym for knowledge brokering. </w:t>
            </w:r>
          </w:p>
        </w:tc>
      </w:tr>
      <w:tr w:rsidR="00582450" w14:paraId="5952AB19" w14:textId="77777777">
        <w:trPr>
          <w:trHeight w:val="768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4DEF0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Dissemination  </w:t>
            </w:r>
          </w:p>
          <w:p w14:paraId="4B69A448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and  </w:t>
            </w:r>
          </w:p>
          <w:p w14:paraId="2ED04B2E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Implementation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0E234" w14:textId="5215F8BF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5" w:right="279" w:firstLine="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Dissemination and implementation science seek</w:t>
            </w:r>
            <w:r w:rsidR="001C7AFF">
              <w:rPr>
                <w:color w:val="000000"/>
                <w:sz w:val="24"/>
                <w:szCs w:val="24"/>
              </w:rPr>
              <w:t>s</w:t>
            </w:r>
            <w:r>
              <w:rPr>
                <w:color w:val="000000"/>
                <w:sz w:val="24"/>
                <w:szCs w:val="24"/>
              </w:rPr>
              <w:t xml:space="preserve"> to</w:t>
            </w:r>
            <w:r w:rsidR="001C7AF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understand how to promote the systematic uptake of evidence-based interventions and/or practices into real-world contexts (</w:t>
            </w:r>
            <w:proofErr w:type="spellStart"/>
            <w:r>
              <w:rPr>
                <w:color w:val="000000"/>
                <w:sz w:val="24"/>
                <w:szCs w:val="24"/>
              </w:rPr>
              <w:t>Rositch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et al., 2020). </w:t>
            </w:r>
          </w:p>
        </w:tc>
      </w:tr>
      <w:tr w:rsidR="00582450" w14:paraId="4BE2D7B0" w14:textId="77777777">
        <w:trPr>
          <w:trHeight w:val="769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ABF7D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Engaged  </w:t>
            </w:r>
          </w:p>
          <w:p w14:paraId="2710FD59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Scholarship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3F820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7" w:right="183" w:hanging="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 form of collaborative inquiry between academics and practitioners that leverages their different perspectives to generate useful knowledge (Bowen &amp; Graham, 2013) </w:t>
            </w:r>
          </w:p>
        </w:tc>
      </w:tr>
      <w:tr w:rsidR="00582450" w14:paraId="70F250FF" w14:textId="77777777">
        <w:trPr>
          <w:trHeight w:val="1527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962A3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Knowledge  </w:t>
            </w:r>
          </w:p>
          <w:p w14:paraId="43C9F00A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Brokering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8DE5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72" w:firstLine="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Knowledge brokering forges new partnerships that facilitate interaction between researchers and KUs [knowledge users]. Serving as both a role and a process, knowledge brokering promotes better understanding of one another’s goals and professional cultures, influence on one another’s work, and benefits from research-based evidence (Barwick et al., 2020).  Knowledge brokering is a common synonym for boundary spanning. </w:t>
            </w:r>
          </w:p>
        </w:tc>
      </w:tr>
      <w:tr w:rsidR="00582450" w14:paraId="0DE18182" w14:textId="77777777">
        <w:trPr>
          <w:trHeight w:val="1528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A396E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Knowledge  </w:t>
            </w:r>
          </w:p>
          <w:p w14:paraId="5819EEED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Exchange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DC40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1" w:right="97" w:firstLine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Knowledge exchange (KE) are processes that generate, share and/or use knowledge through various methods appropriate to the context, purpose, and participants involved (</w:t>
            </w:r>
            <w:proofErr w:type="spellStart"/>
            <w:r>
              <w:rPr>
                <w:color w:val="000000"/>
                <w:sz w:val="24"/>
                <w:szCs w:val="24"/>
              </w:rPr>
              <w:t>Fazey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et al., 2013). Knowledge exchange is typically used in the environmental sciences and is a common synonym for knowledge extension, knowledge mobilization, and knowledge translation. </w:t>
            </w:r>
          </w:p>
        </w:tc>
      </w:tr>
      <w:tr w:rsidR="00582450" w14:paraId="10CABD03" w14:textId="77777777">
        <w:trPr>
          <w:trHeight w:val="1527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20E41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Knowledge  </w:t>
            </w:r>
          </w:p>
          <w:p w14:paraId="5E5985AA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Extension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9B17C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1" w:right="85" w:firstLine="7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Knowledge Extension refers to the application of scientific research and new knowledge to agricultural practices through a wide range of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communication and learning activities </w:t>
            </w:r>
            <w:r>
              <w:rPr>
                <w:color w:val="000000"/>
                <w:sz w:val="24"/>
                <w:szCs w:val="24"/>
              </w:rPr>
              <w:t>(Rivera &amp; Sulaiman, 2009)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Knowledge extension is typically used in the field of agriculture and is a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common synonym for knowledge exchange, knowledge mobilization, and knowledge translation. </w:t>
            </w:r>
          </w:p>
        </w:tc>
      </w:tr>
      <w:tr w:rsidR="00582450" w14:paraId="00BCA690" w14:textId="77777777">
        <w:trPr>
          <w:trHeight w:val="1780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1E332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Knowledge  </w:t>
            </w:r>
          </w:p>
          <w:p w14:paraId="4535DD77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Mobilization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DF213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2" w:right="120" w:hanging="6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The reciprocal and complementary flow and uptake of research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knowledge between researchers, knowledge brokers and knowledge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users—both within and beyond academia—in such a way that may benefit users and create </w:t>
            </w:r>
            <w:r>
              <w:rPr>
                <w:color w:val="000000"/>
                <w:sz w:val="24"/>
                <w:szCs w:val="24"/>
              </w:rPr>
              <w:t>(Social Sciences and Humanities Research Council, 2019)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positive impacts. Knowledge mobilization is typically used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in the social sciences and humanities and is a common synonym for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knowledge exchange, knowledge extension, and knowledge translation. </w:t>
            </w:r>
          </w:p>
        </w:tc>
      </w:tr>
      <w:tr w:rsidR="00582450" w14:paraId="4A26B95E" w14:textId="77777777" w:rsidTr="001C7AFF">
        <w:trPr>
          <w:trHeight w:val="1411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E85C0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Knowledge  </w:t>
            </w:r>
          </w:p>
          <w:p w14:paraId="3F6E13BB" w14:textId="77777777" w:rsidR="00582450" w:rsidRDefault="00D25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Translation </w:t>
            </w:r>
          </w:p>
        </w:tc>
        <w:tc>
          <w:tcPr>
            <w:tcW w:w="7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7D156" w14:textId="101BB254" w:rsidR="00582450" w:rsidRDefault="001C7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9" w:right="156" w:firstLin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 dynamic and iterative process that includes </w:t>
            </w:r>
            <w:proofErr w:type="spellStart"/>
            <w:r>
              <w:rPr>
                <w:color w:val="000000"/>
                <w:sz w:val="24"/>
                <w:szCs w:val="24"/>
              </w:rPr>
              <w:t>sysnthesis</w:t>
            </w:r>
            <w:proofErr w:type="spellEnd"/>
            <w:r>
              <w:rPr>
                <w:color w:val="000000"/>
                <w:sz w:val="24"/>
                <w:szCs w:val="24"/>
              </w:rPr>
              <w:t>, dissemination, exchange, and ethically</w:t>
            </w:r>
            <w:r w:rsidR="00D25114">
              <w:rPr>
                <w:color w:val="000000"/>
                <w:sz w:val="24"/>
                <w:szCs w:val="24"/>
              </w:rPr>
              <w:t>-sound application of knowledg</w:t>
            </w:r>
            <w:r>
              <w:rPr>
                <w:color w:val="000000"/>
                <w:sz w:val="24"/>
                <w:szCs w:val="24"/>
              </w:rPr>
              <w:t>e</w:t>
            </w:r>
            <w:r w:rsidR="00D25114">
              <w:rPr>
                <w:color w:val="000000"/>
                <w:sz w:val="24"/>
                <w:szCs w:val="24"/>
              </w:rPr>
              <w:t xml:space="preserve"> (Canadian Institutes of Health Research, 2016). Knowledge translation is typically used in the field of health and is a common synonym for knowledge exchange, knowledge extension, and knowledge mobilization. </w:t>
            </w:r>
          </w:p>
        </w:tc>
      </w:tr>
    </w:tbl>
    <w:p w14:paraId="4AA21EFE" w14:textId="77777777" w:rsidR="00582450" w:rsidRDefault="005824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88BD9EE" w14:textId="30B3F61F" w:rsidR="00582450" w:rsidRPr="001C7AFF" w:rsidRDefault="001C7AF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 w:rsidRPr="001C7AFF">
        <w:rPr>
          <w:b/>
          <w:bCs/>
          <w:color w:val="000000"/>
          <w:sz w:val="24"/>
          <w:szCs w:val="24"/>
        </w:rPr>
        <w:t>References</w:t>
      </w:r>
    </w:p>
    <w:p w14:paraId="6AD14DE7" w14:textId="77777777" w:rsidR="001C7AFF" w:rsidRDefault="001C7AF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F4E67B6" w14:textId="02421881" w:rsidR="00206847" w:rsidRPr="00206847" w:rsidRDefault="00206847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  <w:rPr>
          <w:color w:val="222222"/>
          <w:sz w:val="20"/>
          <w:szCs w:val="20"/>
          <w:shd w:val="clear" w:color="auto" w:fill="FFFFFF"/>
        </w:rPr>
      </w:pPr>
      <w:r>
        <w:rPr>
          <w:rStyle w:val="qowt-font1-arial"/>
          <w:color w:val="000000"/>
        </w:rPr>
        <w:t xml:space="preserve">Barwick M, </w:t>
      </w:r>
      <w:proofErr w:type="spellStart"/>
      <w:r>
        <w:rPr>
          <w:rStyle w:val="qowt-font1-arial"/>
          <w:color w:val="000000"/>
        </w:rPr>
        <w:t>Dubrowski</w:t>
      </w:r>
      <w:proofErr w:type="spellEnd"/>
      <w:r>
        <w:rPr>
          <w:rStyle w:val="qowt-font1-arial"/>
          <w:color w:val="000000"/>
        </w:rPr>
        <w:t xml:space="preserve"> R, </w:t>
      </w:r>
      <w:proofErr w:type="spellStart"/>
      <w:r>
        <w:rPr>
          <w:rStyle w:val="qowt-font1-arial"/>
          <w:color w:val="000000"/>
        </w:rPr>
        <w:t>Petricca</w:t>
      </w:r>
      <w:proofErr w:type="spellEnd"/>
      <w:r>
        <w:rPr>
          <w:rStyle w:val="qowt-font1-arial"/>
          <w:color w:val="000000"/>
        </w:rPr>
        <w:t xml:space="preserve"> K (2020) Knowledge translation: The rise of implementation. Washington, DC: American Institutes for Research. </w:t>
      </w:r>
      <w:hyperlink r:id="rId4" w:tgtFrame="_blank" w:history="1">
        <w:r>
          <w:rPr>
            <w:rStyle w:val="qowt-font1-arial"/>
            <w:color w:val="0000FF"/>
            <w:u w:val="single"/>
          </w:rPr>
          <w:t>https://ktdrr.org/products/kt-implementation/KT-Implementation-508.pdf</w:t>
        </w:r>
      </w:hyperlink>
      <w:r>
        <w:rPr>
          <w:rStyle w:val="qowt-font1-arial"/>
          <w:color w:val="000000"/>
        </w:rPr>
        <w:t>. Accessed 18 Aug 2022</w:t>
      </w:r>
    </w:p>
    <w:p w14:paraId="7751E401" w14:textId="3CB2C2E3" w:rsidR="00206847" w:rsidRDefault="001C7AFF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  <w:rPr>
          <w:color w:val="222222"/>
          <w:shd w:val="clear" w:color="auto" w:fill="FFFFFF"/>
        </w:rPr>
      </w:pPr>
      <w:proofErr w:type="spellStart"/>
      <w:r w:rsidRPr="00AE2521">
        <w:rPr>
          <w:color w:val="000000" w:themeColor="text1"/>
          <w:shd w:val="clear" w:color="auto" w:fill="FFFFFF"/>
        </w:rPr>
        <w:t>Bednarek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AT, </w:t>
      </w:r>
      <w:proofErr w:type="spellStart"/>
      <w:r w:rsidRPr="00AE2521">
        <w:rPr>
          <w:color w:val="000000" w:themeColor="text1"/>
          <w:shd w:val="clear" w:color="auto" w:fill="FFFFFF"/>
        </w:rPr>
        <w:t>Wyborn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C, </w:t>
      </w:r>
      <w:proofErr w:type="spellStart"/>
      <w:r w:rsidRPr="00AE2521">
        <w:rPr>
          <w:color w:val="000000" w:themeColor="text1"/>
          <w:shd w:val="clear" w:color="auto" w:fill="FFFFFF"/>
        </w:rPr>
        <w:t>Cvitanovic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C, Meyer R, Colvin RM, Addison PF, </w:t>
      </w:r>
      <w:r w:rsidR="007277D6" w:rsidRPr="00AE2521">
        <w:rPr>
          <w:color w:val="000000" w:themeColor="text1"/>
          <w:shd w:val="clear" w:color="auto" w:fill="FFFFFF"/>
        </w:rPr>
        <w:t xml:space="preserve">Close SL, Curran K, </w:t>
      </w:r>
      <w:proofErr w:type="spellStart"/>
      <w:r w:rsidR="007277D6" w:rsidRPr="00AE2521">
        <w:rPr>
          <w:color w:val="000000" w:themeColor="text1"/>
          <w:shd w:val="clear" w:color="auto" w:fill="FFFFFF"/>
        </w:rPr>
        <w:t>Farooque</w:t>
      </w:r>
      <w:proofErr w:type="spellEnd"/>
      <w:r w:rsidR="007277D6" w:rsidRPr="00AE2521">
        <w:rPr>
          <w:color w:val="000000" w:themeColor="text1"/>
          <w:shd w:val="clear" w:color="auto" w:fill="FFFFFF"/>
        </w:rPr>
        <w:t xml:space="preserve"> M, Goldman E, Hart D, Mannix H, </w:t>
      </w:r>
      <w:proofErr w:type="spellStart"/>
      <w:r w:rsidR="007277D6" w:rsidRPr="00AE2521">
        <w:rPr>
          <w:color w:val="000000" w:themeColor="text1"/>
          <w:shd w:val="clear" w:color="auto" w:fill="FFFFFF"/>
        </w:rPr>
        <w:t>McGreavy</w:t>
      </w:r>
      <w:proofErr w:type="spellEnd"/>
      <w:r w:rsidR="007277D6" w:rsidRPr="00AE2521">
        <w:rPr>
          <w:color w:val="000000" w:themeColor="text1"/>
          <w:shd w:val="clear" w:color="auto" w:fill="FFFFFF"/>
        </w:rPr>
        <w:t xml:space="preserve"> B, Parris A, Posner S, Robinson C, Ryan M,</w:t>
      </w:r>
      <w:r w:rsidRPr="00AE2521">
        <w:rPr>
          <w:color w:val="000000" w:themeColor="text1"/>
          <w:shd w:val="clear" w:color="auto" w:fill="FFFFFF"/>
        </w:rPr>
        <w:t xml:space="preserve"> Leith P (2018) Boundary spanning at the science–policy interface: the practitioners’ perspectives. Sustainability science</w:t>
      </w:r>
      <w:r w:rsidR="007277D6" w:rsidRPr="00AE2521">
        <w:rPr>
          <w:color w:val="000000" w:themeColor="text1"/>
          <w:shd w:val="clear" w:color="auto" w:fill="FFFFFF"/>
        </w:rPr>
        <w:t xml:space="preserve"> </w:t>
      </w:r>
      <w:r w:rsidRPr="00AE2521">
        <w:rPr>
          <w:color w:val="000000" w:themeColor="text1"/>
          <w:shd w:val="clear" w:color="auto" w:fill="FFFFFF"/>
        </w:rPr>
        <w:t>13</w:t>
      </w:r>
      <w:r w:rsidR="007277D6" w:rsidRPr="00AE2521">
        <w:rPr>
          <w:color w:val="000000" w:themeColor="text1"/>
          <w:shd w:val="clear" w:color="auto" w:fill="FFFFFF"/>
        </w:rPr>
        <w:t>(1):</w:t>
      </w:r>
      <w:r w:rsidRPr="00AE2521">
        <w:rPr>
          <w:color w:val="000000" w:themeColor="text1"/>
          <w:shd w:val="clear" w:color="auto" w:fill="FFFFFF"/>
        </w:rPr>
        <w:t>1175-1183.</w:t>
      </w:r>
      <w:r w:rsidR="007277D6" w:rsidRPr="00AE2521">
        <w:rPr>
          <w:color w:val="000000" w:themeColor="text1"/>
          <w:shd w:val="clear" w:color="auto" w:fill="FFFFFF"/>
        </w:rPr>
        <w:t xml:space="preserve"> </w:t>
      </w:r>
      <w:hyperlink r:id="rId5" w:history="1">
        <w:r w:rsidR="007277D6" w:rsidRPr="007277D6">
          <w:rPr>
            <w:rStyle w:val="Hyperlink"/>
            <w:shd w:val="clear" w:color="auto" w:fill="FFFFFF"/>
          </w:rPr>
          <w:t>https://doi.org/10.1007/s11625-01</w:t>
        </w:r>
        <w:r w:rsidR="007277D6" w:rsidRPr="007277D6">
          <w:rPr>
            <w:rStyle w:val="Hyperlink"/>
            <w:shd w:val="clear" w:color="auto" w:fill="FFFFFF"/>
          </w:rPr>
          <w:t>8</w:t>
        </w:r>
        <w:r w:rsidR="007277D6" w:rsidRPr="007277D6">
          <w:rPr>
            <w:rStyle w:val="Hyperlink"/>
            <w:shd w:val="clear" w:color="auto" w:fill="FFFFFF"/>
          </w:rPr>
          <w:t>-0550-9</w:t>
        </w:r>
      </w:hyperlink>
    </w:p>
    <w:p w14:paraId="6FC08370" w14:textId="30EB56E2" w:rsidR="00206847" w:rsidRPr="00206847" w:rsidRDefault="00206847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  <w:rPr>
          <w:color w:val="212121"/>
          <w:shd w:val="clear" w:color="auto" w:fill="FFFFFF"/>
        </w:rPr>
      </w:pPr>
      <w:r w:rsidRPr="00AE2521">
        <w:rPr>
          <w:color w:val="000000" w:themeColor="text1"/>
          <w:shd w:val="clear" w:color="auto" w:fill="FFFFFF"/>
        </w:rPr>
        <w:t xml:space="preserve">Bowen SJ, Graham ID (2013) From knowledge translation to engaged scholarship: promoting research relevance and utilization. Arch Phys Med </w:t>
      </w:r>
      <w:proofErr w:type="spellStart"/>
      <w:r w:rsidRPr="00AE2521">
        <w:rPr>
          <w:color w:val="000000" w:themeColor="text1"/>
          <w:shd w:val="clear" w:color="auto" w:fill="FFFFFF"/>
        </w:rPr>
        <w:t>Rehabil</w:t>
      </w:r>
      <w:proofErr w:type="spellEnd"/>
      <w:r w:rsidRPr="00AE2521">
        <w:rPr>
          <w:color w:val="000000" w:themeColor="text1"/>
          <w:shd w:val="clear" w:color="auto" w:fill="FFFFFF"/>
        </w:rPr>
        <w:t> 94(1</w:t>
      </w:r>
      <w:proofErr w:type="gramStart"/>
      <w:r w:rsidRPr="00AE2521">
        <w:rPr>
          <w:color w:val="000000" w:themeColor="text1"/>
          <w:shd w:val="clear" w:color="auto" w:fill="FFFFFF"/>
        </w:rPr>
        <w:t>):S</w:t>
      </w:r>
      <w:proofErr w:type="gramEnd"/>
      <w:r w:rsidRPr="00AE2521">
        <w:rPr>
          <w:color w:val="000000" w:themeColor="text1"/>
          <w:shd w:val="clear" w:color="auto" w:fill="FFFFFF"/>
        </w:rPr>
        <w:t xml:space="preserve">3-S8. </w:t>
      </w:r>
      <w:hyperlink r:id="rId6" w:history="1">
        <w:r w:rsidRPr="00AE2521">
          <w:rPr>
            <w:rStyle w:val="Hyperlink"/>
            <w:shd w:val="clear" w:color="auto" w:fill="FFFFFF"/>
          </w:rPr>
          <w:t>https://doi.org/1</w:t>
        </w:r>
        <w:r w:rsidRPr="00AE2521">
          <w:rPr>
            <w:rStyle w:val="Hyperlink"/>
            <w:shd w:val="clear" w:color="auto" w:fill="FFFFFF"/>
          </w:rPr>
          <w:t>0</w:t>
        </w:r>
        <w:r w:rsidRPr="00AE2521">
          <w:rPr>
            <w:rStyle w:val="Hyperlink"/>
            <w:shd w:val="clear" w:color="auto" w:fill="FFFFFF"/>
          </w:rPr>
          <w:t>.1016/j.apmr.2012.0</w:t>
        </w:r>
        <w:r w:rsidRPr="00AE2521">
          <w:rPr>
            <w:rStyle w:val="Hyperlink"/>
            <w:shd w:val="clear" w:color="auto" w:fill="FFFFFF"/>
          </w:rPr>
          <w:t>4</w:t>
        </w:r>
        <w:r w:rsidRPr="00AE2521">
          <w:rPr>
            <w:rStyle w:val="Hyperlink"/>
            <w:shd w:val="clear" w:color="auto" w:fill="FFFFFF"/>
          </w:rPr>
          <w:t>.037</w:t>
        </w:r>
      </w:hyperlink>
    </w:p>
    <w:p w14:paraId="21AC2FC1" w14:textId="4F70F378" w:rsidR="00206847" w:rsidRPr="007277D6" w:rsidRDefault="00206847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  <w:rPr>
          <w:color w:val="222222"/>
          <w:shd w:val="clear" w:color="auto" w:fill="FFFFFF"/>
        </w:rPr>
      </w:pPr>
      <w:r w:rsidRPr="00206847">
        <w:rPr>
          <w:color w:val="000000" w:themeColor="text1"/>
          <w:shd w:val="clear" w:color="auto" w:fill="FFFFFF"/>
        </w:rPr>
        <w:t xml:space="preserve">Canadian Institutes of Health Research (2016) Knowledge Mobilization. </w:t>
      </w:r>
      <w:hyperlink r:id="rId7" w:anchor="2" w:history="1">
        <w:r w:rsidRPr="00206847">
          <w:rPr>
            <w:rStyle w:val="Hyperlink"/>
            <w:shd w:val="clear" w:color="auto" w:fill="FFFFFF"/>
          </w:rPr>
          <w:t>https://cihr-irsc.</w:t>
        </w:r>
        <w:r w:rsidRPr="00206847">
          <w:rPr>
            <w:rStyle w:val="Hyperlink"/>
            <w:shd w:val="clear" w:color="auto" w:fill="FFFFFF"/>
          </w:rPr>
          <w:t>g</w:t>
        </w:r>
        <w:r w:rsidRPr="00206847">
          <w:rPr>
            <w:rStyle w:val="Hyperlink"/>
            <w:shd w:val="clear" w:color="auto" w:fill="FFFFFF"/>
          </w:rPr>
          <w:t>c.ca/e/29418.html#2</w:t>
        </w:r>
      </w:hyperlink>
      <w:r w:rsidRPr="00206847">
        <w:rPr>
          <w:color w:val="222222"/>
          <w:shd w:val="clear" w:color="auto" w:fill="FFFFFF"/>
        </w:rPr>
        <w:t xml:space="preserve"> </w:t>
      </w:r>
      <w:r w:rsidRPr="00206847">
        <w:rPr>
          <w:rStyle w:val="qowt-font1-arial"/>
          <w:color w:val="000000"/>
        </w:rPr>
        <w:t>Accessed 18 Aug 2022</w:t>
      </w:r>
    </w:p>
    <w:p w14:paraId="5867CE30" w14:textId="3B39147E" w:rsidR="001C7AFF" w:rsidRPr="00206847" w:rsidRDefault="00206847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</w:pPr>
      <w:proofErr w:type="spellStart"/>
      <w:r w:rsidRPr="00AE2521">
        <w:rPr>
          <w:color w:val="000000" w:themeColor="text1"/>
          <w:shd w:val="clear" w:color="auto" w:fill="FFFFFF"/>
        </w:rPr>
        <w:t>Fazey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I, </w:t>
      </w:r>
      <w:proofErr w:type="spellStart"/>
      <w:r w:rsidRPr="00AE2521">
        <w:rPr>
          <w:color w:val="000000" w:themeColor="text1"/>
          <w:shd w:val="clear" w:color="auto" w:fill="FFFFFF"/>
        </w:rPr>
        <w:t>Evely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AC, Reed MS, Stringer LC, </w:t>
      </w:r>
      <w:proofErr w:type="spellStart"/>
      <w:r w:rsidRPr="00AE2521">
        <w:rPr>
          <w:color w:val="000000" w:themeColor="text1"/>
          <w:shd w:val="clear" w:color="auto" w:fill="FFFFFF"/>
        </w:rPr>
        <w:t>Kruijsen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J, White PC, </w:t>
      </w:r>
      <w:proofErr w:type="spellStart"/>
      <w:r w:rsidRPr="00AE2521">
        <w:rPr>
          <w:color w:val="000000" w:themeColor="text1"/>
          <w:shd w:val="clear" w:color="auto" w:fill="FFFFFF"/>
        </w:rPr>
        <w:t>Newsham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A, </w:t>
      </w:r>
      <w:proofErr w:type="spellStart"/>
      <w:r w:rsidRPr="00AE2521">
        <w:rPr>
          <w:color w:val="000000" w:themeColor="text1"/>
          <w:shd w:val="clear" w:color="auto" w:fill="FFFFFF"/>
        </w:rPr>
        <w:t>Jin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L, </w:t>
      </w:r>
      <w:proofErr w:type="spellStart"/>
      <w:r w:rsidRPr="00AE2521">
        <w:rPr>
          <w:color w:val="000000" w:themeColor="text1"/>
          <w:shd w:val="clear" w:color="auto" w:fill="FFFFFF"/>
        </w:rPr>
        <w:t>Cortazzi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M, Phillipson J, Blackstock K, Entwistle N, </w:t>
      </w:r>
      <w:proofErr w:type="spellStart"/>
      <w:r w:rsidRPr="00AE2521">
        <w:rPr>
          <w:color w:val="000000" w:themeColor="text1"/>
          <w:shd w:val="clear" w:color="auto" w:fill="FFFFFF"/>
        </w:rPr>
        <w:t>Sheate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W, Armstrong F, Blackmore C, </w:t>
      </w:r>
      <w:proofErr w:type="spellStart"/>
      <w:r w:rsidRPr="00AE2521">
        <w:rPr>
          <w:color w:val="000000" w:themeColor="text1"/>
          <w:shd w:val="clear" w:color="auto" w:fill="FFFFFF"/>
        </w:rPr>
        <w:t>Fazey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J, Ingram J, Gregson J, Lowe P, Morton S, </w:t>
      </w:r>
      <w:proofErr w:type="spellStart"/>
      <w:r w:rsidRPr="00AE2521">
        <w:rPr>
          <w:color w:val="000000" w:themeColor="text1"/>
          <w:shd w:val="clear" w:color="auto" w:fill="FFFFFF"/>
        </w:rPr>
        <w:t>Trevitt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C (2013) Knowledge exchange: a review and research agenda for environmental management. Environmental Conservation 40(1):19-36. </w:t>
      </w:r>
      <w:hyperlink r:id="rId8" w:history="1">
        <w:r w:rsidRPr="00C46BC1">
          <w:rPr>
            <w:rStyle w:val="Hyperlink"/>
          </w:rPr>
          <w:t>https://doi.org/10.1017/S037689291200029X</w:t>
        </w:r>
      </w:hyperlink>
    </w:p>
    <w:p w14:paraId="0F6041D7" w14:textId="17D3EDB5" w:rsidR="00206847" w:rsidRPr="00206847" w:rsidRDefault="00206847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  <w:rPr>
          <w:color w:val="000000" w:themeColor="text1"/>
          <w:shd w:val="clear" w:color="auto" w:fill="FFFFFF"/>
        </w:rPr>
      </w:pPr>
      <w:r w:rsidRPr="00206847">
        <w:rPr>
          <w:color w:val="000000" w:themeColor="text1"/>
          <w:shd w:val="clear" w:color="auto" w:fill="FFFFFF"/>
        </w:rPr>
        <w:t xml:space="preserve">Rivera WM, </w:t>
      </w:r>
      <w:proofErr w:type="spellStart"/>
      <w:r w:rsidRPr="00206847">
        <w:rPr>
          <w:color w:val="000000" w:themeColor="text1"/>
          <w:shd w:val="clear" w:color="auto" w:fill="FFFFFF"/>
        </w:rPr>
        <w:t>Sulaiman</w:t>
      </w:r>
      <w:proofErr w:type="spellEnd"/>
      <w:r w:rsidRPr="00206847">
        <w:rPr>
          <w:color w:val="000000" w:themeColor="text1"/>
          <w:shd w:val="clear" w:color="auto" w:fill="FFFFFF"/>
        </w:rPr>
        <w:t xml:space="preserve"> VR (2009) Extension: object of reform, engine for innovation. Outlook on agriculture 38(3):267-273. </w:t>
      </w:r>
      <w:hyperlink r:id="rId9" w:history="1">
        <w:r w:rsidRPr="00206847">
          <w:rPr>
            <w:rStyle w:val="Hyperlink"/>
            <w:shd w:val="clear" w:color="auto" w:fill="FFFFFF"/>
          </w:rPr>
          <w:t>https://doi.org/10.5367/0000000097893968</w:t>
        </w:r>
      </w:hyperlink>
    </w:p>
    <w:p w14:paraId="73927A88" w14:textId="3852FA9E" w:rsidR="001C7AFF" w:rsidRPr="00206847" w:rsidRDefault="001C7AFF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  <w:rPr>
          <w:color w:val="212121"/>
          <w:shd w:val="clear" w:color="auto" w:fill="FFFFFF"/>
        </w:rPr>
      </w:pPr>
      <w:proofErr w:type="spellStart"/>
      <w:r w:rsidRPr="00AE2521">
        <w:rPr>
          <w:color w:val="000000" w:themeColor="text1"/>
          <w:shd w:val="clear" w:color="auto" w:fill="FFFFFF"/>
        </w:rPr>
        <w:lastRenderedPageBreak/>
        <w:t>Rositch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AF, Unger</w:t>
      </w:r>
      <w:r w:rsidRPr="00AE2521">
        <w:rPr>
          <w:rFonts w:ascii="Cambria Math" w:hAnsi="Cambria Math" w:cs="Cambria Math"/>
          <w:color w:val="000000" w:themeColor="text1"/>
          <w:shd w:val="clear" w:color="auto" w:fill="FFFFFF"/>
        </w:rPr>
        <w:t>‐</w:t>
      </w:r>
      <w:proofErr w:type="spellStart"/>
      <w:r w:rsidRPr="00AE2521">
        <w:rPr>
          <w:color w:val="000000" w:themeColor="text1"/>
          <w:shd w:val="clear" w:color="auto" w:fill="FFFFFF"/>
        </w:rPr>
        <w:t>Saldaña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K, DeBoer RJ, </w:t>
      </w:r>
      <w:proofErr w:type="spellStart"/>
      <w:r w:rsidRPr="00AE2521">
        <w:rPr>
          <w:color w:val="000000" w:themeColor="text1"/>
          <w:shd w:val="clear" w:color="auto" w:fill="FFFFFF"/>
        </w:rPr>
        <w:t>Ng’ang’a</w:t>
      </w:r>
      <w:proofErr w:type="spellEnd"/>
      <w:r w:rsidRPr="00AE2521">
        <w:rPr>
          <w:color w:val="000000" w:themeColor="text1"/>
          <w:shd w:val="clear" w:color="auto" w:fill="FFFFFF"/>
        </w:rPr>
        <w:t xml:space="preserve"> A, Weiner BJ (2020) The role of dissemination and implementation science in global breast cancer control programs: Frameworks, methods, and examples. Cancer</w:t>
      </w:r>
      <w:r w:rsidR="007277D6" w:rsidRPr="00AE2521">
        <w:rPr>
          <w:color w:val="000000" w:themeColor="text1"/>
          <w:shd w:val="clear" w:color="auto" w:fill="FFFFFF"/>
        </w:rPr>
        <w:t xml:space="preserve"> </w:t>
      </w:r>
      <w:r w:rsidRPr="00AE2521">
        <w:rPr>
          <w:color w:val="000000" w:themeColor="text1"/>
          <w:shd w:val="clear" w:color="auto" w:fill="FFFFFF"/>
        </w:rPr>
        <w:t>126</w:t>
      </w:r>
      <w:r w:rsidR="007277D6" w:rsidRPr="00AE2521">
        <w:rPr>
          <w:color w:val="000000" w:themeColor="text1"/>
          <w:shd w:val="clear" w:color="auto" w:fill="FFFFFF"/>
        </w:rPr>
        <w:t>(10):</w:t>
      </w:r>
      <w:r w:rsidRPr="00AE2521">
        <w:rPr>
          <w:color w:val="000000" w:themeColor="text1"/>
          <w:shd w:val="clear" w:color="auto" w:fill="FFFFFF"/>
        </w:rPr>
        <w:t>2394-2404.</w:t>
      </w:r>
      <w:r w:rsidR="007277D6" w:rsidRPr="00AE2521">
        <w:rPr>
          <w:color w:val="000000" w:themeColor="text1"/>
          <w:shd w:val="clear" w:color="auto" w:fill="FFFFFF"/>
        </w:rPr>
        <w:t xml:space="preserve"> </w:t>
      </w:r>
      <w:hyperlink r:id="rId10" w:history="1">
        <w:r w:rsidR="007277D6" w:rsidRPr="007277D6">
          <w:rPr>
            <w:rStyle w:val="Hyperlink"/>
            <w:shd w:val="clear" w:color="auto" w:fill="FFFFFF"/>
          </w:rPr>
          <w:t>https://doi.org/10.1002/cncr.32877</w:t>
        </w:r>
      </w:hyperlink>
    </w:p>
    <w:p w14:paraId="00899E2C" w14:textId="77777777" w:rsidR="00206847" w:rsidRPr="00206847" w:rsidRDefault="001C7AFF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720" w:hanging="720"/>
        <w:rPr>
          <w:color w:val="222222"/>
          <w:shd w:val="clear" w:color="auto" w:fill="FFFFFF"/>
        </w:rPr>
      </w:pPr>
      <w:r w:rsidRPr="00206847">
        <w:rPr>
          <w:color w:val="000000" w:themeColor="text1"/>
          <w:shd w:val="clear" w:color="auto" w:fill="FFFFFF"/>
        </w:rPr>
        <w:t>Social Sciences and Humanities Research Council</w:t>
      </w:r>
      <w:r w:rsidR="00206847" w:rsidRPr="00206847">
        <w:rPr>
          <w:color w:val="000000" w:themeColor="text1"/>
          <w:shd w:val="clear" w:color="auto" w:fill="FFFFFF"/>
        </w:rPr>
        <w:t xml:space="preserve"> (2021) Definitions of Terms.</w:t>
      </w:r>
      <w:r w:rsidRPr="00206847">
        <w:rPr>
          <w:color w:val="000000" w:themeColor="text1"/>
          <w:shd w:val="clear" w:color="auto" w:fill="FFFFFF"/>
        </w:rPr>
        <w:t xml:space="preserve"> </w:t>
      </w:r>
      <w:hyperlink r:id="rId11" w:history="1">
        <w:r w:rsidRPr="00206847">
          <w:rPr>
            <w:rStyle w:val="Hyperlink"/>
            <w:shd w:val="clear" w:color="auto" w:fill="FFFFFF"/>
          </w:rPr>
          <w:t>https://www.sshrc-crsh.gc.</w:t>
        </w:r>
        <w:r w:rsidRPr="00206847">
          <w:rPr>
            <w:rStyle w:val="Hyperlink"/>
            <w:shd w:val="clear" w:color="auto" w:fill="FFFFFF"/>
          </w:rPr>
          <w:t>c</w:t>
        </w:r>
        <w:r w:rsidRPr="00206847">
          <w:rPr>
            <w:rStyle w:val="Hyperlink"/>
            <w:shd w:val="clear" w:color="auto" w:fill="FFFFFF"/>
          </w:rPr>
          <w:t>a/funding-financement/programs-programmes/definitions-eng.aspx</w:t>
        </w:r>
      </w:hyperlink>
      <w:r w:rsidR="00206847" w:rsidRPr="00206847">
        <w:rPr>
          <w:color w:val="222222"/>
          <w:shd w:val="clear" w:color="auto" w:fill="FFFFFF"/>
        </w:rPr>
        <w:t xml:space="preserve">. </w:t>
      </w:r>
      <w:r w:rsidR="00206847" w:rsidRPr="00206847">
        <w:rPr>
          <w:rStyle w:val="qowt-font1-arial"/>
          <w:color w:val="000000"/>
        </w:rPr>
        <w:t>Accessed 18 Aug 2022</w:t>
      </w:r>
    </w:p>
    <w:p w14:paraId="4ED5E66C" w14:textId="3A85B655" w:rsidR="001C7AFF" w:rsidRDefault="001C7AFF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afterAutospacing="1"/>
        <w:ind w:left="720" w:hanging="720"/>
        <w:rPr>
          <w:color w:val="222222"/>
          <w:sz w:val="20"/>
          <w:szCs w:val="20"/>
          <w:shd w:val="clear" w:color="auto" w:fill="FFFFFF"/>
        </w:rPr>
      </w:pPr>
    </w:p>
    <w:p w14:paraId="5F08C12F" w14:textId="77777777" w:rsidR="001C7AFF" w:rsidRDefault="001C7AFF" w:rsidP="00206847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222222"/>
          <w:sz w:val="20"/>
          <w:szCs w:val="20"/>
          <w:shd w:val="clear" w:color="auto" w:fill="FFFFFF"/>
        </w:rPr>
      </w:pPr>
    </w:p>
    <w:sectPr w:rsidR="001C7AFF">
      <w:pgSz w:w="12240" w:h="15840"/>
      <w:pgMar w:top="1421" w:right="1449" w:bottom="2212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450"/>
    <w:rsid w:val="001C7AFF"/>
    <w:rsid w:val="001F0DD2"/>
    <w:rsid w:val="00206847"/>
    <w:rsid w:val="00582450"/>
    <w:rsid w:val="007277D6"/>
    <w:rsid w:val="00AE2521"/>
    <w:rsid w:val="00B40427"/>
    <w:rsid w:val="00D2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B8C52"/>
  <w15:docId w15:val="{F382BA19-21E0-4CE5-B7C5-03D36D11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1C7A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AFF"/>
    <w:rPr>
      <w:color w:val="605E5C"/>
      <w:shd w:val="clear" w:color="auto" w:fill="E1DFDD"/>
    </w:rPr>
  </w:style>
  <w:style w:type="character" w:customStyle="1" w:styleId="qowt-font1-arial">
    <w:name w:val="qowt-font1-arial"/>
    <w:basedOn w:val="DefaultParagraphFont"/>
    <w:rsid w:val="00AE2521"/>
  </w:style>
  <w:style w:type="character" w:styleId="FollowedHyperlink">
    <w:name w:val="FollowedHyperlink"/>
    <w:basedOn w:val="DefaultParagraphFont"/>
    <w:uiPriority w:val="99"/>
    <w:semiHidden/>
    <w:unhideWhenUsed/>
    <w:rsid w:val="002068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7/S037689291200029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ihr-irsc.gc.ca/e/29418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apmr.2012.04.037" TargetMode="External"/><Relationship Id="rId11" Type="http://schemas.openxmlformats.org/officeDocument/2006/relationships/hyperlink" Target="https://www.sshrc-crsh.gc.ca/funding-financement/programs-programmes/definitions-eng.aspx" TargetMode="External"/><Relationship Id="rId5" Type="http://schemas.openxmlformats.org/officeDocument/2006/relationships/hyperlink" Target="https://doi.org/10.1007/s11625-018-0550-9" TargetMode="External"/><Relationship Id="rId10" Type="http://schemas.openxmlformats.org/officeDocument/2006/relationships/hyperlink" Target="https://doi.org/10.1002/cncr.32877" TargetMode="External"/><Relationship Id="rId4" Type="http://schemas.openxmlformats.org/officeDocument/2006/relationships/hyperlink" Target="https://ktdrr.org/products/kt-implementation/KT-Implementation-508.pdf" TargetMode="External"/><Relationship Id="rId9" Type="http://schemas.openxmlformats.org/officeDocument/2006/relationships/hyperlink" Target="https://doi.org/10.5367/0000000097893968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Wallace</dc:creator>
  <cp:lastModifiedBy>Wallace, James</cp:lastModifiedBy>
  <cp:revision>5</cp:revision>
  <dcterms:created xsi:type="dcterms:W3CDTF">2023-11-09T16:57:00Z</dcterms:created>
  <dcterms:modified xsi:type="dcterms:W3CDTF">2023-11-10T14:51:00Z</dcterms:modified>
</cp:coreProperties>
</file>