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94AFC" w14:textId="03AAA0D9" w:rsidR="00AE4C2F" w:rsidRDefault="00AE4C2F" w:rsidP="00AE4C2F">
      <w:pPr>
        <w:spacing w:line="360" w:lineRule="auto"/>
        <w:ind w:firstLine="0"/>
        <w:jc w:val="center"/>
        <w:rPr>
          <w:b/>
          <w:bCs/>
          <w:sz w:val="30"/>
          <w:szCs w:val="30"/>
          <w:highlight w:val="none"/>
          <w:shd w:val="clear" w:color="auto" w:fill="auto"/>
          <w:lang w:val="en-GB"/>
        </w:rPr>
      </w:pPr>
      <w:r w:rsidRPr="002C1E62">
        <w:rPr>
          <w:b/>
          <w:bCs/>
          <w:sz w:val="30"/>
          <w:szCs w:val="30"/>
          <w:highlight w:val="none"/>
          <w:shd w:val="clear" w:color="auto" w:fill="auto"/>
          <w:lang w:val="en-GB"/>
        </w:rPr>
        <w:t xml:space="preserve">Research on digital competence in adolescents and young adults: </w:t>
      </w:r>
      <w:r w:rsidRPr="002C1E62">
        <w:rPr>
          <w:b/>
          <w:bCs/>
          <w:sz w:val="30"/>
          <w:szCs w:val="30"/>
          <w:highlight w:val="none"/>
          <w:shd w:val="clear" w:color="auto" w:fill="auto"/>
          <w:lang w:val="en-GB"/>
        </w:rPr>
        <w:br/>
        <w:t xml:space="preserve">A critical analysis of concomitant variables, </w:t>
      </w:r>
      <w:r w:rsidR="00A50965" w:rsidRPr="002C1E62">
        <w:rPr>
          <w:b/>
          <w:bCs/>
          <w:sz w:val="30"/>
          <w:szCs w:val="30"/>
          <w:highlight w:val="none"/>
          <w:shd w:val="clear" w:color="auto" w:fill="auto"/>
          <w:lang w:val="en-GB"/>
        </w:rPr>
        <w:t>methodologies,</w:t>
      </w:r>
      <w:r w:rsidRPr="002C1E62">
        <w:rPr>
          <w:b/>
          <w:bCs/>
          <w:sz w:val="30"/>
          <w:szCs w:val="30"/>
          <w:highlight w:val="none"/>
          <w:shd w:val="clear" w:color="auto" w:fill="auto"/>
          <w:lang w:val="en-GB"/>
        </w:rPr>
        <w:t xml:space="preserve"> and intervention strategies</w:t>
      </w:r>
    </w:p>
    <w:p w14:paraId="4DDE654F" w14:textId="77777777" w:rsidR="00AE4C2F" w:rsidRPr="005851C6" w:rsidRDefault="00AE4C2F" w:rsidP="00AE4C2F">
      <w:pPr>
        <w:spacing w:line="240" w:lineRule="auto"/>
        <w:jc w:val="center"/>
        <w:rPr>
          <w:sz w:val="24"/>
          <w:szCs w:val="24"/>
          <w:highlight w:val="none"/>
          <w:vertAlign w:val="superscript"/>
          <w:lang w:val="de-DE"/>
        </w:rPr>
      </w:pPr>
      <w:r w:rsidRPr="005851C6">
        <w:rPr>
          <w:sz w:val="24"/>
          <w:szCs w:val="24"/>
          <w:highlight w:val="none"/>
          <w:lang w:val="de-DE"/>
        </w:rPr>
        <w:t>Annika Kreuder</w:t>
      </w:r>
      <w:r w:rsidRPr="005851C6">
        <w:rPr>
          <w:sz w:val="24"/>
          <w:szCs w:val="24"/>
          <w:highlight w:val="none"/>
          <w:vertAlign w:val="superscript"/>
          <w:lang w:val="de-DE"/>
        </w:rPr>
        <w:t xml:space="preserve">1, 2 </w:t>
      </w:r>
      <w:r w:rsidRPr="005851C6">
        <w:rPr>
          <w:sz w:val="24"/>
          <w:szCs w:val="24"/>
          <w:highlight w:val="none"/>
          <w:lang w:val="de-DE"/>
        </w:rPr>
        <w:t>(</w:t>
      </w:r>
      <w:hyperlink r:id="rId6" w:history="1">
        <w:r w:rsidRPr="005851C6">
          <w:rPr>
            <w:rStyle w:val="Hyperlink"/>
            <w:sz w:val="24"/>
            <w:szCs w:val="24"/>
            <w:highlight w:val="none"/>
            <w:lang w:val="de-DE"/>
          </w:rPr>
          <w:t>annika.kreuder@psych.rwth-aachen.de</w:t>
        </w:r>
      </w:hyperlink>
      <w:r w:rsidRPr="005851C6">
        <w:rPr>
          <w:sz w:val="24"/>
          <w:szCs w:val="24"/>
          <w:highlight w:val="none"/>
          <w:lang w:val="de-DE"/>
        </w:rPr>
        <w:t>), Ulrich Frick</w:t>
      </w:r>
      <w:r w:rsidRPr="005851C6">
        <w:rPr>
          <w:sz w:val="24"/>
          <w:szCs w:val="24"/>
          <w:highlight w:val="none"/>
          <w:vertAlign w:val="superscript"/>
          <w:lang w:val="de-DE"/>
        </w:rPr>
        <w:t xml:space="preserve">2,3 </w:t>
      </w:r>
      <w:r w:rsidRPr="005851C6">
        <w:rPr>
          <w:sz w:val="24"/>
          <w:szCs w:val="24"/>
          <w:highlight w:val="none"/>
          <w:lang w:val="de-DE"/>
        </w:rPr>
        <w:t>(</w:t>
      </w:r>
      <w:hyperlink r:id="rId7" w:history="1">
        <w:r w:rsidRPr="005851C6">
          <w:rPr>
            <w:rStyle w:val="Hyperlink"/>
            <w:sz w:val="24"/>
            <w:szCs w:val="24"/>
            <w:highlight w:val="none"/>
            <w:lang w:val="de-DE"/>
          </w:rPr>
          <w:t>ulrich.frick@uni-wuerzburg.de</w:t>
        </w:r>
      </w:hyperlink>
      <w:r w:rsidRPr="005851C6">
        <w:rPr>
          <w:sz w:val="24"/>
          <w:szCs w:val="24"/>
          <w:highlight w:val="none"/>
          <w:lang w:val="de-DE"/>
        </w:rPr>
        <w:t>), Katrin Rakoczy</w:t>
      </w:r>
      <w:r w:rsidRPr="005851C6">
        <w:rPr>
          <w:sz w:val="24"/>
          <w:szCs w:val="24"/>
          <w:highlight w:val="none"/>
          <w:vertAlign w:val="superscript"/>
          <w:lang w:val="de-DE"/>
        </w:rPr>
        <w:t xml:space="preserve">4 </w:t>
      </w:r>
      <w:r w:rsidRPr="005851C6">
        <w:rPr>
          <w:sz w:val="24"/>
          <w:szCs w:val="24"/>
          <w:highlight w:val="none"/>
          <w:lang w:val="de-DE"/>
        </w:rPr>
        <w:t>(</w:t>
      </w:r>
      <w:hyperlink r:id="rId8" w:history="1">
        <w:r w:rsidRPr="005851C6">
          <w:rPr>
            <w:rStyle w:val="Hyperlink"/>
            <w:sz w:val="24"/>
            <w:szCs w:val="24"/>
            <w:highlight w:val="none"/>
            <w:lang w:val="de-DE"/>
          </w:rPr>
          <w:t>katrin.rakoczy@erziehung.uni-giessen.de</w:t>
        </w:r>
      </w:hyperlink>
      <w:r w:rsidRPr="005851C6">
        <w:rPr>
          <w:sz w:val="24"/>
          <w:szCs w:val="24"/>
          <w:highlight w:val="none"/>
          <w:lang w:val="de-DE"/>
        </w:rPr>
        <w:t>), and Sabine J. Schlittmeier</w:t>
      </w:r>
      <w:r w:rsidRPr="005851C6">
        <w:rPr>
          <w:sz w:val="24"/>
          <w:szCs w:val="24"/>
          <w:highlight w:val="none"/>
          <w:vertAlign w:val="superscript"/>
          <w:lang w:val="de-DE"/>
        </w:rPr>
        <w:t>1</w:t>
      </w:r>
      <w:r w:rsidRPr="005851C6">
        <w:rPr>
          <w:sz w:val="24"/>
          <w:szCs w:val="24"/>
          <w:highlight w:val="none"/>
          <w:lang w:val="de-DE"/>
        </w:rPr>
        <w:t xml:space="preserve"> (</w:t>
      </w:r>
      <w:hyperlink r:id="rId9">
        <w:r w:rsidRPr="005851C6">
          <w:rPr>
            <w:rStyle w:val="Hyperlink"/>
            <w:sz w:val="24"/>
            <w:szCs w:val="24"/>
            <w:highlight w:val="none"/>
            <w:lang w:val="de-DE"/>
          </w:rPr>
          <w:t>sabine.schlittmeier@psych.rwth-aachen.de</w:t>
        </w:r>
      </w:hyperlink>
      <w:r w:rsidRPr="005851C6">
        <w:rPr>
          <w:sz w:val="24"/>
          <w:szCs w:val="24"/>
          <w:highlight w:val="none"/>
          <w:lang w:val="de-DE"/>
        </w:rPr>
        <w:t>)</w:t>
      </w:r>
    </w:p>
    <w:p w14:paraId="67E177A4" w14:textId="77777777" w:rsidR="00AE4C2F" w:rsidRPr="005851C6" w:rsidRDefault="00AE4C2F" w:rsidP="00AE4C2F">
      <w:pPr>
        <w:spacing w:line="240" w:lineRule="auto"/>
        <w:jc w:val="center"/>
        <w:rPr>
          <w:sz w:val="28"/>
          <w:szCs w:val="28"/>
          <w:highlight w:val="none"/>
          <w:lang w:val="de-DE"/>
        </w:rPr>
      </w:pPr>
    </w:p>
    <w:p w14:paraId="4FB7CDA8" w14:textId="77777777" w:rsidR="00AE4C2F" w:rsidRPr="005851C6" w:rsidRDefault="00AE4C2F" w:rsidP="00AE4C2F">
      <w:pPr>
        <w:spacing w:line="240" w:lineRule="auto"/>
        <w:jc w:val="center"/>
        <w:rPr>
          <w:i/>
          <w:sz w:val="16"/>
          <w:szCs w:val="16"/>
          <w:highlight w:val="none"/>
        </w:rPr>
      </w:pPr>
      <w:r w:rsidRPr="005851C6">
        <w:rPr>
          <w:i/>
          <w:sz w:val="16"/>
          <w:szCs w:val="16"/>
          <w:highlight w:val="none"/>
          <w:vertAlign w:val="superscript"/>
        </w:rPr>
        <w:t xml:space="preserve">1 </w:t>
      </w:r>
      <w:r w:rsidRPr="005851C6">
        <w:rPr>
          <w:i/>
          <w:sz w:val="16"/>
          <w:szCs w:val="16"/>
          <w:highlight w:val="none"/>
        </w:rPr>
        <w:t>Work and Engineering Psychology, RWTH Aachen University, Aachen, Germany</w:t>
      </w:r>
    </w:p>
    <w:p w14:paraId="59598244" w14:textId="77777777" w:rsidR="00AE4C2F" w:rsidRPr="005851C6" w:rsidRDefault="00AE4C2F" w:rsidP="00AE4C2F">
      <w:pPr>
        <w:spacing w:line="240" w:lineRule="auto"/>
        <w:jc w:val="center"/>
        <w:rPr>
          <w:i/>
          <w:sz w:val="16"/>
          <w:szCs w:val="16"/>
          <w:highlight w:val="none"/>
        </w:rPr>
      </w:pPr>
      <w:r w:rsidRPr="005851C6">
        <w:rPr>
          <w:i/>
          <w:sz w:val="16"/>
          <w:szCs w:val="16"/>
          <w:highlight w:val="none"/>
          <w:vertAlign w:val="superscript"/>
        </w:rPr>
        <w:t xml:space="preserve">2 </w:t>
      </w:r>
      <w:r w:rsidRPr="005851C6">
        <w:rPr>
          <w:i/>
          <w:sz w:val="16"/>
          <w:szCs w:val="16"/>
          <w:highlight w:val="none"/>
        </w:rPr>
        <w:t>HSD Hochschule Döpfer, Cologne, Germany</w:t>
      </w:r>
    </w:p>
    <w:p w14:paraId="59E75B8B" w14:textId="77777777" w:rsidR="00AE4C2F" w:rsidRPr="005851C6" w:rsidRDefault="00AE4C2F" w:rsidP="00AE4C2F">
      <w:pPr>
        <w:spacing w:line="240" w:lineRule="auto"/>
        <w:jc w:val="center"/>
        <w:rPr>
          <w:i/>
          <w:sz w:val="16"/>
          <w:szCs w:val="16"/>
          <w:highlight w:val="none"/>
        </w:rPr>
      </w:pPr>
      <w:r w:rsidRPr="005851C6">
        <w:rPr>
          <w:i/>
          <w:sz w:val="16"/>
          <w:szCs w:val="16"/>
          <w:highlight w:val="none"/>
          <w:vertAlign w:val="superscript"/>
        </w:rPr>
        <w:t xml:space="preserve">3 </w:t>
      </w:r>
      <w:r w:rsidRPr="005851C6">
        <w:rPr>
          <w:i/>
          <w:sz w:val="16"/>
          <w:szCs w:val="16"/>
          <w:highlight w:val="none"/>
        </w:rPr>
        <w:t>Institute for Clinical Epidemiology and Biometry, Julius-Maximilians-University Würzburg, Germany</w:t>
      </w:r>
    </w:p>
    <w:p w14:paraId="1BAFD278" w14:textId="77777777" w:rsidR="00AE4C2F" w:rsidRPr="005851C6" w:rsidRDefault="00AE4C2F" w:rsidP="00AE4C2F">
      <w:pPr>
        <w:spacing w:line="240" w:lineRule="auto"/>
        <w:jc w:val="center"/>
        <w:rPr>
          <w:i/>
          <w:sz w:val="16"/>
          <w:szCs w:val="16"/>
          <w:highlight w:val="none"/>
        </w:rPr>
      </w:pPr>
      <w:r w:rsidRPr="005851C6">
        <w:rPr>
          <w:i/>
          <w:sz w:val="16"/>
          <w:szCs w:val="16"/>
          <w:highlight w:val="none"/>
          <w:vertAlign w:val="superscript"/>
        </w:rPr>
        <w:t xml:space="preserve">4 </w:t>
      </w:r>
      <w:r w:rsidRPr="005851C6">
        <w:rPr>
          <w:i/>
          <w:sz w:val="16"/>
          <w:szCs w:val="16"/>
          <w:highlight w:val="none"/>
        </w:rPr>
        <w:t>Department of Childhood and Teacher Education, Justus-Liebig University, Gießen, Germany</w:t>
      </w:r>
    </w:p>
    <w:p w14:paraId="0AA4A889" w14:textId="4329F972" w:rsidR="00AE4C2F" w:rsidRDefault="00AE4C2F">
      <w:pPr>
        <w:spacing w:line="240" w:lineRule="auto"/>
        <w:ind w:firstLine="0"/>
        <w:rPr>
          <w:b/>
          <w:bCs/>
          <w:color w:val="000000"/>
          <w:sz w:val="20"/>
          <w:szCs w:val="20"/>
          <w:highlight w:val="none"/>
          <w:shd w:val="clear" w:color="auto" w:fill="auto"/>
          <w:lang w:val="en-GB"/>
        </w:rPr>
      </w:pPr>
    </w:p>
    <w:p w14:paraId="782BB67D" w14:textId="77777777" w:rsidR="00AE4C2F" w:rsidRDefault="00AE4C2F">
      <w:pPr>
        <w:spacing w:line="240" w:lineRule="auto"/>
        <w:ind w:firstLine="0"/>
        <w:rPr>
          <w:b/>
          <w:bCs/>
          <w:color w:val="000000"/>
          <w:sz w:val="20"/>
          <w:szCs w:val="20"/>
          <w:highlight w:val="none"/>
          <w:shd w:val="clear" w:color="auto" w:fill="auto"/>
          <w:lang w:val="en-GB"/>
        </w:rPr>
      </w:pPr>
      <w:r>
        <w:rPr>
          <w:lang w:val="en-GB"/>
        </w:rPr>
        <w:br w:type="page"/>
      </w:r>
    </w:p>
    <w:p w14:paraId="73D09F52" w14:textId="5F04F787" w:rsidR="00BD525F" w:rsidRPr="00130DB8" w:rsidRDefault="004209A5" w:rsidP="00BD525F">
      <w:pPr>
        <w:pStyle w:val="berschrift1"/>
        <w:numPr>
          <w:ilvl w:val="0"/>
          <w:numId w:val="0"/>
        </w:numPr>
        <w:ind w:left="360" w:hanging="360"/>
        <w:rPr>
          <w:lang w:val="en-GB"/>
        </w:rPr>
      </w:pPr>
      <w:r>
        <w:rPr>
          <w:lang w:val="en-GB"/>
        </w:rPr>
        <w:lastRenderedPageBreak/>
        <w:t>Supplementary</w:t>
      </w:r>
      <w:r w:rsidR="00A9750A">
        <w:rPr>
          <w:lang w:val="en-GB"/>
        </w:rPr>
        <w:t xml:space="preserve"> </w:t>
      </w:r>
      <w:r>
        <w:rPr>
          <w:lang w:val="en-GB"/>
        </w:rPr>
        <w:t xml:space="preserve">information </w:t>
      </w:r>
    </w:p>
    <w:p w14:paraId="257CF1A5" w14:textId="09B7122B" w:rsidR="00BD525F" w:rsidRPr="00130DB8" w:rsidRDefault="00EB453D" w:rsidP="0030621D">
      <w:pPr>
        <w:pStyle w:val="Text"/>
      </w:pPr>
      <w:r w:rsidRPr="00130DB8">
        <w:rPr>
          <w:b/>
        </w:rPr>
        <w:t>Supplementary</w:t>
      </w:r>
      <w:r w:rsidR="00273248" w:rsidRPr="00130DB8">
        <w:rPr>
          <w:b/>
        </w:rPr>
        <w:t xml:space="preserve"> Table </w:t>
      </w:r>
      <w:r w:rsidR="000F7915" w:rsidRPr="00130DB8">
        <w:rPr>
          <w:b/>
        </w:rPr>
        <w:t>S</w:t>
      </w:r>
      <w:r w:rsidR="00273248" w:rsidRPr="00130DB8">
        <w:rPr>
          <w:b/>
        </w:rPr>
        <w:t>1.</w:t>
      </w:r>
      <w:r w:rsidR="00BD525F" w:rsidRPr="00130DB8">
        <w:t xml:space="preserve"> A</w:t>
      </w:r>
      <w:r w:rsidRPr="00130DB8">
        <w:t>dolescents’ and young adults’</w:t>
      </w:r>
      <w:r w:rsidR="00BD525F" w:rsidRPr="00130DB8">
        <w:t xml:space="preserve"> </w:t>
      </w:r>
      <w:r w:rsidR="00707BAD" w:rsidRPr="00130DB8">
        <w:t>DC</w:t>
      </w:r>
      <w:r w:rsidR="00BD525F" w:rsidRPr="00130DB8">
        <w:t xml:space="preserve"> search terms</w:t>
      </w:r>
    </w:p>
    <w:tbl>
      <w:tblPr>
        <w:tblW w:w="0" w:type="auto"/>
        <w:tblLook w:val="0400" w:firstRow="0" w:lastRow="0" w:firstColumn="0" w:lastColumn="0" w:noHBand="0" w:noVBand="1"/>
      </w:tblPr>
      <w:tblGrid>
        <w:gridCol w:w="452"/>
        <w:gridCol w:w="1305"/>
        <w:gridCol w:w="7603"/>
      </w:tblGrid>
      <w:tr w:rsidR="00BD525F" w:rsidRPr="00130DB8" w14:paraId="09DD6656" w14:textId="77777777" w:rsidTr="00BD525F">
        <w:trPr>
          <w:cantSplit/>
          <w:trHeight w:hRule="exact" w:val="397"/>
        </w:trPr>
        <w:tc>
          <w:tcPr>
            <w:tcW w:w="0" w:type="auto"/>
            <w:gridSpan w:val="2"/>
            <w:tcBorders>
              <w:top w:val="single" w:sz="4" w:space="0" w:color="auto"/>
              <w:bottom w:val="single" w:sz="4" w:space="0" w:color="auto"/>
            </w:tcBorders>
            <w:tcMar>
              <w:top w:w="100" w:type="dxa"/>
              <w:left w:w="108" w:type="dxa"/>
              <w:bottom w:w="100" w:type="dxa"/>
              <w:right w:w="108" w:type="dxa"/>
            </w:tcMar>
            <w:vAlign w:val="center"/>
          </w:tcPr>
          <w:p w14:paraId="454F0D4D" w14:textId="77777777" w:rsidR="00BD525F" w:rsidRPr="00130DB8" w:rsidRDefault="00BD525F" w:rsidP="00BD525F">
            <w:pPr>
              <w:pBdr>
                <w:top w:val="nil"/>
                <w:left w:val="nil"/>
                <w:bottom w:val="nil"/>
                <w:right w:val="nil"/>
                <w:between w:val="nil"/>
              </w:pBdr>
              <w:spacing w:after="160" w:line="240" w:lineRule="auto"/>
              <w:ind w:firstLine="0"/>
              <w:jc w:val="center"/>
              <w:rPr>
                <w:color w:val="000000"/>
                <w:sz w:val="20"/>
                <w:szCs w:val="20"/>
                <w:highlight w:val="none"/>
                <w:shd w:val="clear" w:color="auto" w:fill="auto"/>
                <w:lang w:val="en-GB"/>
              </w:rPr>
            </w:pPr>
            <w:r w:rsidRPr="00130DB8">
              <w:rPr>
                <w:color w:val="000000"/>
                <w:sz w:val="20"/>
                <w:szCs w:val="20"/>
                <w:highlight w:val="none"/>
                <w:lang w:val="en-GB"/>
              </w:rPr>
              <w:t>Search term type</w:t>
            </w:r>
          </w:p>
        </w:tc>
        <w:tc>
          <w:tcPr>
            <w:tcW w:w="0" w:type="auto"/>
            <w:tcBorders>
              <w:top w:val="single" w:sz="4" w:space="0" w:color="auto"/>
              <w:bottom w:val="single" w:sz="4" w:space="0" w:color="auto"/>
            </w:tcBorders>
            <w:tcMar>
              <w:top w:w="100" w:type="dxa"/>
              <w:left w:w="108" w:type="dxa"/>
              <w:bottom w:w="100" w:type="dxa"/>
              <w:right w:w="108" w:type="dxa"/>
            </w:tcMar>
            <w:vAlign w:val="center"/>
          </w:tcPr>
          <w:p w14:paraId="04BE0BF5" w14:textId="77777777" w:rsidR="00BD525F" w:rsidRPr="00130DB8" w:rsidRDefault="00BD525F" w:rsidP="00BD525F">
            <w:pPr>
              <w:pBdr>
                <w:top w:val="nil"/>
                <w:left w:val="nil"/>
                <w:bottom w:val="nil"/>
                <w:right w:val="nil"/>
                <w:between w:val="nil"/>
              </w:pBdr>
              <w:spacing w:after="160" w:line="240" w:lineRule="auto"/>
              <w:ind w:firstLine="0"/>
              <w:jc w:val="center"/>
              <w:rPr>
                <w:color w:val="000000"/>
                <w:sz w:val="20"/>
                <w:szCs w:val="20"/>
                <w:highlight w:val="none"/>
                <w:shd w:val="clear" w:color="auto" w:fill="auto"/>
                <w:lang w:val="en-GB"/>
              </w:rPr>
            </w:pPr>
            <w:r w:rsidRPr="00130DB8">
              <w:rPr>
                <w:color w:val="000000"/>
                <w:sz w:val="20"/>
                <w:szCs w:val="20"/>
                <w:highlight w:val="none"/>
                <w:shd w:val="clear" w:color="auto" w:fill="auto"/>
                <w:lang w:val="en-GB"/>
              </w:rPr>
              <w:t>Search terms</w:t>
            </w:r>
          </w:p>
        </w:tc>
      </w:tr>
      <w:tr w:rsidR="00BD525F" w:rsidRPr="00130DB8" w14:paraId="2BC43A7D" w14:textId="77777777" w:rsidTr="00BD525F">
        <w:trPr>
          <w:cantSplit/>
          <w:trHeight w:hRule="exact" w:val="567"/>
        </w:trPr>
        <w:tc>
          <w:tcPr>
            <w:tcW w:w="0" w:type="auto"/>
            <w:gridSpan w:val="2"/>
            <w:vMerge w:val="restart"/>
            <w:tcBorders>
              <w:top w:val="single" w:sz="4" w:space="0" w:color="auto"/>
            </w:tcBorders>
            <w:tcMar>
              <w:top w:w="100" w:type="dxa"/>
              <w:left w:w="108" w:type="dxa"/>
              <w:bottom w:w="100" w:type="dxa"/>
              <w:right w:w="108" w:type="dxa"/>
            </w:tcMar>
          </w:tcPr>
          <w:p w14:paraId="0DABAACA" w14:textId="77777777" w:rsidR="00BD525F" w:rsidRPr="00130DB8" w:rsidRDefault="00BD525F" w:rsidP="00BD525F">
            <w:pPr>
              <w:pBdr>
                <w:top w:val="nil"/>
                <w:left w:val="nil"/>
                <w:bottom w:val="nil"/>
                <w:right w:val="nil"/>
                <w:between w:val="nil"/>
              </w:pBdr>
              <w:spacing w:after="160" w:line="240" w:lineRule="auto"/>
              <w:ind w:firstLine="0"/>
              <w:jc w:val="center"/>
              <w:rPr>
                <w:color w:val="000000"/>
                <w:sz w:val="20"/>
                <w:szCs w:val="20"/>
                <w:highlight w:val="none"/>
                <w:shd w:val="clear" w:color="auto" w:fill="auto"/>
                <w:lang w:val="en-GB"/>
              </w:rPr>
            </w:pPr>
            <w:r w:rsidRPr="00130DB8">
              <w:rPr>
                <w:color w:val="000000"/>
                <w:sz w:val="20"/>
                <w:szCs w:val="20"/>
                <w:highlight w:val="none"/>
                <w:shd w:val="clear" w:color="auto" w:fill="auto"/>
                <w:lang w:val="en-GB"/>
              </w:rPr>
              <w:t>Adolescents</w:t>
            </w:r>
          </w:p>
        </w:tc>
        <w:tc>
          <w:tcPr>
            <w:tcW w:w="0" w:type="auto"/>
            <w:tcBorders>
              <w:top w:val="single" w:sz="4" w:space="0" w:color="auto"/>
            </w:tcBorders>
            <w:tcMar>
              <w:top w:w="100" w:type="dxa"/>
              <w:left w:w="108" w:type="dxa"/>
              <w:bottom w:w="100" w:type="dxa"/>
              <w:right w:w="108" w:type="dxa"/>
            </w:tcMar>
          </w:tcPr>
          <w:p w14:paraId="0DC3CE0B"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“adolescen*” or “teen*” or “teenager*” or “young adult*” or “young people*” or “emerging adult*” or “student*” or “youth*”</w:t>
            </w:r>
          </w:p>
        </w:tc>
      </w:tr>
      <w:tr w:rsidR="00BD525F" w:rsidRPr="00130DB8" w14:paraId="27A5BEC6" w14:textId="77777777" w:rsidTr="00BD525F">
        <w:trPr>
          <w:cantSplit/>
          <w:trHeight w:hRule="exact" w:val="563"/>
        </w:trPr>
        <w:tc>
          <w:tcPr>
            <w:tcW w:w="0" w:type="auto"/>
            <w:gridSpan w:val="2"/>
            <w:vMerge/>
            <w:tcMar>
              <w:top w:w="100" w:type="dxa"/>
              <w:left w:w="108" w:type="dxa"/>
              <w:bottom w:w="100" w:type="dxa"/>
              <w:right w:w="108" w:type="dxa"/>
            </w:tcMar>
            <w:textDirection w:val="btLr"/>
          </w:tcPr>
          <w:p w14:paraId="2204939F"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p>
        </w:tc>
        <w:tc>
          <w:tcPr>
            <w:tcW w:w="0" w:type="auto"/>
            <w:tcMar>
              <w:top w:w="100" w:type="dxa"/>
              <w:left w:w="108" w:type="dxa"/>
              <w:bottom w:w="100" w:type="dxa"/>
              <w:right w:w="108" w:type="dxa"/>
            </w:tcMar>
          </w:tcPr>
          <w:p w14:paraId="249FF5CF"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NOT ("primary school" OR "elementary school" OR "middle school*" OR "kid*" OR "child*" OR "minor*" OR "pupil*" OR "pre-adolescen*" ))</w:t>
            </w:r>
          </w:p>
        </w:tc>
      </w:tr>
      <w:tr w:rsidR="00BD525F" w:rsidRPr="00130DB8" w14:paraId="332EB507" w14:textId="77777777" w:rsidTr="00BD525F">
        <w:trPr>
          <w:cantSplit/>
          <w:trHeight w:hRule="exact" w:val="828"/>
        </w:trPr>
        <w:tc>
          <w:tcPr>
            <w:tcW w:w="0" w:type="auto"/>
            <w:vMerge w:val="restart"/>
            <w:tcMar>
              <w:top w:w="100" w:type="dxa"/>
              <w:left w:w="108" w:type="dxa"/>
              <w:bottom w:w="100" w:type="dxa"/>
              <w:right w:w="108" w:type="dxa"/>
            </w:tcMar>
            <w:textDirection w:val="btLr"/>
          </w:tcPr>
          <w:p w14:paraId="1C946ABA" w14:textId="77777777" w:rsidR="00BD525F" w:rsidRPr="00130DB8" w:rsidRDefault="00BD525F" w:rsidP="00BD525F">
            <w:pPr>
              <w:pBdr>
                <w:top w:val="nil"/>
                <w:left w:val="nil"/>
                <w:bottom w:val="nil"/>
                <w:right w:val="nil"/>
                <w:between w:val="nil"/>
              </w:pBdr>
              <w:spacing w:line="240" w:lineRule="auto"/>
              <w:ind w:left="113" w:right="113" w:firstLine="0"/>
              <w:jc w:val="center"/>
              <w:rPr>
                <w:color w:val="000000"/>
                <w:sz w:val="20"/>
                <w:szCs w:val="20"/>
                <w:highlight w:val="none"/>
                <w:lang w:val="en-GB"/>
              </w:rPr>
            </w:pPr>
            <w:r w:rsidRPr="00130DB8">
              <w:rPr>
                <w:color w:val="000000"/>
                <w:sz w:val="20"/>
                <w:szCs w:val="20"/>
                <w:highlight w:val="none"/>
                <w:lang w:val="en-GB"/>
              </w:rPr>
              <w:t>Digital Competence</w:t>
            </w:r>
          </w:p>
        </w:tc>
        <w:tc>
          <w:tcPr>
            <w:tcW w:w="0" w:type="auto"/>
            <w:tcMar>
              <w:top w:w="100" w:type="dxa"/>
              <w:left w:w="108" w:type="dxa"/>
              <w:bottom w:w="100" w:type="dxa"/>
              <w:right w:w="108" w:type="dxa"/>
            </w:tcMar>
          </w:tcPr>
          <w:p w14:paraId="04CF2F46"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Competence</w:t>
            </w:r>
          </w:p>
        </w:tc>
        <w:tc>
          <w:tcPr>
            <w:tcW w:w="0" w:type="auto"/>
            <w:tcMar>
              <w:top w:w="100" w:type="dxa"/>
              <w:left w:w="108" w:type="dxa"/>
              <w:bottom w:w="100" w:type="dxa"/>
              <w:right w:w="108" w:type="dxa"/>
            </w:tcMar>
          </w:tcPr>
          <w:p w14:paraId="1B5551C5"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“digital competen*” OR “internet competen*“OR “online competen*“OR “social media competen*“ OR “cyber* competen*“ OR “information competen*“ OR “ICT competen*“ OR “e-competen*“</w:t>
            </w:r>
          </w:p>
        </w:tc>
      </w:tr>
      <w:tr w:rsidR="00BD525F" w:rsidRPr="00130DB8" w14:paraId="2AC08C7B" w14:textId="77777777" w:rsidTr="00BD525F">
        <w:trPr>
          <w:cantSplit/>
          <w:trHeight w:hRule="exact" w:val="567"/>
        </w:trPr>
        <w:tc>
          <w:tcPr>
            <w:tcW w:w="0" w:type="auto"/>
            <w:vMerge/>
            <w:tcMar>
              <w:top w:w="100" w:type="dxa"/>
              <w:left w:w="108" w:type="dxa"/>
              <w:bottom w:w="100" w:type="dxa"/>
              <w:right w:w="108" w:type="dxa"/>
            </w:tcMar>
          </w:tcPr>
          <w:p w14:paraId="21E3ABCE"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Mar>
              <w:top w:w="100" w:type="dxa"/>
              <w:left w:w="108" w:type="dxa"/>
              <w:bottom w:w="100" w:type="dxa"/>
              <w:right w:w="108" w:type="dxa"/>
            </w:tcMar>
          </w:tcPr>
          <w:p w14:paraId="3642C4A5"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Literacy</w:t>
            </w:r>
          </w:p>
        </w:tc>
        <w:tc>
          <w:tcPr>
            <w:tcW w:w="0" w:type="auto"/>
            <w:tcMar>
              <w:top w:w="100" w:type="dxa"/>
              <w:left w:w="108" w:type="dxa"/>
              <w:bottom w:w="100" w:type="dxa"/>
              <w:right w:w="108" w:type="dxa"/>
            </w:tcMar>
          </w:tcPr>
          <w:p w14:paraId="3A7EBA5E" w14:textId="77777777" w:rsidR="00BD525F" w:rsidRPr="00130DB8" w:rsidRDefault="00BD525F" w:rsidP="00BD525F">
            <w:pPr>
              <w:pBdr>
                <w:top w:val="nil"/>
                <w:left w:val="nil"/>
                <w:bottom w:val="nil"/>
                <w:right w:val="nil"/>
                <w:between w:val="nil"/>
              </w:pBdr>
              <w:spacing w:line="240" w:lineRule="auto"/>
              <w:ind w:firstLine="0"/>
              <w:rPr>
                <w:color w:val="000000"/>
                <w:sz w:val="20"/>
                <w:szCs w:val="20"/>
                <w:highlight w:val="none"/>
                <w:shd w:val="clear" w:color="auto" w:fill="auto"/>
                <w:lang w:val="en-GB"/>
              </w:rPr>
            </w:pPr>
            <w:r w:rsidRPr="00130DB8">
              <w:rPr>
                <w:color w:val="000000"/>
                <w:sz w:val="20"/>
                <w:szCs w:val="20"/>
                <w:highlight w:val="none"/>
                <w:lang w:val="en-GB"/>
              </w:rPr>
              <w:t>“digital literac*” OR “internet literac*“ OR “online literac*“ OR “social media literac*“ OR “cyber* literac*“ OR “information literac*“ OR “ICT literac*“ OR “e-literac*“</w:t>
            </w:r>
          </w:p>
        </w:tc>
      </w:tr>
      <w:tr w:rsidR="00BD525F" w:rsidRPr="00130DB8" w14:paraId="11E100E9" w14:textId="77777777" w:rsidTr="00BD525F">
        <w:trPr>
          <w:cantSplit/>
          <w:trHeight w:hRule="exact" w:val="567"/>
        </w:trPr>
        <w:tc>
          <w:tcPr>
            <w:tcW w:w="0" w:type="auto"/>
            <w:vMerge/>
            <w:tcMar>
              <w:top w:w="100" w:type="dxa"/>
              <w:left w:w="108" w:type="dxa"/>
              <w:bottom w:w="100" w:type="dxa"/>
              <w:right w:w="108" w:type="dxa"/>
            </w:tcMar>
          </w:tcPr>
          <w:p w14:paraId="37DA067A"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Mar>
              <w:top w:w="100" w:type="dxa"/>
              <w:left w:w="108" w:type="dxa"/>
              <w:bottom w:w="100" w:type="dxa"/>
              <w:right w:w="108" w:type="dxa"/>
            </w:tcMar>
          </w:tcPr>
          <w:p w14:paraId="42374E36"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Literate</w:t>
            </w:r>
          </w:p>
        </w:tc>
        <w:tc>
          <w:tcPr>
            <w:tcW w:w="0" w:type="auto"/>
            <w:tcMar>
              <w:top w:w="100" w:type="dxa"/>
              <w:left w:w="108" w:type="dxa"/>
              <w:bottom w:w="100" w:type="dxa"/>
              <w:right w:w="108" w:type="dxa"/>
            </w:tcMar>
          </w:tcPr>
          <w:p w14:paraId="5EC049ED"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“digital literate” OR “internet literate“ OR “online literate“ OR “social media literate“ OR “cyber* literate“ OR “information literate“ OR “ICT literate“ OR “e-literate“</w:t>
            </w:r>
          </w:p>
        </w:tc>
      </w:tr>
      <w:tr w:rsidR="00BD525F" w:rsidRPr="00130DB8" w14:paraId="658F881A" w14:textId="77777777" w:rsidTr="00BD525F">
        <w:trPr>
          <w:cantSplit/>
          <w:trHeight w:hRule="exact" w:val="567"/>
        </w:trPr>
        <w:tc>
          <w:tcPr>
            <w:tcW w:w="0" w:type="auto"/>
            <w:vMerge/>
            <w:tcMar>
              <w:top w:w="100" w:type="dxa"/>
              <w:left w:w="108" w:type="dxa"/>
              <w:bottom w:w="100" w:type="dxa"/>
              <w:right w:w="108" w:type="dxa"/>
            </w:tcMar>
          </w:tcPr>
          <w:p w14:paraId="7FECAF20"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Mar>
              <w:top w:w="100" w:type="dxa"/>
              <w:left w:w="108" w:type="dxa"/>
              <w:bottom w:w="100" w:type="dxa"/>
              <w:right w:w="108" w:type="dxa"/>
            </w:tcMar>
          </w:tcPr>
          <w:p w14:paraId="36075F94"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Skill</w:t>
            </w:r>
          </w:p>
        </w:tc>
        <w:tc>
          <w:tcPr>
            <w:tcW w:w="0" w:type="auto"/>
            <w:tcMar>
              <w:top w:w="100" w:type="dxa"/>
              <w:left w:w="108" w:type="dxa"/>
              <w:bottom w:w="100" w:type="dxa"/>
              <w:right w:w="108" w:type="dxa"/>
            </w:tcMar>
          </w:tcPr>
          <w:p w14:paraId="53EA7B78"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“digital skill*” OR “internet skill*“ OR “online skill*“ OR “social media skill*“ OR “cyber* skill*“ OR “information skill*“ OR “ICT skill*“ OR “e-skill*“</w:t>
            </w:r>
          </w:p>
        </w:tc>
      </w:tr>
      <w:tr w:rsidR="00BD525F" w:rsidRPr="00130DB8" w14:paraId="3AF14F66" w14:textId="77777777" w:rsidTr="00BD525F">
        <w:trPr>
          <w:cantSplit/>
          <w:trHeight w:hRule="exact" w:val="870"/>
        </w:trPr>
        <w:tc>
          <w:tcPr>
            <w:tcW w:w="0" w:type="auto"/>
            <w:vMerge/>
            <w:tcMar>
              <w:top w:w="100" w:type="dxa"/>
              <w:left w:w="108" w:type="dxa"/>
              <w:bottom w:w="100" w:type="dxa"/>
              <w:right w:w="108" w:type="dxa"/>
            </w:tcMar>
          </w:tcPr>
          <w:p w14:paraId="4E6541A9"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Mar>
              <w:top w:w="100" w:type="dxa"/>
              <w:left w:w="108" w:type="dxa"/>
              <w:bottom w:w="100" w:type="dxa"/>
              <w:right w:w="108" w:type="dxa"/>
            </w:tcMar>
          </w:tcPr>
          <w:p w14:paraId="1D94BFAC"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Proficiency</w:t>
            </w:r>
          </w:p>
        </w:tc>
        <w:tc>
          <w:tcPr>
            <w:tcW w:w="0" w:type="auto"/>
            <w:tcMar>
              <w:top w:w="100" w:type="dxa"/>
              <w:left w:w="108" w:type="dxa"/>
              <w:bottom w:w="100" w:type="dxa"/>
              <w:right w:w="108" w:type="dxa"/>
            </w:tcMar>
          </w:tcPr>
          <w:p w14:paraId="6E89E3B3"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“digital proficienc*” OR “internet proficienc*“ OR “online proficienc*“ OR “social media proficienc*“ OR “cyber* proficienc*“ OR “information proficienc*“ OR “ICT proficienc*“ OR “e-proficienc*“</w:t>
            </w:r>
          </w:p>
        </w:tc>
      </w:tr>
      <w:tr w:rsidR="00BD525F" w:rsidRPr="00130DB8" w14:paraId="13EB212D" w14:textId="77777777" w:rsidTr="00BD525F">
        <w:trPr>
          <w:cantSplit/>
          <w:trHeight w:hRule="exact" w:val="756"/>
        </w:trPr>
        <w:tc>
          <w:tcPr>
            <w:tcW w:w="0" w:type="auto"/>
            <w:vMerge/>
            <w:tcMar>
              <w:top w:w="100" w:type="dxa"/>
              <w:left w:w="108" w:type="dxa"/>
              <w:bottom w:w="100" w:type="dxa"/>
              <w:right w:w="108" w:type="dxa"/>
            </w:tcMar>
          </w:tcPr>
          <w:p w14:paraId="567FE22E"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Mar>
              <w:top w:w="100" w:type="dxa"/>
              <w:left w:w="108" w:type="dxa"/>
              <w:bottom w:w="100" w:type="dxa"/>
              <w:right w:w="108" w:type="dxa"/>
            </w:tcMar>
          </w:tcPr>
          <w:p w14:paraId="0314EEA8" w14:textId="77777777" w:rsidR="00BD525F" w:rsidRPr="00130DB8" w:rsidRDefault="00BD525F" w:rsidP="00BD525F">
            <w:pPr>
              <w:pBdr>
                <w:top w:val="nil"/>
                <w:left w:val="nil"/>
                <w:bottom w:val="nil"/>
                <w:right w:val="nil"/>
                <w:between w:val="nil"/>
              </w:pBdr>
              <w:spacing w:line="240" w:lineRule="auto"/>
              <w:ind w:firstLine="0"/>
              <w:rPr>
                <w:color w:val="000000"/>
                <w:sz w:val="20"/>
                <w:szCs w:val="20"/>
                <w:highlight w:val="none"/>
                <w:shd w:val="clear" w:color="auto" w:fill="auto"/>
                <w:lang w:val="en-GB"/>
              </w:rPr>
            </w:pPr>
            <w:r w:rsidRPr="00130DB8">
              <w:rPr>
                <w:color w:val="000000"/>
                <w:sz w:val="20"/>
                <w:szCs w:val="20"/>
                <w:highlight w:val="none"/>
                <w:lang w:val="en-GB"/>
              </w:rPr>
              <w:t xml:space="preserve">Efficacy </w:t>
            </w:r>
          </w:p>
          <w:p w14:paraId="551464BE" w14:textId="77777777" w:rsidR="00BD525F" w:rsidRPr="00130DB8" w:rsidRDefault="00BD525F" w:rsidP="00BD525F">
            <w:pPr>
              <w:spacing w:line="240" w:lineRule="auto"/>
              <w:rPr>
                <w:sz w:val="20"/>
                <w:szCs w:val="20"/>
                <w:highlight w:val="none"/>
                <w:lang w:val="en-GB"/>
              </w:rPr>
            </w:pPr>
          </w:p>
        </w:tc>
        <w:tc>
          <w:tcPr>
            <w:tcW w:w="0" w:type="auto"/>
            <w:tcMar>
              <w:top w:w="100" w:type="dxa"/>
              <w:left w:w="108" w:type="dxa"/>
              <w:bottom w:w="100" w:type="dxa"/>
              <w:right w:w="108" w:type="dxa"/>
            </w:tcMar>
          </w:tcPr>
          <w:p w14:paraId="0A69B255"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“digital efficac*” OR “mobile efficac*” OR “internet efficac*“ OR “online efficac*“ OR “social media efficac*“ OR “cyber* efficac*“ OR “comput* efficac*“ OR “information efficac*“ OR “ICT efficac*“ OR “e-efficac*“</w:t>
            </w:r>
          </w:p>
        </w:tc>
      </w:tr>
      <w:tr w:rsidR="00BD525F" w:rsidRPr="00130DB8" w14:paraId="56EBFE91" w14:textId="77777777" w:rsidTr="00BD525F">
        <w:trPr>
          <w:cantSplit/>
          <w:trHeight w:hRule="exact" w:val="757"/>
        </w:trPr>
        <w:tc>
          <w:tcPr>
            <w:tcW w:w="0" w:type="auto"/>
            <w:vMerge w:val="restart"/>
            <w:tcBorders>
              <w:bottom w:val="single" w:sz="4" w:space="0" w:color="auto"/>
            </w:tcBorders>
            <w:tcMar>
              <w:top w:w="100" w:type="dxa"/>
              <w:left w:w="108" w:type="dxa"/>
              <w:bottom w:w="100" w:type="dxa"/>
              <w:right w:w="108" w:type="dxa"/>
            </w:tcMar>
            <w:textDirection w:val="btLr"/>
          </w:tcPr>
          <w:p w14:paraId="3E647AF6" w14:textId="77777777" w:rsidR="00BD525F" w:rsidRPr="00130DB8" w:rsidRDefault="00BD525F" w:rsidP="00BD525F">
            <w:pPr>
              <w:pBdr>
                <w:top w:val="nil"/>
                <w:left w:val="nil"/>
                <w:right w:val="nil"/>
                <w:between w:val="nil"/>
              </w:pBdr>
              <w:spacing w:line="240" w:lineRule="auto"/>
              <w:ind w:left="113" w:right="113" w:firstLine="0"/>
              <w:jc w:val="center"/>
              <w:rPr>
                <w:color w:val="000000"/>
                <w:sz w:val="20"/>
                <w:szCs w:val="20"/>
                <w:highlight w:val="none"/>
                <w:shd w:val="clear" w:color="auto" w:fill="auto"/>
                <w:lang w:val="en-GB"/>
              </w:rPr>
            </w:pPr>
            <w:r w:rsidRPr="00130DB8">
              <w:rPr>
                <w:color w:val="000000"/>
                <w:sz w:val="20"/>
                <w:szCs w:val="20"/>
                <w:highlight w:val="none"/>
                <w:lang w:val="en-GB"/>
              </w:rPr>
              <w:t>Study terms</w:t>
            </w:r>
          </w:p>
        </w:tc>
        <w:tc>
          <w:tcPr>
            <w:tcW w:w="0" w:type="auto"/>
            <w:tcMar>
              <w:top w:w="100" w:type="dxa"/>
              <w:left w:w="108" w:type="dxa"/>
              <w:bottom w:w="100" w:type="dxa"/>
              <w:right w:w="108" w:type="dxa"/>
            </w:tcMar>
          </w:tcPr>
          <w:p w14:paraId="2FCE1160"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Measurement</w:t>
            </w:r>
          </w:p>
        </w:tc>
        <w:tc>
          <w:tcPr>
            <w:tcW w:w="0" w:type="auto"/>
            <w:tcMar>
              <w:top w:w="100" w:type="dxa"/>
              <w:left w:w="108" w:type="dxa"/>
              <w:bottom w:w="100" w:type="dxa"/>
              <w:right w:w="108" w:type="dxa"/>
            </w:tcMar>
          </w:tcPr>
          <w:p w14:paraId="0F7D59D5"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“concept*” OR “dimension*” OR “survey*” OR “questionnaire*” OR “performance*” OR “test*” OR “measur*” OR “assess*” OR “scale” OR “instrument*” OR “validat*” OR “study*”</w:t>
            </w:r>
          </w:p>
        </w:tc>
      </w:tr>
      <w:tr w:rsidR="00BD525F" w:rsidRPr="00130DB8" w14:paraId="67DAEA85" w14:textId="77777777" w:rsidTr="00BD525F">
        <w:trPr>
          <w:cantSplit/>
          <w:trHeight w:hRule="exact" w:val="754"/>
        </w:trPr>
        <w:tc>
          <w:tcPr>
            <w:tcW w:w="0" w:type="auto"/>
            <w:vMerge/>
            <w:tcBorders>
              <w:top w:val="single" w:sz="4" w:space="0" w:color="000000"/>
              <w:bottom w:val="single" w:sz="4" w:space="0" w:color="auto"/>
            </w:tcBorders>
            <w:tcMar>
              <w:top w:w="100" w:type="dxa"/>
              <w:left w:w="108" w:type="dxa"/>
              <w:bottom w:w="100" w:type="dxa"/>
              <w:right w:w="108" w:type="dxa"/>
            </w:tcMar>
          </w:tcPr>
          <w:p w14:paraId="3691F7BD" w14:textId="77777777" w:rsidR="00BD525F" w:rsidRPr="00130DB8" w:rsidRDefault="00BD525F" w:rsidP="00BD525F">
            <w:pPr>
              <w:widowControl w:val="0"/>
              <w:pBdr>
                <w:top w:val="nil"/>
                <w:left w:val="nil"/>
                <w:bottom w:val="nil"/>
                <w:right w:val="nil"/>
                <w:between w:val="nil"/>
              </w:pBdr>
              <w:spacing w:line="240" w:lineRule="auto"/>
              <w:ind w:firstLine="0"/>
              <w:rPr>
                <w:sz w:val="20"/>
                <w:szCs w:val="20"/>
                <w:highlight w:val="none"/>
                <w:lang w:val="en-GB"/>
              </w:rPr>
            </w:pPr>
          </w:p>
        </w:tc>
        <w:tc>
          <w:tcPr>
            <w:tcW w:w="0" w:type="auto"/>
            <w:tcBorders>
              <w:bottom w:val="single" w:sz="4" w:space="0" w:color="auto"/>
            </w:tcBorders>
            <w:tcMar>
              <w:top w:w="100" w:type="dxa"/>
              <w:left w:w="108" w:type="dxa"/>
              <w:bottom w:w="100" w:type="dxa"/>
              <w:right w:w="108" w:type="dxa"/>
            </w:tcMar>
          </w:tcPr>
          <w:p w14:paraId="18D9D931"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Intervention</w:t>
            </w:r>
          </w:p>
        </w:tc>
        <w:tc>
          <w:tcPr>
            <w:tcW w:w="0" w:type="auto"/>
            <w:tcBorders>
              <w:bottom w:val="single" w:sz="4" w:space="0" w:color="auto"/>
            </w:tcBorders>
            <w:tcMar>
              <w:top w:w="100" w:type="dxa"/>
              <w:left w:w="108" w:type="dxa"/>
              <w:bottom w:w="100" w:type="dxa"/>
              <w:right w:w="108" w:type="dxa"/>
            </w:tcMar>
          </w:tcPr>
          <w:p w14:paraId="786DE3DF"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r w:rsidRPr="00130DB8">
              <w:rPr>
                <w:color w:val="000000"/>
                <w:sz w:val="20"/>
                <w:szCs w:val="20"/>
                <w:highlight w:val="none"/>
                <w:shd w:val="clear" w:color="auto" w:fill="auto"/>
                <w:lang w:val="en-GB"/>
              </w:rPr>
              <w:t>intervention* OR “training*” OR “workshop*” OR “tool*” OR “program*” OR “develop*” OR “support*” OR “improve*” OR “gain*” OR “practice*” OR “coach*”</w:t>
            </w:r>
          </w:p>
          <w:p w14:paraId="2ACBCF42" w14:textId="77777777" w:rsidR="00BD525F" w:rsidRPr="00130DB8" w:rsidRDefault="00BD525F" w:rsidP="00BD525F">
            <w:pPr>
              <w:pBdr>
                <w:top w:val="nil"/>
                <w:left w:val="nil"/>
                <w:bottom w:val="nil"/>
                <w:right w:val="nil"/>
                <w:between w:val="nil"/>
              </w:pBdr>
              <w:spacing w:after="160" w:line="240" w:lineRule="auto"/>
              <w:ind w:firstLine="0"/>
              <w:rPr>
                <w:color w:val="000000"/>
                <w:sz w:val="20"/>
                <w:szCs w:val="20"/>
                <w:highlight w:val="none"/>
                <w:shd w:val="clear" w:color="auto" w:fill="auto"/>
                <w:lang w:val="en-GB"/>
              </w:rPr>
            </w:pPr>
          </w:p>
        </w:tc>
      </w:tr>
    </w:tbl>
    <w:p w14:paraId="5463DE76" w14:textId="77777777" w:rsidR="00BD525F" w:rsidRPr="00130DB8" w:rsidRDefault="00BD525F" w:rsidP="00BD525F">
      <w:pPr>
        <w:rPr>
          <w:b/>
          <w:color w:val="000000"/>
          <w:sz w:val="20"/>
          <w:szCs w:val="20"/>
          <w:highlight w:val="none"/>
          <w:shd w:val="clear" w:color="auto" w:fill="auto"/>
          <w:lang w:val="en-GB"/>
        </w:rPr>
      </w:pPr>
      <w:r w:rsidRPr="00130DB8">
        <w:rPr>
          <w:sz w:val="20"/>
          <w:szCs w:val="20"/>
          <w:highlight w:val="none"/>
          <w:lang w:val="en-GB"/>
        </w:rPr>
        <w:br w:type="page"/>
      </w:r>
    </w:p>
    <w:p w14:paraId="1CCFE6A7" w14:textId="5577846A" w:rsidR="00BD525F" w:rsidRPr="00130DB8" w:rsidRDefault="00A662F3" w:rsidP="00BD525F">
      <w:pPr>
        <w:ind w:firstLine="0"/>
        <w:rPr>
          <w:b/>
          <w:iCs/>
          <w:color w:val="000000"/>
          <w:sz w:val="20"/>
          <w:szCs w:val="20"/>
          <w:highlight w:val="none"/>
          <w:shd w:val="clear" w:color="auto" w:fill="auto"/>
          <w:lang w:val="en-GB"/>
        </w:rPr>
      </w:pPr>
      <w:r w:rsidRPr="00130DB8">
        <w:rPr>
          <w:b/>
          <w:color w:val="000000"/>
          <w:sz w:val="20"/>
          <w:szCs w:val="20"/>
          <w:highlight w:val="none"/>
          <w:lang w:val="en-GB"/>
        </w:rPr>
        <w:lastRenderedPageBreak/>
        <w:t xml:space="preserve">Supplementary Table </w:t>
      </w:r>
      <w:r w:rsidR="003773A3" w:rsidRPr="00130DB8">
        <w:rPr>
          <w:b/>
          <w:color w:val="000000"/>
          <w:sz w:val="20"/>
          <w:szCs w:val="20"/>
          <w:highlight w:val="none"/>
          <w:lang w:val="en-GB"/>
        </w:rPr>
        <w:t>S</w:t>
      </w:r>
      <w:r w:rsidRPr="00130DB8">
        <w:rPr>
          <w:b/>
          <w:color w:val="000000"/>
          <w:sz w:val="20"/>
          <w:szCs w:val="20"/>
          <w:highlight w:val="none"/>
          <w:lang w:val="en-GB"/>
        </w:rPr>
        <w:t xml:space="preserve">2. </w:t>
      </w:r>
      <w:r w:rsidR="00BD525F" w:rsidRPr="00130DB8">
        <w:rPr>
          <w:iCs/>
          <w:color w:val="000000"/>
          <w:sz w:val="20"/>
          <w:szCs w:val="20"/>
          <w:highlight w:val="none"/>
          <w:lang w:val="en-GB"/>
        </w:rPr>
        <w:t>List of the selected papers (sample 1)</w:t>
      </w:r>
      <w:r w:rsidR="001D457F" w:rsidRPr="00130DB8">
        <w:rPr>
          <w:iCs/>
          <w:color w:val="000000"/>
          <w:sz w:val="20"/>
          <w:szCs w:val="20"/>
          <w:highlight w:val="none"/>
          <w:lang w:val="en-GB"/>
        </w:rPr>
        <w:t xml:space="preserve">, </w:t>
      </w:r>
      <w:r w:rsidR="00BD525F" w:rsidRPr="00130DB8">
        <w:rPr>
          <w:iCs/>
          <w:sz w:val="20"/>
          <w:szCs w:val="20"/>
          <w:highlight w:val="none"/>
          <w:lang w:val="en-GB"/>
        </w:rPr>
        <w:t>ordered alphabetically by first authors name</w:t>
      </w:r>
    </w:p>
    <w:tbl>
      <w:tblPr>
        <w:tblW w:w="5000" w:type="pct"/>
        <w:tblLook w:val="0400" w:firstRow="0" w:lastRow="0" w:firstColumn="0" w:lastColumn="0" w:noHBand="0" w:noVBand="1"/>
      </w:tblPr>
      <w:tblGrid>
        <w:gridCol w:w="9360"/>
      </w:tblGrid>
      <w:tr w:rsidR="00BD525F" w:rsidRPr="00130DB8" w14:paraId="49666E5A" w14:textId="77777777" w:rsidTr="00097971">
        <w:trPr>
          <w:trHeight w:val="20"/>
        </w:trPr>
        <w:tc>
          <w:tcPr>
            <w:tcW w:w="5000" w:type="pct"/>
            <w:tcBorders>
              <w:top w:val="single" w:sz="4" w:space="0" w:color="000000"/>
              <w:bottom w:val="single" w:sz="4" w:space="0" w:color="000000"/>
            </w:tcBorders>
            <w:tcMar>
              <w:top w:w="100" w:type="dxa"/>
              <w:left w:w="108" w:type="dxa"/>
              <w:bottom w:w="100" w:type="dxa"/>
              <w:right w:w="108" w:type="dxa"/>
            </w:tcMar>
          </w:tcPr>
          <w:p w14:paraId="6ED05554" w14:textId="77777777" w:rsidR="00BD525F" w:rsidRPr="00130DB8" w:rsidRDefault="00BD525F" w:rsidP="00BD525F">
            <w:pPr>
              <w:pBdr>
                <w:top w:val="nil"/>
                <w:left w:val="nil"/>
                <w:bottom w:val="nil"/>
                <w:right w:val="nil"/>
                <w:between w:val="nil"/>
              </w:pBdr>
              <w:spacing w:line="240" w:lineRule="auto"/>
              <w:ind w:hanging="108"/>
              <w:rPr>
                <w:color w:val="000000" w:themeColor="text1"/>
                <w:sz w:val="20"/>
                <w:szCs w:val="20"/>
                <w:highlight w:val="none"/>
                <w:shd w:val="clear" w:color="auto" w:fill="auto"/>
                <w:lang w:val="en-GB"/>
              </w:rPr>
            </w:pPr>
            <w:r w:rsidRPr="00130DB8">
              <w:rPr>
                <w:color w:val="000000" w:themeColor="text1"/>
                <w:sz w:val="20"/>
                <w:szCs w:val="20"/>
                <w:highlight w:val="none"/>
                <w:lang w:val="en-GB"/>
              </w:rPr>
              <w:t xml:space="preserve">Bibliography of </w:t>
            </w:r>
            <w:r w:rsidRPr="00130DB8">
              <w:rPr>
                <w:i/>
                <w:color w:val="000000" w:themeColor="text1"/>
                <w:sz w:val="20"/>
                <w:szCs w:val="20"/>
                <w:highlight w:val="none"/>
                <w:lang w:val="en-GB"/>
              </w:rPr>
              <w:t>N</w:t>
            </w:r>
            <w:r w:rsidRPr="00130DB8">
              <w:rPr>
                <w:color w:val="000000" w:themeColor="text1"/>
                <w:sz w:val="20"/>
                <w:szCs w:val="20"/>
                <w:highlight w:val="none"/>
                <w:lang w:val="en-GB"/>
              </w:rPr>
              <w:t xml:space="preserve"> = 230 papers </w:t>
            </w:r>
          </w:p>
        </w:tc>
      </w:tr>
      <w:tr w:rsidR="00097971" w:rsidRPr="00130DB8" w14:paraId="2F976FC1" w14:textId="77777777" w:rsidTr="00097971">
        <w:trPr>
          <w:trHeight w:val="20"/>
        </w:trPr>
        <w:tc>
          <w:tcPr>
            <w:tcW w:w="5000" w:type="pct"/>
            <w:tcBorders>
              <w:top w:val="single" w:sz="4" w:space="0" w:color="000000"/>
            </w:tcBorders>
            <w:tcMar>
              <w:top w:w="100" w:type="dxa"/>
              <w:left w:w="108" w:type="dxa"/>
              <w:bottom w:w="100" w:type="dxa"/>
              <w:right w:w="108" w:type="dxa"/>
            </w:tcMar>
          </w:tcPr>
          <w:p w14:paraId="79A44FD4" w14:textId="7ED8B88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Adeyemi BA (2014) Self Concept and Motivation Variables as Correlates of Acquisition of ICT Competence among Social Studies Students of Obafemi Awolowo University, Ile-Ife, Nigeria. World J Educ 4(2):76–82. </w:t>
            </w:r>
            <w:hyperlink r:id="rId10" w:history="1">
              <w:r w:rsidRPr="00130DB8">
                <w:rPr>
                  <w:rStyle w:val="Hyperlink"/>
                  <w:sz w:val="20"/>
                  <w:szCs w:val="20"/>
                  <w:highlight w:val="none"/>
                </w:rPr>
                <w:t>https://doi.org/10.5430/wje.v4n2p76</w:t>
              </w:r>
            </w:hyperlink>
          </w:p>
        </w:tc>
      </w:tr>
      <w:tr w:rsidR="00097971" w:rsidRPr="00130DB8" w14:paraId="243C4AF1" w14:textId="77777777" w:rsidTr="00097971">
        <w:trPr>
          <w:trHeight w:val="506"/>
        </w:trPr>
        <w:tc>
          <w:tcPr>
            <w:tcW w:w="5000" w:type="pct"/>
            <w:tcMar>
              <w:top w:w="100" w:type="dxa"/>
              <w:left w:w="108" w:type="dxa"/>
              <w:bottom w:w="100" w:type="dxa"/>
              <w:right w:w="108" w:type="dxa"/>
            </w:tcMar>
          </w:tcPr>
          <w:p w14:paraId="5FA6FCC7" w14:textId="2210BB1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Agustin LD, Carlos JPJ, Arturo TGC, Alicia FGM (2017) Study about the perception of basic digital competences of students of a chilean university. Turk Onl J Edu Tech 2017(November Special Issue INTE):1023–1029</w:t>
            </w:r>
          </w:p>
        </w:tc>
      </w:tr>
      <w:tr w:rsidR="00097971" w:rsidRPr="00130DB8" w14:paraId="68F58C20" w14:textId="77777777" w:rsidTr="00097971">
        <w:trPr>
          <w:trHeight w:val="20"/>
        </w:trPr>
        <w:tc>
          <w:tcPr>
            <w:tcW w:w="5000" w:type="pct"/>
            <w:tcMar>
              <w:top w:w="100" w:type="dxa"/>
              <w:left w:w="108" w:type="dxa"/>
              <w:bottom w:w="100" w:type="dxa"/>
              <w:right w:w="108" w:type="dxa"/>
            </w:tcMar>
          </w:tcPr>
          <w:p w14:paraId="3813C190" w14:textId="4EF9C85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Al-Abdullatif AM, Gameil AA (2020) Exploring Students’ Knowledge and Practice of Digital Citizenship in Higher Education. Int J Emerg Technol Learn 15(19):122–142. </w:t>
            </w:r>
            <w:hyperlink r:id="rId11" w:history="1">
              <w:r w:rsidRPr="00130DB8">
                <w:rPr>
                  <w:rStyle w:val="Hyperlink"/>
                  <w:sz w:val="20"/>
                  <w:szCs w:val="20"/>
                  <w:highlight w:val="none"/>
                </w:rPr>
                <w:t>https://doi.org/10.3991/ijet.v15i19.15611</w:t>
              </w:r>
            </w:hyperlink>
          </w:p>
        </w:tc>
      </w:tr>
      <w:tr w:rsidR="00097971" w:rsidRPr="00130DB8" w14:paraId="3506FA13" w14:textId="77777777" w:rsidTr="00097971">
        <w:trPr>
          <w:trHeight w:val="20"/>
        </w:trPr>
        <w:tc>
          <w:tcPr>
            <w:tcW w:w="5000" w:type="pct"/>
            <w:tcMar>
              <w:top w:w="100" w:type="dxa"/>
              <w:left w:w="108" w:type="dxa"/>
              <w:bottom w:w="100" w:type="dxa"/>
              <w:right w:w="108" w:type="dxa"/>
            </w:tcMar>
          </w:tcPr>
          <w:p w14:paraId="2F0D8729" w14:textId="65D683F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Alakrash HM, Razak NA (2021) Technology-based language learning: Investigation of digital technology and digital literacy. Sustainability 13(21). </w:t>
            </w:r>
            <w:hyperlink r:id="rId12" w:history="1">
              <w:r w:rsidRPr="00130DB8">
                <w:rPr>
                  <w:rStyle w:val="Hyperlink"/>
                  <w:sz w:val="20"/>
                  <w:szCs w:val="20"/>
                  <w:highlight w:val="none"/>
                </w:rPr>
                <w:t>https://doi.org/10.3390/su132112304</w:t>
              </w:r>
            </w:hyperlink>
          </w:p>
        </w:tc>
      </w:tr>
      <w:tr w:rsidR="00097971" w:rsidRPr="00130DB8" w14:paraId="12528A56" w14:textId="77777777" w:rsidTr="00097971">
        <w:trPr>
          <w:trHeight w:val="20"/>
        </w:trPr>
        <w:tc>
          <w:tcPr>
            <w:tcW w:w="5000" w:type="pct"/>
            <w:tcMar>
              <w:top w:w="100" w:type="dxa"/>
              <w:left w:w="108" w:type="dxa"/>
              <w:bottom w:w="100" w:type="dxa"/>
              <w:right w:w="108" w:type="dxa"/>
            </w:tcMar>
          </w:tcPr>
          <w:p w14:paraId="67B47DFF" w14:textId="054E919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Almerich G, Suárez-Rodríguez J, Díaz-García I, Cebrián-Cifuentes S (2020) 21st-century competences: The relation of ICT competences with higher-order thinking capacities and teamwork competences in university students. J Comput Assisted Learn 36(4):468–479. </w:t>
            </w:r>
            <w:hyperlink r:id="rId13" w:history="1">
              <w:r w:rsidRPr="00130DB8">
                <w:rPr>
                  <w:rStyle w:val="Hyperlink"/>
                  <w:sz w:val="20"/>
                  <w:szCs w:val="20"/>
                  <w:highlight w:val="none"/>
                </w:rPr>
                <w:t>https://doi.org/10.1111/jcal.12413</w:t>
              </w:r>
            </w:hyperlink>
          </w:p>
        </w:tc>
      </w:tr>
      <w:tr w:rsidR="00097971" w:rsidRPr="00130DB8" w14:paraId="0C2E1111" w14:textId="77777777" w:rsidTr="00097971">
        <w:trPr>
          <w:trHeight w:val="20"/>
        </w:trPr>
        <w:tc>
          <w:tcPr>
            <w:tcW w:w="5000" w:type="pct"/>
            <w:tcMar>
              <w:top w:w="100" w:type="dxa"/>
              <w:left w:w="108" w:type="dxa"/>
              <w:bottom w:w="100" w:type="dxa"/>
              <w:right w:w="108" w:type="dxa"/>
            </w:tcMar>
          </w:tcPr>
          <w:p w14:paraId="0391D1E6" w14:textId="3FBFC73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Almerich G, Suárez-Rodríguez J, Díaz-García I, Orellana N (2021) The influence of using ICT in high-skills competences and ICT competences. A structural model. Educ Inf Technol 26(4):3845–3869. </w:t>
            </w:r>
            <w:hyperlink r:id="rId14" w:history="1">
              <w:r w:rsidRPr="00130DB8">
                <w:rPr>
                  <w:rStyle w:val="Hyperlink"/>
                  <w:sz w:val="20"/>
                  <w:szCs w:val="20"/>
                  <w:highlight w:val="none"/>
                </w:rPr>
                <w:t>https://doi.org/10.1007/s10639-021-10437-y</w:t>
              </w:r>
            </w:hyperlink>
          </w:p>
        </w:tc>
      </w:tr>
      <w:tr w:rsidR="00097971" w:rsidRPr="00130DB8" w14:paraId="7426DB52" w14:textId="77777777" w:rsidTr="00097971">
        <w:trPr>
          <w:trHeight w:val="20"/>
        </w:trPr>
        <w:tc>
          <w:tcPr>
            <w:tcW w:w="5000" w:type="pct"/>
            <w:tcMar>
              <w:top w:w="100" w:type="dxa"/>
              <w:left w:w="108" w:type="dxa"/>
              <w:bottom w:w="100" w:type="dxa"/>
              <w:right w:w="108" w:type="dxa"/>
            </w:tcMar>
          </w:tcPr>
          <w:p w14:paraId="5E51689B" w14:textId="273B05F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Al-Momani MO, Alsmadi MA (2020) Students’ degree of possessing digital-citizenship skills from their points of view at Al-Balqa Applied University. Univers J Edu Res 8(8):3335–3345. </w:t>
            </w:r>
            <w:hyperlink r:id="rId15" w:history="1">
              <w:r w:rsidRPr="00130DB8">
                <w:rPr>
                  <w:rStyle w:val="Hyperlink"/>
                  <w:sz w:val="20"/>
                  <w:szCs w:val="20"/>
                  <w:highlight w:val="none"/>
                </w:rPr>
                <w:t>https://doi.org/10.13189/ujer.2020.080805</w:t>
              </w:r>
            </w:hyperlink>
          </w:p>
        </w:tc>
      </w:tr>
      <w:tr w:rsidR="00097971" w:rsidRPr="00130DB8" w14:paraId="7A32E7FC" w14:textId="77777777" w:rsidTr="00097971">
        <w:trPr>
          <w:trHeight w:val="20"/>
        </w:trPr>
        <w:tc>
          <w:tcPr>
            <w:tcW w:w="5000" w:type="pct"/>
            <w:tcMar>
              <w:top w:w="100" w:type="dxa"/>
              <w:left w:w="108" w:type="dxa"/>
              <w:bottom w:w="100" w:type="dxa"/>
              <w:right w:w="108" w:type="dxa"/>
            </w:tcMar>
          </w:tcPr>
          <w:p w14:paraId="11B8D0E7" w14:textId="22F5C00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Alsmari NA (2021) The relationship between language proficiency level and l2 digital literacy self-efficacy: A study of efl university students. Int J Arab-Engl Stud 21(2):183–198. </w:t>
            </w:r>
            <w:hyperlink r:id="rId16" w:history="1">
              <w:r w:rsidRPr="00130DB8">
                <w:rPr>
                  <w:rStyle w:val="Hyperlink"/>
                  <w:sz w:val="20"/>
                  <w:szCs w:val="20"/>
                  <w:highlight w:val="none"/>
                </w:rPr>
                <w:t>https://doi.org/10.33806/IJAES2000.21.2.10</w:t>
              </w:r>
            </w:hyperlink>
          </w:p>
        </w:tc>
      </w:tr>
      <w:tr w:rsidR="00097971" w:rsidRPr="00130DB8" w14:paraId="63BE7CB3" w14:textId="77777777" w:rsidTr="00097971">
        <w:trPr>
          <w:trHeight w:val="20"/>
        </w:trPr>
        <w:tc>
          <w:tcPr>
            <w:tcW w:w="5000" w:type="pct"/>
            <w:tcMar>
              <w:top w:w="100" w:type="dxa"/>
              <w:left w:w="108" w:type="dxa"/>
              <w:bottom w:w="100" w:type="dxa"/>
              <w:right w:w="108" w:type="dxa"/>
            </w:tcMar>
          </w:tcPr>
          <w:p w14:paraId="0DFAA5FC" w14:textId="7FBD8E5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Alt D, Raichel N (2020) Enhancing perceived digital literacy skills and creative self-concept through gamified learning environments: Insights from a longitudinal study. Int J Educ Res 101. </w:t>
            </w:r>
            <w:hyperlink r:id="rId17" w:history="1">
              <w:r w:rsidRPr="00130DB8">
                <w:rPr>
                  <w:rStyle w:val="Hyperlink"/>
                  <w:sz w:val="20"/>
                  <w:szCs w:val="20"/>
                  <w:highlight w:val="none"/>
                </w:rPr>
                <w:t>https://doi.org/10.1016/j.ijer.2020.101561</w:t>
              </w:r>
            </w:hyperlink>
          </w:p>
        </w:tc>
      </w:tr>
      <w:tr w:rsidR="00097971" w:rsidRPr="00130DB8" w14:paraId="5784D168" w14:textId="77777777" w:rsidTr="00097971">
        <w:trPr>
          <w:trHeight w:val="20"/>
        </w:trPr>
        <w:tc>
          <w:tcPr>
            <w:tcW w:w="5000" w:type="pct"/>
            <w:tcMar>
              <w:top w:w="100" w:type="dxa"/>
              <w:left w:w="108" w:type="dxa"/>
              <w:bottom w:w="100" w:type="dxa"/>
              <w:right w:w="108" w:type="dxa"/>
            </w:tcMar>
          </w:tcPr>
          <w:p w14:paraId="1DC2DC29" w14:textId="761F12F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Amini CM, Oluyide OP (2020) Analysis of ICT Competencies Among Distance Learning Students in selected Study Centres of the National Open University of Nigeria. J Learn Dev 7(1):78–89. </w:t>
            </w:r>
            <w:hyperlink r:id="rId18" w:history="1">
              <w:r w:rsidRPr="00130DB8">
                <w:rPr>
                  <w:rStyle w:val="Hyperlink"/>
                  <w:sz w:val="20"/>
                  <w:szCs w:val="20"/>
                  <w:highlight w:val="none"/>
                </w:rPr>
                <w:t>https://doi.org/10.56059/jl4d.v7i1.376</w:t>
              </w:r>
            </w:hyperlink>
          </w:p>
        </w:tc>
      </w:tr>
      <w:tr w:rsidR="00097971" w:rsidRPr="00130DB8" w14:paraId="63C9D770" w14:textId="77777777" w:rsidTr="00097971">
        <w:trPr>
          <w:trHeight w:val="20"/>
        </w:trPr>
        <w:tc>
          <w:tcPr>
            <w:tcW w:w="5000" w:type="pct"/>
            <w:tcMar>
              <w:top w:w="100" w:type="dxa"/>
              <w:left w:w="108" w:type="dxa"/>
              <w:bottom w:w="100" w:type="dxa"/>
              <w:right w:w="108" w:type="dxa"/>
            </w:tcMar>
          </w:tcPr>
          <w:p w14:paraId="1D626BAF" w14:textId="2C1A3EE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Anthonysamy L, Koo AC, Hew SH (2020) Self-regulated learning strategies in higher education: Fostering digital literacy for sustainable lifelong learning. Educ Inf Technol 25(4):2393–2414. </w:t>
            </w:r>
            <w:hyperlink r:id="rId19" w:history="1">
              <w:r w:rsidRPr="00130DB8">
                <w:rPr>
                  <w:rStyle w:val="Hyperlink"/>
                  <w:sz w:val="20"/>
                  <w:szCs w:val="20"/>
                  <w:highlight w:val="none"/>
                </w:rPr>
                <w:t>https://doi.org/10.1007/s10639-020-10201-8</w:t>
              </w:r>
            </w:hyperlink>
          </w:p>
        </w:tc>
      </w:tr>
      <w:tr w:rsidR="00097971" w:rsidRPr="00130DB8" w14:paraId="236D3B77" w14:textId="77777777" w:rsidTr="00097971">
        <w:trPr>
          <w:trHeight w:val="20"/>
        </w:trPr>
        <w:tc>
          <w:tcPr>
            <w:tcW w:w="5000" w:type="pct"/>
            <w:tcMar>
              <w:top w:w="100" w:type="dxa"/>
              <w:left w:w="108" w:type="dxa"/>
              <w:bottom w:w="100" w:type="dxa"/>
              <w:right w:w="108" w:type="dxa"/>
            </w:tcMar>
          </w:tcPr>
          <w:p w14:paraId="515ACCBC" w14:textId="3D88F65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Aran O, Bozkir A, Gok B, Yagci E (2019) Analyzing the Views of Teachers and Prospective Teachers on Information and Communication Technology via Descriptive Data Mining. Int J Assess Tool Educ 6(2):314–329. </w:t>
            </w:r>
            <w:hyperlink r:id="rId20" w:history="1">
              <w:r w:rsidRPr="00130DB8">
                <w:rPr>
                  <w:rStyle w:val="Hyperlink"/>
                  <w:sz w:val="20"/>
                  <w:szCs w:val="20"/>
                  <w:highlight w:val="none"/>
                </w:rPr>
                <w:t>https://doi.org/10.21449/ijate.537877</w:t>
              </w:r>
            </w:hyperlink>
          </w:p>
        </w:tc>
      </w:tr>
      <w:tr w:rsidR="00097971" w:rsidRPr="00130DB8" w14:paraId="78CD0065" w14:textId="77777777" w:rsidTr="00097971">
        <w:trPr>
          <w:trHeight w:val="20"/>
        </w:trPr>
        <w:tc>
          <w:tcPr>
            <w:tcW w:w="5000" w:type="pct"/>
            <w:tcMar>
              <w:top w:w="100" w:type="dxa"/>
              <w:left w:w="108" w:type="dxa"/>
              <w:bottom w:w="100" w:type="dxa"/>
              <w:right w:w="108" w:type="dxa"/>
            </w:tcMar>
          </w:tcPr>
          <w:p w14:paraId="308EFEAD" w14:textId="65A6594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Arango-Morales AJ, Delgado-Cruz A, Tamayo-Salcedo AL (2020) Digital competence of tourism students: Explanatory power of professional training. Eur J Invest Health Psychol Educ 10(1):310–326. </w:t>
            </w:r>
            <w:hyperlink r:id="rId21" w:history="1">
              <w:r w:rsidRPr="00130DB8">
                <w:rPr>
                  <w:rStyle w:val="Hyperlink"/>
                  <w:sz w:val="20"/>
                  <w:szCs w:val="20"/>
                  <w:highlight w:val="none"/>
                </w:rPr>
                <w:t>https://doi.org/10.3390/ejihpe10010024</w:t>
              </w:r>
            </w:hyperlink>
          </w:p>
        </w:tc>
      </w:tr>
      <w:tr w:rsidR="00097971" w:rsidRPr="00130DB8" w14:paraId="53659D24" w14:textId="77777777" w:rsidTr="00097971">
        <w:trPr>
          <w:trHeight w:val="20"/>
        </w:trPr>
        <w:tc>
          <w:tcPr>
            <w:tcW w:w="5000" w:type="pct"/>
            <w:tcMar>
              <w:top w:w="100" w:type="dxa"/>
              <w:left w:w="108" w:type="dxa"/>
              <w:bottom w:w="100" w:type="dxa"/>
              <w:right w:w="108" w:type="dxa"/>
            </w:tcMar>
          </w:tcPr>
          <w:p w14:paraId="6B9522D1" w14:textId="53390DD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Areepattamannil S, Santos IM (2019) Adolescent students’ perceived information and communication technology (ICT) competence and autonomy: Examining links to dispositions toward science in 42 countries. Comput Hum Behav 98:50–58. </w:t>
            </w:r>
            <w:hyperlink r:id="rId22" w:history="1">
              <w:r w:rsidRPr="00130DB8">
                <w:rPr>
                  <w:rStyle w:val="Hyperlink"/>
                  <w:sz w:val="20"/>
                  <w:szCs w:val="20"/>
                  <w:highlight w:val="none"/>
                </w:rPr>
                <w:t>https://doi.org/10.1016/j.chb.2019.04.005</w:t>
              </w:r>
            </w:hyperlink>
          </w:p>
        </w:tc>
      </w:tr>
      <w:tr w:rsidR="00097971" w:rsidRPr="00130DB8" w14:paraId="4B5C3586" w14:textId="77777777" w:rsidTr="00097971">
        <w:trPr>
          <w:trHeight w:val="20"/>
        </w:trPr>
        <w:tc>
          <w:tcPr>
            <w:tcW w:w="5000" w:type="pct"/>
            <w:tcMar>
              <w:top w:w="100" w:type="dxa"/>
              <w:left w:w="108" w:type="dxa"/>
              <w:bottom w:w="100" w:type="dxa"/>
              <w:right w:w="108" w:type="dxa"/>
            </w:tcMar>
          </w:tcPr>
          <w:p w14:paraId="7C4A5999" w14:textId="04A32CE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Aristovnik A, Kerzic D, Ravselj D, et al (2020) Impacts of the COVID-19 Pandemic on Life of Higher Education Students: A Global Perspective. Sustainability 12(20). </w:t>
            </w:r>
            <w:hyperlink r:id="rId23" w:history="1">
              <w:r w:rsidRPr="00130DB8">
                <w:rPr>
                  <w:rStyle w:val="Hyperlink"/>
                  <w:sz w:val="20"/>
                  <w:szCs w:val="20"/>
                  <w:highlight w:val="none"/>
                </w:rPr>
                <w:t>https://doi.org/10.3390/su12208438</w:t>
              </w:r>
            </w:hyperlink>
          </w:p>
        </w:tc>
      </w:tr>
      <w:tr w:rsidR="00097971" w:rsidRPr="00130DB8" w14:paraId="20E0EAC9" w14:textId="77777777" w:rsidTr="00097971">
        <w:trPr>
          <w:trHeight w:val="20"/>
        </w:trPr>
        <w:tc>
          <w:tcPr>
            <w:tcW w:w="5000" w:type="pct"/>
            <w:tcMar>
              <w:top w:w="100" w:type="dxa"/>
              <w:left w:w="108" w:type="dxa"/>
              <w:bottom w:w="100" w:type="dxa"/>
              <w:right w:w="108" w:type="dxa"/>
            </w:tcMar>
          </w:tcPr>
          <w:p w14:paraId="2B7E21BC" w14:textId="7DE3F7F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Ata R, Yildirim K (2019) Exploring Turkish Pre-Service Teachers’ Perceptions and Views of Digital Literacy. Educ Sci 9(1). </w:t>
            </w:r>
            <w:hyperlink r:id="rId24" w:history="1">
              <w:r w:rsidRPr="00130DB8">
                <w:rPr>
                  <w:rStyle w:val="Hyperlink"/>
                  <w:sz w:val="20"/>
                  <w:szCs w:val="20"/>
                  <w:highlight w:val="none"/>
                </w:rPr>
                <w:t>https://doi.org/10.3390/educsci9010040</w:t>
              </w:r>
            </w:hyperlink>
          </w:p>
        </w:tc>
      </w:tr>
      <w:tr w:rsidR="00097971" w:rsidRPr="00130DB8" w14:paraId="4C896BE3" w14:textId="77777777" w:rsidTr="00097971">
        <w:trPr>
          <w:trHeight w:val="20"/>
        </w:trPr>
        <w:tc>
          <w:tcPr>
            <w:tcW w:w="5000" w:type="pct"/>
            <w:tcMar>
              <w:top w:w="100" w:type="dxa"/>
              <w:left w:w="108" w:type="dxa"/>
              <w:bottom w:w="100" w:type="dxa"/>
              <w:right w:w="108" w:type="dxa"/>
            </w:tcMar>
          </w:tcPr>
          <w:p w14:paraId="6F9BF16A" w14:textId="792897D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Atoy MB Jr, Garcia FRO, Cadungog RR, et al (2020) Linking digital literacy and online information searching strategies of Philippine university students: The moderating role of mindfulness. J Librariansh Inf Sci 52(4):1015–1027. </w:t>
            </w:r>
            <w:hyperlink r:id="rId25" w:history="1">
              <w:r w:rsidRPr="00130DB8">
                <w:rPr>
                  <w:rStyle w:val="Hyperlink"/>
                  <w:sz w:val="20"/>
                  <w:szCs w:val="20"/>
                  <w:highlight w:val="none"/>
                </w:rPr>
                <w:t>https://doi.org/10.1177/0961000619898213</w:t>
              </w:r>
            </w:hyperlink>
          </w:p>
        </w:tc>
      </w:tr>
      <w:tr w:rsidR="00097971" w:rsidRPr="00130DB8" w14:paraId="53F98859" w14:textId="77777777" w:rsidTr="00097971">
        <w:trPr>
          <w:trHeight w:val="20"/>
        </w:trPr>
        <w:tc>
          <w:tcPr>
            <w:tcW w:w="5000" w:type="pct"/>
            <w:tcMar>
              <w:top w:w="100" w:type="dxa"/>
              <w:left w:w="108" w:type="dxa"/>
              <w:bottom w:w="100" w:type="dxa"/>
              <w:right w:w="108" w:type="dxa"/>
            </w:tcMar>
          </w:tcPr>
          <w:p w14:paraId="4EFCD162" w14:textId="755D0AE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Ayale-Pérez T, Joo-Nagata J (2019) The digital culture of students of pedagogy specialising in the humanities in Santiago de Chile. Comput Educ 133:1–12. </w:t>
            </w:r>
            <w:hyperlink r:id="rId26" w:history="1">
              <w:r w:rsidRPr="00130DB8">
                <w:rPr>
                  <w:rStyle w:val="Hyperlink"/>
                  <w:sz w:val="20"/>
                  <w:szCs w:val="20"/>
                  <w:highlight w:val="none"/>
                </w:rPr>
                <w:t>https://doi.org/10.1016/j.compedu.2019.01.002</w:t>
              </w:r>
            </w:hyperlink>
          </w:p>
        </w:tc>
      </w:tr>
      <w:tr w:rsidR="00097971" w:rsidRPr="00130DB8" w14:paraId="782FD476" w14:textId="77777777" w:rsidTr="00097971">
        <w:trPr>
          <w:trHeight w:val="20"/>
        </w:trPr>
        <w:tc>
          <w:tcPr>
            <w:tcW w:w="5000" w:type="pct"/>
            <w:tcMar>
              <w:top w:w="100" w:type="dxa"/>
              <w:left w:w="108" w:type="dxa"/>
              <w:bottom w:w="100" w:type="dxa"/>
              <w:right w:w="108" w:type="dxa"/>
            </w:tcMar>
          </w:tcPr>
          <w:p w14:paraId="26F09FD1" w14:textId="6FF7D17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Barri MA (2020) Evaluation of Digital Competency of Public University Students for Web-Facilitated Learning: The Case of Saudi Arabia. Int Educ Stud 13(12):58–69. </w:t>
            </w:r>
            <w:hyperlink r:id="rId27" w:history="1">
              <w:r w:rsidRPr="00130DB8">
                <w:rPr>
                  <w:rStyle w:val="Hyperlink"/>
                  <w:sz w:val="20"/>
                  <w:szCs w:val="20"/>
                  <w:highlight w:val="none"/>
                </w:rPr>
                <w:t>https://doi.org/10.5539/ies.v13n12p58</w:t>
              </w:r>
            </w:hyperlink>
          </w:p>
        </w:tc>
      </w:tr>
      <w:tr w:rsidR="00097971" w:rsidRPr="00130DB8" w14:paraId="5C6E8937" w14:textId="77777777" w:rsidTr="00097971">
        <w:trPr>
          <w:trHeight w:val="20"/>
        </w:trPr>
        <w:tc>
          <w:tcPr>
            <w:tcW w:w="5000" w:type="pct"/>
            <w:tcMar>
              <w:top w:w="100" w:type="dxa"/>
              <w:left w:w="108" w:type="dxa"/>
              <w:bottom w:w="100" w:type="dxa"/>
              <w:right w:w="108" w:type="dxa"/>
            </w:tcMar>
          </w:tcPr>
          <w:p w14:paraId="5DF6B444" w14:textId="45C6525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Baterna HB, Mina TDG, Rogayan DV Jr (2020) Digital Literacy of STEM Senior High School Students: Basis for Enhancement Program. Int J Technol Des Educ 3(2):105–117. </w:t>
            </w:r>
            <w:hyperlink r:id="rId28" w:history="1">
              <w:r w:rsidRPr="00130DB8">
                <w:rPr>
                  <w:rStyle w:val="Hyperlink"/>
                  <w:sz w:val="20"/>
                  <w:szCs w:val="20"/>
                  <w:highlight w:val="none"/>
                </w:rPr>
                <w:t>https://doi.org/10.46328/ijte.v3i2.28</w:t>
              </w:r>
            </w:hyperlink>
          </w:p>
        </w:tc>
      </w:tr>
      <w:tr w:rsidR="00097971" w:rsidRPr="00130DB8" w14:paraId="7AC63815" w14:textId="77777777" w:rsidTr="00097971">
        <w:trPr>
          <w:trHeight w:val="20"/>
        </w:trPr>
        <w:tc>
          <w:tcPr>
            <w:tcW w:w="5000" w:type="pct"/>
            <w:tcMar>
              <w:top w:w="100" w:type="dxa"/>
              <w:left w:w="108" w:type="dxa"/>
              <w:bottom w:w="100" w:type="dxa"/>
              <w:right w:w="108" w:type="dxa"/>
            </w:tcMar>
          </w:tcPr>
          <w:p w14:paraId="1792EE21" w14:textId="22C14FF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Batez M (2021) ICT skills of university students from the faculty of sport and physical education during the COVID-19 pandemic. Sustainability 13(4):1–13. </w:t>
            </w:r>
            <w:hyperlink r:id="rId29" w:history="1">
              <w:r w:rsidRPr="00130DB8">
                <w:rPr>
                  <w:rStyle w:val="Hyperlink"/>
                  <w:sz w:val="20"/>
                  <w:szCs w:val="20"/>
                  <w:highlight w:val="none"/>
                </w:rPr>
                <w:t>https://doi.org/10.3390/su13041711</w:t>
              </w:r>
            </w:hyperlink>
          </w:p>
        </w:tc>
      </w:tr>
      <w:tr w:rsidR="00097971" w:rsidRPr="00130DB8" w14:paraId="5B81FA8A" w14:textId="77777777" w:rsidTr="00097971">
        <w:trPr>
          <w:trHeight w:val="20"/>
        </w:trPr>
        <w:tc>
          <w:tcPr>
            <w:tcW w:w="5000" w:type="pct"/>
            <w:tcMar>
              <w:top w:w="100" w:type="dxa"/>
              <w:left w:w="108" w:type="dxa"/>
              <w:bottom w:w="100" w:type="dxa"/>
              <w:right w:w="108" w:type="dxa"/>
            </w:tcMar>
          </w:tcPr>
          <w:p w14:paraId="21628481" w14:textId="4361AF6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Baturay M, Gokcearslan S, Ke F (2017) The relationship among pre-service teachers’ computer competence, attitude towards computer-assisted education, and intention of technology acceptance. Int J Technol Enhanc Learn 9(1):1–13. </w:t>
            </w:r>
            <w:hyperlink r:id="rId30" w:history="1">
              <w:r w:rsidRPr="00130DB8">
                <w:rPr>
                  <w:rStyle w:val="Hyperlink"/>
                  <w:sz w:val="20"/>
                  <w:szCs w:val="20"/>
                  <w:highlight w:val="none"/>
                </w:rPr>
                <w:t>https://doi.org/10.1504/IJTEL.2017.10003119</w:t>
              </w:r>
            </w:hyperlink>
          </w:p>
        </w:tc>
      </w:tr>
      <w:tr w:rsidR="00097971" w:rsidRPr="00130DB8" w14:paraId="477EFACE" w14:textId="77777777" w:rsidTr="00097971">
        <w:trPr>
          <w:trHeight w:val="20"/>
        </w:trPr>
        <w:tc>
          <w:tcPr>
            <w:tcW w:w="5000" w:type="pct"/>
            <w:tcMar>
              <w:top w:w="100" w:type="dxa"/>
              <w:left w:w="108" w:type="dxa"/>
              <w:bottom w:w="100" w:type="dxa"/>
              <w:right w:w="108" w:type="dxa"/>
            </w:tcMar>
          </w:tcPr>
          <w:p w14:paraId="24756A62" w14:textId="6C500D5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Bhandari B, Jain C, Sahu AK (2021) Are Secondary Schools Imparting Digital Skills? An Empirical Assessment. Margin 15(1):73–100. </w:t>
            </w:r>
            <w:hyperlink r:id="rId31" w:history="1">
              <w:r w:rsidRPr="00130DB8">
                <w:rPr>
                  <w:rStyle w:val="Hyperlink"/>
                  <w:sz w:val="20"/>
                  <w:szCs w:val="20"/>
                  <w:highlight w:val="none"/>
                </w:rPr>
                <w:t>https://doi.org/10.1177/0973801020976607</w:t>
              </w:r>
            </w:hyperlink>
          </w:p>
        </w:tc>
      </w:tr>
      <w:tr w:rsidR="00097971" w:rsidRPr="00130DB8" w14:paraId="614621DE" w14:textId="77777777" w:rsidTr="00097971">
        <w:trPr>
          <w:trHeight w:val="20"/>
        </w:trPr>
        <w:tc>
          <w:tcPr>
            <w:tcW w:w="5000" w:type="pct"/>
            <w:tcMar>
              <w:top w:w="100" w:type="dxa"/>
              <w:left w:w="108" w:type="dxa"/>
              <w:bottom w:w="100" w:type="dxa"/>
              <w:right w:w="108" w:type="dxa"/>
            </w:tcMar>
          </w:tcPr>
          <w:p w14:paraId="6D689C6E" w14:textId="277E9B8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Bhaumik R, Priyadarshini A (2020) E-Readiness of Senior Secondary School Learners to Online Learning Transition Amid COVID-19 Lockdown. Asian j distance educ 15(1):244–256. </w:t>
            </w:r>
            <w:hyperlink r:id="rId32" w:history="1">
              <w:r w:rsidRPr="00130DB8">
                <w:rPr>
                  <w:rStyle w:val="Hyperlink"/>
                  <w:sz w:val="20"/>
                  <w:szCs w:val="20"/>
                  <w:highlight w:val="none"/>
                </w:rPr>
                <w:t>https://doi.org/10.5281/zenodo.3891822</w:t>
              </w:r>
            </w:hyperlink>
          </w:p>
        </w:tc>
      </w:tr>
      <w:tr w:rsidR="00097971" w:rsidRPr="00130DB8" w14:paraId="1BCF38E8" w14:textId="77777777" w:rsidTr="00097971">
        <w:trPr>
          <w:trHeight w:val="20"/>
        </w:trPr>
        <w:tc>
          <w:tcPr>
            <w:tcW w:w="5000" w:type="pct"/>
            <w:tcMar>
              <w:top w:w="100" w:type="dxa"/>
              <w:left w:w="108" w:type="dxa"/>
              <w:bottom w:w="100" w:type="dxa"/>
              <w:right w:w="108" w:type="dxa"/>
            </w:tcMar>
          </w:tcPr>
          <w:p w14:paraId="5A8E2FDE" w14:textId="21607AE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Blayone TJB, Mykhailenko O, Kavtaradze M, et al (2018a) Profiling the digital readiness of higher education students for transformative online learning in the post-soviet nations of Georgia and Ukraine. Int J Educ Technol High Educ 15(1). </w:t>
            </w:r>
            <w:hyperlink r:id="rId33" w:history="1">
              <w:r w:rsidRPr="00130DB8">
                <w:rPr>
                  <w:rStyle w:val="Hyperlink"/>
                  <w:sz w:val="20"/>
                  <w:szCs w:val="20"/>
                  <w:highlight w:val="none"/>
                </w:rPr>
                <w:t>https://doi.org/10.1186/s41239-018-0119-9</w:t>
              </w:r>
            </w:hyperlink>
          </w:p>
        </w:tc>
      </w:tr>
      <w:tr w:rsidR="00097971" w:rsidRPr="00130DB8" w14:paraId="2589A432" w14:textId="77777777" w:rsidTr="00097971">
        <w:trPr>
          <w:trHeight w:val="20"/>
        </w:trPr>
        <w:tc>
          <w:tcPr>
            <w:tcW w:w="5000" w:type="pct"/>
            <w:tcMar>
              <w:top w:w="100" w:type="dxa"/>
              <w:left w:w="108" w:type="dxa"/>
              <w:bottom w:w="100" w:type="dxa"/>
              <w:right w:w="108" w:type="dxa"/>
            </w:tcMar>
          </w:tcPr>
          <w:p w14:paraId="77C6ED47" w14:textId="029DBBB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Blayone TJB, Mykhailenko O, vanOostveen R, et al (2018b) Surveying digital competencies of university students and professors in Ukraine for fully online collaborative learning. Technol Pedagog Educ 27(3):279–296. </w:t>
            </w:r>
            <w:hyperlink r:id="rId34" w:history="1">
              <w:r w:rsidRPr="00130DB8">
                <w:rPr>
                  <w:rStyle w:val="Hyperlink"/>
                  <w:sz w:val="20"/>
                  <w:szCs w:val="20"/>
                  <w:highlight w:val="none"/>
                </w:rPr>
                <w:t>https://doi.org/10.1080/1475939X.2017.1391871</w:t>
              </w:r>
            </w:hyperlink>
          </w:p>
        </w:tc>
      </w:tr>
      <w:tr w:rsidR="00097971" w:rsidRPr="00130DB8" w14:paraId="67B84A47" w14:textId="77777777" w:rsidTr="00097971">
        <w:trPr>
          <w:trHeight w:val="20"/>
        </w:trPr>
        <w:tc>
          <w:tcPr>
            <w:tcW w:w="5000" w:type="pct"/>
            <w:tcMar>
              <w:top w:w="100" w:type="dxa"/>
              <w:left w:w="108" w:type="dxa"/>
              <w:bottom w:w="100" w:type="dxa"/>
              <w:right w:w="108" w:type="dxa"/>
            </w:tcMar>
          </w:tcPr>
          <w:p w14:paraId="2C6CDF1E" w14:textId="48F965D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Bossier A (2019) Perceived formal and informal sanctions on the willingness to commit cyber attacks against domestic and foreign targets. J Crime Justice 42(5):599–615. </w:t>
            </w:r>
            <w:hyperlink r:id="rId35" w:history="1">
              <w:r w:rsidRPr="00130DB8">
                <w:rPr>
                  <w:rStyle w:val="Hyperlink"/>
                  <w:sz w:val="20"/>
                  <w:szCs w:val="20"/>
                  <w:highlight w:val="none"/>
                </w:rPr>
                <w:t>https://doi.org/10.1080/0735648X.2019.1692423</w:t>
              </w:r>
            </w:hyperlink>
          </w:p>
        </w:tc>
      </w:tr>
      <w:tr w:rsidR="00097971" w:rsidRPr="00130DB8" w14:paraId="263BBCBF" w14:textId="77777777" w:rsidTr="00097971">
        <w:trPr>
          <w:trHeight w:val="20"/>
        </w:trPr>
        <w:tc>
          <w:tcPr>
            <w:tcW w:w="5000" w:type="pct"/>
            <w:tcMar>
              <w:top w:w="100" w:type="dxa"/>
              <w:left w:w="108" w:type="dxa"/>
              <w:bottom w:w="100" w:type="dxa"/>
              <w:right w:w="108" w:type="dxa"/>
            </w:tcMar>
          </w:tcPr>
          <w:p w14:paraId="24067178" w14:textId="7E613AD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Buabbas AJ, Al-Shawaf HMH, Almajran AA (2016) Health sciences students’ self-assessment of information and communication technology skills and attitude toward e-Learning. JMIR Med Educ 2(1). </w:t>
            </w:r>
            <w:hyperlink r:id="rId36" w:history="1">
              <w:r w:rsidRPr="00130DB8">
                <w:rPr>
                  <w:rStyle w:val="Hyperlink"/>
                  <w:sz w:val="20"/>
                  <w:szCs w:val="20"/>
                  <w:highlight w:val="none"/>
                </w:rPr>
                <w:t>https://doi.org/10.2196/mededu.5606</w:t>
              </w:r>
            </w:hyperlink>
          </w:p>
        </w:tc>
      </w:tr>
      <w:tr w:rsidR="00097971" w:rsidRPr="00130DB8" w14:paraId="007C3A07" w14:textId="77777777" w:rsidTr="00097971">
        <w:trPr>
          <w:trHeight w:val="20"/>
        </w:trPr>
        <w:tc>
          <w:tcPr>
            <w:tcW w:w="5000" w:type="pct"/>
            <w:tcMar>
              <w:top w:w="100" w:type="dxa"/>
              <w:left w:w="108" w:type="dxa"/>
              <w:bottom w:w="100" w:type="dxa"/>
              <w:right w:w="108" w:type="dxa"/>
            </w:tcMar>
          </w:tcPr>
          <w:p w14:paraId="5CC4AF0C" w14:textId="1298639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Buckley IA, Zalewski J, Clarke PJ (2018) Introducing a cybersecurity mindset into software engineering undergraduate courses. Intl J Adv Comput Sci Appl 9(6):448–452. </w:t>
            </w:r>
            <w:hyperlink r:id="rId37" w:history="1">
              <w:r w:rsidRPr="00130DB8">
                <w:rPr>
                  <w:rStyle w:val="Hyperlink"/>
                  <w:sz w:val="20"/>
                  <w:szCs w:val="20"/>
                  <w:highlight w:val="none"/>
                </w:rPr>
                <w:t>https://doi.org/10.14569/IJACSA.2018.090661</w:t>
              </w:r>
            </w:hyperlink>
          </w:p>
        </w:tc>
      </w:tr>
      <w:tr w:rsidR="00097971" w:rsidRPr="00130DB8" w14:paraId="56ABA9B7" w14:textId="77777777" w:rsidTr="00097971">
        <w:trPr>
          <w:trHeight w:val="20"/>
        </w:trPr>
        <w:tc>
          <w:tcPr>
            <w:tcW w:w="5000" w:type="pct"/>
            <w:tcMar>
              <w:top w:w="100" w:type="dxa"/>
              <w:left w:w="108" w:type="dxa"/>
              <w:bottom w:w="100" w:type="dxa"/>
              <w:right w:w="108" w:type="dxa"/>
            </w:tcMar>
          </w:tcPr>
          <w:p w14:paraId="38CAC9C7" w14:textId="28D3FF3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Burgos-Videla CG, Rojas WAC, Meneses EL, Martínez J (2021) Digital competence analysis of university students using latent classes. Educ Sci 11(8). </w:t>
            </w:r>
            <w:hyperlink r:id="rId38" w:history="1">
              <w:r w:rsidRPr="00130DB8">
                <w:rPr>
                  <w:rStyle w:val="Hyperlink"/>
                  <w:sz w:val="20"/>
                  <w:szCs w:val="20"/>
                  <w:highlight w:val="none"/>
                </w:rPr>
                <w:t>https://doi.org/10.3390/educsci11080385</w:t>
              </w:r>
            </w:hyperlink>
          </w:p>
        </w:tc>
      </w:tr>
      <w:tr w:rsidR="00097971" w:rsidRPr="00130DB8" w14:paraId="5343939B" w14:textId="77777777" w:rsidTr="00097971">
        <w:trPr>
          <w:trHeight w:val="20"/>
        </w:trPr>
        <w:tc>
          <w:tcPr>
            <w:tcW w:w="5000" w:type="pct"/>
            <w:tcMar>
              <w:top w:w="100" w:type="dxa"/>
              <w:left w:w="108" w:type="dxa"/>
              <w:bottom w:w="100" w:type="dxa"/>
              <w:right w:w="108" w:type="dxa"/>
            </w:tcMar>
          </w:tcPr>
          <w:p w14:paraId="129AAF4B" w14:textId="619A8E2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Burin DI, Irrazabal N, Ricle II, et al (2018) Self-reported internet skills, previous knowledge and working memory in text comprehension in E-learning. Int J Educ Technol High Educ 15(1). </w:t>
            </w:r>
            <w:hyperlink r:id="rId39" w:history="1">
              <w:r w:rsidRPr="00130DB8">
                <w:rPr>
                  <w:rStyle w:val="Hyperlink"/>
                  <w:sz w:val="20"/>
                  <w:szCs w:val="20"/>
                  <w:highlight w:val="none"/>
                </w:rPr>
                <w:t>https://doi.org/10.1186/s41239-018-0099-9</w:t>
              </w:r>
            </w:hyperlink>
          </w:p>
        </w:tc>
      </w:tr>
      <w:tr w:rsidR="00097971" w:rsidRPr="00130DB8" w14:paraId="446D3EF3" w14:textId="77777777" w:rsidTr="00097971">
        <w:trPr>
          <w:trHeight w:val="20"/>
        </w:trPr>
        <w:tc>
          <w:tcPr>
            <w:tcW w:w="5000" w:type="pct"/>
            <w:tcMar>
              <w:top w:w="100" w:type="dxa"/>
              <w:left w:w="108" w:type="dxa"/>
              <w:bottom w:w="100" w:type="dxa"/>
              <w:right w:w="108" w:type="dxa"/>
            </w:tcMar>
          </w:tcPr>
          <w:p w14:paraId="62828676" w14:textId="534B630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Cabezas-González M, Casillas-Martín S, García-Peñalvo FJ (2021) The digital competence of pre-service educators: The influence of personal variables. Sustainability 13(4):1–14. </w:t>
            </w:r>
            <w:hyperlink r:id="rId40" w:history="1">
              <w:r w:rsidRPr="00130DB8">
                <w:rPr>
                  <w:rStyle w:val="Hyperlink"/>
                  <w:sz w:val="20"/>
                  <w:szCs w:val="20"/>
                  <w:highlight w:val="none"/>
                </w:rPr>
                <w:t>https://doi.org/10.3390/su13042318</w:t>
              </w:r>
            </w:hyperlink>
          </w:p>
        </w:tc>
      </w:tr>
      <w:tr w:rsidR="00097971" w:rsidRPr="00130DB8" w14:paraId="6D44A1F5" w14:textId="77777777" w:rsidTr="00097971">
        <w:trPr>
          <w:trHeight w:val="20"/>
        </w:trPr>
        <w:tc>
          <w:tcPr>
            <w:tcW w:w="5000" w:type="pct"/>
            <w:tcMar>
              <w:top w:w="100" w:type="dxa"/>
              <w:left w:w="108" w:type="dxa"/>
              <w:bottom w:w="100" w:type="dxa"/>
              <w:right w:w="108" w:type="dxa"/>
            </w:tcMar>
          </w:tcPr>
          <w:p w14:paraId="2E14C134" w14:textId="6C03C52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Calvani A, Fini A, Ranieri M (2010) Digital competence in K-12: theoretical models, assessment tools and empirical research. Anàlisi: quaderns de comunicació i cultura :157–171. </w:t>
            </w:r>
            <w:hyperlink r:id="rId41" w:history="1">
              <w:r w:rsidRPr="00130DB8">
                <w:rPr>
                  <w:rStyle w:val="Hyperlink"/>
                  <w:sz w:val="20"/>
                  <w:szCs w:val="20"/>
                  <w:highlight w:val="none"/>
                </w:rPr>
                <w:t>https://doi.org/10.7238/a.v0i40.1151</w:t>
              </w:r>
            </w:hyperlink>
          </w:p>
        </w:tc>
      </w:tr>
      <w:tr w:rsidR="00097971" w:rsidRPr="00130DB8" w14:paraId="70BD5634" w14:textId="77777777" w:rsidTr="00097971">
        <w:trPr>
          <w:trHeight w:val="20"/>
        </w:trPr>
        <w:tc>
          <w:tcPr>
            <w:tcW w:w="5000" w:type="pct"/>
            <w:tcMar>
              <w:top w:w="100" w:type="dxa"/>
              <w:left w:w="108" w:type="dxa"/>
              <w:bottom w:w="100" w:type="dxa"/>
              <w:right w:w="108" w:type="dxa"/>
            </w:tcMar>
          </w:tcPr>
          <w:p w14:paraId="7D062B70" w14:textId="77D381E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Calvani A, Fini A, Ranieri M, Picci P (2012) Are young generations in secondary school digitally competent? A study on Italian teenagers. Comput Educ 58(2):797–807. </w:t>
            </w:r>
            <w:hyperlink r:id="rId42" w:history="1">
              <w:r w:rsidRPr="00130DB8">
                <w:rPr>
                  <w:rStyle w:val="Hyperlink"/>
                  <w:sz w:val="20"/>
                  <w:szCs w:val="20"/>
                  <w:highlight w:val="none"/>
                </w:rPr>
                <w:t>https://doi.org/10.1016/j.compedu.2011.10.004</w:t>
              </w:r>
            </w:hyperlink>
          </w:p>
        </w:tc>
      </w:tr>
      <w:tr w:rsidR="00097971" w:rsidRPr="00130DB8" w14:paraId="7E73B4A3" w14:textId="77777777" w:rsidTr="00097971">
        <w:trPr>
          <w:trHeight w:val="20"/>
        </w:trPr>
        <w:tc>
          <w:tcPr>
            <w:tcW w:w="5000" w:type="pct"/>
            <w:tcMar>
              <w:top w:w="100" w:type="dxa"/>
              <w:left w:w="108" w:type="dxa"/>
              <w:bottom w:w="100" w:type="dxa"/>
              <w:right w:w="108" w:type="dxa"/>
            </w:tcMar>
          </w:tcPr>
          <w:p w14:paraId="2AA10619" w14:textId="6EA1E02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Castillo de Mesa J, Gómez-Jacinto L, López Peláez A, Erro-Garcés A (2020) Social Networking Sites and Youth Transition: The Use of Facebook and Personal Well-Being of Social Work Young Graduates. Front Psychol 11. </w:t>
            </w:r>
            <w:hyperlink r:id="rId43" w:history="1">
              <w:r w:rsidRPr="00130DB8">
                <w:rPr>
                  <w:rStyle w:val="Hyperlink"/>
                  <w:sz w:val="20"/>
                  <w:szCs w:val="20"/>
                  <w:highlight w:val="none"/>
                </w:rPr>
                <w:t>https://doi.org/10.3389/fpsyg.2020.00230</w:t>
              </w:r>
            </w:hyperlink>
          </w:p>
        </w:tc>
      </w:tr>
      <w:tr w:rsidR="00097971" w:rsidRPr="00130DB8" w14:paraId="038F0B01" w14:textId="77777777" w:rsidTr="00097971">
        <w:trPr>
          <w:trHeight w:val="20"/>
        </w:trPr>
        <w:tc>
          <w:tcPr>
            <w:tcW w:w="5000" w:type="pct"/>
            <w:tcMar>
              <w:top w:w="100" w:type="dxa"/>
              <w:left w:w="108" w:type="dxa"/>
              <w:bottom w:w="100" w:type="dxa"/>
              <w:right w:w="108" w:type="dxa"/>
            </w:tcMar>
          </w:tcPr>
          <w:p w14:paraId="37E5BCF6" w14:textId="292964E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Cecere G, Corrocher N, Scarica F (2012) Why do pirates buy music online? An empirical analysis on a sample of college students. Econ Bull 32(4):2955–2968</w:t>
            </w:r>
          </w:p>
        </w:tc>
      </w:tr>
      <w:tr w:rsidR="00097971" w:rsidRPr="00130DB8" w14:paraId="70A2371D" w14:textId="77777777" w:rsidTr="00097971">
        <w:trPr>
          <w:trHeight w:val="20"/>
        </w:trPr>
        <w:tc>
          <w:tcPr>
            <w:tcW w:w="5000" w:type="pct"/>
            <w:tcMar>
              <w:top w:w="100" w:type="dxa"/>
              <w:left w:w="108" w:type="dxa"/>
              <w:bottom w:w="100" w:type="dxa"/>
              <w:right w:w="108" w:type="dxa"/>
            </w:tcMar>
          </w:tcPr>
          <w:p w14:paraId="21A5CC7A" w14:textId="04B0344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Cerny M (2021) Digital competences of students of library studies: Comparison of research results for 2018–2020. Educ Sci 11(11). </w:t>
            </w:r>
            <w:hyperlink r:id="rId44" w:history="1">
              <w:r w:rsidRPr="00130DB8">
                <w:rPr>
                  <w:rStyle w:val="Hyperlink"/>
                  <w:sz w:val="20"/>
                  <w:szCs w:val="20"/>
                  <w:highlight w:val="none"/>
                </w:rPr>
                <w:t>https://doi.org/10.3390/educsci11110729</w:t>
              </w:r>
            </w:hyperlink>
          </w:p>
        </w:tc>
      </w:tr>
      <w:tr w:rsidR="00097971" w:rsidRPr="00130DB8" w14:paraId="3CD7BE58" w14:textId="77777777" w:rsidTr="00097971">
        <w:trPr>
          <w:trHeight w:val="20"/>
        </w:trPr>
        <w:tc>
          <w:tcPr>
            <w:tcW w:w="5000" w:type="pct"/>
            <w:tcMar>
              <w:top w:w="100" w:type="dxa"/>
              <w:left w:w="108" w:type="dxa"/>
              <w:bottom w:w="100" w:type="dxa"/>
              <w:right w:w="108" w:type="dxa"/>
            </w:tcMar>
          </w:tcPr>
          <w:p w14:paraId="1A2948BA" w14:textId="7DDECDB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Chaiyama N (2019) The development of blended leaning model by using active learning activity to develop learning skills in 21st century. Int J Inf Educ Technol 9(12):880–886. </w:t>
            </w:r>
            <w:hyperlink r:id="rId45" w:history="1">
              <w:r w:rsidRPr="00130DB8">
                <w:rPr>
                  <w:rStyle w:val="Hyperlink"/>
                  <w:sz w:val="20"/>
                  <w:szCs w:val="20"/>
                  <w:highlight w:val="none"/>
                </w:rPr>
                <w:t>https://doi.org/10.18178/ijiet.2019.9.12.1321</w:t>
              </w:r>
            </w:hyperlink>
          </w:p>
        </w:tc>
      </w:tr>
      <w:tr w:rsidR="00097971" w:rsidRPr="00130DB8" w14:paraId="1E5C787D" w14:textId="77777777" w:rsidTr="00097971">
        <w:trPr>
          <w:trHeight w:val="20"/>
        </w:trPr>
        <w:tc>
          <w:tcPr>
            <w:tcW w:w="5000" w:type="pct"/>
            <w:tcMar>
              <w:top w:w="100" w:type="dxa"/>
              <w:left w:w="108" w:type="dxa"/>
              <w:bottom w:w="100" w:type="dxa"/>
              <w:right w:w="108" w:type="dxa"/>
            </w:tcMar>
          </w:tcPr>
          <w:p w14:paraId="3BAE0757" w14:textId="2C59FDC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Chen X, Hu J (2020) ICT-related behavioral factors mediate the relationship between adolescents’ ICT interest and their ICT self-efficacy: Evidence from 30 countries. Comput Educ 159. </w:t>
            </w:r>
            <w:hyperlink r:id="rId46" w:history="1">
              <w:r w:rsidRPr="00130DB8">
                <w:rPr>
                  <w:rStyle w:val="Hyperlink"/>
                  <w:sz w:val="20"/>
                  <w:szCs w:val="20"/>
                  <w:highlight w:val="none"/>
                </w:rPr>
                <w:t>https://doi.org/10.1016/j.compedu.2020.104004</w:t>
              </w:r>
            </w:hyperlink>
          </w:p>
        </w:tc>
      </w:tr>
      <w:tr w:rsidR="00097971" w:rsidRPr="00130DB8" w14:paraId="43DADBBB" w14:textId="77777777" w:rsidTr="00097971">
        <w:trPr>
          <w:trHeight w:val="20"/>
        </w:trPr>
        <w:tc>
          <w:tcPr>
            <w:tcW w:w="5000" w:type="pct"/>
            <w:tcMar>
              <w:top w:w="100" w:type="dxa"/>
              <w:left w:w="108" w:type="dxa"/>
              <w:bottom w:w="100" w:type="dxa"/>
              <w:right w:w="108" w:type="dxa"/>
            </w:tcMar>
          </w:tcPr>
          <w:p w14:paraId="5C870BC1" w14:textId="6ACF2A9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Christoph G, Goldhammer F, Zylka J, Hartig J (2015) Adolescents’ computer performance: The role of self-concept and motivational aspects. Comput Educ 81:1–12. </w:t>
            </w:r>
            <w:hyperlink r:id="rId47" w:history="1">
              <w:r w:rsidRPr="00130DB8">
                <w:rPr>
                  <w:rStyle w:val="Hyperlink"/>
                  <w:sz w:val="20"/>
                  <w:szCs w:val="20"/>
                  <w:highlight w:val="none"/>
                </w:rPr>
                <w:t>https://doi.org/10.1016/j.compedu.2014.09.004</w:t>
              </w:r>
            </w:hyperlink>
          </w:p>
        </w:tc>
      </w:tr>
      <w:tr w:rsidR="00097971" w:rsidRPr="00130DB8" w14:paraId="49AB1337" w14:textId="77777777" w:rsidTr="00097971">
        <w:trPr>
          <w:trHeight w:val="20"/>
        </w:trPr>
        <w:tc>
          <w:tcPr>
            <w:tcW w:w="5000" w:type="pct"/>
            <w:tcMar>
              <w:top w:w="100" w:type="dxa"/>
              <w:left w:w="108" w:type="dxa"/>
              <w:bottom w:w="100" w:type="dxa"/>
              <w:right w:w="108" w:type="dxa"/>
            </w:tcMar>
          </w:tcPr>
          <w:p w14:paraId="3E2C6EFF" w14:textId="42E6F75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Claro M, Preiss DD, San Martín E, et al (2012) Assessment of 21st century ICT skills in Chile: Test design and results from high school level students. Comput Educ 59(3):1042–1053. </w:t>
            </w:r>
            <w:hyperlink r:id="rId48" w:history="1">
              <w:r w:rsidRPr="00130DB8">
                <w:rPr>
                  <w:rStyle w:val="Hyperlink"/>
                  <w:sz w:val="20"/>
                  <w:szCs w:val="20"/>
                  <w:highlight w:val="none"/>
                </w:rPr>
                <w:t>https://doi.org/10.1016/j.compedu.2012.04.004</w:t>
              </w:r>
            </w:hyperlink>
          </w:p>
        </w:tc>
      </w:tr>
      <w:tr w:rsidR="00097971" w:rsidRPr="00130DB8" w14:paraId="62AD0613" w14:textId="77777777" w:rsidTr="00097971">
        <w:trPr>
          <w:trHeight w:val="20"/>
        </w:trPr>
        <w:tc>
          <w:tcPr>
            <w:tcW w:w="5000" w:type="pct"/>
            <w:tcMar>
              <w:top w:w="100" w:type="dxa"/>
              <w:left w:w="108" w:type="dxa"/>
              <w:bottom w:w="100" w:type="dxa"/>
              <w:right w:w="108" w:type="dxa"/>
            </w:tcMar>
          </w:tcPr>
          <w:p w14:paraId="430CF202" w14:textId="2EDC40F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Cote TJ, Milliner B (2017) Preparing Japanese students’ digital literacy for study abroad: Is more training needed? JALT CALL J 13(3):187–197. </w:t>
            </w:r>
            <w:hyperlink r:id="rId49" w:history="1">
              <w:r w:rsidRPr="00130DB8">
                <w:rPr>
                  <w:rStyle w:val="Hyperlink"/>
                  <w:sz w:val="20"/>
                  <w:szCs w:val="20"/>
                  <w:highlight w:val="none"/>
                </w:rPr>
                <w:t>https://doi.org/10.29140/JALTCALL.V13N3.218</w:t>
              </w:r>
            </w:hyperlink>
          </w:p>
        </w:tc>
      </w:tr>
      <w:tr w:rsidR="00097971" w:rsidRPr="00130DB8" w14:paraId="779EB307" w14:textId="77777777" w:rsidTr="00097971">
        <w:trPr>
          <w:trHeight w:val="20"/>
        </w:trPr>
        <w:tc>
          <w:tcPr>
            <w:tcW w:w="5000" w:type="pct"/>
            <w:tcMar>
              <w:top w:w="100" w:type="dxa"/>
              <w:left w:w="108" w:type="dxa"/>
              <w:bottom w:w="100" w:type="dxa"/>
              <w:right w:w="108" w:type="dxa"/>
            </w:tcMar>
          </w:tcPr>
          <w:p w14:paraId="22CEEE75" w14:textId="780B61B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Danner RB, Pessu COA (2013) A survey of ICT competencies among students in teacher preparation programmes at the university of Benin, Benin city, Nigeria. J Inf Technol Educ 12(1):33–49. </w:t>
            </w:r>
            <w:hyperlink r:id="rId50" w:history="1">
              <w:r w:rsidRPr="00130DB8">
                <w:rPr>
                  <w:rStyle w:val="Hyperlink"/>
                  <w:sz w:val="20"/>
                  <w:szCs w:val="20"/>
                  <w:highlight w:val="none"/>
                </w:rPr>
                <w:t>https://doi.org/10.28945/1762</w:t>
              </w:r>
            </w:hyperlink>
          </w:p>
        </w:tc>
      </w:tr>
      <w:tr w:rsidR="00097971" w:rsidRPr="00130DB8" w14:paraId="23F3646B" w14:textId="77777777" w:rsidTr="00097971">
        <w:trPr>
          <w:trHeight w:val="20"/>
        </w:trPr>
        <w:tc>
          <w:tcPr>
            <w:tcW w:w="5000" w:type="pct"/>
            <w:tcMar>
              <w:top w:w="100" w:type="dxa"/>
              <w:left w:w="108" w:type="dxa"/>
              <w:bottom w:w="100" w:type="dxa"/>
              <w:right w:w="108" w:type="dxa"/>
            </w:tcMar>
          </w:tcPr>
          <w:p w14:paraId="1E46FA0C" w14:textId="70C3392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De Wit K, Heerwegh D, Verhoeven JC (2012a) Changes in the basic ICT skills of freshmen between 2005 and 2009: Who’s catching up and who’s still behind? Educ Inf Technol 17(2):205–231. </w:t>
            </w:r>
            <w:hyperlink r:id="rId51" w:history="1">
              <w:r w:rsidRPr="00130DB8">
                <w:rPr>
                  <w:rStyle w:val="Hyperlink"/>
                  <w:sz w:val="20"/>
                  <w:szCs w:val="20"/>
                  <w:highlight w:val="none"/>
                </w:rPr>
                <w:t>https://doi.org/10.1007/s10639-011-9154-z</w:t>
              </w:r>
            </w:hyperlink>
          </w:p>
        </w:tc>
      </w:tr>
      <w:tr w:rsidR="00097971" w:rsidRPr="00130DB8" w14:paraId="442B60C8" w14:textId="77777777" w:rsidTr="00097971">
        <w:trPr>
          <w:trHeight w:val="20"/>
        </w:trPr>
        <w:tc>
          <w:tcPr>
            <w:tcW w:w="5000" w:type="pct"/>
            <w:tcMar>
              <w:top w:w="100" w:type="dxa"/>
              <w:left w:w="108" w:type="dxa"/>
              <w:bottom w:w="100" w:type="dxa"/>
              <w:right w:w="108" w:type="dxa"/>
            </w:tcMar>
          </w:tcPr>
          <w:p w14:paraId="4B603057" w14:textId="7CF63F5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De Wit K, Heerwegh D, Verhoeven JC (2012b) Do ICT competences support educational attainment at university? J Inf Technol Educ 11(1):1–25. </w:t>
            </w:r>
            <w:hyperlink r:id="rId52" w:history="1">
              <w:r w:rsidRPr="00130DB8">
                <w:rPr>
                  <w:rStyle w:val="Hyperlink"/>
                  <w:sz w:val="20"/>
                  <w:szCs w:val="20"/>
                  <w:highlight w:val="none"/>
                </w:rPr>
                <w:t>https://doi.org/10.28945/1552</w:t>
              </w:r>
            </w:hyperlink>
          </w:p>
        </w:tc>
      </w:tr>
      <w:tr w:rsidR="00097971" w:rsidRPr="00130DB8" w14:paraId="0177DBEC" w14:textId="77777777" w:rsidTr="00097971">
        <w:trPr>
          <w:trHeight w:val="20"/>
        </w:trPr>
        <w:tc>
          <w:tcPr>
            <w:tcW w:w="5000" w:type="pct"/>
            <w:tcMar>
              <w:top w:w="100" w:type="dxa"/>
              <w:left w:w="108" w:type="dxa"/>
              <w:bottom w:w="100" w:type="dxa"/>
              <w:right w:w="108" w:type="dxa"/>
            </w:tcMar>
          </w:tcPr>
          <w:p w14:paraId="4F2CB711" w14:textId="34FB01C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De Wit K, Heerwegh D, Verhoeven JC (2014) Can openness to ICT and scientific research predict the ICT skills and ICT use of bachelor’s students? Comput Educ 78:397–413. </w:t>
            </w:r>
            <w:hyperlink r:id="rId53" w:history="1">
              <w:r w:rsidRPr="00130DB8">
                <w:rPr>
                  <w:rStyle w:val="Hyperlink"/>
                  <w:sz w:val="20"/>
                  <w:szCs w:val="20"/>
                  <w:highlight w:val="none"/>
                </w:rPr>
                <w:t>https://doi.org/10.1016/j.compedu.2014.07.003</w:t>
              </w:r>
            </w:hyperlink>
          </w:p>
        </w:tc>
      </w:tr>
      <w:tr w:rsidR="00097971" w:rsidRPr="00130DB8" w14:paraId="295C0C74" w14:textId="77777777" w:rsidTr="00097971">
        <w:trPr>
          <w:trHeight w:val="20"/>
        </w:trPr>
        <w:tc>
          <w:tcPr>
            <w:tcW w:w="5000" w:type="pct"/>
            <w:tcMar>
              <w:top w:w="100" w:type="dxa"/>
              <w:left w:w="108" w:type="dxa"/>
              <w:bottom w:w="100" w:type="dxa"/>
              <w:right w:w="108" w:type="dxa"/>
            </w:tcMar>
          </w:tcPr>
          <w:p w14:paraId="6E3CB0EB" w14:textId="7B5A9BF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Dinçer S, Sahinkayasi Y (2011) A cross-cultural study of ICT competency, attitude and satisfaction of Turkish, polish and Czech university students. Turk Onl J Edu Tech 10(4):31–38</w:t>
            </w:r>
          </w:p>
        </w:tc>
      </w:tr>
      <w:tr w:rsidR="00097971" w:rsidRPr="00130DB8" w14:paraId="503FF5D3" w14:textId="77777777" w:rsidTr="00097971">
        <w:trPr>
          <w:trHeight w:val="20"/>
        </w:trPr>
        <w:tc>
          <w:tcPr>
            <w:tcW w:w="5000" w:type="pct"/>
            <w:tcMar>
              <w:top w:w="100" w:type="dxa"/>
              <w:left w:w="108" w:type="dxa"/>
              <w:bottom w:w="100" w:type="dxa"/>
              <w:right w:w="108" w:type="dxa"/>
            </w:tcMar>
          </w:tcPr>
          <w:p w14:paraId="4B567E81" w14:textId="2195B95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Edem DP, Dewodo C, Atiglah PB (2020) ICT Skills, and Benefits of Teaching and Learning Animal Science with Blended Learning at Colleges of Education in Ghana. J Educ Learn 14(2):289–300. </w:t>
            </w:r>
            <w:hyperlink r:id="rId54" w:history="1">
              <w:r w:rsidRPr="00130DB8">
                <w:rPr>
                  <w:rStyle w:val="Hyperlink"/>
                  <w:sz w:val="20"/>
                  <w:szCs w:val="20"/>
                  <w:highlight w:val="none"/>
                </w:rPr>
                <w:t>https://doi.org/10.11591/edulearn.v14i2.14921</w:t>
              </w:r>
            </w:hyperlink>
          </w:p>
        </w:tc>
      </w:tr>
      <w:tr w:rsidR="00097971" w:rsidRPr="00130DB8" w14:paraId="1C20C690" w14:textId="77777777" w:rsidTr="00097971">
        <w:trPr>
          <w:trHeight w:val="20"/>
        </w:trPr>
        <w:tc>
          <w:tcPr>
            <w:tcW w:w="5000" w:type="pct"/>
            <w:tcMar>
              <w:top w:w="100" w:type="dxa"/>
              <w:left w:w="108" w:type="dxa"/>
              <w:bottom w:w="100" w:type="dxa"/>
              <w:right w:w="108" w:type="dxa"/>
            </w:tcMar>
          </w:tcPr>
          <w:p w14:paraId="40C68D1F" w14:textId="537E9D8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Eger L, Klement M, Tomczyk Ł, et al (2018) Different user groups of university students and their ICT competence: Evidence from three countries in Central Europe. J Baltic Sci Edu 17(5):851–866. </w:t>
            </w:r>
            <w:hyperlink r:id="rId55" w:history="1">
              <w:r w:rsidRPr="00130DB8">
                <w:rPr>
                  <w:rStyle w:val="Hyperlink"/>
                  <w:sz w:val="20"/>
                  <w:szCs w:val="20"/>
                  <w:highlight w:val="none"/>
                </w:rPr>
                <w:t>https://doi.org/10.33225/JBSE/18.17.851</w:t>
              </w:r>
            </w:hyperlink>
          </w:p>
        </w:tc>
      </w:tr>
      <w:tr w:rsidR="00097971" w:rsidRPr="00130DB8" w14:paraId="13EC2030" w14:textId="77777777" w:rsidTr="00097971">
        <w:trPr>
          <w:trHeight w:val="20"/>
        </w:trPr>
        <w:tc>
          <w:tcPr>
            <w:tcW w:w="5000" w:type="pct"/>
            <w:tcMar>
              <w:top w:w="100" w:type="dxa"/>
              <w:left w:w="108" w:type="dxa"/>
              <w:bottom w:w="100" w:type="dxa"/>
              <w:right w:w="108" w:type="dxa"/>
            </w:tcMar>
          </w:tcPr>
          <w:p w14:paraId="306E5629" w14:textId="07723BD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Ekmekçi E (2021) Pursuing a standardized content of a CALL course for pre-service EFL teachers: the procedure, impacts, and reflections. Comput Assisted Lang Learn. </w:t>
            </w:r>
            <w:hyperlink r:id="rId56" w:history="1">
              <w:r w:rsidRPr="00130DB8">
                <w:rPr>
                  <w:rStyle w:val="Hyperlink"/>
                  <w:sz w:val="20"/>
                  <w:szCs w:val="20"/>
                  <w:highlight w:val="none"/>
                </w:rPr>
                <w:t>https://doi.org/10.1080/09588221.2021.1968913</w:t>
              </w:r>
            </w:hyperlink>
          </w:p>
        </w:tc>
      </w:tr>
      <w:tr w:rsidR="00097971" w:rsidRPr="00130DB8" w14:paraId="409F7024" w14:textId="77777777" w:rsidTr="00097971">
        <w:trPr>
          <w:trHeight w:val="20"/>
        </w:trPr>
        <w:tc>
          <w:tcPr>
            <w:tcW w:w="5000" w:type="pct"/>
            <w:tcMar>
              <w:top w:w="100" w:type="dxa"/>
              <w:left w:w="108" w:type="dxa"/>
              <w:bottom w:w="100" w:type="dxa"/>
              <w:right w:w="108" w:type="dxa"/>
            </w:tcMar>
          </w:tcPr>
          <w:p w14:paraId="649B9B3D" w14:textId="42297A1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Eri R, Gudimetla P, Star S, et al (2021) Digital resilience in higher education in response to covid-19 pandemic: Student perceptions from asia and australia. J Univ Teach Learn Pract 18(5). </w:t>
            </w:r>
            <w:hyperlink r:id="rId57" w:history="1">
              <w:r w:rsidRPr="00130DB8">
                <w:rPr>
                  <w:rStyle w:val="Hyperlink"/>
                  <w:sz w:val="20"/>
                  <w:szCs w:val="20"/>
                  <w:highlight w:val="none"/>
                </w:rPr>
                <w:t>https://doi.org/10.14453/jutlp.v18i5.7</w:t>
              </w:r>
            </w:hyperlink>
          </w:p>
        </w:tc>
      </w:tr>
      <w:tr w:rsidR="00097971" w:rsidRPr="00130DB8" w14:paraId="28C10099" w14:textId="77777777" w:rsidTr="00097971">
        <w:trPr>
          <w:trHeight w:val="20"/>
        </w:trPr>
        <w:tc>
          <w:tcPr>
            <w:tcW w:w="5000" w:type="pct"/>
            <w:tcMar>
              <w:top w:w="100" w:type="dxa"/>
              <w:left w:w="108" w:type="dxa"/>
              <w:bottom w:w="100" w:type="dxa"/>
              <w:right w:w="108" w:type="dxa"/>
            </w:tcMar>
          </w:tcPr>
          <w:p w14:paraId="3F9DEE05" w14:textId="4D9AC39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Ertem HY (2020) Examination of Turkey’s PISA 2018 reading literacy scores within student-level and school-level variables. Particip Educ Res 8(1):248–264. </w:t>
            </w:r>
            <w:hyperlink r:id="rId58" w:history="1">
              <w:r w:rsidRPr="00130DB8">
                <w:rPr>
                  <w:rStyle w:val="Hyperlink"/>
                  <w:sz w:val="20"/>
                  <w:szCs w:val="20"/>
                  <w:highlight w:val="none"/>
                </w:rPr>
                <w:t>https://doi.org/10.17275/per.21.14.8.1</w:t>
              </w:r>
            </w:hyperlink>
          </w:p>
        </w:tc>
      </w:tr>
      <w:tr w:rsidR="00097971" w:rsidRPr="00130DB8" w14:paraId="3F07BBC2" w14:textId="77777777" w:rsidTr="00097971">
        <w:trPr>
          <w:trHeight w:val="20"/>
        </w:trPr>
        <w:tc>
          <w:tcPr>
            <w:tcW w:w="5000" w:type="pct"/>
            <w:tcMar>
              <w:top w:w="100" w:type="dxa"/>
              <w:left w:w="108" w:type="dxa"/>
              <w:bottom w:w="100" w:type="dxa"/>
              <w:right w:w="108" w:type="dxa"/>
            </w:tcMar>
          </w:tcPr>
          <w:p w14:paraId="0F40ABB3" w14:textId="629950C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Esteve-Mon FM, Llopis MA, Adell-Segura J (2020) Digital competence and computational thinking of student teachers. Int J Emerg Technol Learn 15(2):29–41. </w:t>
            </w:r>
            <w:hyperlink r:id="rId59" w:history="1">
              <w:r w:rsidRPr="00130DB8">
                <w:rPr>
                  <w:rStyle w:val="Hyperlink"/>
                  <w:sz w:val="20"/>
                  <w:szCs w:val="20"/>
                  <w:highlight w:val="none"/>
                </w:rPr>
                <w:t>https://doi.org/10.3991/ijet.v15i02.11588</w:t>
              </w:r>
            </w:hyperlink>
          </w:p>
        </w:tc>
      </w:tr>
      <w:tr w:rsidR="00097971" w:rsidRPr="00130DB8" w14:paraId="67F595AF" w14:textId="77777777" w:rsidTr="00097971">
        <w:trPr>
          <w:trHeight w:val="20"/>
        </w:trPr>
        <w:tc>
          <w:tcPr>
            <w:tcW w:w="5000" w:type="pct"/>
            <w:tcMar>
              <w:top w:w="100" w:type="dxa"/>
              <w:left w:w="108" w:type="dxa"/>
              <w:bottom w:w="100" w:type="dxa"/>
              <w:right w:w="108" w:type="dxa"/>
            </w:tcMar>
          </w:tcPr>
          <w:p w14:paraId="26BAD121" w14:textId="2329A73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Farrell K, Carey C (2018) Power, pitfalls, and potential for integrating computational literacy into undergraduate ecology courses. Ecol Evol 8(16):7744–7751. </w:t>
            </w:r>
            <w:hyperlink r:id="rId60" w:history="1">
              <w:r w:rsidRPr="00130DB8">
                <w:rPr>
                  <w:rStyle w:val="Hyperlink"/>
                  <w:sz w:val="20"/>
                  <w:szCs w:val="20"/>
                  <w:highlight w:val="none"/>
                </w:rPr>
                <w:t>https://doi.org/10.1002/ece3.4363</w:t>
              </w:r>
            </w:hyperlink>
          </w:p>
        </w:tc>
      </w:tr>
      <w:tr w:rsidR="00097971" w:rsidRPr="00130DB8" w14:paraId="6263309B" w14:textId="77777777" w:rsidTr="00097971">
        <w:trPr>
          <w:trHeight w:val="20"/>
        </w:trPr>
        <w:tc>
          <w:tcPr>
            <w:tcW w:w="5000" w:type="pct"/>
            <w:tcMar>
              <w:top w:w="100" w:type="dxa"/>
              <w:left w:w="108" w:type="dxa"/>
              <w:bottom w:w="100" w:type="dxa"/>
              <w:right w:w="108" w:type="dxa"/>
            </w:tcMar>
          </w:tcPr>
          <w:p w14:paraId="537C4B57" w14:textId="6555F60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Fatima HZ, Shafique F, Firdous A (2012) ICT skills of LIS students: A survey of two library schools of the Punjab. Pak J Libr Inf Sci. </w:t>
            </w:r>
            <w:hyperlink r:id="rId61" w:history="1">
              <w:r w:rsidRPr="00130DB8">
                <w:rPr>
                  <w:rStyle w:val="Hyperlink"/>
                  <w:sz w:val="20"/>
                  <w:szCs w:val="20"/>
                  <w:highlight w:val="none"/>
                </w:rPr>
                <w:t>https://doi.org/10.47657/201213778</w:t>
              </w:r>
            </w:hyperlink>
          </w:p>
        </w:tc>
      </w:tr>
      <w:tr w:rsidR="00097971" w:rsidRPr="00130DB8" w14:paraId="1D22EFB8" w14:textId="77777777" w:rsidTr="00097971">
        <w:trPr>
          <w:trHeight w:val="20"/>
        </w:trPr>
        <w:tc>
          <w:tcPr>
            <w:tcW w:w="5000" w:type="pct"/>
            <w:tcMar>
              <w:top w:w="100" w:type="dxa"/>
              <w:left w:w="108" w:type="dxa"/>
              <w:bottom w:w="100" w:type="dxa"/>
              <w:right w:w="108" w:type="dxa"/>
            </w:tcMar>
          </w:tcPr>
          <w:p w14:paraId="124C88A5" w14:textId="1BB1134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Feye KM, Lekkala H, Lee-Bartlett JA, et al (2020) Survey analysis of computer science, food science, and cybersecurity skills and coursework of undergraduate and graduate students interested in food safety. J Food Sci Educ 19(4):240–249. </w:t>
            </w:r>
            <w:hyperlink r:id="rId62" w:history="1">
              <w:r w:rsidRPr="00130DB8">
                <w:rPr>
                  <w:rStyle w:val="Hyperlink"/>
                  <w:sz w:val="20"/>
                  <w:szCs w:val="20"/>
                  <w:highlight w:val="none"/>
                </w:rPr>
                <w:t>https://doi.org/10.1111/1541-4329.12200</w:t>
              </w:r>
            </w:hyperlink>
          </w:p>
        </w:tc>
      </w:tr>
      <w:tr w:rsidR="00097971" w:rsidRPr="00130DB8" w14:paraId="721E4C81" w14:textId="77777777" w:rsidTr="00097971">
        <w:trPr>
          <w:trHeight w:val="20"/>
        </w:trPr>
        <w:tc>
          <w:tcPr>
            <w:tcW w:w="5000" w:type="pct"/>
            <w:tcMar>
              <w:top w:w="100" w:type="dxa"/>
              <w:left w:w="108" w:type="dxa"/>
              <w:bottom w:w="100" w:type="dxa"/>
              <w:right w:w="108" w:type="dxa"/>
            </w:tcMar>
          </w:tcPr>
          <w:p w14:paraId="60532E26" w14:textId="37F3FD4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Galindo-Domínguez H, Bezanilla MJ (2021) Promoting time management and self-efficacy through digital competence in university students: A mediational model. Contemp Edu Tech 13(2):1–14. </w:t>
            </w:r>
            <w:hyperlink r:id="rId63" w:history="1">
              <w:r w:rsidRPr="00130DB8">
                <w:rPr>
                  <w:rStyle w:val="Hyperlink"/>
                  <w:sz w:val="20"/>
                  <w:szCs w:val="20"/>
                  <w:highlight w:val="none"/>
                </w:rPr>
                <w:t>https://doi.org/10.30935/cedtech/9607</w:t>
              </w:r>
            </w:hyperlink>
          </w:p>
        </w:tc>
      </w:tr>
      <w:tr w:rsidR="00097971" w:rsidRPr="00130DB8" w14:paraId="6F09E2A5" w14:textId="77777777" w:rsidTr="00097971">
        <w:trPr>
          <w:trHeight w:val="20"/>
        </w:trPr>
        <w:tc>
          <w:tcPr>
            <w:tcW w:w="5000" w:type="pct"/>
            <w:tcMar>
              <w:top w:w="100" w:type="dxa"/>
              <w:left w:w="108" w:type="dxa"/>
              <w:bottom w:w="100" w:type="dxa"/>
              <w:right w:w="108" w:type="dxa"/>
            </w:tcMar>
          </w:tcPr>
          <w:p w14:paraId="0F69F5DD" w14:textId="5BC2C49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Gallego-Arrufat M-J, Torres-Hernández N, Pessoa T (2019) Competence of future teachers in the digital security area. Comunicar 27(61):53–62. </w:t>
            </w:r>
            <w:hyperlink r:id="rId64" w:history="1">
              <w:r w:rsidRPr="00130DB8">
                <w:rPr>
                  <w:rStyle w:val="Hyperlink"/>
                  <w:sz w:val="20"/>
                  <w:szCs w:val="20"/>
                  <w:highlight w:val="none"/>
                </w:rPr>
                <w:t>https://doi.org/10.3916/C61-2019-05</w:t>
              </w:r>
            </w:hyperlink>
          </w:p>
        </w:tc>
      </w:tr>
      <w:tr w:rsidR="00097971" w:rsidRPr="00130DB8" w14:paraId="25F1AFF4" w14:textId="77777777" w:rsidTr="00097971">
        <w:trPr>
          <w:trHeight w:val="20"/>
        </w:trPr>
        <w:tc>
          <w:tcPr>
            <w:tcW w:w="5000" w:type="pct"/>
            <w:tcMar>
              <w:top w:w="100" w:type="dxa"/>
              <w:left w:w="108" w:type="dxa"/>
              <w:bottom w:w="100" w:type="dxa"/>
              <w:right w:w="108" w:type="dxa"/>
            </w:tcMar>
          </w:tcPr>
          <w:p w14:paraId="6948B918" w14:textId="37A2335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García FAM, Llamas-Salguero F, Fernández-Sánchez MR, Del Campo JLC (2020) Digital technologies at the pre-university and university levels. Sustainability 12(24):1–16. </w:t>
            </w:r>
            <w:hyperlink r:id="rId65" w:history="1">
              <w:r w:rsidRPr="00130DB8">
                <w:rPr>
                  <w:rStyle w:val="Hyperlink"/>
                  <w:sz w:val="20"/>
                  <w:szCs w:val="20"/>
                  <w:highlight w:val="none"/>
                </w:rPr>
                <w:t>https://doi.org/10.3390/su122410426</w:t>
              </w:r>
            </w:hyperlink>
          </w:p>
        </w:tc>
      </w:tr>
      <w:tr w:rsidR="00097971" w:rsidRPr="00130DB8" w14:paraId="16C502E9" w14:textId="77777777" w:rsidTr="00097971">
        <w:trPr>
          <w:trHeight w:val="20"/>
        </w:trPr>
        <w:tc>
          <w:tcPr>
            <w:tcW w:w="5000" w:type="pct"/>
            <w:tcMar>
              <w:top w:w="100" w:type="dxa"/>
              <w:left w:w="108" w:type="dxa"/>
              <w:bottom w:w="100" w:type="dxa"/>
              <w:right w:w="108" w:type="dxa"/>
            </w:tcMar>
          </w:tcPr>
          <w:p w14:paraId="43F7DC23" w14:textId="6D73E53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García-Vandewalle García JM, García-Carmona M, Trujillo Torres JM, Moya Fernández P (2021) Analysis of digital competence of educators (DigCompEdu) in teacher trainees: the context of Melilla, Spain. Tech Knowl Learn. </w:t>
            </w:r>
            <w:hyperlink r:id="rId66" w:history="1">
              <w:r w:rsidRPr="00130DB8">
                <w:rPr>
                  <w:rStyle w:val="Hyperlink"/>
                  <w:sz w:val="20"/>
                  <w:szCs w:val="20"/>
                  <w:highlight w:val="none"/>
                </w:rPr>
                <w:t>https://doi.org/10.1007/s10758-021-09546-x</w:t>
              </w:r>
            </w:hyperlink>
          </w:p>
        </w:tc>
      </w:tr>
      <w:tr w:rsidR="00097971" w:rsidRPr="00130DB8" w14:paraId="5CC6DCC5" w14:textId="77777777" w:rsidTr="00097971">
        <w:trPr>
          <w:trHeight w:val="20"/>
        </w:trPr>
        <w:tc>
          <w:tcPr>
            <w:tcW w:w="5000" w:type="pct"/>
            <w:tcMar>
              <w:top w:w="100" w:type="dxa"/>
              <w:left w:w="108" w:type="dxa"/>
              <w:bottom w:w="100" w:type="dxa"/>
              <w:right w:w="108" w:type="dxa"/>
            </w:tcMar>
          </w:tcPr>
          <w:p w14:paraId="1F0D501B" w14:textId="77D5045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Gasaymeh AM (2018) A study of undergraduate students’ use of Information and Communication Technology (ICT) and the factors affecting their use: A developing country perspective. Eurasia J Math Sci Technol Educ 14(5):1731–1746. </w:t>
            </w:r>
            <w:hyperlink r:id="rId67" w:history="1">
              <w:r w:rsidRPr="00130DB8">
                <w:rPr>
                  <w:rStyle w:val="Hyperlink"/>
                  <w:sz w:val="20"/>
                  <w:szCs w:val="20"/>
                  <w:highlight w:val="none"/>
                </w:rPr>
                <w:t>https://doi.org/10.29333/EJMSTE/85118</w:t>
              </w:r>
            </w:hyperlink>
          </w:p>
        </w:tc>
      </w:tr>
      <w:tr w:rsidR="00097971" w:rsidRPr="00130DB8" w14:paraId="12EFA683" w14:textId="77777777" w:rsidTr="00097971">
        <w:trPr>
          <w:trHeight w:val="20"/>
        </w:trPr>
        <w:tc>
          <w:tcPr>
            <w:tcW w:w="5000" w:type="pct"/>
            <w:tcMar>
              <w:top w:w="100" w:type="dxa"/>
              <w:left w:w="108" w:type="dxa"/>
              <w:bottom w:w="100" w:type="dxa"/>
              <w:right w:w="108" w:type="dxa"/>
            </w:tcMar>
          </w:tcPr>
          <w:p w14:paraId="54105DE9" w14:textId="4A19CDB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Gnambs T (2021) The development of gender differences in information and communication technology (ICT) literacy in middle adolescence. Comput Human Behav 114(ACARA. (2018). NAP sample assessment ICT literacy: Years 6 and 10. Australian Curriculum, Assessment and Reporting Authority.). </w:t>
            </w:r>
            <w:hyperlink r:id="rId68" w:history="1">
              <w:r w:rsidRPr="00130DB8">
                <w:rPr>
                  <w:rStyle w:val="Hyperlink"/>
                  <w:sz w:val="20"/>
                  <w:szCs w:val="20"/>
                  <w:highlight w:val="none"/>
                </w:rPr>
                <w:t>https://doi.org/10.1016/j.chb.2020.106533</w:t>
              </w:r>
            </w:hyperlink>
          </w:p>
        </w:tc>
      </w:tr>
      <w:tr w:rsidR="00097971" w:rsidRPr="00130DB8" w14:paraId="6AC156B6" w14:textId="77777777" w:rsidTr="00097971">
        <w:trPr>
          <w:trHeight w:val="20"/>
        </w:trPr>
        <w:tc>
          <w:tcPr>
            <w:tcW w:w="5000" w:type="pct"/>
            <w:tcMar>
              <w:top w:w="100" w:type="dxa"/>
              <w:left w:w="108" w:type="dxa"/>
              <w:bottom w:w="100" w:type="dxa"/>
              <w:right w:w="108" w:type="dxa"/>
            </w:tcMar>
          </w:tcPr>
          <w:p w14:paraId="0ED3B487" w14:textId="7969E33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González García E, Amaro Agudo A, Martínez Heredia N (2019) Comparative study of Competences 2.0 between young and senior people. Present time and challenges for their inclusion. Espacios 40(5)</w:t>
            </w:r>
          </w:p>
        </w:tc>
      </w:tr>
      <w:tr w:rsidR="00097971" w:rsidRPr="00130DB8" w14:paraId="2B2CB22E" w14:textId="77777777" w:rsidTr="00097971">
        <w:trPr>
          <w:trHeight w:val="20"/>
        </w:trPr>
        <w:tc>
          <w:tcPr>
            <w:tcW w:w="5000" w:type="pct"/>
            <w:tcMar>
              <w:top w:w="100" w:type="dxa"/>
              <w:left w:w="108" w:type="dxa"/>
              <w:bottom w:w="100" w:type="dxa"/>
              <w:right w:w="108" w:type="dxa"/>
            </w:tcMar>
          </w:tcPr>
          <w:p w14:paraId="162882C0" w14:textId="0863325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González MC, Martín SC (2018) Social educators: A study of digital competence from a gender differences perspective. Croat J Educ 20(1):11–42. </w:t>
            </w:r>
            <w:hyperlink r:id="rId69" w:history="1">
              <w:r w:rsidRPr="00130DB8">
                <w:rPr>
                  <w:rStyle w:val="Hyperlink"/>
                  <w:sz w:val="20"/>
                  <w:szCs w:val="20"/>
                  <w:highlight w:val="none"/>
                </w:rPr>
                <w:t>https://doi.org/10.15516/cje.v20i1.2632</w:t>
              </w:r>
            </w:hyperlink>
          </w:p>
        </w:tc>
      </w:tr>
      <w:tr w:rsidR="00097971" w:rsidRPr="00130DB8" w14:paraId="0EAB4CF2" w14:textId="77777777" w:rsidTr="00097971">
        <w:trPr>
          <w:trHeight w:val="20"/>
        </w:trPr>
        <w:tc>
          <w:tcPr>
            <w:tcW w:w="5000" w:type="pct"/>
            <w:tcMar>
              <w:top w:w="100" w:type="dxa"/>
              <w:left w:w="108" w:type="dxa"/>
              <w:bottom w:w="100" w:type="dxa"/>
              <w:right w:w="108" w:type="dxa"/>
            </w:tcMar>
          </w:tcPr>
          <w:p w14:paraId="6CBC4B8D" w14:textId="489C2C5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Grande-De-prado M, Cañón R, García-Martín S, Cantón I (2020) Digital competence and gender: Teachers in training. a case study. Future Internet 12(11):1–15. </w:t>
            </w:r>
            <w:hyperlink r:id="rId70" w:history="1">
              <w:r w:rsidRPr="00130DB8">
                <w:rPr>
                  <w:rStyle w:val="Hyperlink"/>
                  <w:sz w:val="20"/>
                  <w:szCs w:val="20"/>
                  <w:highlight w:val="none"/>
                </w:rPr>
                <w:t>https://doi.org/10.3390/fi12110204</w:t>
              </w:r>
            </w:hyperlink>
          </w:p>
        </w:tc>
      </w:tr>
      <w:tr w:rsidR="00097971" w:rsidRPr="00130DB8" w14:paraId="73660FC0" w14:textId="77777777" w:rsidTr="00097971">
        <w:trPr>
          <w:trHeight w:val="20"/>
        </w:trPr>
        <w:tc>
          <w:tcPr>
            <w:tcW w:w="5000" w:type="pct"/>
            <w:tcMar>
              <w:top w:w="100" w:type="dxa"/>
              <w:left w:w="108" w:type="dxa"/>
              <w:bottom w:w="100" w:type="dxa"/>
              <w:right w:w="108" w:type="dxa"/>
            </w:tcMar>
          </w:tcPr>
          <w:p w14:paraId="5CB3A8F8" w14:textId="6F0FA18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Gubbels J, Swart NM, Groen MA (2020) Everything in moderation: ICT and reading performance of Dutch 15-year-olds. Large-Scale Assess Educ 8(1). </w:t>
            </w:r>
            <w:hyperlink r:id="rId71" w:history="1">
              <w:r w:rsidRPr="00130DB8">
                <w:rPr>
                  <w:rStyle w:val="Hyperlink"/>
                  <w:sz w:val="20"/>
                  <w:szCs w:val="20"/>
                  <w:highlight w:val="none"/>
                </w:rPr>
                <w:t>https://doi.org/10.1186/s40536-020-0079-0</w:t>
              </w:r>
            </w:hyperlink>
          </w:p>
        </w:tc>
      </w:tr>
      <w:tr w:rsidR="00097971" w:rsidRPr="00130DB8" w14:paraId="521B7706" w14:textId="77777777" w:rsidTr="00097971">
        <w:trPr>
          <w:trHeight w:val="20"/>
        </w:trPr>
        <w:tc>
          <w:tcPr>
            <w:tcW w:w="5000" w:type="pct"/>
            <w:tcMar>
              <w:top w:w="100" w:type="dxa"/>
              <w:left w:w="108" w:type="dxa"/>
              <w:bottom w:w="100" w:type="dxa"/>
              <w:right w:w="108" w:type="dxa"/>
            </w:tcMar>
          </w:tcPr>
          <w:p w14:paraId="2D773AE7" w14:textId="5D36564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Gudmundsdottir GB, Gassó HH, Rubio JCC, Hatlevik OE (2020) Student teachers’ responsible use of ICT: Examining two samples in Spain and Norway. Comput Educ 152. </w:t>
            </w:r>
            <w:hyperlink r:id="rId72" w:history="1">
              <w:r w:rsidRPr="00130DB8">
                <w:rPr>
                  <w:rStyle w:val="Hyperlink"/>
                  <w:sz w:val="20"/>
                  <w:szCs w:val="20"/>
                  <w:highlight w:val="none"/>
                </w:rPr>
                <w:t>https://doi.org/10.1016/j.compedu.2020.103877</w:t>
              </w:r>
            </w:hyperlink>
          </w:p>
        </w:tc>
      </w:tr>
      <w:tr w:rsidR="00097971" w:rsidRPr="00130DB8" w14:paraId="03228788" w14:textId="77777777" w:rsidTr="00097971">
        <w:trPr>
          <w:trHeight w:val="20"/>
        </w:trPr>
        <w:tc>
          <w:tcPr>
            <w:tcW w:w="5000" w:type="pct"/>
            <w:tcMar>
              <w:top w:w="100" w:type="dxa"/>
              <w:left w:w="108" w:type="dxa"/>
              <w:bottom w:w="100" w:type="dxa"/>
              <w:right w:w="108" w:type="dxa"/>
            </w:tcMar>
          </w:tcPr>
          <w:p w14:paraId="02B2097C" w14:textId="707B334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Guggemos J (2021) On the predictors of computational thinking and its growth at the high-school level. Comput Educ 161. </w:t>
            </w:r>
            <w:hyperlink r:id="rId73" w:history="1">
              <w:r w:rsidRPr="00130DB8">
                <w:rPr>
                  <w:rStyle w:val="Hyperlink"/>
                  <w:sz w:val="20"/>
                  <w:szCs w:val="20"/>
                  <w:highlight w:val="none"/>
                </w:rPr>
                <w:t>https://doi.org/10.1016/j.compedu.2020.104060</w:t>
              </w:r>
            </w:hyperlink>
          </w:p>
        </w:tc>
      </w:tr>
      <w:tr w:rsidR="00097971" w:rsidRPr="00130DB8" w14:paraId="0D6A98D5" w14:textId="77777777" w:rsidTr="00097971">
        <w:trPr>
          <w:trHeight w:val="20"/>
        </w:trPr>
        <w:tc>
          <w:tcPr>
            <w:tcW w:w="5000" w:type="pct"/>
            <w:tcMar>
              <w:top w:w="100" w:type="dxa"/>
              <w:left w:w="108" w:type="dxa"/>
              <w:bottom w:w="100" w:type="dxa"/>
              <w:right w:w="108" w:type="dxa"/>
            </w:tcMar>
          </w:tcPr>
          <w:p w14:paraId="5EB629B3" w14:textId="27431C0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Gui M, Argentin G (2011) Digital skills of internet natives: Different forms of digital literacy in a random sample of northern Italian high school students. New Media Soc 13(6):963–980. </w:t>
            </w:r>
            <w:hyperlink r:id="rId74" w:history="1">
              <w:r w:rsidRPr="00130DB8">
                <w:rPr>
                  <w:rStyle w:val="Hyperlink"/>
                  <w:sz w:val="20"/>
                  <w:szCs w:val="20"/>
                  <w:highlight w:val="none"/>
                </w:rPr>
                <w:t>https://doi.org/10.1177/1461444810389751</w:t>
              </w:r>
            </w:hyperlink>
          </w:p>
        </w:tc>
      </w:tr>
      <w:tr w:rsidR="00097971" w:rsidRPr="00130DB8" w14:paraId="3F83816B" w14:textId="77777777" w:rsidTr="00097971">
        <w:trPr>
          <w:trHeight w:val="20"/>
        </w:trPr>
        <w:tc>
          <w:tcPr>
            <w:tcW w:w="5000" w:type="pct"/>
            <w:tcMar>
              <w:top w:w="100" w:type="dxa"/>
              <w:left w:w="108" w:type="dxa"/>
              <w:bottom w:w="100" w:type="dxa"/>
              <w:right w:w="108" w:type="dxa"/>
            </w:tcMar>
          </w:tcPr>
          <w:p w14:paraId="4D75E949" w14:textId="65C596D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Gulatee Y, Pagram J, Combes B (2018) Which tech will i use? Trends in students’ use and ownership of technology in a thai university, an ongoing study. J ICT Res Appl 12(2):138–153. </w:t>
            </w:r>
            <w:hyperlink r:id="rId75" w:history="1">
              <w:r w:rsidRPr="00130DB8">
                <w:rPr>
                  <w:rStyle w:val="Hyperlink"/>
                  <w:sz w:val="20"/>
                  <w:szCs w:val="20"/>
                  <w:highlight w:val="none"/>
                </w:rPr>
                <w:t>https://doi.org/10.5614/itbj.ict.res.appl.2018.12.2.3</w:t>
              </w:r>
            </w:hyperlink>
          </w:p>
        </w:tc>
      </w:tr>
      <w:tr w:rsidR="00097971" w:rsidRPr="00130DB8" w14:paraId="6F2B97C1" w14:textId="77777777" w:rsidTr="00097971">
        <w:trPr>
          <w:trHeight w:val="20"/>
        </w:trPr>
        <w:tc>
          <w:tcPr>
            <w:tcW w:w="5000" w:type="pct"/>
            <w:tcMar>
              <w:top w:w="100" w:type="dxa"/>
              <w:left w:w="108" w:type="dxa"/>
              <w:bottom w:w="100" w:type="dxa"/>
              <w:right w:w="108" w:type="dxa"/>
            </w:tcMar>
          </w:tcPr>
          <w:p w14:paraId="3308AEED" w14:textId="0B6AD19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Hampton KN, Robertson CT, Fernandez L, et al (2021) How variation in internet access, digital skills, and media use are related to rural student outcomes: GPA, SAT, and educational aspirations. Telematics Inf 63. </w:t>
            </w:r>
            <w:hyperlink r:id="rId76" w:history="1">
              <w:r w:rsidRPr="00130DB8">
                <w:rPr>
                  <w:rStyle w:val="Hyperlink"/>
                  <w:sz w:val="20"/>
                  <w:szCs w:val="20"/>
                  <w:highlight w:val="none"/>
                </w:rPr>
                <w:t>https://doi.org/10.1016/j.tele.2021.101666</w:t>
              </w:r>
            </w:hyperlink>
          </w:p>
        </w:tc>
      </w:tr>
      <w:tr w:rsidR="00097971" w:rsidRPr="00130DB8" w14:paraId="535AFCCF" w14:textId="77777777" w:rsidTr="00097971">
        <w:trPr>
          <w:trHeight w:val="20"/>
        </w:trPr>
        <w:tc>
          <w:tcPr>
            <w:tcW w:w="5000" w:type="pct"/>
            <w:tcMar>
              <w:top w:w="100" w:type="dxa"/>
              <w:left w:w="108" w:type="dxa"/>
              <w:bottom w:w="100" w:type="dxa"/>
              <w:right w:w="108" w:type="dxa"/>
            </w:tcMar>
          </w:tcPr>
          <w:p w14:paraId="7669C943" w14:textId="586F322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Hamutoglu N, Savasci M, Sezen-Gultekin G (2019) Digital Literacy Skills and Attitudes towards E-learning. Journal of Education and Future (16):93–107. </w:t>
            </w:r>
            <w:hyperlink r:id="rId77" w:history="1">
              <w:r w:rsidRPr="00130DB8">
                <w:rPr>
                  <w:rStyle w:val="Hyperlink"/>
                  <w:sz w:val="20"/>
                  <w:szCs w:val="20"/>
                  <w:highlight w:val="none"/>
                </w:rPr>
                <w:t>https://doi.org/10.30786/jef.509293</w:t>
              </w:r>
            </w:hyperlink>
          </w:p>
        </w:tc>
      </w:tr>
      <w:tr w:rsidR="00097971" w:rsidRPr="00130DB8" w14:paraId="21C1D738" w14:textId="77777777" w:rsidTr="00097971">
        <w:trPr>
          <w:trHeight w:val="20"/>
        </w:trPr>
        <w:tc>
          <w:tcPr>
            <w:tcW w:w="5000" w:type="pct"/>
            <w:tcMar>
              <w:top w:w="100" w:type="dxa"/>
              <w:left w:w="108" w:type="dxa"/>
              <w:bottom w:w="100" w:type="dxa"/>
              <w:right w:w="108" w:type="dxa"/>
            </w:tcMar>
          </w:tcPr>
          <w:p w14:paraId="64A17993" w14:textId="287A27F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Hamutoglu NB, Gemikonakli O, De Raffaele C, Gezgin DM (2020) Comparative cross-cultural study in digital literacy. Eurasian J Educ Res 2020(88):121–148. </w:t>
            </w:r>
            <w:hyperlink r:id="rId78" w:history="1">
              <w:r w:rsidRPr="00130DB8">
                <w:rPr>
                  <w:rStyle w:val="Hyperlink"/>
                  <w:sz w:val="20"/>
                  <w:szCs w:val="20"/>
                  <w:highlight w:val="none"/>
                </w:rPr>
                <w:t>https://doi.org/10.14689/ejer.2020.88.6</w:t>
              </w:r>
            </w:hyperlink>
          </w:p>
        </w:tc>
      </w:tr>
      <w:tr w:rsidR="00097971" w:rsidRPr="00130DB8" w14:paraId="1A06EA23" w14:textId="77777777" w:rsidTr="00097971">
        <w:trPr>
          <w:trHeight w:val="20"/>
        </w:trPr>
        <w:tc>
          <w:tcPr>
            <w:tcW w:w="5000" w:type="pct"/>
            <w:tcMar>
              <w:top w:w="100" w:type="dxa"/>
              <w:left w:w="108" w:type="dxa"/>
              <w:bottom w:w="100" w:type="dxa"/>
              <w:right w:w="108" w:type="dxa"/>
            </w:tcMar>
          </w:tcPr>
          <w:p w14:paraId="246A3884" w14:textId="1651212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Hargittai E, Litt E (2013) New strategies for employment? Internet skills and online privacy practices during people’s job search. IEEE Secur Privacy 11(3):38–45. </w:t>
            </w:r>
            <w:hyperlink r:id="rId79" w:history="1">
              <w:r w:rsidRPr="00130DB8">
                <w:rPr>
                  <w:rStyle w:val="Hyperlink"/>
                  <w:sz w:val="20"/>
                  <w:szCs w:val="20"/>
                  <w:highlight w:val="none"/>
                </w:rPr>
                <w:t>https://doi.org/10.1109/MSP.2013.64</w:t>
              </w:r>
            </w:hyperlink>
          </w:p>
        </w:tc>
      </w:tr>
      <w:tr w:rsidR="00097971" w:rsidRPr="00130DB8" w14:paraId="39B2191D" w14:textId="77777777" w:rsidTr="00097971">
        <w:trPr>
          <w:trHeight w:val="20"/>
        </w:trPr>
        <w:tc>
          <w:tcPr>
            <w:tcW w:w="5000" w:type="pct"/>
            <w:tcMar>
              <w:top w:w="100" w:type="dxa"/>
              <w:left w:w="108" w:type="dxa"/>
              <w:bottom w:w="100" w:type="dxa"/>
              <w:right w:w="108" w:type="dxa"/>
            </w:tcMar>
          </w:tcPr>
          <w:p w14:paraId="1650ED73" w14:textId="2918887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Hatlevik OE, Christophersen K-A (2013) Digital competence at the beginning of upper secondary school: Identifying factors explaining digital inclusion. Comput Educ 63:240–247. </w:t>
            </w:r>
            <w:hyperlink r:id="rId80" w:history="1">
              <w:r w:rsidRPr="00130DB8">
                <w:rPr>
                  <w:rStyle w:val="Hyperlink"/>
                  <w:sz w:val="20"/>
                  <w:szCs w:val="20"/>
                  <w:highlight w:val="none"/>
                </w:rPr>
                <w:t>https://doi.org/10.1016/j.compedu.2012.11.015</w:t>
              </w:r>
            </w:hyperlink>
          </w:p>
        </w:tc>
      </w:tr>
      <w:tr w:rsidR="00097971" w:rsidRPr="00130DB8" w14:paraId="6C17164E" w14:textId="77777777" w:rsidTr="00097971">
        <w:trPr>
          <w:trHeight w:val="20"/>
        </w:trPr>
        <w:tc>
          <w:tcPr>
            <w:tcW w:w="5000" w:type="pct"/>
            <w:tcMar>
              <w:top w:w="100" w:type="dxa"/>
              <w:left w:w="108" w:type="dxa"/>
              <w:bottom w:w="100" w:type="dxa"/>
              <w:right w:w="108" w:type="dxa"/>
            </w:tcMar>
          </w:tcPr>
          <w:p w14:paraId="007A3A31" w14:textId="7779211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Hatlevik OE, Guðmundsdóttir GB, Loi M (2015a) Examining factors predicting students’ digital competence. J Inf Technol Educ:Res 14(14):123–137. </w:t>
            </w:r>
            <w:hyperlink r:id="rId81" w:history="1">
              <w:r w:rsidRPr="00130DB8">
                <w:rPr>
                  <w:rStyle w:val="Hyperlink"/>
                  <w:sz w:val="20"/>
                  <w:szCs w:val="20"/>
                  <w:highlight w:val="none"/>
                </w:rPr>
                <w:t>https://doi.org/10.28945/2126</w:t>
              </w:r>
            </w:hyperlink>
          </w:p>
        </w:tc>
      </w:tr>
      <w:tr w:rsidR="00097971" w:rsidRPr="00130DB8" w14:paraId="6FFC8866" w14:textId="77777777" w:rsidTr="00097971">
        <w:trPr>
          <w:trHeight w:val="20"/>
        </w:trPr>
        <w:tc>
          <w:tcPr>
            <w:tcW w:w="5000" w:type="pct"/>
            <w:tcMar>
              <w:top w:w="100" w:type="dxa"/>
              <w:left w:w="108" w:type="dxa"/>
              <w:bottom w:w="100" w:type="dxa"/>
              <w:right w:w="108" w:type="dxa"/>
            </w:tcMar>
          </w:tcPr>
          <w:p w14:paraId="4CBFAA7E" w14:textId="177471D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Hatlevik OE, Guomundsdóttir GB, Loi M (2015b) Digital diversity among upper secondary students: A multilevel analysis of the relationship between cultural capital, self-efficacy, strategic use of information and digital competence. Comput Educ 81:345–353. </w:t>
            </w:r>
            <w:hyperlink r:id="rId82" w:history="1">
              <w:r w:rsidRPr="00130DB8">
                <w:rPr>
                  <w:rStyle w:val="Hyperlink"/>
                  <w:sz w:val="20"/>
                  <w:szCs w:val="20"/>
                  <w:highlight w:val="none"/>
                </w:rPr>
                <w:t>https://doi.org/10.1016/j.compedu.2014.10.019</w:t>
              </w:r>
            </w:hyperlink>
          </w:p>
        </w:tc>
      </w:tr>
      <w:tr w:rsidR="00097971" w:rsidRPr="00130DB8" w14:paraId="7C8EA68C" w14:textId="77777777" w:rsidTr="00097971">
        <w:trPr>
          <w:trHeight w:val="20"/>
        </w:trPr>
        <w:tc>
          <w:tcPr>
            <w:tcW w:w="5000" w:type="pct"/>
            <w:tcMar>
              <w:top w:w="100" w:type="dxa"/>
              <w:left w:w="108" w:type="dxa"/>
              <w:bottom w:w="100" w:type="dxa"/>
              <w:right w:w="108" w:type="dxa"/>
            </w:tcMar>
          </w:tcPr>
          <w:p w14:paraId="4609AF16" w14:textId="506AC04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Hattab NM, Lahmiti S, Abdelaziz AB, et al (2010) Internet and medical student in Marrakech. Ann Afr Med 9(2):68–71. </w:t>
            </w:r>
            <w:hyperlink r:id="rId83" w:history="1">
              <w:r w:rsidRPr="00130DB8">
                <w:rPr>
                  <w:rStyle w:val="Hyperlink"/>
                  <w:sz w:val="20"/>
                  <w:szCs w:val="20"/>
                  <w:highlight w:val="none"/>
                </w:rPr>
                <w:t>https://doi.org/10.4103/1596-3519.64756</w:t>
              </w:r>
            </w:hyperlink>
          </w:p>
        </w:tc>
      </w:tr>
      <w:tr w:rsidR="00097971" w:rsidRPr="00130DB8" w14:paraId="7526FFF0" w14:textId="77777777" w:rsidTr="00097971">
        <w:trPr>
          <w:trHeight w:val="20"/>
        </w:trPr>
        <w:tc>
          <w:tcPr>
            <w:tcW w:w="5000" w:type="pct"/>
            <w:tcMar>
              <w:top w:w="100" w:type="dxa"/>
              <w:left w:w="108" w:type="dxa"/>
              <w:bottom w:w="100" w:type="dxa"/>
              <w:right w:w="108" w:type="dxa"/>
            </w:tcMar>
          </w:tcPr>
          <w:p w14:paraId="0798349C" w14:textId="1E37764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 T, Huang Q, Yu X, Li S (2021) Exploring students’ digital informal learning: the roles of digital competence and DTPB factors. Behav Inf Technol 40(13):1406–1416. </w:t>
            </w:r>
            <w:hyperlink r:id="rId84" w:history="1">
              <w:r w:rsidRPr="00130DB8">
                <w:rPr>
                  <w:rStyle w:val="Hyperlink"/>
                  <w:sz w:val="20"/>
                  <w:szCs w:val="20"/>
                  <w:highlight w:val="none"/>
                </w:rPr>
                <w:t>https://doi.org/10.1080/0144929X.2020.1752800</w:t>
              </w:r>
            </w:hyperlink>
          </w:p>
        </w:tc>
      </w:tr>
      <w:tr w:rsidR="00097971" w:rsidRPr="00130DB8" w14:paraId="4596757D" w14:textId="77777777" w:rsidTr="00097971">
        <w:trPr>
          <w:trHeight w:val="20"/>
        </w:trPr>
        <w:tc>
          <w:tcPr>
            <w:tcW w:w="5000" w:type="pct"/>
            <w:tcMar>
              <w:top w:w="100" w:type="dxa"/>
              <w:left w:w="108" w:type="dxa"/>
              <w:bottom w:w="100" w:type="dxa"/>
              <w:right w:w="108" w:type="dxa"/>
            </w:tcMar>
          </w:tcPr>
          <w:p w14:paraId="74358E06" w14:textId="35162D0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He T, Li S (2019) A comparative study of digital informal learning: The effects of digital competence and technology expectancy. Br J Educ Technol. </w:t>
            </w:r>
            <w:hyperlink r:id="rId85" w:history="1">
              <w:r w:rsidRPr="00130DB8">
                <w:rPr>
                  <w:rStyle w:val="Hyperlink"/>
                  <w:sz w:val="20"/>
                  <w:szCs w:val="20"/>
                  <w:highlight w:val="none"/>
                </w:rPr>
                <w:t>https://doi.org/10.1111/bjet.12778</w:t>
              </w:r>
            </w:hyperlink>
          </w:p>
        </w:tc>
      </w:tr>
      <w:tr w:rsidR="00097971" w:rsidRPr="00130DB8" w14:paraId="28A361C0" w14:textId="77777777" w:rsidTr="00097971">
        <w:trPr>
          <w:trHeight w:val="20"/>
        </w:trPr>
        <w:tc>
          <w:tcPr>
            <w:tcW w:w="5000" w:type="pct"/>
            <w:tcMar>
              <w:top w:w="100" w:type="dxa"/>
              <w:left w:w="108" w:type="dxa"/>
              <w:bottom w:w="100" w:type="dxa"/>
              <w:right w:w="108" w:type="dxa"/>
            </w:tcMar>
          </w:tcPr>
          <w:p w14:paraId="3826193F" w14:textId="2BEC5A2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 T, Zhu C (2017) Digital informal learning among Chinese university students: the effects of digital competence and personal factors. Int J Educ Technol High Educ 14(1). </w:t>
            </w:r>
            <w:hyperlink r:id="rId86" w:history="1">
              <w:r w:rsidRPr="00130DB8">
                <w:rPr>
                  <w:rStyle w:val="Hyperlink"/>
                  <w:sz w:val="20"/>
                  <w:szCs w:val="20"/>
                  <w:highlight w:val="none"/>
                </w:rPr>
                <w:t>https://doi.org/10.1186/s41239-017-0082-x</w:t>
              </w:r>
            </w:hyperlink>
          </w:p>
        </w:tc>
      </w:tr>
      <w:tr w:rsidR="00097971" w:rsidRPr="00130DB8" w14:paraId="0AFA32F7" w14:textId="77777777" w:rsidTr="00097971">
        <w:trPr>
          <w:trHeight w:val="20"/>
        </w:trPr>
        <w:tc>
          <w:tcPr>
            <w:tcW w:w="5000" w:type="pct"/>
            <w:tcMar>
              <w:top w:w="100" w:type="dxa"/>
              <w:left w:w="108" w:type="dxa"/>
              <w:bottom w:w="100" w:type="dxa"/>
              <w:right w:w="108" w:type="dxa"/>
            </w:tcMar>
          </w:tcPr>
          <w:p w14:paraId="1EE9D0C1" w14:textId="59C9A11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 T, Zhu C, Questier F (2018) Predicting digital informal learning: an empirical study among Chinese University students. Asia Pac Educ Rev 19(1):79–90. </w:t>
            </w:r>
            <w:hyperlink r:id="rId87" w:history="1">
              <w:r w:rsidRPr="00130DB8">
                <w:rPr>
                  <w:rStyle w:val="Hyperlink"/>
                  <w:sz w:val="20"/>
                  <w:szCs w:val="20"/>
                  <w:highlight w:val="none"/>
                </w:rPr>
                <w:t>https://doi.org/10.1007/s12564-018-9517-x</w:t>
              </w:r>
            </w:hyperlink>
          </w:p>
        </w:tc>
      </w:tr>
      <w:tr w:rsidR="00097971" w:rsidRPr="00130DB8" w14:paraId="00700284" w14:textId="77777777" w:rsidTr="00097971">
        <w:trPr>
          <w:trHeight w:val="20"/>
        </w:trPr>
        <w:tc>
          <w:tcPr>
            <w:tcW w:w="5000" w:type="pct"/>
            <w:tcMar>
              <w:top w:w="100" w:type="dxa"/>
              <w:left w:w="108" w:type="dxa"/>
              <w:bottom w:w="100" w:type="dxa"/>
              <w:right w:w="108" w:type="dxa"/>
            </w:tcMar>
          </w:tcPr>
          <w:p w14:paraId="3B81DFB5" w14:textId="365FBAD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Heerwegh D, De Wit K, Verhoeven JC (2016) Exploring the self-reported ICT skill levels of undergraduate science students. J Inf Technol Educ Res 15(2016):19–47. </w:t>
            </w:r>
            <w:hyperlink r:id="rId88" w:history="1">
              <w:r w:rsidRPr="00130DB8">
                <w:rPr>
                  <w:rStyle w:val="Hyperlink"/>
                  <w:sz w:val="20"/>
                  <w:szCs w:val="20"/>
                  <w:highlight w:val="none"/>
                </w:rPr>
                <w:t>https://doi.org/10.28945/2334</w:t>
              </w:r>
            </w:hyperlink>
          </w:p>
        </w:tc>
      </w:tr>
      <w:tr w:rsidR="00097971" w:rsidRPr="00130DB8" w14:paraId="5060C595" w14:textId="77777777" w:rsidTr="00097971">
        <w:trPr>
          <w:trHeight w:val="20"/>
        </w:trPr>
        <w:tc>
          <w:tcPr>
            <w:tcW w:w="5000" w:type="pct"/>
            <w:tcMar>
              <w:top w:w="100" w:type="dxa"/>
              <w:left w:w="108" w:type="dxa"/>
              <w:bottom w:w="100" w:type="dxa"/>
              <w:right w:w="108" w:type="dxa"/>
            </w:tcMar>
          </w:tcPr>
          <w:p w14:paraId="641D3AAC" w14:textId="227C085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Heidari E, Mehrvarz M, Marzooghi R, Stoyanov S (2021) The role of digital informal learning in the relationship between students’ digital competence and academic engagement during the COVID-19 pandemic. J Comput Assisted Learn 37(4):1154–1166. </w:t>
            </w:r>
            <w:hyperlink r:id="rId89" w:history="1">
              <w:r w:rsidRPr="00130DB8">
                <w:rPr>
                  <w:rStyle w:val="Hyperlink"/>
                  <w:sz w:val="20"/>
                  <w:szCs w:val="20"/>
                  <w:highlight w:val="none"/>
                </w:rPr>
                <w:t>https://doi.org/10.1111/jcal.12553</w:t>
              </w:r>
            </w:hyperlink>
          </w:p>
        </w:tc>
      </w:tr>
      <w:tr w:rsidR="00097971" w:rsidRPr="00130DB8" w14:paraId="36BCF128" w14:textId="77777777" w:rsidTr="00097971">
        <w:trPr>
          <w:trHeight w:val="20"/>
        </w:trPr>
        <w:tc>
          <w:tcPr>
            <w:tcW w:w="5000" w:type="pct"/>
            <w:tcMar>
              <w:top w:w="100" w:type="dxa"/>
              <w:left w:w="108" w:type="dxa"/>
              <w:bottom w:w="100" w:type="dxa"/>
              <w:right w:w="108" w:type="dxa"/>
            </w:tcMar>
          </w:tcPr>
          <w:p w14:paraId="2B88B60E" w14:textId="4A30834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Heuling LS, Wild S, Vest A (2021) Digital competences of prospective engineers and science teachers: A latent profile and correspondence analysis. Int J Edu Math Sci Tech 9(4):760–782. </w:t>
            </w:r>
            <w:hyperlink r:id="rId90" w:history="1">
              <w:r w:rsidRPr="00130DB8">
                <w:rPr>
                  <w:rStyle w:val="Hyperlink"/>
                  <w:sz w:val="20"/>
                  <w:szCs w:val="20"/>
                  <w:highlight w:val="none"/>
                </w:rPr>
                <w:t>https://doi.org/10.46328/ijemst.1831</w:t>
              </w:r>
            </w:hyperlink>
          </w:p>
        </w:tc>
      </w:tr>
      <w:tr w:rsidR="00097971" w:rsidRPr="00130DB8" w14:paraId="02F96E52" w14:textId="77777777" w:rsidTr="00097971">
        <w:trPr>
          <w:trHeight w:val="490"/>
        </w:trPr>
        <w:tc>
          <w:tcPr>
            <w:tcW w:w="5000" w:type="pct"/>
            <w:tcMar>
              <w:top w:w="100" w:type="dxa"/>
              <w:left w:w="108" w:type="dxa"/>
              <w:bottom w:w="100" w:type="dxa"/>
              <w:right w:w="108" w:type="dxa"/>
            </w:tcMar>
          </w:tcPr>
          <w:p w14:paraId="097C5C9B" w14:textId="2BF2615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Hinostroza JE, Matamala C, Labbé C, et al (2015) Factors (not) affecting what students do with computers and internet at home. Learn Media Technol 40(1):43–63. </w:t>
            </w:r>
            <w:hyperlink r:id="rId91" w:history="1">
              <w:r w:rsidRPr="00130DB8">
                <w:rPr>
                  <w:rStyle w:val="Hyperlink"/>
                  <w:sz w:val="20"/>
                  <w:szCs w:val="20"/>
                  <w:highlight w:val="none"/>
                </w:rPr>
                <w:t>https://doi.org/10.1080/17439884.2014.883407</w:t>
              </w:r>
            </w:hyperlink>
          </w:p>
        </w:tc>
      </w:tr>
      <w:tr w:rsidR="00097971" w:rsidRPr="00130DB8" w14:paraId="3439C6BC" w14:textId="77777777" w:rsidTr="00097971">
        <w:trPr>
          <w:trHeight w:val="20"/>
        </w:trPr>
        <w:tc>
          <w:tcPr>
            <w:tcW w:w="5000" w:type="pct"/>
            <w:tcMar>
              <w:top w:w="100" w:type="dxa"/>
              <w:left w:w="108" w:type="dxa"/>
              <w:bottom w:w="100" w:type="dxa"/>
              <w:right w:w="108" w:type="dxa"/>
            </w:tcMar>
          </w:tcPr>
          <w:p w14:paraId="3609E242" w14:textId="36EA5E2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Hortelano JT, Ramos RA, Gutierrez MC, Catapang HA (2021) Mediating role of self-efficacy to use ict on the relationship between digital profile and competence. J Appl Struct Equ Model 5(1):19–39. </w:t>
            </w:r>
            <w:hyperlink r:id="rId92" w:history="1">
              <w:r w:rsidRPr="00130DB8">
                <w:rPr>
                  <w:rStyle w:val="Hyperlink"/>
                  <w:sz w:val="20"/>
                  <w:szCs w:val="20"/>
                  <w:highlight w:val="none"/>
                </w:rPr>
                <w:t>https://doi.org/10.47263/JASEM.5(1)04</w:t>
              </w:r>
            </w:hyperlink>
          </w:p>
        </w:tc>
      </w:tr>
      <w:tr w:rsidR="00097971" w:rsidRPr="00130DB8" w14:paraId="723F7632" w14:textId="77777777" w:rsidTr="00097971">
        <w:trPr>
          <w:trHeight w:val="20"/>
        </w:trPr>
        <w:tc>
          <w:tcPr>
            <w:tcW w:w="5000" w:type="pct"/>
            <w:tcMar>
              <w:top w:w="100" w:type="dxa"/>
              <w:left w:w="108" w:type="dxa"/>
              <w:bottom w:w="100" w:type="dxa"/>
              <w:right w:w="108" w:type="dxa"/>
            </w:tcMar>
          </w:tcPr>
          <w:p w14:paraId="2789F317" w14:textId="00AD3F6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Hossain MA, Sormunen E (2019) ICT Skills of Library and Information Science (LIS) Students in Bangladesh. Int Inf Libr Rev 51(4):285–299. </w:t>
            </w:r>
            <w:hyperlink r:id="rId93" w:history="1">
              <w:r w:rsidRPr="00130DB8">
                <w:rPr>
                  <w:rStyle w:val="Hyperlink"/>
                  <w:sz w:val="20"/>
                  <w:szCs w:val="20"/>
                  <w:highlight w:val="none"/>
                </w:rPr>
                <w:t>https://doi.org/10.1080/10572317.2018.1559661</w:t>
              </w:r>
            </w:hyperlink>
          </w:p>
        </w:tc>
      </w:tr>
      <w:tr w:rsidR="00097971" w:rsidRPr="00130DB8" w14:paraId="1146F586" w14:textId="77777777" w:rsidTr="00097971">
        <w:trPr>
          <w:trHeight w:val="20"/>
        </w:trPr>
        <w:tc>
          <w:tcPr>
            <w:tcW w:w="5000" w:type="pct"/>
            <w:tcMar>
              <w:top w:w="100" w:type="dxa"/>
              <w:left w:w="108" w:type="dxa"/>
              <w:bottom w:w="100" w:type="dxa"/>
              <w:right w:w="108" w:type="dxa"/>
            </w:tcMar>
          </w:tcPr>
          <w:p w14:paraId="07A648E4" w14:textId="747AC7B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Hsiao H, Tu Y, Chung H (2012) Perceived Social Supports, Computer Self-Efficacy, and Computer Use among High School Students. Turkish Online J Educ Technol 11(2):167–177</w:t>
            </w:r>
          </w:p>
        </w:tc>
      </w:tr>
      <w:tr w:rsidR="00097971" w:rsidRPr="00130DB8" w14:paraId="12D56E9C" w14:textId="77777777" w:rsidTr="00097971">
        <w:trPr>
          <w:trHeight w:val="20"/>
        </w:trPr>
        <w:tc>
          <w:tcPr>
            <w:tcW w:w="5000" w:type="pct"/>
            <w:tcMar>
              <w:top w:w="100" w:type="dxa"/>
              <w:left w:w="108" w:type="dxa"/>
              <w:bottom w:w="100" w:type="dxa"/>
              <w:right w:w="108" w:type="dxa"/>
            </w:tcMar>
          </w:tcPr>
          <w:p w14:paraId="6A45CCF9" w14:textId="1FD7287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Hu X, Gong Y, Lai C, Leung FKS (2018) The relationship between ICT and student literacy in mathematics, reading, and science across 44 countries: A multilevel analysis. Comput Educ 125:1–13. </w:t>
            </w:r>
            <w:hyperlink r:id="rId94" w:history="1">
              <w:r w:rsidRPr="00130DB8">
                <w:rPr>
                  <w:rStyle w:val="Hyperlink"/>
                  <w:sz w:val="20"/>
                  <w:szCs w:val="20"/>
                  <w:highlight w:val="none"/>
                </w:rPr>
                <w:t>https://doi.org/10.1016/j.compedu.2018.05.021</w:t>
              </w:r>
            </w:hyperlink>
          </w:p>
        </w:tc>
      </w:tr>
      <w:tr w:rsidR="00097971" w:rsidRPr="00130DB8" w14:paraId="42DD63B9" w14:textId="77777777" w:rsidTr="00097971">
        <w:trPr>
          <w:trHeight w:val="20"/>
        </w:trPr>
        <w:tc>
          <w:tcPr>
            <w:tcW w:w="5000" w:type="pct"/>
            <w:tcMar>
              <w:top w:w="100" w:type="dxa"/>
              <w:left w:w="108" w:type="dxa"/>
              <w:bottom w:w="100" w:type="dxa"/>
              <w:right w:w="108" w:type="dxa"/>
            </w:tcMar>
          </w:tcPr>
          <w:p w14:paraId="21011DB5" w14:textId="31AE75D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Ibieta A, Hinostroza J, Labbe C (2019) Improving Students’ Information Problem-Solving Skills on the Web Through Explicit Instruction and the Use of Customized Search Software. J Res Technol Educ 51(3):217–238. </w:t>
            </w:r>
            <w:hyperlink r:id="rId95" w:history="1">
              <w:r w:rsidRPr="00130DB8">
                <w:rPr>
                  <w:rStyle w:val="Hyperlink"/>
                  <w:sz w:val="20"/>
                  <w:szCs w:val="20"/>
                  <w:highlight w:val="none"/>
                </w:rPr>
                <w:t>https://doi.org/10.1080/15391523.2019.1576559</w:t>
              </w:r>
            </w:hyperlink>
          </w:p>
        </w:tc>
      </w:tr>
      <w:tr w:rsidR="00097971" w:rsidRPr="00130DB8" w14:paraId="4D3FE344" w14:textId="77777777" w:rsidTr="00097971">
        <w:trPr>
          <w:trHeight w:val="20"/>
        </w:trPr>
        <w:tc>
          <w:tcPr>
            <w:tcW w:w="5000" w:type="pct"/>
            <w:tcMar>
              <w:top w:w="100" w:type="dxa"/>
              <w:left w:w="108" w:type="dxa"/>
              <w:bottom w:w="100" w:type="dxa"/>
              <w:right w:w="108" w:type="dxa"/>
            </w:tcMar>
          </w:tcPr>
          <w:p w14:paraId="4247882C" w14:textId="48F78B7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Ismailova R, Muhametjanova G, Medeni T, et al (2019) Cybercrime risk awareness rate among students in Central Asia: A comparative study in Kyrgyzstan and Kazakhstan. Inf Secur J 28(4–5):127–135. </w:t>
            </w:r>
            <w:hyperlink r:id="rId96" w:history="1">
              <w:r w:rsidRPr="00130DB8">
                <w:rPr>
                  <w:rStyle w:val="Hyperlink"/>
                  <w:sz w:val="20"/>
                  <w:szCs w:val="20"/>
                  <w:highlight w:val="none"/>
                </w:rPr>
                <w:t>https://doi.org/10.1080/19393555.2019.1685142</w:t>
              </w:r>
            </w:hyperlink>
          </w:p>
        </w:tc>
      </w:tr>
      <w:tr w:rsidR="00097971" w:rsidRPr="00130DB8" w14:paraId="0ADC78C5" w14:textId="77777777" w:rsidTr="00097971">
        <w:trPr>
          <w:trHeight w:val="20"/>
        </w:trPr>
        <w:tc>
          <w:tcPr>
            <w:tcW w:w="5000" w:type="pct"/>
            <w:tcMar>
              <w:top w:w="100" w:type="dxa"/>
              <w:left w:w="108" w:type="dxa"/>
              <w:bottom w:w="100" w:type="dxa"/>
              <w:right w:w="108" w:type="dxa"/>
            </w:tcMar>
          </w:tcPr>
          <w:p w14:paraId="26FE7508" w14:textId="482C6C0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Jahromi S, Salimi F (2013) Exploring the human element of computer-assisted language learning: an Iranian context. Comput Assist Lang Learn 26(2):158–176. </w:t>
            </w:r>
            <w:hyperlink r:id="rId97" w:history="1">
              <w:r w:rsidRPr="00130DB8">
                <w:rPr>
                  <w:rStyle w:val="Hyperlink"/>
                  <w:sz w:val="20"/>
                  <w:szCs w:val="20"/>
                  <w:highlight w:val="none"/>
                </w:rPr>
                <w:t>https://doi.org/10.1080/09588221.2011.643411</w:t>
              </w:r>
            </w:hyperlink>
          </w:p>
        </w:tc>
      </w:tr>
      <w:tr w:rsidR="00097971" w:rsidRPr="00130DB8" w14:paraId="11230975" w14:textId="77777777" w:rsidTr="00097971">
        <w:trPr>
          <w:trHeight w:val="20"/>
        </w:trPr>
        <w:tc>
          <w:tcPr>
            <w:tcW w:w="5000" w:type="pct"/>
            <w:tcMar>
              <w:top w:w="100" w:type="dxa"/>
              <w:left w:w="108" w:type="dxa"/>
              <w:bottom w:w="100" w:type="dxa"/>
              <w:right w:w="108" w:type="dxa"/>
            </w:tcMar>
          </w:tcPr>
          <w:p w14:paraId="4711CE45" w14:textId="1ED40A5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Johnson JB, Reddy P, Chand R, Naiker M (2021) Attitudes and awareness of regional Pacific Island students towards e-learning. Int J Educ Technol High Educ 18(1). </w:t>
            </w:r>
            <w:hyperlink r:id="rId98" w:history="1">
              <w:r w:rsidRPr="00130DB8">
                <w:rPr>
                  <w:rStyle w:val="Hyperlink"/>
                  <w:sz w:val="20"/>
                  <w:szCs w:val="20"/>
                  <w:highlight w:val="none"/>
                </w:rPr>
                <w:t>https://doi.org/10.1186/s41239-021-00248-z</w:t>
              </w:r>
            </w:hyperlink>
          </w:p>
        </w:tc>
      </w:tr>
      <w:tr w:rsidR="00097971" w:rsidRPr="00130DB8" w14:paraId="7AE0514F" w14:textId="77777777" w:rsidTr="00097971">
        <w:trPr>
          <w:trHeight w:val="20"/>
        </w:trPr>
        <w:tc>
          <w:tcPr>
            <w:tcW w:w="5000" w:type="pct"/>
            <w:tcMar>
              <w:top w:w="100" w:type="dxa"/>
              <w:left w:w="108" w:type="dxa"/>
              <w:bottom w:w="100" w:type="dxa"/>
              <w:right w:w="108" w:type="dxa"/>
            </w:tcMar>
          </w:tcPr>
          <w:p w14:paraId="082E7F8F" w14:textId="004C012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Kaarakainen M, Saikkonen L, Savela J (2018a) Information Skills of Finnish Basic and Secondary Education Students: The Role of Age, Gender, Education Level, Self-efficacy and Technology Usage. Nord J Digit Lit 13(4):56–72. </w:t>
            </w:r>
            <w:hyperlink r:id="rId99" w:history="1">
              <w:r w:rsidRPr="00130DB8">
                <w:rPr>
                  <w:rStyle w:val="Hyperlink"/>
                  <w:sz w:val="20"/>
                  <w:szCs w:val="20"/>
                  <w:highlight w:val="none"/>
                </w:rPr>
                <w:t>https://doi.org/10.18261/issn.1891-943x-2018-04-05</w:t>
              </w:r>
            </w:hyperlink>
          </w:p>
        </w:tc>
      </w:tr>
      <w:tr w:rsidR="00097971" w:rsidRPr="00130DB8" w14:paraId="2810E4CD" w14:textId="77777777" w:rsidTr="00097971">
        <w:trPr>
          <w:trHeight w:val="20"/>
        </w:trPr>
        <w:tc>
          <w:tcPr>
            <w:tcW w:w="5000" w:type="pct"/>
            <w:tcMar>
              <w:top w:w="100" w:type="dxa"/>
              <w:left w:w="108" w:type="dxa"/>
              <w:bottom w:w="100" w:type="dxa"/>
              <w:right w:w="108" w:type="dxa"/>
            </w:tcMar>
          </w:tcPr>
          <w:p w14:paraId="0A9C4507" w14:textId="3A99F8A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Kaarakainen M-T, Kivinen O, Vainio T (2018b) Performance-based testing for ICT skills assessing: a case study of students and teachers’ ICT skills in Finnish schools. Univers Access Inf Soc 17(2):349–360. </w:t>
            </w:r>
            <w:hyperlink r:id="rId100" w:history="1">
              <w:r w:rsidRPr="00130DB8">
                <w:rPr>
                  <w:rStyle w:val="Hyperlink"/>
                  <w:sz w:val="20"/>
                  <w:szCs w:val="20"/>
                  <w:highlight w:val="none"/>
                </w:rPr>
                <w:t>https://doi.org/10.1007/s10209-017-0553-9</w:t>
              </w:r>
            </w:hyperlink>
          </w:p>
        </w:tc>
      </w:tr>
      <w:tr w:rsidR="00097971" w:rsidRPr="00130DB8" w14:paraId="79B18DEE" w14:textId="77777777" w:rsidTr="00097971">
        <w:trPr>
          <w:trHeight w:val="20"/>
        </w:trPr>
        <w:tc>
          <w:tcPr>
            <w:tcW w:w="5000" w:type="pct"/>
            <w:tcMar>
              <w:top w:w="100" w:type="dxa"/>
              <w:left w:w="108" w:type="dxa"/>
              <w:bottom w:w="100" w:type="dxa"/>
              <w:right w:w="108" w:type="dxa"/>
            </w:tcMar>
          </w:tcPr>
          <w:p w14:paraId="2B265C59" w14:textId="33DDD34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Kabadayi A (2012) Investigating preservice preschool teacher’s attitudes to internet use. Croat J Educ 14(2):233–255. </w:t>
            </w:r>
            <w:hyperlink r:id="rId101" w:history="1">
              <w:r w:rsidRPr="00130DB8">
                <w:rPr>
                  <w:rStyle w:val="Hyperlink"/>
                  <w:sz w:val="20"/>
                  <w:szCs w:val="20"/>
                  <w:highlight w:val="none"/>
                </w:rPr>
                <w:t>https://doi.org/10.15516/CJE.V14I2.213</w:t>
              </w:r>
            </w:hyperlink>
          </w:p>
        </w:tc>
      </w:tr>
      <w:tr w:rsidR="00097971" w:rsidRPr="00130DB8" w14:paraId="0B261033" w14:textId="77777777" w:rsidTr="00097971">
        <w:trPr>
          <w:trHeight w:val="20"/>
        </w:trPr>
        <w:tc>
          <w:tcPr>
            <w:tcW w:w="5000" w:type="pct"/>
            <w:tcMar>
              <w:top w:w="100" w:type="dxa"/>
              <w:left w:w="108" w:type="dxa"/>
              <w:bottom w:w="100" w:type="dxa"/>
              <w:right w:w="108" w:type="dxa"/>
            </w:tcMar>
          </w:tcPr>
          <w:p w14:paraId="2B9EEE3B" w14:textId="43FD2C1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Kang S, Kim Y (2021) Examining the quality of mobile-assisted, video-making task outcomes: The role of proficiency, narrative ability, digital literacy, and motivation. Lang Teach Res. </w:t>
            </w:r>
            <w:hyperlink r:id="rId102" w:history="1">
              <w:r w:rsidRPr="00130DB8">
                <w:rPr>
                  <w:rStyle w:val="Hyperlink"/>
                  <w:sz w:val="20"/>
                  <w:szCs w:val="20"/>
                  <w:highlight w:val="none"/>
                </w:rPr>
                <w:t>https://doi.org/10.1177/13621688211047984</w:t>
              </w:r>
            </w:hyperlink>
          </w:p>
        </w:tc>
      </w:tr>
      <w:tr w:rsidR="00097971" w:rsidRPr="00130DB8" w14:paraId="404AAA83" w14:textId="77777777" w:rsidTr="00097971">
        <w:trPr>
          <w:trHeight w:val="20"/>
        </w:trPr>
        <w:tc>
          <w:tcPr>
            <w:tcW w:w="5000" w:type="pct"/>
            <w:tcMar>
              <w:top w:w="100" w:type="dxa"/>
              <w:left w:w="108" w:type="dxa"/>
              <w:bottom w:w="100" w:type="dxa"/>
              <w:right w:w="108" w:type="dxa"/>
            </w:tcMar>
          </w:tcPr>
          <w:p w14:paraId="4E4821EF" w14:textId="5F42721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Katsarou E (2021) The effects of computer anxiety and self-efficacy on L2 learners’ self-perceived digital competence and satisfaction in higher education. J Educ e-Learn Res 8(2):158–172. </w:t>
            </w:r>
            <w:hyperlink r:id="rId103" w:history="1">
              <w:r w:rsidRPr="00130DB8">
                <w:rPr>
                  <w:rStyle w:val="Hyperlink"/>
                  <w:sz w:val="20"/>
                  <w:szCs w:val="20"/>
                  <w:highlight w:val="none"/>
                </w:rPr>
                <w:t>https://doi.org/10.20448/JOURNAL.509.2021.82.158.172</w:t>
              </w:r>
            </w:hyperlink>
          </w:p>
        </w:tc>
      </w:tr>
      <w:tr w:rsidR="00097971" w:rsidRPr="00130DB8" w14:paraId="36846B32" w14:textId="77777777" w:rsidTr="00097971">
        <w:trPr>
          <w:trHeight w:val="20"/>
        </w:trPr>
        <w:tc>
          <w:tcPr>
            <w:tcW w:w="5000" w:type="pct"/>
            <w:tcMar>
              <w:top w:w="100" w:type="dxa"/>
              <w:left w:w="108" w:type="dxa"/>
              <w:bottom w:w="100" w:type="dxa"/>
              <w:right w:w="108" w:type="dxa"/>
            </w:tcMar>
          </w:tcPr>
          <w:p w14:paraId="0B7C3185" w14:textId="4E3F67D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Keržič D, Alex JK, Alvarado RPB, et al (2021) Academic student satisfaction and perceived performance in the e-learning environment during the COVID-19 pandemic: Evidence across ten countries. PLoS ONE 16(10 October 2021). </w:t>
            </w:r>
            <w:hyperlink r:id="rId104" w:history="1">
              <w:r w:rsidRPr="00130DB8">
                <w:rPr>
                  <w:rStyle w:val="Hyperlink"/>
                  <w:sz w:val="20"/>
                  <w:szCs w:val="20"/>
                  <w:highlight w:val="none"/>
                </w:rPr>
                <w:t>https://doi.org/10.1371/journal.pone.0258807</w:t>
              </w:r>
            </w:hyperlink>
          </w:p>
        </w:tc>
      </w:tr>
      <w:tr w:rsidR="00097971" w:rsidRPr="00130DB8" w14:paraId="5CDC8E82" w14:textId="77777777" w:rsidTr="00097971">
        <w:trPr>
          <w:trHeight w:val="20"/>
        </w:trPr>
        <w:tc>
          <w:tcPr>
            <w:tcW w:w="5000" w:type="pct"/>
            <w:tcMar>
              <w:top w:w="100" w:type="dxa"/>
              <w:left w:w="108" w:type="dxa"/>
              <w:bottom w:w="100" w:type="dxa"/>
              <w:right w:w="108" w:type="dxa"/>
            </w:tcMar>
          </w:tcPr>
          <w:p w14:paraId="111139A1" w14:textId="582D6CA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Kim E, Yang S (2016) Internet literacy and digital natives’ civic engagement: Internet skill literacy or Internet information literacy? J Youth Stud 19(4):438–456. </w:t>
            </w:r>
            <w:hyperlink r:id="rId105" w:history="1">
              <w:r w:rsidRPr="00130DB8">
                <w:rPr>
                  <w:rStyle w:val="Hyperlink"/>
                  <w:sz w:val="20"/>
                  <w:szCs w:val="20"/>
                  <w:highlight w:val="none"/>
                </w:rPr>
                <w:t>https://doi.org/10.1080/13676261.2015.1083961</w:t>
              </w:r>
            </w:hyperlink>
          </w:p>
        </w:tc>
      </w:tr>
      <w:tr w:rsidR="00097971" w:rsidRPr="00130DB8" w14:paraId="73BE0DB7" w14:textId="77777777" w:rsidTr="00097971">
        <w:trPr>
          <w:trHeight w:val="20"/>
        </w:trPr>
        <w:tc>
          <w:tcPr>
            <w:tcW w:w="5000" w:type="pct"/>
            <w:tcMar>
              <w:top w:w="100" w:type="dxa"/>
              <w:left w:w="108" w:type="dxa"/>
              <w:bottom w:w="100" w:type="dxa"/>
              <w:right w:w="108" w:type="dxa"/>
            </w:tcMar>
          </w:tcPr>
          <w:p w14:paraId="1453F3D6" w14:textId="61571C5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Kim HJ, Hong AJ, Song H-D (2018) The relationships of family, perceived digital competence and attitude, and learning agility in sustainable student engagement in higher education. Sustainability 10(12). </w:t>
            </w:r>
            <w:hyperlink r:id="rId106" w:history="1">
              <w:r w:rsidRPr="00130DB8">
                <w:rPr>
                  <w:rStyle w:val="Hyperlink"/>
                  <w:sz w:val="20"/>
                  <w:szCs w:val="20"/>
                  <w:highlight w:val="none"/>
                </w:rPr>
                <w:t>https://doi.org/10.3390/su10124635</w:t>
              </w:r>
            </w:hyperlink>
          </w:p>
        </w:tc>
      </w:tr>
      <w:tr w:rsidR="00097971" w:rsidRPr="00130DB8" w14:paraId="5859C2CE" w14:textId="77777777" w:rsidTr="00097971">
        <w:trPr>
          <w:trHeight w:val="20"/>
        </w:trPr>
        <w:tc>
          <w:tcPr>
            <w:tcW w:w="5000" w:type="pct"/>
            <w:tcMar>
              <w:top w:w="100" w:type="dxa"/>
              <w:left w:w="108" w:type="dxa"/>
              <w:bottom w:w="100" w:type="dxa"/>
              <w:right w:w="108" w:type="dxa"/>
            </w:tcMar>
          </w:tcPr>
          <w:p w14:paraId="5D210F6D" w14:textId="133359D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Kim KT (2019) The structural relationship among digital literacy, learning strategies, and core competencies among south korean college students. Educ Sci Theory Pr 19(2):3–21. </w:t>
            </w:r>
            <w:hyperlink r:id="rId107" w:history="1">
              <w:r w:rsidRPr="00130DB8">
                <w:rPr>
                  <w:rStyle w:val="Hyperlink"/>
                  <w:sz w:val="20"/>
                  <w:szCs w:val="20"/>
                  <w:highlight w:val="none"/>
                </w:rPr>
                <w:t>https://doi.org/10.12738/estp.2019.2.001</w:t>
              </w:r>
            </w:hyperlink>
          </w:p>
        </w:tc>
      </w:tr>
      <w:tr w:rsidR="00097971" w:rsidRPr="00130DB8" w14:paraId="59847794" w14:textId="77777777" w:rsidTr="00097971">
        <w:trPr>
          <w:trHeight w:val="20"/>
        </w:trPr>
        <w:tc>
          <w:tcPr>
            <w:tcW w:w="5000" w:type="pct"/>
            <w:tcMar>
              <w:top w:w="100" w:type="dxa"/>
              <w:left w:w="108" w:type="dxa"/>
              <w:bottom w:w="100" w:type="dxa"/>
              <w:right w:w="108" w:type="dxa"/>
            </w:tcMar>
          </w:tcPr>
          <w:p w14:paraId="06933C7F" w14:textId="11ED779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Kim S, Jeon J (2020) Factors influencing eHealth literacy among Korean nursing students: A cross-sectional study. Nurs Health Sci 22(3):667–674. </w:t>
            </w:r>
            <w:hyperlink r:id="rId108" w:history="1">
              <w:r w:rsidRPr="00130DB8">
                <w:rPr>
                  <w:rStyle w:val="Hyperlink"/>
                  <w:sz w:val="20"/>
                  <w:szCs w:val="20"/>
                  <w:highlight w:val="none"/>
                </w:rPr>
                <w:t>https://doi.org/10.1111/nhs.12711</w:t>
              </w:r>
            </w:hyperlink>
          </w:p>
        </w:tc>
      </w:tr>
      <w:tr w:rsidR="00097971" w:rsidRPr="00130DB8" w14:paraId="07486B8C" w14:textId="77777777" w:rsidTr="00097971">
        <w:trPr>
          <w:trHeight w:val="20"/>
        </w:trPr>
        <w:tc>
          <w:tcPr>
            <w:tcW w:w="5000" w:type="pct"/>
            <w:tcMar>
              <w:top w:w="100" w:type="dxa"/>
              <w:left w:w="108" w:type="dxa"/>
              <w:bottom w:w="100" w:type="dxa"/>
              <w:right w:w="108" w:type="dxa"/>
            </w:tcMar>
          </w:tcPr>
          <w:p w14:paraId="49EC3F62" w14:textId="0D9ED34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Kolodziejczyk I, Gibbs P, Nembou C, Sagrista MR (2020) Digital skills at divine word university, Papua New Guinea. IAFOR J Edu 8(2):107–124. </w:t>
            </w:r>
            <w:hyperlink r:id="rId109" w:history="1">
              <w:r w:rsidRPr="00130DB8">
                <w:rPr>
                  <w:rStyle w:val="Hyperlink"/>
                  <w:sz w:val="20"/>
                  <w:szCs w:val="20"/>
                  <w:highlight w:val="none"/>
                </w:rPr>
                <w:t>https://doi.org/10.22492/ije.8.2.06</w:t>
              </w:r>
            </w:hyperlink>
          </w:p>
        </w:tc>
      </w:tr>
      <w:tr w:rsidR="00097971" w:rsidRPr="00130DB8" w14:paraId="77C327E8" w14:textId="77777777" w:rsidTr="00097971">
        <w:trPr>
          <w:trHeight w:val="20"/>
        </w:trPr>
        <w:tc>
          <w:tcPr>
            <w:tcW w:w="5000" w:type="pct"/>
            <w:tcMar>
              <w:top w:w="100" w:type="dxa"/>
              <w:left w:w="108" w:type="dxa"/>
              <w:bottom w:w="100" w:type="dxa"/>
              <w:right w:w="108" w:type="dxa"/>
            </w:tcMar>
          </w:tcPr>
          <w:p w14:paraId="00527E47" w14:textId="40E3D73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Korobili S, Togia A, Malliari A (2010) Computer anxiety and attitudes among undergraduate students in Greece. Comput Human Behav 26(3):399–405. </w:t>
            </w:r>
            <w:hyperlink r:id="rId110" w:history="1">
              <w:r w:rsidRPr="00130DB8">
                <w:rPr>
                  <w:rStyle w:val="Hyperlink"/>
                  <w:sz w:val="20"/>
                  <w:szCs w:val="20"/>
                  <w:highlight w:val="none"/>
                </w:rPr>
                <w:t>https://doi.org/10.1016/j.chb.2009.11.011</w:t>
              </w:r>
            </w:hyperlink>
          </w:p>
        </w:tc>
      </w:tr>
      <w:tr w:rsidR="00097971" w:rsidRPr="00130DB8" w14:paraId="452C43E9" w14:textId="77777777" w:rsidTr="00097971">
        <w:trPr>
          <w:trHeight w:val="20"/>
        </w:trPr>
        <w:tc>
          <w:tcPr>
            <w:tcW w:w="5000" w:type="pct"/>
            <w:tcMar>
              <w:top w:w="100" w:type="dxa"/>
              <w:left w:w="108" w:type="dxa"/>
              <w:bottom w:w="100" w:type="dxa"/>
              <w:right w:w="108" w:type="dxa"/>
            </w:tcMar>
          </w:tcPr>
          <w:p w14:paraId="14DEDF61" w14:textId="4060F71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Kovačević I, Labrović JA, Petrović N, Kužet I (2021) Recognizing predictors of students’ emergency remote online learning satisfaction during COVID-19. Educ Sci 11(11). </w:t>
            </w:r>
            <w:hyperlink r:id="rId111" w:history="1">
              <w:r w:rsidRPr="00130DB8">
                <w:rPr>
                  <w:rStyle w:val="Hyperlink"/>
                  <w:sz w:val="20"/>
                  <w:szCs w:val="20"/>
                  <w:highlight w:val="none"/>
                </w:rPr>
                <w:t>https://doi.org/10.3390/educsci11110693</w:t>
              </w:r>
            </w:hyperlink>
          </w:p>
        </w:tc>
      </w:tr>
      <w:tr w:rsidR="00097971" w:rsidRPr="00130DB8" w14:paraId="0C8CD870" w14:textId="77777777" w:rsidTr="00097971">
        <w:trPr>
          <w:trHeight w:val="20"/>
        </w:trPr>
        <w:tc>
          <w:tcPr>
            <w:tcW w:w="5000" w:type="pct"/>
            <w:tcMar>
              <w:top w:w="100" w:type="dxa"/>
              <w:left w:w="108" w:type="dxa"/>
              <w:bottom w:w="100" w:type="dxa"/>
              <w:right w:w="108" w:type="dxa"/>
            </w:tcMar>
          </w:tcPr>
          <w:p w14:paraId="4E3619E9" w14:textId="6823DA7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Kozina G, Dukić G, Dukić D (2012) A study of computer literacy among Croatian students as support in planning the higher education development. Teh Vjesn 19(4):735–742</w:t>
            </w:r>
          </w:p>
        </w:tc>
      </w:tr>
      <w:tr w:rsidR="00097971" w:rsidRPr="00130DB8" w14:paraId="54A610C3" w14:textId="77777777" w:rsidTr="00097971">
        <w:trPr>
          <w:trHeight w:val="20"/>
        </w:trPr>
        <w:tc>
          <w:tcPr>
            <w:tcW w:w="5000" w:type="pct"/>
            <w:tcMar>
              <w:top w:w="100" w:type="dxa"/>
              <w:left w:w="108" w:type="dxa"/>
              <w:bottom w:w="100" w:type="dxa"/>
              <w:right w:w="108" w:type="dxa"/>
            </w:tcMar>
          </w:tcPr>
          <w:p w14:paraId="1257FD88" w14:textId="7AB98A3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Krelová KK, Berková K, Krpálek P, Kubišová A (2021) Attitudes of Czech college students toward digital literacy and their technical aids in times of COVID-19. Int J Engi Pedagogy 11(44):130–147. </w:t>
            </w:r>
            <w:hyperlink r:id="rId112" w:history="1">
              <w:r w:rsidRPr="00130DB8">
                <w:rPr>
                  <w:rStyle w:val="Hyperlink"/>
                  <w:sz w:val="20"/>
                  <w:szCs w:val="20"/>
                  <w:highlight w:val="none"/>
                </w:rPr>
                <w:t>https://doi.org/10.3991/IJEP.V11I4.20821</w:t>
              </w:r>
            </w:hyperlink>
          </w:p>
        </w:tc>
      </w:tr>
      <w:tr w:rsidR="00097971" w:rsidRPr="00130DB8" w14:paraId="3B86F9C4" w14:textId="77777777" w:rsidTr="00097971">
        <w:trPr>
          <w:trHeight w:val="20"/>
        </w:trPr>
        <w:tc>
          <w:tcPr>
            <w:tcW w:w="5000" w:type="pct"/>
            <w:tcMar>
              <w:top w:w="100" w:type="dxa"/>
              <w:left w:w="108" w:type="dxa"/>
              <w:bottom w:w="100" w:type="dxa"/>
              <w:right w:w="108" w:type="dxa"/>
            </w:tcMar>
          </w:tcPr>
          <w:p w14:paraId="01DDF830" w14:textId="47BC144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Kuatbekov A, Vershitskaya E, Kosareva I, Ananishnev V (2021) E-Learning as a basis for the development of media competences in students. J Inf Sci. </w:t>
            </w:r>
            <w:hyperlink r:id="rId113" w:history="1">
              <w:r w:rsidRPr="00130DB8">
                <w:rPr>
                  <w:rStyle w:val="Hyperlink"/>
                  <w:sz w:val="20"/>
                  <w:szCs w:val="20"/>
                  <w:highlight w:val="none"/>
                </w:rPr>
                <w:t>https://doi.org/10.1177/01655515211040656</w:t>
              </w:r>
            </w:hyperlink>
          </w:p>
        </w:tc>
      </w:tr>
      <w:tr w:rsidR="00097971" w:rsidRPr="00130DB8" w14:paraId="68929A32" w14:textId="77777777" w:rsidTr="00097971">
        <w:trPr>
          <w:trHeight w:val="20"/>
        </w:trPr>
        <w:tc>
          <w:tcPr>
            <w:tcW w:w="5000" w:type="pct"/>
            <w:tcMar>
              <w:top w:w="100" w:type="dxa"/>
              <w:left w:w="108" w:type="dxa"/>
              <w:bottom w:w="100" w:type="dxa"/>
              <w:right w:w="108" w:type="dxa"/>
            </w:tcMar>
          </w:tcPr>
          <w:p w14:paraId="4428B41D" w14:textId="396F23D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Kumpikaitė-Valiūnienė V, Aslan I, Duobienė J, et al (2021) Influence of digital competence on perceived stress, burnout and well-being among students studying online during the covid-19 lockdown: A 4-country perspective. Psychol Res Behav Manage 14:1483–1498. </w:t>
            </w:r>
            <w:hyperlink r:id="rId114" w:history="1">
              <w:r w:rsidRPr="00130DB8">
                <w:rPr>
                  <w:rStyle w:val="Hyperlink"/>
                  <w:sz w:val="20"/>
                  <w:szCs w:val="20"/>
                  <w:highlight w:val="none"/>
                </w:rPr>
                <w:t>https://doi.org/10.2147/PRBM.S325092</w:t>
              </w:r>
            </w:hyperlink>
          </w:p>
        </w:tc>
      </w:tr>
      <w:tr w:rsidR="00097971" w:rsidRPr="00130DB8" w14:paraId="339896AC" w14:textId="77777777" w:rsidTr="00097971">
        <w:trPr>
          <w:trHeight w:val="20"/>
        </w:trPr>
        <w:tc>
          <w:tcPr>
            <w:tcW w:w="5000" w:type="pct"/>
            <w:tcMar>
              <w:top w:w="100" w:type="dxa"/>
              <w:left w:w="108" w:type="dxa"/>
              <w:bottom w:w="100" w:type="dxa"/>
              <w:right w:w="108" w:type="dxa"/>
            </w:tcMar>
          </w:tcPr>
          <w:p w14:paraId="5B324BF3" w14:textId="0C8C346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Kwon J [Kwon, Ahn S [Ahn (2017) The Study of needing ethical education on digital literacy. J Eng Appl Sci 12(Specialissue1):5695–5698. </w:t>
            </w:r>
            <w:hyperlink r:id="rId115" w:history="1">
              <w:r w:rsidRPr="00130DB8">
                <w:rPr>
                  <w:rStyle w:val="Hyperlink"/>
                  <w:sz w:val="20"/>
                  <w:szCs w:val="20"/>
                  <w:highlight w:val="none"/>
                </w:rPr>
                <w:t>https://doi.org/10.3923/jeasci.2017.5695.5698</w:t>
              </w:r>
            </w:hyperlink>
          </w:p>
        </w:tc>
      </w:tr>
      <w:tr w:rsidR="00097971" w:rsidRPr="00130DB8" w14:paraId="488C9AE4" w14:textId="77777777" w:rsidTr="00097971">
        <w:trPr>
          <w:trHeight w:val="20"/>
        </w:trPr>
        <w:tc>
          <w:tcPr>
            <w:tcW w:w="5000" w:type="pct"/>
            <w:tcMar>
              <w:top w:w="100" w:type="dxa"/>
              <w:left w:w="108" w:type="dxa"/>
              <w:bottom w:w="100" w:type="dxa"/>
              <w:right w:w="108" w:type="dxa"/>
            </w:tcMar>
          </w:tcPr>
          <w:p w14:paraId="7FD925D0" w14:textId="2CF41E8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Lezhnina O, Kismihók G (2021) Combining statistical and machine learning methods to explore German students’ attitudes towards ICT in PISA. Int J Res Method Educ. </w:t>
            </w:r>
            <w:hyperlink r:id="rId116" w:history="1">
              <w:r w:rsidRPr="00130DB8">
                <w:rPr>
                  <w:rStyle w:val="Hyperlink"/>
                  <w:sz w:val="20"/>
                  <w:szCs w:val="20"/>
                  <w:highlight w:val="none"/>
                </w:rPr>
                <w:t>https://doi.org/10.1080/1743727X.2021.1963226</w:t>
              </w:r>
            </w:hyperlink>
          </w:p>
        </w:tc>
      </w:tr>
      <w:tr w:rsidR="00097971" w:rsidRPr="00130DB8" w14:paraId="2159BF3E" w14:textId="77777777" w:rsidTr="00097971">
        <w:trPr>
          <w:trHeight w:val="20"/>
        </w:trPr>
        <w:tc>
          <w:tcPr>
            <w:tcW w:w="5000" w:type="pct"/>
            <w:tcMar>
              <w:top w:w="100" w:type="dxa"/>
              <w:left w:w="108" w:type="dxa"/>
              <w:bottom w:w="100" w:type="dxa"/>
              <w:right w:w="108" w:type="dxa"/>
            </w:tcMar>
          </w:tcPr>
          <w:p w14:paraId="551F0042" w14:textId="420BBAA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Li Y, Ranieri M (2010) Are “digital natives” really digitally competent?-A study on Chinese teenagers. Br J Educ Technol 41(6):1029–1042. </w:t>
            </w:r>
            <w:hyperlink r:id="rId117" w:history="1">
              <w:r w:rsidRPr="00130DB8">
                <w:rPr>
                  <w:rStyle w:val="Hyperlink"/>
                  <w:sz w:val="20"/>
                  <w:szCs w:val="20"/>
                  <w:highlight w:val="none"/>
                </w:rPr>
                <w:t>https://doi.org/10.1111/j.1467-8535.2009.01053.x</w:t>
              </w:r>
            </w:hyperlink>
          </w:p>
        </w:tc>
      </w:tr>
      <w:tr w:rsidR="00097971" w:rsidRPr="00130DB8" w14:paraId="2996BEE5" w14:textId="77777777" w:rsidTr="00097971">
        <w:trPr>
          <w:trHeight w:val="20"/>
        </w:trPr>
        <w:tc>
          <w:tcPr>
            <w:tcW w:w="5000" w:type="pct"/>
            <w:tcMar>
              <w:top w:w="100" w:type="dxa"/>
              <w:left w:w="108" w:type="dxa"/>
              <w:bottom w:w="100" w:type="dxa"/>
              <w:right w:w="108" w:type="dxa"/>
            </w:tcMar>
          </w:tcPr>
          <w:p w14:paraId="0B0A6A25" w14:textId="049DD8C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Lim J, Newby TJ (2021) Preservice teachers’ attitudes toward Web 2.0 personal learning environments (PLEs): Considering the impact of self-regulation and digital literacy. Educ Inf Technol 26(4):3699–3720. </w:t>
            </w:r>
            <w:hyperlink r:id="rId118" w:history="1">
              <w:r w:rsidRPr="00130DB8">
                <w:rPr>
                  <w:rStyle w:val="Hyperlink"/>
                  <w:sz w:val="20"/>
                  <w:szCs w:val="20"/>
                  <w:highlight w:val="none"/>
                </w:rPr>
                <w:t>https://doi.org/10.1007/s10639-021-10432-3</w:t>
              </w:r>
            </w:hyperlink>
          </w:p>
        </w:tc>
      </w:tr>
      <w:tr w:rsidR="00097971" w:rsidRPr="00130DB8" w14:paraId="2E875957" w14:textId="77777777" w:rsidTr="00097971">
        <w:trPr>
          <w:trHeight w:val="20"/>
        </w:trPr>
        <w:tc>
          <w:tcPr>
            <w:tcW w:w="5000" w:type="pct"/>
            <w:tcMar>
              <w:top w:w="100" w:type="dxa"/>
              <w:left w:w="108" w:type="dxa"/>
              <w:bottom w:w="100" w:type="dxa"/>
              <w:right w:w="108" w:type="dxa"/>
            </w:tcMar>
          </w:tcPr>
          <w:p w14:paraId="17262C8A" w14:textId="3C62316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Lin P-Y, Chai CS, Jong MS-Y (2019) A PISA-2015 comparative meta-analysis between singapore and finland: Relations of students’ interest in science, perceived ICT competence, and environmental awareness and optimism. Int J Environ Res Public Health 16(24). </w:t>
            </w:r>
            <w:hyperlink r:id="rId119" w:history="1">
              <w:r w:rsidRPr="00130DB8">
                <w:rPr>
                  <w:rStyle w:val="Hyperlink"/>
                  <w:sz w:val="20"/>
                  <w:szCs w:val="20"/>
                  <w:highlight w:val="none"/>
                </w:rPr>
                <w:t>https://doi.org/10.3390/ijerph16245157</w:t>
              </w:r>
            </w:hyperlink>
          </w:p>
        </w:tc>
      </w:tr>
      <w:tr w:rsidR="00097971" w:rsidRPr="00130DB8" w14:paraId="23EFA498" w14:textId="77777777" w:rsidTr="00097971">
        <w:trPr>
          <w:trHeight w:val="20"/>
        </w:trPr>
        <w:tc>
          <w:tcPr>
            <w:tcW w:w="5000" w:type="pct"/>
            <w:tcMar>
              <w:top w:w="100" w:type="dxa"/>
              <w:left w:w="108" w:type="dxa"/>
              <w:bottom w:w="100" w:type="dxa"/>
              <w:right w:w="108" w:type="dxa"/>
            </w:tcMar>
          </w:tcPr>
          <w:p w14:paraId="197B22B8" w14:textId="15FE49C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Litt E, Hargittai E (2014) A bumpy ride on the information superhighway: Exploring turbulence online. Comput Hum Behav 36:520–529. </w:t>
            </w:r>
            <w:hyperlink r:id="rId120" w:history="1">
              <w:r w:rsidRPr="00130DB8">
                <w:rPr>
                  <w:rStyle w:val="Hyperlink"/>
                  <w:sz w:val="20"/>
                  <w:szCs w:val="20"/>
                  <w:highlight w:val="none"/>
                </w:rPr>
                <w:t>https://doi.org/10.1016/j.chb.2014.04.027</w:t>
              </w:r>
            </w:hyperlink>
          </w:p>
        </w:tc>
      </w:tr>
      <w:tr w:rsidR="00097971" w:rsidRPr="00130DB8" w14:paraId="3B318B06" w14:textId="77777777" w:rsidTr="00097971">
        <w:trPr>
          <w:trHeight w:val="20"/>
        </w:trPr>
        <w:tc>
          <w:tcPr>
            <w:tcW w:w="5000" w:type="pct"/>
            <w:tcMar>
              <w:top w:w="100" w:type="dxa"/>
              <w:left w:w="108" w:type="dxa"/>
              <w:bottom w:w="100" w:type="dxa"/>
              <w:right w:w="108" w:type="dxa"/>
            </w:tcMar>
          </w:tcPr>
          <w:p w14:paraId="3B8A1417" w14:textId="49B493D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Llorent-Vaquero M, Tallón-Rosales S, Monastero BH (2020) Use of information and communication technologies (ICTs) in communication and collaboration: A comparative study between university students from Spain and Italy. Sustainability 12(10). </w:t>
            </w:r>
            <w:hyperlink r:id="rId121" w:history="1">
              <w:r w:rsidRPr="00130DB8">
                <w:rPr>
                  <w:rStyle w:val="Hyperlink"/>
                  <w:sz w:val="20"/>
                  <w:szCs w:val="20"/>
                  <w:highlight w:val="none"/>
                </w:rPr>
                <w:t>https://doi.org/10.3390/SU12103969</w:t>
              </w:r>
            </w:hyperlink>
          </w:p>
        </w:tc>
      </w:tr>
      <w:tr w:rsidR="00097971" w:rsidRPr="00130DB8" w14:paraId="3D8723AD" w14:textId="77777777" w:rsidTr="00097971">
        <w:trPr>
          <w:trHeight w:val="20"/>
        </w:trPr>
        <w:tc>
          <w:tcPr>
            <w:tcW w:w="5000" w:type="pct"/>
            <w:tcMar>
              <w:top w:w="100" w:type="dxa"/>
              <w:left w:w="108" w:type="dxa"/>
              <w:bottom w:w="100" w:type="dxa"/>
              <w:right w:w="108" w:type="dxa"/>
            </w:tcMar>
          </w:tcPr>
          <w:p w14:paraId="76AF48C2" w14:textId="1190F86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López-Meneses E, Sirignano FM, Vázquez-Cano E, Ramírez-Hurtado JM (2020) University students’ digital competence in three areas of the DigCom 2.1 model: A comparative study at three European universities. Australas J Educ Technol 36(3):69–88. </w:t>
            </w:r>
            <w:hyperlink r:id="rId122" w:history="1">
              <w:r w:rsidRPr="00130DB8">
                <w:rPr>
                  <w:rStyle w:val="Hyperlink"/>
                  <w:sz w:val="20"/>
                  <w:szCs w:val="20"/>
                  <w:highlight w:val="none"/>
                </w:rPr>
                <w:t>https://doi.org/10.14742/AJET.5583</w:t>
              </w:r>
            </w:hyperlink>
          </w:p>
        </w:tc>
      </w:tr>
      <w:tr w:rsidR="00097971" w:rsidRPr="00130DB8" w14:paraId="6AB5190E" w14:textId="77777777" w:rsidTr="00097971">
        <w:trPr>
          <w:trHeight w:val="20"/>
        </w:trPr>
        <w:tc>
          <w:tcPr>
            <w:tcW w:w="5000" w:type="pct"/>
            <w:tcMar>
              <w:top w:w="100" w:type="dxa"/>
              <w:left w:w="108" w:type="dxa"/>
              <w:bottom w:w="100" w:type="dxa"/>
              <w:right w:w="108" w:type="dxa"/>
            </w:tcMar>
          </w:tcPr>
          <w:p w14:paraId="04707E97" w14:textId="162E800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Lu J, Price J (2018) Chinese students’ ICT readiness for a blended teaching and learning environment. Eurasia J Math Sci Technol Educ 14(7):2907–2914. </w:t>
            </w:r>
            <w:hyperlink r:id="rId123" w:history="1">
              <w:r w:rsidRPr="00130DB8">
                <w:rPr>
                  <w:rStyle w:val="Hyperlink"/>
                  <w:sz w:val="20"/>
                  <w:szCs w:val="20"/>
                  <w:highlight w:val="none"/>
                </w:rPr>
                <w:t>https://doi.org/10.29333/ejmste/90991</w:t>
              </w:r>
            </w:hyperlink>
          </w:p>
        </w:tc>
      </w:tr>
      <w:tr w:rsidR="00097971" w:rsidRPr="00130DB8" w14:paraId="4E34F278" w14:textId="77777777" w:rsidTr="00097971">
        <w:trPr>
          <w:trHeight w:val="20"/>
        </w:trPr>
        <w:tc>
          <w:tcPr>
            <w:tcW w:w="5000" w:type="pct"/>
            <w:tcMar>
              <w:top w:w="100" w:type="dxa"/>
              <w:left w:w="108" w:type="dxa"/>
              <w:bottom w:w="100" w:type="dxa"/>
              <w:right w:w="108" w:type="dxa"/>
            </w:tcMar>
          </w:tcPr>
          <w:p w14:paraId="408F22C0" w14:textId="46BA79C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Luthfia A, Wibowo D, Widyakusumastuti MA, Angeline M (2021) The role of digital literacy on online opportunity and online risk in Indonesian youth. Asian J Public Opin Res 9(2):142–160. </w:t>
            </w:r>
            <w:hyperlink r:id="rId124" w:history="1">
              <w:r w:rsidRPr="00130DB8">
                <w:rPr>
                  <w:rStyle w:val="Hyperlink"/>
                  <w:sz w:val="20"/>
                  <w:szCs w:val="20"/>
                  <w:highlight w:val="none"/>
                </w:rPr>
                <w:t>https://doi.org/10.15206/ajpor.2021.9.2.142</w:t>
              </w:r>
            </w:hyperlink>
          </w:p>
        </w:tc>
      </w:tr>
      <w:tr w:rsidR="00097971" w:rsidRPr="00130DB8" w14:paraId="1838B3D2" w14:textId="77777777" w:rsidTr="00097971">
        <w:trPr>
          <w:trHeight w:val="20"/>
        </w:trPr>
        <w:tc>
          <w:tcPr>
            <w:tcW w:w="5000" w:type="pct"/>
            <w:tcMar>
              <w:top w:w="100" w:type="dxa"/>
              <w:left w:w="108" w:type="dxa"/>
              <w:bottom w:w="100" w:type="dxa"/>
              <w:right w:w="108" w:type="dxa"/>
            </w:tcMar>
          </w:tcPr>
          <w:p w14:paraId="6046D3D0" w14:textId="4E7741D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 JK-H (2021) The digital divide at school and at home: A comparison between schools by socioeconomic level across 47 countries. Int J Comp Sociol 62(2):115–140. </w:t>
            </w:r>
            <w:hyperlink r:id="rId125" w:history="1">
              <w:r w:rsidRPr="00130DB8">
                <w:rPr>
                  <w:rStyle w:val="Hyperlink"/>
                  <w:sz w:val="20"/>
                  <w:szCs w:val="20"/>
                  <w:highlight w:val="none"/>
                </w:rPr>
                <w:t>https://doi.org/10.1177/00207152211023540</w:t>
              </w:r>
            </w:hyperlink>
          </w:p>
        </w:tc>
      </w:tr>
      <w:tr w:rsidR="00097971" w:rsidRPr="00130DB8" w14:paraId="7AAFE7EB" w14:textId="77777777" w:rsidTr="00097971">
        <w:trPr>
          <w:trHeight w:val="20"/>
        </w:trPr>
        <w:tc>
          <w:tcPr>
            <w:tcW w:w="5000" w:type="pct"/>
            <w:tcMar>
              <w:top w:w="100" w:type="dxa"/>
              <w:left w:w="108" w:type="dxa"/>
              <w:bottom w:w="100" w:type="dxa"/>
              <w:right w:w="108" w:type="dxa"/>
            </w:tcMar>
          </w:tcPr>
          <w:p w14:paraId="52575049" w14:textId="55BD11A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 JK-H, Vachon TE, Cheng S (2019) National Income, Political Freedom, and Investments in R&amp;D and Education: A Comparative Analysis of the Second Digital Divide Among 15-Year-Old Students. Soc Indic Res 144(1):133–166. </w:t>
            </w:r>
            <w:hyperlink r:id="rId126" w:history="1">
              <w:r w:rsidRPr="00130DB8">
                <w:rPr>
                  <w:rStyle w:val="Hyperlink"/>
                  <w:sz w:val="20"/>
                  <w:szCs w:val="20"/>
                  <w:highlight w:val="none"/>
                </w:rPr>
                <w:t>https://doi.org/10.1007/s11205-018-2030-0</w:t>
              </w:r>
            </w:hyperlink>
          </w:p>
        </w:tc>
      </w:tr>
      <w:tr w:rsidR="00097971" w:rsidRPr="00130DB8" w14:paraId="2C89C965" w14:textId="77777777" w:rsidTr="00097971">
        <w:trPr>
          <w:trHeight w:val="20"/>
        </w:trPr>
        <w:tc>
          <w:tcPr>
            <w:tcW w:w="5000" w:type="pct"/>
            <w:tcMar>
              <w:top w:w="100" w:type="dxa"/>
              <w:left w:w="108" w:type="dxa"/>
              <w:bottom w:w="100" w:type="dxa"/>
              <w:right w:w="108" w:type="dxa"/>
            </w:tcMar>
          </w:tcPr>
          <w:p w14:paraId="496115AF" w14:textId="2699112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 Y, Qin X (2021) Measurement invariance of information, communication and technology (ICT) engagement and its relationship with student academic literacy: Evidence from PISA 2018. Stud Educ Eval 68. </w:t>
            </w:r>
            <w:hyperlink r:id="rId127" w:history="1">
              <w:r w:rsidRPr="00130DB8">
                <w:rPr>
                  <w:rStyle w:val="Hyperlink"/>
                  <w:sz w:val="20"/>
                  <w:szCs w:val="20"/>
                  <w:highlight w:val="none"/>
                </w:rPr>
                <w:t>https://doi.org/10.1016/j.stueduc.2021.100982</w:t>
              </w:r>
            </w:hyperlink>
          </w:p>
        </w:tc>
      </w:tr>
      <w:tr w:rsidR="00097971" w:rsidRPr="00130DB8" w14:paraId="423F477C" w14:textId="77777777" w:rsidTr="00097971">
        <w:trPr>
          <w:trHeight w:val="20"/>
        </w:trPr>
        <w:tc>
          <w:tcPr>
            <w:tcW w:w="5000" w:type="pct"/>
            <w:tcMar>
              <w:top w:w="100" w:type="dxa"/>
              <w:left w:w="108" w:type="dxa"/>
              <w:bottom w:w="100" w:type="dxa"/>
              <w:right w:w="108" w:type="dxa"/>
            </w:tcMar>
          </w:tcPr>
          <w:p w14:paraId="3CFFF3F8" w14:textId="4A29B92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Malliari A, Korobili S, Togia A (2012) IT self-efficacy and computer competence of LIS students. Electron Libr 30(5):608–622. </w:t>
            </w:r>
            <w:hyperlink r:id="rId128" w:history="1">
              <w:r w:rsidRPr="00130DB8">
                <w:rPr>
                  <w:rStyle w:val="Hyperlink"/>
                  <w:sz w:val="20"/>
                  <w:szCs w:val="20"/>
                  <w:highlight w:val="none"/>
                </w:rPr>
                <w:t>https://doi.org/10.1108/02640471211275675</w:t>
              </w:r>
            </w:hyperlink>
          </w:p>
        </w:tc>
      </w:tr>
      <w:tr w:rsidR="00097971" w:rsidRPr="00130DB8" w14:paraId="5682CE8E" w14:textId="77777777" w:rsidTr="00097971">
        <w:trPr>
          <w:trHeight w:val="20"/>
        </w:trPr>
        <w:tc>
          <w:tcPr>
            <w:tcW w:w="5000" w:type="pct"/>
            <w:tcMar>
              <w:top w:w="100" w:type="dxa"/>
              <w:left w:w="108" w:type="dxa"/>
              <w:bottom w:w="100" w:type="dxa"/>
              <w:right w:w="108" w:type="dxa"/>
            </w:tcMar>
          </w:tcPr>
          <w:p w14:paraId="10A64A73" w14:textId="2472D2C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Mallya J, Lakshminarayanan S, Payini V (2019) Self-efficacy as an antecedent to students’ behavioral intention to use the Internet for academic purposes: A structural equation modeling approach. Libr Philos Pract 2019</w:t>
            </w:r>
          </w:p>
        </w:tc>
      </w:tr>
      <w:tr w:rsidR="00097971" w:rsidRPr="00130DB8" w14:paraId="399FF1D9" w14:textId="77777777" w:rsidTr="00097971">
        <w:trPr>
          <w:trHeight w:val="20"/>
        </w:trPr>
        <w:tc>
          <w:tcPr>
            <w:tcW w:w="5000" w:type="pct"/>
            <w:tcMar>
              <w:top w:w="100" w:type="dxa"/>
              <w:left w:w="108" w:type="dxa"/>
              <w:bottom w:w="100" w:type="dxa"/>
              <w:right w:w="108" w:type="dxa"/>
            </w:tcMar>
          </w:tcPr>
          <w:p w14:paraId="733B00F0" w14:textId="0CF045D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Manco-Chavez JA, Uribe-Hernandez YC, Buendia-Aparcana R, et al (2020) Integration of icts and digital skills in times of the pandemic COVID-19. Intl J High Edu 9(9):11–20. </w:t>
            </w:r>
            <w:hyperlink r:id="rId129" w:history="1">
              <w:r w:rsidRPr="00130DB8">
                <w:rPr>
                  <w:rStyle w:val="Hyperlink"/>
                  <w:sz w:val="20"/>
                  <w:szCs w:val="20"/>
                  <w:highlight w:val="none"/>
                </w:rPr>
                <w:t>https://doi.org/10.5430/ijhe.v9n9p11</w:t>
              </w:r>
            </w:hyperlink>
          </w:p>
        </w:tc>
      </w:tr>
      <w:tr w:rsidR="00097971" w:rsidRPr="00130DB8" w14:paraId="5556E25A" w14:textId="77777777" w:rsidTr="00097971">
        <w:trPr>
          <w:trHeight w:val="20"/>
        </w:trPr>
        <w:tc>
          <w:tcPr>
            <w:tcW w:w="5000" w:type="pct"/>
            <w:tcMar>
              <w:top w:w="100" w:type="dxa"/>
              <w:left w:w="108" w:type="dxa"/>
              <w:bottom w:w="100" w:type="dxa"/>
              <w:right w:w="108" w:type="dxa"/>
            </w:tcMar>
          </w:tcPr>
          <w:p w14:paraId="480DD2A5" w14:textId="19FC407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Mannerström R, Hietajärvi L, Muotka J, Salmela-Aro K (2018) Identity profiles and digital engagement among finnish high school students. Cyberpsychology 12(1). </w:t>
            </w:r>
            <w:hyperlink r:id="rId130" w:history="1">
              <w:r w:rsidRPr="00130DB8">
                <w:rPr>
                  <w:rStyle w:val="Hyperlink"/>
                  <w:sz w:val="20"/>
                  <w:szCs w:val="20"/>
                  <w:highlight w:val="none"/>
                </w:rPr>
                <w:t>https://doi.org/10.5817/CP2018-1-2</w:t>
              </w:r>
            </w:hyperlink>
          </w:p>
        </w:tc>
      </w:tr>
      <w:tr w:rsidR="00097971" w:rsidRPr="00130DB8" w14:paraId="1FC4923D" w14:textId="77777777" w:rsidTr="00097971">
        <w:trPr>
          <w:trHeight w:val="20"/>
        </w:trPr>
        <w:tc>
          <w:tcPr>
            <w:tcW w:w="5000" w:type="pct"/>
            <w:tcMar>
              <w:top w:w="100" w:type="dxa"/>
              <w:left w:w="108" w:type="dxa"/>
              <w:bottom w:w="100" w:type="dxa"/>
              <w:right w:w="108" w:type="dxa"/>
            </w:tcMar>
          </w:tcPr>
          <w:p w14:paraId="01366B72" w14:textId="6377EE7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Mansir D, Muhammad MZ-U-H, Kasim N (2015) ICT competencies among students enrolled in masters in facilities management. J Teknol 77(14):71–76. </w:t>
            </w:r>
            <w:hyperlink r:id="rId131" w:history="1">
              <w:r w:rsidRPr="00130DB8">
                <w:rPr>
                  <w:rStyle w:val="Hyperlink"/>
                  <w:sz w:val="20"/>
                  <w:szCs w:val="20"/>
                  <w:highlight w:val="none"/>
                </w:rPr>
                <w:t>https://doi.org/10.11113/jt.v77.6448</w:t>
              </w:r>
            </w:hyperlink>
          </w:p>
        </w:tc>
      </w:tr>
      <w:tr w:rsidR="00097971" w:rsidRPr="00130DB8" w14:paraId="30CE33FE" w14:textId="77777777" w:rsidTr="00097971">
        <w:trPr>
          <w:trHeight w:val="20"/>
        </w:trPr>
        <w:tc>
          <w:tcPr>
            <w:tcW w:w="5000" w:type="pct"/>
            <w:tcMar>
              <w:top w:w="100" w:type="dxa"/>
              <w:left w:w="108" w:type="dxa"/>
              <w:bottom w:w="100" w:type="dxa"/>
              <w:right w:w="108" w:type="dxa"/>
            </w:tcMar>
          </w:tcPr>
          <w:p w14:paraId="532AECE0" w14:textId="5D70523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Martinez-Lopez R, Yot-Domínguez C, Trigo ME (2020) Analysis of the internet use and students’ Web 2.0 digital competence in a Russian university. Int J Technol Enhanced Learn 12(3):316–342. </w:t>
            </w:r>
            <w:hyperlink r:id="rId132" w:history="1">
              <w:r w:rsidRPr="00130DB8">
                <w:rPr>
                  <w:rStyle w:val="Hyperlink"/>
                  <w:sz w:val="20"/>
                  <w:szCs w:val="20"/>
                  <w:highlight w:val="none"/>
                </w:rPr>
                <w:t>https://doi.org/10.1504/IJTEL.2020.107986</w:t>
              </w:r>
            </w:hyperlink>
          </w:p>
        </w:tc>
      </w:tr>
      <w:tr w:rsidR="00097971" w:rsidRPr="00130DB8" w14:paraId="2192087B" w14:textId="77777777" w:rsidTr="00097971">
        <w:trPr>
          <w:trHeight w:val="20"/>
        </w:trPr>
        <w:tc>
          <w:tcPr>
            <w:tcW w:w="5000" w:type="pct"/>
            <w:tcMar>
              <w:top w:w="100" w:type="dxa"/>
              <w:left w:w="108" w:type="dxa"/>
              <w:bottom w:w="100" w:type="dxa"/>
              <w:right w:w="108" w:type="dxa"/>
            </w:tcMar>
          </w:tcPr>
          <w:p w14:paraId="71AD5490" w14:textId="6DE515E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Martzoukou K, Fulton C, Kostagiolas P, Lavranos C (2020) A study of higher education students’ self-perceived digital competences for learning and everyday life online participation. J Doc 76(6):1413–1458. </w:t>
            </w:r>
            <w:hyperlink r:id="rId133" w:history="1">
              <w:r w:rsidRPr="00130DB8">
                <w:rPr>
                  <w:rStyle w:val="Hyperlink"/>
                  <w:sz w:val="20"/>
                  <w:szCs w:val="20"/>
                  <w:highlight w:val="none"/>
                </w:rPr>
                <w:t>https://doi.org/10.1108/JD-03-2020-0041</w:t>
              </w:r>
            </w:hyperlink>
          </w:p>
        </w:tc>
      </w:tr>
      <w:tr w:rsidR="00097971" w:rsidRPr="00130DB8" w14:paraId="3D459BC9" w14:textId="77777777" w:rsidTr="00097971">
        <w:trPr>
          <w:trHeight w:val="20"/>
        </w:trPr>
        <w:tc>
          <w:tcPr>
            <w:tcW w:w="5000" w:type="pct"/>
            <w:tcMar>
              <w:top w:w="100" w:type="dxa"/>
              <w:left w:w="108" w:type="dxa"/>
              <w:bottom w:w="100" w:type="dxa"/>
              <w:right w:w="108" w:type="dxa"/>
            </w:tcMar>
          </w:tcPr>
          <w:p w14:paraId="7A5C2D5F" w14:textId="2DE6479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Martzoukou K, Kostagiolas P, Lavranos C, et al (2021) A study of university law students’ self-perceived digital competences. J Librariansh Inf Sci. </w:t>
            </w:r>
            <w:hyperlink r:id="rId134" w:history="1">
              <w:r w:rsidRPr="00130DB8">
                <w:rPr>
                  <w:rStyle w:val="Hyperlink"/>
                  <w:sz w:val="20"/>
                  <w:szCs w:val="20"/>
                  <w:highlight w:val="none"/>
                </w:rPr>
                <w:t>https://doi.org/10.1177/09610006211048004</w:t>
              </w:r>
            </w:hyperlink>
          </w:p>
        </w:tc>
      </w:tr>
      <w:tr w:rsidR="00097971" w:rsidRPr="00130DB8" w14:paraId="7BCFB5B3" w14:textId="77777777" w:rsidTr="00097971">
        <w:trPr>
          <w:trHeight w:val="20"/>
        </w:trPr>
        <w:tc>
          <w:tcPr>
            <w:tcW w:w="5000" w:type="pct"/>
            <w:tcMar>
              <w:top w:w="100" w:type="dxa"/>
              <w:left w:w="108" w:type="dxa"/>
              <w:bottom w:w="100" w:type="dxa"/>
              <w:right w:w="108" w:type="dxa"/>
            </w:tcMar>
          </w:tcPr>
          <w:p w14:paraId="327634AE" w14:textId="6062BEA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Mccoy C (2010) Perceived self-efficacy and technology proficiency in undergraduate college students. Comput Educ 55(4):1614–1617. </w:t>
            </w:r>
            <w:hyperlink r:id="rId135" w:history="1">
              <w:r w:rsidRPr="00130DB8">
                <w:rPr>
                  <w:rStyle w:val="Hyperlink"/>
                  <w:sz w:val="20"/>
                  <w:szCs w:val="20"/>
                  <w:highlight w:val="none"/>
                </w:rPr>
                <w:t>https://doi.org/10.1016/j.compedu.2010.07.003</w:t>
              </w:r>
            </w:hyperlink>
          </w:p>
        </w:tc>
      </w:tr>
      <w:tr w:rsidR="00097971" w:rsidRPr="00130DB8" w14:paraId="78A44F10" w14:textId="77777777" w:rsidTr="00097971">
        <w:trPr>
          <w:trHeight w:val="20"/>
        </w:trPr>
        <w:tc>
          <w:tcPr>
            <w:tcW w:w="5000" w:type="pct"/>
            <w:tcMar>
              <w:top w:w="100" w:type="dxa"/>
              <w:left w:w="108" w:type="dxa"/>
              <w:bottom w:w="100" w:type="dxa"/>
              <w:right w:w="108" w:type="dxa"/>
            </w:tcMar>
          </w:tcPr>
          <w:p w14:paraId="6A7A8099" w14:textId="48E4BA0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McGarr O, McDonagh A (2021) Exploring the digital competence of pre-service teachers on entry onto an initial teacher education programme in Ireland. Ir Educ Stud 40(1):115–128. </w:t>
            </w:r>
            <w:hyperlink r:id="rId136" w:history="1">
              <w:r w:rsidRPr="00130DB8">
                <w:rPr>
                  <w:rStyle w:val="Hyperlink"/>
                  <w:sz w:val="20"/>
                  <w:szCs w:val="20"/>
                  <w:highlight w:val="none"/>
                </w:rPr>
                <w:t>https://doi.org/10.1080/03323315.2020.1800501</w:t>
              </w:r>
            </w:hyperlink>
          </w:p>
        </w:tc>
      </w:tr>
      <w:tr w:rsidR="00097971" w:rsidRPr="00130DB8" w14:paraId="2D2D8D85" w14:textId="77777777" w:rsidTr="00097971">
        <w:trPr>
          <w:trHeight w:val="20"/>
        </w:trPr>
        <w:tc>
          <w:tcPr>
            <w:tcW w:w="5000" w:type="pct"/>
            <w:tcMar>
              <w:top w:w="100" w:type="dxa"/>
              <w:left w:w="108" w:type="dxa"/>
              <w:bottom w:w="100" w:type="dxa"/>
              <w:right w:w="108" w:type="dxa"/>
            </w:tcMar>
          </w:tcPr>
          <w:p w14:paraId="5279FEB7" w14:textId="689FA14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McGrew S, Smith M, Breakstone J, et al (2019) Improving university students’ web savvy: An intervention study. Br J Educ Psychol 89(3):485–500. </w:t>
            </w:r>
            <w:hyperlink r:id="rId137" w:history="1">
              <w:r w:rsidRPr="00130DB8">
                <w:rPr>
                  <w:rStyle w:val="Hyperlink"/>
                  <w:sz w:val="20"/>
                  <w:szCs w:val="20"/>
                  <w:highlight w:val="none"/>
                </w:rPr>
                <w:t>https://doi.org/10.1111/bjep.12279</w:t>
              </w:r>
            </w:hyperlink>
          </w:p>
        </w:tc>
      </w:tr>
      <w:tr w:rsidR="00097971" w:rsidRPr="00130DB8" w14:paraId="1EC4E182" w14:textId="77777777" w:rsidTr="00097971">
        <w:trPr>
          <w:trHeight w:val="20"/>
        </w:trPr>
        <w:tc>
          <w:tcPr>
            <w:tcW w:w="5000" w:type="pct"/>
            <w:tcMar>
              <w:top w:w="100" w:type="dxa"/>
              <w:left w:w="108" w:type="dxa"/>
              <w:bottom w:w="100" w:type="dxa"/>
              <w:right w:w="108" w:type="dxa"/>
            </w:tcMar>
          </w:tcPr>
          <w:p w14:paraId="479AF564" w14:textId="7269E1A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Mehrvarz M, Heidari E, Farrokhnia M, Noroozi O (2021) The mediating role of digital informal learning in the relationship between students’ digital competency and their academic performance. Comput Educ 167. </w:t>
            </w:r>
            <w:hyperlink r:id="rId138" w:history="1">
              <w:r w:rsidRPr="00130DB8">
                <w:rPr>
                  <w:rStyle w:val="Hyperlink"/>
                  <w:sz w:val="20"/>
                  <w:szCs w:val="20"/>
                  <w:highlight w:val="none"/>
                </w:rPr>
                <w:t>https://doi.org/10.1016/j.compedu.2021.104184</w:t>
              </w:r>
            </w:hyperlink>
          </w:p>
        </w:tc>
      </w:tr>
      <w:tr w:rsidR="00097971" w:rsidRPr="00130DB8" w14:paraId="2346518D" w14:textId="77777777" w:rsidTr="00097971">
        <w:trPr>
          <w:trHeight w:val="20"/>
        </w:trPr>
        <w:tc>
          <w:tcPr>
            <w:tcW w:w="5000" w:type="pct"/>
            <w:tcMar>
              <w:top w:w="100" w:type="dxa"/>
              <w:left w:w="108" w:type="dxa"/>
              <w:bottom w:w="100" w:type="dxa"/>
              <w:right w:w="108" w:type="dxa"/>
            </w:tcMar>
          </w:tcPr>
          <w:p w14:paraId="020C0C73" w14:textId="212EE8F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Meng L, Qiu C, Boyd-Wilson B (2019) Measurement invariance of the ICT engagement construct and its association with students’ performance in China and Germany: Evidence from PISA 2015 data. Br J Educ Technol 50(6):3233–3251. </w:t>
            </w:r>
            <w:hyperlink r:id="rId139" w:history="1">
              <w:r w:rsidRPr="00130DB8">
                <w:rPr>
                  <w:rStyle w:val="Hyperlink"/>
                  <w:sz w:val="20"/>
                  <w:szCs w:val="20"/>
                  <w:highlight w:val="none"/>
                </w:rPr>
                <w:t>https://doi.org/10.1111/bjet.12729</w:t>
              </w:r>
            </w:hyperlink>
          </w:p>
        </w:tc>
      </w:tr>
      <w:tr w:rsidR="00097971" w:rsidRPr="00130DB8" w14:paraId="072E75BB" w14:textId="77777777" w:rsidTr="00097971">
        <w:trPr>
          <w:trHeight w:val="20"/>
        </w:trPr>
        <w:tc>
          <w:tcPr>
            <w:tcW w:w="5000" w:type="pct"/>
            <w:tcMar>
              <w:top w:w="100" w:type="dxa"/>
              <w:left w:w="108" w:type="dxa"/>
              <w:bottom w:w="100" w:type="dxa"/>
              <w:right w:w="108" w:type="dxa"/>
            </w:tcMar>
          </w:tcPr>
          <w:p w14:paraId="5BB3436C" w14:textId="450E8DF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Mohamed H, Judi HM, Nor SFM, Yusof ZM (2012) Bridging digital divide: A study on ICT literacy among students in malaysian rural areas. Aust J Basic Appl Sci 6(7):39–45</w:t>
            </w:r>
          </w:p>
        </w:tc>
      </w:tr>
      <w:tr w:rsidR="00097971" w:rsidRPr="00130DB8" w14:paraId="40D68D32" w14:textId="77777777" w:rsidTr="00097971">
        <w:trPr>
          <w:trHeight w:val="20"/>
        </w:trPr>
        <w:tc>
          <w:tcPr>
            <w:tcW w:w="5000" w:type="pct"/>
            <w:tcMar>
              <w:top w:w="100" w:type="dxa"/>
              <w:left w:w="108" w:type="dxa"/>
              <w:bottom w:w="100" w:type="dxa"/>
              <w:right w:w="108" w:type="dxa"/>
            </w:tcMar>
          </w:tcPr>
          <w:p w14:paraId="1C674534" w14:textId="1C2C5D1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Monteiro AR, Leite C (2021) Digital literacies in higher education: Skills, uses, opportunities and obstacles to digital transformation. Rev Educ Distancia 21(65). </w:t>
            </w:r>
            <w:hyperlink r:id="rId140" w:history="1">
              <w:r w:rsidRPr="00130DB8">
                <w:rPr>
                  <w:rStyle w:val="Hyperlink"/>
                  <w:sz w:val="20"/>
                  <w:szCs w:val="20"/>
                  <w:highlight w:val="none"/>
                </w:rPr>
                <w:t>https://doi.org/10.6018/RED.438721</w:t>
              </w:r>
            </w:hyperlink>
          </w:p>
        </w:tc>
      </w:tr>
      <w:tr w:rsidR="00097971" w:rsidRPr="00130DB8" w14:paraId="754B84D9" w14:textId="77777777" w:rsidTr="00097971">
        <w:trPr>
          <w:trHeight w:val="20"/>
        </w:trPr>
        <w:tc>
          <w:tcPr>
            <w:tcW w:w="5000" w:type="pct"/>
            <w:tcMar>
              <w:top w:w="100" w:type="dxa"/>
              <w:left w:w="108" w:type="dxa"/>
              <w:bottom w:w="100" w:type="dxa"/>
              <w:right w:w="108" w:type="dxa"/>
            </w:tcMar>
          </w:tcPr>
          <w:p w14:paraId="01F37E93" w14:textId="0B41E61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Moon SJ, Bai SY (2020) Components of digital literacy as predictors of youth civic engagement and the role of social media news attention: the case of Korea. J Child Media 14(4):458–474. </w:t>
            </w:r>
            <w:hyperlink r:id="rId141" w:history="1">
              <w:r w:rsidRPr="00130DB8">
                <w:rPr>
                  <w:rStyle w:val="Hyperlink"/>
                  <w:sz w:val="20"/>
                  <w:szCs w:val="20"/>
                  <w:highlight w:val="none"/>
                </w:rPr>
                <w:t>https://doi.org/10.1080/17482798.2020.1728700</w:t>
              </w:r>
            </w:hyperlink>
          </w:p>
        </w:tc>
      </w:tr>
      <w:tr w:rsidR="00097971" w:rsidRPr="00130DB8" w14:paraId="0DB5DDBF" w14:textId="77777777" w:rsidTr="00097971">
        <w:trPr>
          <w:trHeight w:val="20"/>
        </w:trPr>
        <w:tc>
          <w:tcPr>
            <w:tcW w:w="5000" w:type="pct"/>
            <w:tcMar>
              <w:top w:w="100" w:type="dxa"/>
              <w:left w:w="108" w:type="dxa"/>
              <w:bottom w:w="100" w:type="dxa"/>
              <w:right w:w="108" w:type="dxa"/>
            </w:tcMar>
          </w:tcPr>
          <w:p w14:paraId="6D34628E" w14:textId="7950F71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Murugan A, Sai GTB, Lin ALW (2017) Technological Readiness of UiTM Students in Using Mobile Phones in the English Language Classroom. Malays Online J Educ Technol 5(2):51–67</w:t>
            </w:r>
          </w:p>
        </w:tc>
      </w:tr>
      <w:tr w:rsidR="00097971" w:rsidRPr="00130DB8" w14:paraId="06338041" w14:textId="77777777" w:rsidTr="00097971">
        <w:trPr>
          <w:trHeight w:val="20"/>
        </w:trPr>
        <w:tc>
          <w:tcPr>
            <w:tcW w:w="5000" w:type="pct"/>
            <w:tcMar>
              <w:top w:w="100" w:type="dxa"/>
              <w:left w:w="108" w:type="dxa"/>
              <w:bottom w:w="100" w:type="dxa"/>
              <w:right w:w="108" w:type="dxa"/>
            </w:tcMar>
          </w:tcPr>
          <w:p w14:paraId="15089B1E" w14:textId="24DFA3D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Nabhan S (2021) Pre-service teachers’ conceptions and competences on digital literacy in an EFL academic writing setting. Indones J Appl Linguist 11(1):187–199. </w:t>
            </w:r>
            <w:hyperlink r:id="rId142" w:history="1">
              <w:r w:rsidRPr="00130DB8">
                <w:rPr>
                  <w:rStyle w:val="Hyperlink"/>
                  <w:sz w:val="20"/>
                  <w:szCs w:val="20"/>
                  <w:highlight w:val="none"/>
                </w:rPr>
                <w:t>https://doi.org/10.17509/ijal.v11i1.34628</w:t>
              </w:r>
            </w:hyperlink>
          </w:p>
        </w:tc>
      </w:tr>
      <w:tr w:rsidR="00097971" w:rsidRPr="00130DB8" w14:paraId="2B48CCE4" w14:textId="77777777" w:rsidTr="00097971">
        <w:trPr>
          <w:trHeight w:val="20"/>
        </w:trPr>
        <w:tc>
          <w:tcPr>
            <w:tcW w:w="5000" w:type="pct"/>
            <w:tcMar>
              <w:top w:w="100" w:type="dxa"/>
              <w:left w:w="108" w:type="dxa"/>
              <w:bottom w:w="100" w:type="dxa"/>
              <w:right w:w="108" w:type="dxa"/>
            </w:tcMar>
          </w:tcPr>
          <w:p w14:paraId="00CBF37E" w14:textId="66DC271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Nam S-J (2021) Deviant behavior in cyberspace and emotional states. Curr Psychol. </w:t>
            </w:r>
            <w:hyperlink r:id="rId143" w:history="1">
              <w:r w:rsidRPr="00130DB8">
                <w:rPr>
                  <w:rStyle w:val="Hyperlink"/>
                  <w:sz w:val="20"/>
                  <w:szCs w:val="20"/>
                  <w:highlight w:val="none"/>
                </w:rPr>
                <w:t>https://doi.org/10.1007/s12144-021-02370-7</w:t>
              </w:r>
            </w:hyperlink>
          </w:p>
        </w:tc>
      </w:tr>
      <w:tr w:rsidR="00097971" w:rsidRPr="00130DB8" w14:paraId="6201FB0A" w14:textId="77777777" w:rsidTr="00097971">
        <w:trPr>
          <w:trHeight w:val="20"/>
        </w:trPr>
        <w:tc>
          <w:tcPr>
            <w:tcW w:w="5000" w:type="pct"/>
            <w:tcMar>
              <w:top w:w="100" w:type="dxa"/>
              <w:left w:w="108" w:type="dxa"/>
              <w:bottom w:w="100" w:type="dxa"/>
              <w:right w:w="108" w:type="dxa"/>
            </w:tcMar>
          </w:tcPr>
          <w:p w14:paraId="22E90F70" w14:textId="5950C66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Naveed MA, Mahmood M (2019) Information Literacy Self-Efficacy of Business Students in Pakistan. Libri 69(4):303–314. </w:t>
            </w:r>
            <w:hyperlink r:id="rId144" w:history="1">
              <w:r w:rsidRPr="00130DB8">
                <w:rPr>
                  <w:rStyle w:val="Hyperlink"/>
                  <w:sz w:val="20"/>
                  <w:szCs w:val="20"/>
                  <w:highlight w:val="none"/>
                </w:rPr>
                <w:t>https://doi.org/10.1515/libri-2018-0123</w:t>
              </w:r>
            </w:hyperlink>
          </w:p>
        </w:tc>
      </w:tr>
      <w:tr w:rsidR="00097971" w:rsidRPr="00130DB8" w14:paraId="3FD9E68F" w14:textId="77777777" w:rsidTr="00097971">
        <w:trPr>
          <w:trHeight w:val="20"/>
        </w:trPr>
        <w:tc>
          <w:tcPr>
            <w:tcW w:w="5000" w:type="pct"/>
            <w:tcMar>
              <w:top w:w="100" w:type="dxa"/>
              <w:left w:w="108" w:type="dxa"/>
              <w:bottom w:w="100" w:type="dxa"/>
              <w:right w:w="108" w:type="dxa"/>
            </w:tcMar>
          </w:tcPr>
          <w:p w14:paraId="01088B70" w14:textId="4CA8FA0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Nguyen LAT, Habók A (2021) Digital Literacy of EFL Students: An Empirical Study in Vietnamese Universities. Libri. </w:t>
            </w:r>
            <w:hyperlink r:id="rId145" w:history="1">
              <w:r w:rsidRPr="00130DB8">
                <w:rPr>
                  <w:rStyle w:val="Hyperlink"/>
                  <w:sz w:val="20"/>
                  <w:szCs w:val="20"/>
                  <w:highlight w:val="none"/>
                </w:rPr>
                <w:t>https://doi.org/10.1515/libri-2020-0165</w:t>
              </w:r>
            </w:hyperlink>
          </w:p>
        </w:tc>
      </w:tr>
      <w:tr w:rsidR="00097971" w:rsidRPr="00130DB8" w14:paraId="271B0E62" w14:textId="77777777" w:rsidTr="00097971">
        <w:trPr>
          <w:trHeight w:val="20"/>
        </w:trPr>
        <w:tc>
          <w:tcPr>
            <w:tcW w:w="5000" w:type="pct"/>
            <w:tcMar>
              <w:top w:w="100" w:type="dxa"/>
              <w:left w:w="108" w:type="dxa"/>
              <w:bottom w:w="100" w:type="dxa"/>
              <w:right w:w="108" w:type="dxa"/>
            </w:tcMar>
          </w:tcPr>
          <w:p w14:paraId="256ECF7F" w14:textId="7CBFF1C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Ninghardjanti P, Dirgatama CHA (2021) Building Critical Thinking Skills Through a New Design Mobile-Based Interactive Learning Media Knowledge Framework. Int J Interact Mob Technol 15(17):49–68. </w:t>
            </w:r>
            <w:hyperlink r:id="rId146" w:history="1">
              <w:r w:rsidRPr="00130DB8">
                <w:rPr>
                  <w:rStyle w:val="Hyperlink"/>
                  <w:sz w:val="20"/>
                  <w:szCs w:val="20"/>
                  <w:highlight w:val="none"/>
                </w:rPr>
                <w:t>https://doi.org/10.3991/ijim.v15i17.23801</w:t>
              </w:r>
            </w:hyperlink>
          </w:p>
        </w:tc>
      </w:tr>
      <w:tr w:rsidR="00097971" w:rsidRPr="00130DB8" w14:paraId="28E630C9" w14:textId="77777777" w:rsidTr="00097971">
        <w:trPr>
          <w:trHeight w:val="20"/>
        </w:trPr>
        <w:tc>
          <w:tcPr>
            <w:tcW w:w="5000" w:type="pct"/>
            <w:tcMar>
              <w:top w:w="100" w:type="dxa"/>
              <w:left w:w="108" w:type="dxa"/>
              <w:bottom w:w="100" w:type="dxa"/>
              <w:right w:w="108" w:type="dxa"/>
            </w:tcMar>
          </w:tcPr>
          <w:p w14:paraId="540397DF" w14:textId="2698A5C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Noh Y (2017) A study on the effect of digital literacy on information use behavior. J Librariansh Inf Sci 49(1):26–56. </w:t>
            </w:r>
            <w:hyperlink r:id="rId147" w:history="1">
              <w:r w:rsidRPr="00130DB8">
                <w:rPr>
                  <w:rStyle w:val="Hyperlink"/>
                  <w:sz w:val="20"/>
                  <w:szCs w:val="20"/>
                  <w:highlight w:val="none"/>
                </w:rPr>
                <w:t>https://doi.org/10.1177/0961000615624527</w:t>
              </w:r>
            </w:hyperlink>
          </w:p>
        </w:tc>
      </w:tr>
      <w:tr w:rsidR="00097971" w:rsidRPr="00130DB8" w14:paraId="37D6FC54" w14:textId="77777777" w:rsidTr="00097971">
        <w:trPr>
          <w:trHeight w:val="20"/>
        </w:trPr>
        <w:tc>
          <w:tcPr>
            <w:tcW w:w="5000" w:type="pct"/>
            <w:tcMar>
              <w:top w:w="100" w:type="dxa"/>
              <w:left w:w="108" w:type="dxa"/>
              <w:bottom w:w="100" w:type="dxa"/>
              <w:right w:w="108" w:type="dxa"/>
            </w:tcMar>
          </w:tcPr>
          <w:p w14:paraId="21EA62A4" w14:textId="0219FAC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Notten N, Nikken P (2016) Boys and girls taking risks online: A gendered perspective on social context and adolescents’ risky online behavior. New Media Soc 18(6):966–988. </w:t>
            </w:r>
            <w:hyperlink r:id="rId148" w:history="1">
              <w:r w:rsidRPr="00130DB8">
                <w:rPr>
                  <w:rStyle w:val="Hyperlink"/>
                  <w:sz w:val="20"/>
                  <w:szCs w:val="20"/>
                  <w:highlight w:val="none"/>
                </w:rPr>
                <w:t>https://doi.org/10.1177/1461444814552379</w:t>
              </w:r>
            </w:hyperlink>
          </w:p>
        </w:tc>
      </w:tr>
      <w:tr w:rsidR="00097971" w:rsidRPr="00130DB8" w14:paraId="4D432711" w14:textId="77777777" w:rsidTr="00097971">
        <w:trPr>
          <w:trHeight w:val="20"/>
        </w:trPr>
        <w:tc>
          <w:tcPr>
            <w:tcW w:w="5000" w:type="pct"/>
            <w:tcMar>
              <w:top w:w="100" w:type="dxa"/>
              <w:left w:w="108" w:type="dxa"/>
              <w:bottom w:w="100" w:type="dxa"/>
              <w:right w:w="108" w:type="dxa"/>
            </w:tcMar>
          </w:tcPr>
          <w:p w14:paraId="4D9AF8AF" w14:textId="247FC4A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Nwosu JC, John HC, Izang AA, Akorede OJ (2018) Assessment of Information and Communication Technology (ICT) Competence and Literacy Skills among Undergraduates as a Determinant Factor of Academic Achievement. Educ Res Rev 13(15):582–589. </w:t>
            </w:r>
            <w:hyperlink r:id="rId149" w:history="1">
              <w:r w:rsidRPr="00130DB8">
                <w:rPr>
                  <w:rStyle w:val="Hyperlink"/>
                  <w:sz w:val="20"/>
                  <w:szCs w:val="20"/>
                  <w:highlight w:val="none"/>
                </w:rPr>
                <w:t>https://doi.org/10.5897/ERR2018.3539</w:t>
              </w:r>
            </w:hyperlink>
          </w:p>
        </w:tc>
      </w:tr>
      <w:tr w:rsidR="00097971" w:rsidRPr="00130DB8" w14:paraId="10C0E772" w14:textId="77777777" w:rsidTr="00097971">
        <w:trPr>
          <w:trHeight w:val="20"/>
        </w:trPr>
        <w:tc>
          <w:tcPr>
            <w:tcW w:w="5000" w:type="pct"/>
            <w:tcMar>
              <w:top w:w="100" w:type="dxa"/>
              <w:left w:w="108" w:type="dxa"/>
              <w:bottom w:w="100" w:type="dxa"/>
              <w:right w:w="108" w:type="dxa"/>
            </w:tcMar>
          </w:tcPr>
          <w:p w14:paraId="243E9AAF" w14:textId="5C6D380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Nygren T, Guath M (2019) Swedish teenagers’ difficulties and abilities to determine digital news credibility. Nord Rev 40(1):23–42. </w:t>
            </w:r>
            <w:hyperlink r:id="rId150" w:history="1">
              <w:r w:rsidRPr="00130DB8">
                <w:rPr>
                  <w:rStyle w:val="Hyperlink"/>
                  <w:sz w:val="20"/>
                  <w:szCs w:val="20"/>
                  <w:highlight w:val="none"/>
                </w:rPr>
                <w:t>https://doi.org/10.2478/nor-2019-0002</w:t>
              </w:r>
            </w:hyperlink>
          </w:p>
        </w:tc>
      </w:tr>
      <w:tr w:rsidR="00097971" w:rsidRPr="00130DB8" w14:paraId="4C719AD6" w14:textId="77777777" w:rsidTr="00097971">
        <w:trPr>
          <w:trHeight w:val="20"/>
        </w:trPr>
        <w:tc>
          <w:tcPr>
            <w:tcW w:w="5000" w:type="pct"/>
            <w:tcMar>
              <w:top w:w="100" w:type="dxa"/>
              <w:left w:w="108" w:type="dxa"/>
              <w:bottom w:w="100" w:type="dxa"/>
              <w:right w:w="108" w:type="dxa"/>
            </w:tcMar>
          </w:tcPr>
          <w:p w14:paraId="537BB8E9" w14:textId="06FB81D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O’Doherty D, Lougheed J, Hannigan A, et al (2019) Internet skills of medical faculty and students: Is there a difference? BMC Med Educ 19(1). </w:t>
            </w:r>
            <w:hyperlink r:id="rId151" w:history="1">
              <w:r w:rsidRPr="00130DB8">
                <w:rPr>
                  <w:rStyle w:val="Hyperlink"/>
                  <w:sz w:val="20"/>
                  <w:szCs w:val="20"/>
                  <w:highlight w:val="none"/>
                </w:rPr>
                <w:t>https://doi.org/10.1186/s12909-019-1475-4</w:t>
              </w:r>
            </w:hyperlink>
          </w:p>
        </w:tc>
      </w:tr>
      <w:tr w:rsidR="00097971" w:rsidRPr="00130DB8" w14:paraId="6E06DCA3" w14:textId="77777777" w:rsidTr="00097971">
        <w:trPr>
          <w:trHeight w:val="20"/>
        </w:trPr>
        <w:tc>
          <w:tcPr>
            <w:tcW w:w="5000" w:type="pct"/>
            <w:tcMar>
              <w:top w:w="100" w:type="dxa"/>
              <w:left w:w="108" w:type="dxa"/>
              <w:bottom w:w="100" w:type="dxa"/>
              <w:right w:w="108" w:type="dxa"/>
            </w:tcMar>
          </w:tcPr>
          <w:p w14:paraId="3D4DD590" w14:textId="668B54C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Oguguo BCE, Okeke AO, Dave-Ugwu PO, et al (2020) Assessment of ict skills relevant for effective learning possessed by undergraduate students at university of nigeria. Intl J High Edu 9(4):206–215. </w:t>
            </w:r>
            <w:hyperlink r:id="rId152" w:history="1">
              <w:r w:rsidRPr="00130DB8">
                <w:rPr>
                  <w:rStyle w:val="Hyperlink"/>
                  <w:sz w:val="20"/>
                  <w:szCs w:val="20"/>
                  <w:highlight w:val="none"/>
                </w:rPr>
                <w:t>https://doi.org/10.5430/ijhe.v9n4p206</w:t>
              </w:r>
            </w:hyperlink>
          </w:p>
        </w:tc>
      </w:tr>
      <w:tr w:rsidR="00097971" w:rsidRPr="00130DB8" w14:paraId="1AB871F7" w14:textId="77777777" w:rsidTr="00097971">
        <w:trPr>
          <w:trHeight w:val="20"/>
        </w:trPr>
        <w:tc>
          <w:tcPr>
            <w:tcW w:w="5000" w:type="pct"/>
            <w:tcMar>
              <w:top w:w="100" w:type="dxa"/>
              <w:left w:w="108" w:type="dxa"/>
              <w:bottom w:w="100" w:type="dxa"/>
              <w:right w:w="108" w:type="dxa"/>
            </w:tcMar>
          </w:tcPr>
          <w:p w14:paraId="184B4590" w14:textId="4F6E652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Olatoye OI, Nekhwevha F, Muchaonyerwa N (2021) ICT literacy skills proficiency and experience on the use of electronic resources amongst undergraduate students in selected Eastern Cape Universities, South Africa. Libr Manage 42(6–7):471–479. </w:t>
            </w:r>
            <w:hyperlink r:id="rId153" w:history="1">
              <w:r w:rsidRPr="00130DB8">
                <w:rPr>
                  <w:rStyle w:val="Hyperlink"/>
                  <w:sz w:val="20"/>
                  <w:szCs w:val="20"/>
                  <w:highlight w:val="none"/>
                </w:rPr>
                <w:t>https://doi.org/10.1108/LM-08-2020-0118</w:t>
              </w:r>
            </w:hyperlink>
          </w:p>
        </w:tc>
      </w:tr>
      <w:tr w:rsidR="00097971" w:rsidRPr="00130DB8" w14:paraId="574060BD" w14:textId="77777777" w:rsidTr="00097971">
        <w:trPr>
          <w:trHeight w:val="20"/>
        </w:trPr>
        <w:tc>
          <w:tcPr>
            <w:tcW w:w="5000" w:type="pct"/>
            <w:tcMar>
              <w:top w:w="100" w:type="dxa"/>
              <w:left w:w="108" w:type="dxa"/>
              <w:bottom w:w="100" w:type="dxa"/>
              <w:right w:w="108" w:type="dxa"/>
            </w:tcMar>
          </w:tcPr>
          <w:p w14:paraId="30F8E39A" w14:textId="164DA21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Opgenhaffen M, D’Haenens L (2012) Heterogeneity within homogeneity: Impact of online skills on the use of online news media and interactive news features. Communications 37(3):297–316. </w:t>
            </w:r>
            <w:hyperlink r:id="rId154" w:history="1">
              <w:r w:rsidRPr="00130DB8">
                <w:rPr>
                  <w:rStyle w:val="Hyperlink"/>
                  <w:sz w:val="20"/>
                  <w:szCs w:val="20"/>
                  <w:highlight w:val="none"/>
                </w:rPr>
                <w:t>https://doi.org/10.1515/commun-2012-0016</w:t>
              </w:r>
            </w:hyperlink>
          </w:p>
        </w:tc>
      </w:tr>
      <w:tr w:rsidR="00097971" w:rsidRPr="00130DB8" w14:paraId="3DE8BD98" w14:textId="77777777" w:rsidTr="00097971">
        <w:trPr>
          <w:trHeight w:val="20"/>
        </w:trPr>
        <w:tc>
          <w:tcPr>
            <w:tcW w:w="5000" w:type="pct"/>
            <w:tcMar>
              <w:top w:w="100" w:type="dxa"/>
              <w:left w:w="108" w:type="dxa"/>
              <w:bottom w:w="100" w:type="dxa"/>
              <w:right w:w="108" w:type="dxa"/>
            </w:tcMar>
          </w:tcPr>
          <w:p w14:paraId="5BCC0BAC" w14:textId="096C452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Oyedemi T (2014) Beyond access: Youth and digital skills. Communicatio 40(2):137–154. </w:t>
            </w:r>
            <w:hyperlink r:id="rId155" w:history="1">
              <w:r w:rsidRPr="00130DB8">
                <w:rPr>
                  <w:rStyle w:val="Hyperlink"/>
                  <w:sz w:val="20"/>
                  <w:szCs w:val="20"/>
                  <w:highlight w:val="none"/>
                </w:rPr>
                <w:t>https://doi.org/10.1080/02500167.2014.907191</w:t>
              </w:r>
            </w:hyperlink>
          </w:p>
        </w:tc>
      </w:tr>
      <w:tr w:rsidR="00097971" w:rsidRPr="00130DB8" w14:paraId="342607DF" w14:textId="77777777" w:rsidTr="00097971">
        <w:trPr>
          <w:trHeight w:val="20"/>
        </w:trPr>
        <w:tc>
          <w:tcPr>
            <w:tcW w:w="5000" w:type="pct"/>
            <w:tcMar>
              <w:top w:w="100" w:type="dxa"/>
              <w:left w:w="108" w:type="dxa"/>
              <w:bottom w:w="100" w:type="dxa"/>
              <w:right w:w="108" w:type="dxa"/>
            </w:tcMar>
          </w:tcPr>
          <w:p w14:paraId="24BE5094" w14:textId="052BCCF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Özkan B, Tekeli FN (2021) The effects of information and communication technology engagement factors on science performance between singapore and turkey using multi-group structural equation modeling. J Baltic Sci Edu 20(4):639–650. </w:t>
            </w:r>
            <w:hyperlink r:id="rId156" w:history="1">
              <w:r w:rsidRPr="00130DB8">
                <w:rPr>
                  <w:rStyle w:val="Hyperlink"/>
                  <w:sz w:val="20"/>
                  <w:szCs w:val="20"/>
                  <w:highlight w:val="none"/>
                </w:rPr>
                <w:t>https://doi.org/10.33225/jbse/21.20.639</w:t>
              </w:r>
            </w:hyperlink>
          </w:p>
        </w:tc>
      </w:tr>
      <w:tr w:rsidR="00097971" w:rsidRPr="00130DB8" w14:paraId="150CA789" w14:textId="77777777" w:rsidTr="00097971">
        <w:trPr>
          <w:trHeight w:val="20"/>
        </w:trPr>
        <w:tc>
          <w:tcPr>
            <w:tcW w:w="5000" w:type="pct"/>
            <w:tcMar>
              <w:top w:w="100" w:type="dxa"/>
              <w:left w:w="108" w:type="dxa"/>
              <w:bottom w:w="100" w:type="dxa"/>
              <w:right w:w="108" w:type="dxa"/>
            </w:tcMar>
          </w:tcPr>
          <w:p w14:paraId="3208C224" w14:textId="512895B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Ozsevgec T (2011) Computer literacy of Turkish preservice teachers in different teacher training programs. Asia Pac Educ Res 12(1):13–21. </w:t>
            </w:r>
            <w:hyperlink r:id="rId157" w:history="1">
              <w:r w:rsidRPr="00130DB8">
                <w:rPr>
                  <w:rStyle w:val="Hyperlink"/>
                  <w:sz w:val="20"/>
                  <w:szCs w:val="20"/>
                  <w:highlight w:val="none"/>
                </w:rPr>
                <w:t>https://doi.org/10.1007/s12564-010-9123-z</w:t>
              </w:r>
            </w:hyperlink>
          </w:p>
        </w:tc>
      </w:tr>
      <w:tr w:rsidR="00097971" w:rsidRPr="00130DB8" w14:paraId="5FDC45C0" w14:textId="77777777" w:rsidTr="00097971">
        <w:trPr>
          <w:trHeight w:val="20"/>
        </w:trPr>
        <w:tc>
          <w:tcPr>
            <w:tcW w:w="5000" w:type="pct"/>
            <w:tcMar>
              <w:top w:w="100" w:type="dxa"/>
              <w:left w:w="108" w:type="dxa"/>
              <w:bottom w:w="100" w:type="dxa"/>
              <w:right w:w="108" w:type="dxa"/>
            </w:tcMar>
          </w:tcPr>
          <w:p w14:paraId="2183FF0C" w14:textId="6BB5249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Ozturk A, Ozdenk S, Yilmaz O (2020) An Investigation into the Information and Communication Technology Skills and E-Learning Attitudes of Students at the Faculty of Sports Sciences. Afr Educ Res J 8(1). </w:t>
            </w:r>
            <w:hyperlink r:id="rId158" w:history="1">
              <w:r w:rsidRPr="00130DB8">
                <w:rPr>
                  <w:rStyle w:val="Hyperlink"/>
                  <w:sz w:val="20"/>
                  <w:szCs w:val="20"/>
                  <w:highlight w:val="none"/>
                </w:rPr>
                <w:t>https://doi.org/10.30918/AERJ.8S1.20.001</w:t>
              </w:r>
            </w:hyperlink>
          </w:p>
        </w:tc>
      </w:tr>
      <w:tr w:rsidR="00097971" w:rsidRPr="00130DB8" w14:paraId="073AA5F3" w14:textId="77777777" w:rsidTr="00097971">
        <w:trPr>
          <w:trHeight w:val="20"/>
        </w:trPr>
        <w:tc>
          <w:tcPr>
            <w:tcW w:w="5000" w:type="pct"/>
            <w:tcMar>
              <w:top w:w="100" w:type="dxa"/>
              <w:left w:w="108" w:type="dxa"/>
              <w:bottom w:w="100" w:type="dxa"/>
              <w:right w:w="108" w:type="dxa"/>
            </w:tcMar>
          </w:tcPr>
          <w:p w14:paraId="206CC127" w14:textId="182A7B0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Paetsch J, Drechsel B (2021) Factors Influencing Pre-service Teachers’ Intention to Use Digital Learning Materials: A Study Conducted During the COVID-19 Pandemic in Germany. Front Psychol 12. </w:t>
            </w:r>
            <w:hyperlink r:id="rId159" w:history="1">
              <w:r w:rsidRPr="00130DB8">
                <w:rPr>
                  <w:rStyle w:val="Hyperlink"/>
                  <w:sz w:val="20"/>
                  <w:szCs w:val="20"/>
                  <w:highlight w:val="none"/>
                </w:rPr>
                <w:t>https://doi.org/10.3389/fpsyg.2021.733830</w:t>
              </w:r>
            </w:hyperlink>
          </w:p>
        </w:tc>
      </w:tr>
      <w:tr w:rsidR="00097971" w:rsidRPr="00130DB8" w14:paraId="5B98E35C" w14:textId="77777777" w:rsidTr="00097971">
        <w:trPr>
          <w:trHeight w:val="20"/>
        </w:trPr>
        <w:tc>
          <w:tcPr>
            <w:tcW w:w="5000" w:type="pct"/>
            <w:tcMar>
              <w:top w:w="100" w:type="dxa"/>
              <w:left w:w="108" w:type="dxa"/>
              <w:bottom w:w="100" w:type="dxa"/>
              <w:right w:w="108" w:type="dxa"/>
            </w:tcMar>
          </w:tcPr>
          <w:p w14:paraId="6FFD1844" w14:textId="353D4DD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Papastergiou M (2010) Enhancing Physical Education and Sport Science students’ self-efficacy and attitudes regarding Information and Communication Technologies through a computer literacy course. Comput Educ 54(1):298–308. </w:t>
            </w:r>
            <w:hyperlink r:id="rId160" w:history="1">
              <w:r w:rsidRPr="00130DB8">
                <w:rPr>
                  <w:rStyle w:val="Hyperlink"/>
                  <w:sz w:val="20"/>
                  <w:szCs w:val="20"/>
                  <w:highlight w:val="none"/>
                </w:rPr>
                <w:t>https://doi.org/10.1016/j.compedu.2009.08.015</w:t>
              </w:r>
            </w:hyperlink>
          </w:p>
        </w:tc>
      </w:tr>
      <w:tr w:rsidR="00097971" w:rsidRPr="00130DB8" w14:paraId="1196F6FF" w14:textId="77777777" w:rsidTr="00097971">
        <w:trPr>
          <w:trHeight w:val="20"/>
        </w:trPr>
        <w:tc>
          <w:tcPr>
            <w:tcW w:w="5000" w:type="pct"/>
            <w:tcMar>
              <w:top w:w="100" w:type="dxa"/>
              <w:left w:w="108" w:type="dxa"/>
              <w:bottom w:w="100" w:type="dxa"/>
              <w:right w:w="108" w:type="dxa"/>
            </w:tcMar>
          </w:tcPr>
          <w:p w14:paraId="1357279A" w14:textId="2057EA1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Park S, Weng W (2020) The relationship between ICT-related factors and student academic achievement and the moderating effect of country economic indexes across 39 countries: Using multilevel structural equation modelling. Educational Technology and Society 23(3):1–15. </w:t>
            </w:r>
            <w:hyperlink r:id="rId161" w:history="1">
              <w:r w:rsidRPr="00130DB8">
                <w:rPr>
                  <w:rStyle w:val="Hyperlink"/>
                  <w:sz w:val="20"/>
                  <w:szCs w:val="20"/>
                  <w:highlight w:val="none"/>
                </w:rPr>
                <w:t>https://www.jstor.org/stable/10.2307/26926422</w:t>
              </w:r>
            </w:hyperlink>
          </w:p>
        </w:tc>
      </w:tr>
      <w:tr w:rsidR="00097971" w:rsidRPr="00130DB8" w14:paraId="57ADDB00" w14:textId="77777777" w:rsidTr="00097971">
        <w:trPr>
          <w:trHeight w:val="20"/>
        </w:trPr>
        <w:tc>
          <w:tcPr>
            <w:tcW w:w="5000" w:type="pct"/>
            <w:tcMar>
              <w:top w:w="100" w:type="dxa"/>
              <w:left w:w="108" w:type="dxa"/>
              <w:bottom w:w="100" w:type="dxa"/>
              <w:right w:w="108" w:type="dxa"/>
            </w:tcMar>
          </w:tcPr>
          <w:p w14:paraId="678E4304" w14:textId="5ED18C9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Park YJ, Jang SM (2016) African American Internet Use for Information Search and Privacy Protection Tasks. Soc Sci Comput Rev 34(5):618–630. </w:t>
            </w:r>
            <w:hyperlink r:id="rId162" w:history="1">
              <w:r w:rsidRPr="00130DB8">
                <w:rPr>
                  <w:rStyle w:val="Hyperlink"/>
                  <w:sz w:val="20"/>
                  <w:szCs w:val="20"/>
                  <w:highlight w:val="none"/>
                </w:rPr>
                <w:t>https://doi.org/10.1177/0894439315597429</w:t>
              </w:r>
            </w:hyperlink>
          </w:p>
        </w:tc>
      </w:tr>
      <w:tr w:rsidR="00097971" w:rsidRPr="00130DB8" w14:paraId="6FECFE60" w14:textId="77777777" w:rsidTr="00097971">
        <w:trPr>
          <w:trHeight w:val="20"/>
        </w:trPr>
        <w:tc>
          <w:tcPr>
            <w:tcW w:w="5000" w:type="pct"/>
            <w:tcMar>
              <w:top w:w="100" w:type="dxa"/>
              <w:left w:w="108" w:type="dxa"/>
              <w:bottom w:w="100" w:type="dxa"/>
              <w:right w:w="108" w:type="dxa"/>
            </w:tcMar>
          </w:tcPr>
          <w:p w14:paraId="43B77414" w14:textId="59B5B20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Perdana R, Jumadi J, Rosana D, Riwayani R (2020) The online laboratory simulation with concept mapping and problem based learning (Ols-cmpbl): Is it effective in improving students’ digital literacy skills? Cakrawala Pendidik 39(2):382–394. </w:t>
            </w:r>
            <w:hyperlink r:id="rId163" w:history="1">
              <w:r w:rsidRPr="00130DB8">
                <w:rPr>
                  <w:rStyle w:val="Hyperlink"/>
                  <w:sz w:val="20"/>
                  <w:szCs w:val="20"/>
                  <w:highlight w:val="none"/>
                </w:rPr>
                <w:t>https://doi.org/10.21831/cp.v39i2.31491</w:t>
              </w:r>
            </w:hyperlink>
          </w:p>
        </w:tc>
      </w:tr>
      <w:tr w:rsidR="00097971" w:rsidRPr="00130DB8" w14:paraId="5E963E4A" w14:textId="77777777" w:rsidTr="00097971">
        <w:trPr>
          <w:trHeight w:val="20"/>
        </w:trPr>
        <w:tc>
          <w:tcPr>
            <w:tcW w:w="5000" w:type="pct"/>
            <w:tcMar>
              <w:top w:w="100" w:type="dxa"/>
              <w:left w:w="108" w:type="dxa"/>
              <w:bottom w:w="100" w:type="dxa"/>
              <w:right w:w="108" w:type="dxa"/>
            </w:tcMar>
          </w:tcPr>
          <w:p w14:paraId="71E7A447" w14:textId="7D516F6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Picatoste J, Pérez-Ortiz L, Ruesga-Benito SM, Novo-Corti I (2018) Smart cities for wellbeing: youth employment and their skills on computers. J Sci Technol Policy Manage 9(2):227–241. </w:t>
            </w:r>
            <w:hyperlink r:id="rId164" w:history="1">
              <w:r w:rsidRPr="00130DB8">
                <w:rPr>
                  <w:rStyle w:val="Hyperlink"/>
                  <w:sz w:val="20"/>
                  <w:szCs w:val="20"/>
                  <w:highlight w:val="none"/>
                </w:rPr>
                <w:t>https://doi.org/10.1108/JSTPM-04-2017-0014</w:t>
              </w:r>
            </w:hyperlink>
          </w:p>
        </w:tc>
      </w:tr>
      <w:tr w:rsidR="00097971" w:rsidRPr="00130DB8" w14:paraId="727C65C6" w14:textId="77777777" w:rsidTr="00097971">
        <w:trPr>
          <w:trHeight w:val="20"/>
        </w:trPr>
        <w:tc>
          <w:tcPr>
            <w:tcW w:w="5000" w:type="pct"/>
            <w:tcMar>
              <w:top w:w="100" w:type="dxa"/>
              <w:left w:w="108" w:type="dxa"/>
              <w:bottom w:w="100" w:type="dxa"/>
              <w:right w:w="108" w:type="dxa"/>
            </w:tcMar>
          </w:tcPr>
          <w:p w14:paraId="44E07885" w14:textId="5D21665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Pieterse E, Greenberg R, Santo Z (2018) A Multicultural Approach to Digital Information Literacy Skills Evaluation in an Israeli College. Commun Inf Lit 12(2):107–127. </w:t>
            </w:r>
            <w:hyperlink r:id="rId165" w:history="1">
              <w:r w:rsidRPr="00130DB8">
                <w:rPr>
                  <w:rStyle w:val="Hyperlink"/>
                  <w:sz w:val="20"/>
                  <w:szCs w:val="20"/>
                  <w:highlight w:val="none"/>
                </w:rPr>
                <w:t>https://doi.org/10.15760/comminfolit.2018.12.2.4</w:t>
              </w:r>
            </w:hyperlink>
          </w:p>
        </w:tc>
      </w:tr>
      <w:tr w:rsidR="00097971" w:rsidRPr="00130DB8" w14:paraId="60F29A27" w14:textId="77777777" w:rsidTr="00097971">
        <w:trPr>
          <w:trHeight w:val="20"/>
        </w:trPr>
        <w:tc>
          <w:tcPr>
            <w:tcW w:w="5000" w:type="pct"/>
            <w:tcMar>
              <w:top w:w="100" w:type="dxa"/>
              <w:left w:w="108" w:type="dxa"/>
              <w:bottom w:w="100" w:type="dxa"/>
              <w:right w:w="108" w:type="dxa"/>
            </w:tcMar>
          </w:tcPr>
          <w:p w14:paraId="29594681" w14:textId="3B31EDA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Prayoonwong T, Krodkaew N, Siripraphonroj P, et al (2020) A study of information and communication technology competencies for learning of dental students at Naresuan University, Thailand. J Int Dent Med Res 13(1):258–269</w:t>
            </w:r>
          </w:p>
        </w:tc>
      </w:tr>
      <w:tr w:rsidR="00097971" w:rsidRPr="00130DB8" w14:paraId="5AF469EB" w14:textId="77777777" w:rsidTr="00097971">
        <w:trPr>
          <w:trHeight w:val="20"/>
        </w:trPr>
        <w:tc>
          <w:tcPr>
            <w:tcW w:w="5000" w:type="pct"/>
            <w:tcMar>
              <w:top w:w="100" w:type="dxa"/>
              <w:left w:w="108" w:type="dxa"/>
              <w:bottom w:w="100" w:type="dxa"/>
              <w:right w:w="108" w:type="dxa"/>
            </w:tcMar>
          </w:tcPr>
          <w:p w14:paraId="5610BB75" w14:textId="334B37CA"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Reddy P, Chaudhary K, Sharma B, Chand D (2021a) Contextualized game-based intervention for digital literacy for the Pacific Islands. Educ Inf Technol 26(5):5535–5562. </w:t>
            </w:r>
            <w:hyperlink r:id="rId166" w:history="1">
              <w:r w:rsidRPr="00130DB8">
                <w:rPr>
                  <w:rStyle w:val="Hyperlink"/>
                  <w:sz w:val="20"/>
                  <w:szCs w:val="20"/>
                  <w:highlight w:val="none"/>
                </w:rPr>
                <w:t>https://doi.org/10.1007/s10639-021-10534-y</w:t>
              </w:r>
            </w:hyperlink>
          </w:p>
        </w:tc>
      </w:tr>
      <w:tr w:rsidR="00097971" w:rsidRPr="00130DB8" w14:paraId="52960F1B" w14:textId="77777777" w:rsidTr="00097971">
        <w:trPr>
          <w:trHeight w:val="20"/>
        </w:trPr>
        <w:tc>
          <w:tcPr>
            <w:tcW w:w="5000" w:type="pct"/>
            <w:tcMar>
              <w:top w:w="100" w:type="dxa"/>
              <w:left w:w="108" w:type="dxa"/>
              <w:bottom w:w="100" w:type="dxa"/>
              <w:right w:w="108" w:type="dxa"/>
            </w:tcMar>
          </w:tcPr>
          <w:p w14:paraId="6D904438" w14:textId="3414902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Reddy P, Chaudhary K, Sharma B, Chand R (2021b) The two perfect scorers for technology acceptance. Educ Inf Technol 26(2):1505–1526. </w:t>
            </w:r>
            <w:hyperlink r:id="rId167" w:history="1">
              <w:r w:rsidRPr="00130DB8">
                <w:rPr>
                  <w:rStyle w:val="Hyperlink"/>
                  <w:sz w:val="20"/>
                  <w:szCs w:val="20"/>
                  <w:highlight w:val="none"/>
                </w:rPr>
                <w:t>https://doi.org/10.1007/s10639-020-10320-2</w:t>
              </w:r>
            </w:hyperlink>
          </w:p>
        </w:tc>
      </w:tr>
      <w:tr w:rsidR="00097971" w:rsidRPr="00130DB8" w14:paraId="439BF071" w14:textId="77777777" w:rsidTr="00097971">
        <w:trPr>
          <w:trHeight w:val="20"/>
        </w:trPr>
        <w:tc>
          <w:tcPr>
            <w:tcW w:w="5000" w:type="pct"/>
            <w:tcMar>
              <w:top w:w="100" w:type="dxa"/>
              <w:left w:w="108" w:type="dxa"/>
              <w:bottom w:w="100" w:type="dxa"/>
              <w:right w:w="108" w:type="dxa"/>
            </w:tcMar>
          </w:tcPr>
          <w:p w14:paraId="61CE54E6" w14:textId="1D1F81C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Rodriguez-Villa E, Camacho E, Torous J (2021) Psychiatric rehabilitation through teaching smartphone skills to improve functional outcomes in serious mental illness. Internet Interv 23. </w:t>
            </w:r>
            <w:hyperlink r:id="rId168" w:history="1">
              <w:r w:rsidRPr="00130DB8">
                <w:rPr>
                  <w:rStyle w:val="Hyperlink"/>
                  <w:sz w:val="20"/>
                  <w:szCs w:val="20"/>
                  <w:highlight w:val="none"/>
                </w:rPr>
                <w:t>https://doi.org/10.1016/j.invent.2021.100366</w:t>
              </w:r>
            </w:hyperlink>
          </w:p>
        </w:tc>
      </w:tr>
      <w:tr w:rsidR="00097971" w:rsidRPr="00130DB8" w14:paraId="2860FCB5" w14:textId="77777777" w:rsidTr="00097971">
        <w:trPr>
          <w:trHeight w:val="20"/>
        </w:trPr>
        <w:tc>
          <w:tcPr>
            <w:tcW w:w="5000" w:type="pct"/>
            <w:tcMar>
              <w:top w:w="100" w:type="dxa"/>
              <w:left w:w="108" w:type="dxa"/>
              <w:bottom w:w="100" w:type="dxa"/>
              <w:right w:w="108" w:type="dxa"/>
            </w:tcMar>
          </w:tcPr>
          <w:p w14:paraId="506406AD" w14:textId="42B9E13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Romero-Tena R, Llorente-Cejudo C, Puig-Gutiérrez M, Barragán-Sánchez R (2021) The pandemic and changes in the self-perception of teacher digital competences of infant grade students: A cross sectional study. Int J Environ Res Public Health 18(9). </w:t>
            </w:r>
            <w:hyperlink r:id="rId169" w:history="1">
              <w:r w:rsidRPr="00130DB8">
                <w:rPr>
                  <w:rStyle w:val="Hyperlink"/>
                  <w:sz w:val="20"/>
                  <w:szCs w:val="20"/>
                  <w:highlight w:val="none"/>
                </w:rPr>
                <w:t>https://doi.org/10.3390/ijerph18094756</w:t>
              </w:r>
            </w:hyperlink>
          </w:p>
        </w:tc>
      </w:tr>
      <w:tr w:rsidR="00097971" w:rsidRPr="00130DB8" w14:paraId="3558DD5D" w14:textId="77777777" w:rsidTr="00097971">
        <w:trPr>
          <w:trHeight w:val="20"/>
        </w:trPr>
        <w:tc>
          <w:tcPr>
            <w:tcW w:w="5000" w:type="pct"/>
            <w:tcMar>
              <w:top w:w="100" w:type="dxa"/>
              <w:left w:w="108" w:type="dxa"/>
              <w:bottom w:w="100" w:type="dxa"/>
              <w:right w:w="108" w:type="dxa"/>
            </w:tcMar>
          </w:tcPr>
          <w:p w14:paraId="2BCB67C6" w14:textId="71569E2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Saarinen AIL, Lipsanen J, Hintsanen M, et al (2021) The use of digital technologies at school and cognitive learning outcomes: A population-based study in Finland. Intl J Edu Psychol 10(1):1–26. </w:t>
            </w:r>
            <w:hyperlink r:id="rId170" w:history="1">
              <w:r w:rsidRPr="00130DB8">
                <w:rPr>
                  <w:rStyle w:val="Hyperlink"/>
                  <w:sz w:val="20"/>
                  <w:szCs w:val="20"/>
                  <w:highlight w:val="none"/>
                </w:rPr>
                <w:t>https://doi.org/10.17583/IJEP.2021.4667</w:t>
              </w:r>
            </w:hyperlink>
          </w:p>
        </w:tc>
      </w:tr>
      <w:tr w:rsidR="00097971" w:rsidRPr="00130DB8" w14:paraId="4D28E6DE" w14:textId="77777777" w:rsidTr="00097971">
        <w:trPr>
          <w:trHeight w:val="20"/>
        </w:trPr>
        <w:tc>
          <w:tcPr>
            <w:tcW w:w="5000" w:type="pct"/>
            <w:tcMar>
              <w:top w:w="100" w:type="dxa"/>
              <w:left w:w="108" w:type="dxa"/>
              <w:bottom w:w="100" w:type="dxa"/>
              <w:right w:w="108" w:type="dxa"/>
            </w:tcMar>
          </w:tcPr>
          <w:p w14:paraId="2D3108BC" w14:textId="07E3626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Saxena P, Gupta SK, Mehrotra D, et al (2018) Assessment of digital literacy and use of smart phones among Central Indian dental students. J Oral Biol Craniofac Res 8(1):40–43. </w:t>
            </w:r>
            <w:hyperlink r:id="rId171" w:history="1">
              <w:r w:rsidRPr="00130DB8">
                <w:rPr>
                  <w:rStyle w:val="Hyperlink"/>
                  <w:sz w:val="20"/>
                  <w:szCs w:val="20"/>
                  <w:highlight w:val="none"/>
                </w:rPr>
                <w:t>https://doi.org/10.1016/j.jobcr.2017.10.001</w:t>
              </w:r>
            </w:hyperlink>
          </w:p>
        </w:tc>
      </w:tr>
      <w:tr w:rsidR="00097971" w:rsidRPr="00130DB8" w14:paraId="35363DF6" w14:textId="77777777" w:rsidTr="00097971">
        <w:trPr>
          <w:trHeight w:val="20"/>
        </w:trPr>
        <w:tc>
          <w:tcPr>
            <w:tcW w:w="5000" w:type="pct"/>
            <w:tcMar>
              <w:top w:w="100" w:type="dxa"/>
              <w:left w:w="108" w:type="dxa"/>
              <w:bottom w:w="100" w:type="dxa"/>
              <w:right w:w="108" w:type="dxa"/>
            </w:tcMar>
          </w:tcPr>
          <w:p w14:paraId="352DB2EF" w14:textId="2864DAE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Schatteman A, Liu L (2020) The Means and the End Teaching Digital Literacy to Nonprofit Students. Nonprofit Manag Leadersh 10(1):102–113. </w:t>
            </w:r>
            <w:hyperlink r:id="rId172" w:history="1">
              <w:r w:rsidRPr="00130DB8">
                <w:rPr>
                  <w:rStyle w:val="Hyperlink"/>
                  <w:sz w:val="20"/>
                  <w:szCs w:val="20"/>
                  <w:highlight w:val="none"/>
                </w:rPr>
                <w:t>https://doi.org/10.18666/JNEL-2020-V10-I1-9566</w:t>
              </w:r>
            </w:hyperlink>
          </w:p>
        </w:tc>
      </w:tr>
      <w:tr w:rsidR="00097971" w:rsidRPr="00130DB8" w14:paraId="317D337B" w14:textId="77777777" w:rsidTr="00097971">
        <w:trPr>
          <w:trHeight w:val="20"/>
        </w:trPr>
        <w:tc>
          <w:tcPr>
            <w:tcW w:w="5000" w:type="pct"/>
            <w:tcMar>
              <w:top w:w="100" w:type="dxa"/>
              <w:left w:w="108" w:type="dxa"/>
              <w:bottom w:w="100" w:type="dxa"/>
              <w:right w:w="108" w:type="dxa"/>
            </w:tcMar>
          </w:tcPr>
          <w:p w14:paraId="7CF3D69D" w14:textId="317672D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Schlebusch C (2018) Computer Anxiety, Computer Self-efficacy and Attitudes towards the Internet of First Year Students at a South African University of Technology. Afr Educ Rev 15(3):72–90. </w:t>
            </w:r>
            <w:hyperlink r:id="rId173" w:history="1">
              <w:r w:rsidRPr="00130DB8">
                <w:rPr>
                  <w:rStyle w:val="Hyperlink"/>
                  <w:sz w:val="20"/>
                  <w:szCs w:val="20"/>
                  <w:highlight w:val="none"/>
                </w:rPr>
                <w:t>https://doi.org/10.1080/18146627.2017.1341291</w:t>
              </w:r>
            </w:hyperlink>
          </w:p>
        </w:tc>
      </w:tr>
      <w:tr w:rsidR="00097971" w:rsidRPr="00130DB8" w14:paraId="6FA6AA6C" w14:textId="77777777" w:rsidTr="00097971">
        <w:trPr>
          <w:trHeight w:val="20"/>
        </w:trPr>
        <w:tc>
          <w:tcPr>
            <w:tcW w:w="5000" w:type="pct"/>
            <w:tcMar>
              <w:top w:w="100" w:type="dxa"/>
              <w:left w:w="108" w:type="dxa"/>
              <w:bottom w:w="100" w:type="dxa"/>
              <w:right w:w="108" w:type="dxa"/>
            </w:tcMar>
          </w:tcPr>
          <w:p w14:paraId="2B2CC5A2" w14:textId="76A35EC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Senkbeil M (2021) ICT-related variables as predictors of ICT literacy beyond intelligence and prior achievement. Educ Inf Technol. </w:t>
            </w:r>
            <w:hyperlink r:id="rId174" w:history="1">
              <w:r w:rsidRPr="00130DB8">
                <w:rPr>
                  <w:rStyle w:val="Hyperlink"/>
                  <w:sz w:val="20"/>
                  <w:szCs w:val="20"/>
                  <w:highlight w:val="none"/>
                </w:rPr>
                <w:t>https://doi.org/10.1007/s10639-021-10759-x</w:t>
              </w:r>
            </w:hyperlink>
          </w:p>
        </w:tc>
      </w:tr>
      <w:tr w:rsidR="00097971" w:rsidRPr="00130DB8" w14:paraId="50469E87" w14:textId="77777777" w:rsidTr="00097971">
        <w:trPr>
          <w:trHeight w:val="20"/>
        </w:trPr>
        <w:tc>
          <w:tcPr>
            <w:tcW w:w="5000" w:type="pct"/>
            <w:tcMar>
              <w:top w:w="100" w:type="dxa"/>
              <w:left w:w="108" w:type="dxa"/>
              <w:bottom w:w="100" w:type="dxa"/>
              <w:right w:w="108" w:type="dxa"/>
            </w:tcMar>
          </w:tcPr>
          <w:p w14:paraId="67E4D184" w14:textId="5366A7B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Senkbeil M, Ihme JM, Schöber C (2019) Are first-semester and advanced university students ready for life and work in the digital world? Results of a standard setting method to describe ICT-related proficiency levels. Z fur Erzieh 22(6):1359–1384. </w:t>
            </w:r>
            <w:hyperlink r:id="rId175" w:history="1">
              <w:r w:rsidRPr="00130DB8">
                <w:rPr>
                  <w:rStyle w:val="Hyperlink"/>
                  <w:sz w:val="20"/>
                  <w:szCs w:val="20"/>
                  <w:highlight w:val="none"/>
                </w:rPr>
                <w:t>https://doi.org/10.1007/s11618-019-00914-z</w:t>
              </w:r>
            </w:hyperlink>
          </w:p>
        </w:tc>
      </w:tr>
      <w:tr w:rsidR="00097971" w:rsidRPr="00130DB8" w14:paraId="6ADE664C" w14:textId="77777777" w:rsidTr="00097971">
        <w:trPr>
          <w:trHeight w:val="20"/>
        </w:trPr>
        <w:tc>
          <w:tcPr>
            <w:tcW w:w="5000" w:type="pct"/>
            <w:tcMar>
              <w:top w:w="100" w:type="dxa"/>
              <w:left w:w="108" w:type="dxa"/>
              <w:bottom w:w="100" w:type="dxa"/>
              <w:right w:w="108" w:type="dxa"/>
            </w:tcMar>
          </w:tcPr>
          <w:p w14:paraId="403C7843" w14:textId="4D76515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Shala A, Grajcevci A (2018) Digital competencies among student populations in Kosovo: the impact of inclusion, socioeconomic status, ethnicity and type of residence. Educ Inf Technol 23(3):1203–1218. </w:t>
            </w:r>
            <w:hyperlink r:id="rId176" w:history="1">
              <w:r w:rsidRPr="00130DB8">
                <w:rPr>
                  <w:rStyle w:val="Hyperlink"/>
                  <w:sz w:val="20"/>
                  <w:szCs w:val="20"/>
                  <w:highlight w:val="none"/>
                </w:rPr>
                <w:t>https://doi.org/10.1007/s10639-017-9657-3</w:t>
              </w:r>
            </w:hyperlink>
          </w:p>
        </w:tc>
      </w:tr>
      <w:tr w:rsidR="00097971" w:rsidRPr="00130DB8" w14:paraId="44333B11" w14:textId="77777777" w:rsidTr="00097971">
        <w:trPr>
          <w:trHeight w:val="20"/>
        </w:trPr>
        <w:tc>
          <w:tcPr>
            <w:tcW w:w="5000" w:type="pct"/>
            <w:tcMar>
              <w:top w:w="100" w:type="dxa"/>
              <w:left w:w="108" w:type="dxa"/>
              <w:bottom w:w="100" w:type="dxa"/>
              <w:right w:w="108" w:type="dxa"/>
            </w:tcMar>
          </w:tcPr>
          <w:p w14:paraId="71076825" w14:textId="5449022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Shopova T (2014) Digital literacy of students and its improvement at the university. J Effic Responsib Edu Sci 7(2):26–32. </w:t>
            </w:r>
            <w:hyperlink r:id="rId177" w:history="1">
              <w:r w:rsidRPr="00130DB8">
                <w:rPr>
                  <w:rStyle w:val="Hyperlink"/>
                  <w:sz w:val="20"/>
                  <w:szCs w:val="20"/>
                  <w:highlight w:val="none"/>
                </w:rPr>
                <w:t>https://doi.org/10.7160/eriesj.2014.070201</w:t>
              </w:r>
            </w:hyperlink>
          </w:p>
        </w:tc>
      </w:tr>
      <w:tr w:rsidR="00097971" w:rsidRPr="00130DB8" w14:paraId="1DC83E29" w14:textId="77777777" w:rsidTr="00097971">
        <w:trPr>
          <w:trHeight w:val="20"/>
        </w:trPr>
        <w:tc>
          <w:tcPr>
            <w:tcW w:w="5000" w:type="pct"/>
            <w:tcMar>
              <w:top w:w="100" w:type="dxa"/>
              <w:left w:w="108" w:type="dxa"/>
              <w:bottom w:w="100" w:type="dxa"/>
              <w:right w:w="108" w:type="dxa"/>
            </w:tcMar>
          </w:tcPr>
          <w:p w14:paraId="7C6DDD1B" w14:textId="2480FF7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Shukla A, Kushwah P, Jain E, Sharma SK (2021) Role of ICT in emancipation of digital entrepreneurship among new generation women. J Enterprising Communities 15(1):137–154. </w:t>
            </w:r>
            <w:hyperlink r:id="rId178" w:history="1">
              <w:r w:rsidRPr="00130DB8">
                <w:rPr>
                  <w:rStyle w:val="Hyperlink"/>
                  <w:sz w:val="20"/>
                  <w:szCs w:val="20"/>
                  <w:highlight w:val="none"/>
                </w:rPr>
                <w:t>https://doi.org/10.1108/JEC-04-2020-0071</w:t>
              </w:r>
            </w:hyperlink>
          </w:p>
        </w:tc>
      </w:tr>
      <w:tr w:rsidR="00097971" w:rsidRPr="00130DB8" w14:paraId="39411A52" w14:textId="77777777" w:rsidTr="00097971">
        <w:trPr>
          <w:trHeight w:val="20"/>
        </w:trPr>
        <w:tc>
          <w:tcPr>
            <w:tcW w:w="5000" w:type="pct"/>
            <w:tcMar>
              <w:top w:w="100" w:type="dxa"/>
              <w:left w:w="108" w:type="dxa"/>
              <w:bottom w:w="100" w:type="dxa"/>
              <w:right w:w="108" w:type="dxa"/>
            </w:tcMar>
          </w:tcPr>
          <w:p w14:paraId="26056D5C" w14:textId="450ED36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Sichel CE, Javdani S, Ueberall S, Liggett R (2019) Leveraging youths’ digital literacies: The E-Responder social media violence interruption model and pilot evaluation. J Prev Intervention Community 47(2):76–89. </w:t>
            </w:r>
            <w:hyperlink r:id="rId179" w:history="1">
              <w:r w:rsidRPr="00130DB8">
                <w:rPr>
                  <w:rStyle w:val="Hyperlink"/>
                  <w:sz w:val="20"/>
                  <w:szCs w:val="20"/>
                  <w:highlight w:val="none"/>
                </w:rPr>
                <w:t>https://doi.org/10.1080/10852352.2019.1582145</w:t>
              </w:r>
            </w:hyperlink>
          </w:p>
        </w:tc>
      </w:tr>
      <w:tr w:rsidR="00097971" w:rsidRPr="00130DB8" w14:paraId="15EDF403" w14:textId="77777777" w:rsidTr="00097971">
        <w:trPr>
          <w:trHeight w:val="20"/>
        </w:trPr>
        <w:tc>
          <w:tcPr>
            <w:tcW w:w="5000" w:type="pct"/>
            <w:tcMar>
              <w:top w:w="100" w:type="dxa"/>
              <w:left w:w="108" w:type="dxa"/>
              <w:bottom w:w="100" w:type="dxa"/>
              <w:right w:w="108" w:type="dxa"/>
            </w:tcMar>
          </w:tcPr>
          <w:p w14:paraId="119B8299" w14:textId="69DE737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Siddiquah A, Salim Z (2017) The ICT facilities, skills, usage, and the problems faced by the students of higher education. Eurasia J Math Sci Technol Educ 13(8):4987–4994. </w:t>
            </w:r>
            <w:hyperlink r:id="rId180" w:history="1">
              <w:r w:rsidRPr="00130DB8">
                <w:rPr>
                  <w:rStyle w:val="Hyperlink"/>
                  <w:sz w:val="20"/>
                  <w:szCs w:val="20"/>
                  <w:highlight w:val="none"/>
                </w:rPr>
                <w:t>https://doi.org/10.12973/eurasia.2017.00977a</w:t>
              </w:r>
            </w:hyperlink>
          </w:p>
        </w:tc>
      </w:tr>
      <w:tr w:rsidR="00097971" w:rsidRPr="00130DB8" w14:paraId="55185C3E" w14:textId="77777777" w:rsidTr="00097971">
        <w:trPr>
          <w:trHeight w:val="20"/>
        </w:trPr>
        <w:tc>
          <w:tcPr>
            <w:tcW w:w="5000" w:type="pct"/>
            <w:tcMar>
              <w:top w:w="100" w:type="dxa"/>
              <w:left w:w="108" w:type="dxa"/>
              <w:bottom w:w="100" w:type="dxa"/>
              <w:right w:w="108" w:type="dxa"/>
            </w:tcMar>
          </w:tcPr>
          <w:p w14:paraId="64B6D50E" w14:textId="48A249F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Sivrikaya MH (2020) An Analysis on Digital Literacy Level of Faculty of Sports Science Students. Asian J Educ Train 6(2):117–121. </w:t>
            </w:r>
            <w:hyperlink r:id="rId181" w:history="1">
              <w:r w:rsidRPr="00130DB8">
                <w:rPr>
                  <w:rStyle w:val="Hyperlink"/>
                  <w:sz w:val="20"/>
                  <w:szCs w:val="20"/>
                  <w:highlight w:val="none"/>
                </w:rPr>
                <w:t>https://doi.org/10.20448/journal.522.2020.62.117.121</w:t>
              </w:r>
            </w:hyperlink>
          </w:p>
        </w:tc>
      </w:tr>
      <w:tr w:rsidR="00097971" w:rsidRPr="00130DB8" w14:paraId="2B3F54D2" w14:textId="77777777" w:rsidTr="00097971">
        <w:trPr>
          <w:trHeight w:val="20"/>
        </w:trPr>
        <w:tc>
          <w:tcPr>
            <w:tcW w:w="5000" w:type="pct"/>
            <w:tcMar>
              <w:top w:w="100" w:type="dxa"/>
              <w:left w:w="108" w:type="dxa"/>
              <w:bottom w:w="100" w:type="dxa"/>
              <w:right w:w="108" w:type="dxa"/>
            </w:tcMar>
          </w:tcPr>
          <w:p w14:paraId="22978E6B" w14:textId="14CD95B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Slišāne A, Lāma G, Rubene Z (2021) Self‐assessment of the entrepreneurial competence of teacher education students in the remote study process. Sustainability 13(11). </w:t>
            </w:r>
            <w:hyperlink r:id="rId182" w:history="1">
              <w:r w:rsidRPr="00130DB8">
                <w:rPr>
                  <w:rStyle w:val="Hyperlink"/>
                  <w:sz w:val="20"/>
                  <w:szCs w:val="20"/>
                  <w:highlight w:val="none"/>
                </w:rPr>
                <w:t>https://doi.org/10.3390/su13116424</w:t>
              </w:r>
            </w:hyperlink>
          </w:p>
        </w:tc>
      </w:tr>
      <w:tr w:rsidR="00097971" w:rsidRPr="00130DB8" w14:paraId="6ED29024" w14:textId="77777777" w:rsidTr="00097971">
        <w:trPr>
          <w:trHeight w:val="20"/>
        </w:trPr>
        <w:tc>
          <w:tcPr>
            <w:tcW w:w="5000" w:type="pct"/>
            <w:tcMar>
              <w:top w:w="100" w:type="dxa"/>
              <w:left w:w="108" w:type="dxa"/>
              <w:bottom w:w="100" w:type="dxa"/>
              <w:right w:w="108" w:type="dxa"/>
            </w:tcMar>
          </w:tcPr>
          <w:p w14:paraId="37A5CDBD" w14:textId="3C16349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So H, Choi H, Lim W, Xiong Y (2012) Little experience with ICT: Are they really the Net Generation student-teachers? Comput Educ 59(4):1234–1245. </w:t>
            </w:r>
            <w:hyperlink r:id="rId183" w:history="1">
              <w:r w:rsidRPr="00130DB8">
                <w:rPr>
                  <w:rStyle w:val="Hyperlink"/>
                  <w:sz w:val="20"/>
                  <w:szCs w:val="20"/>
                  <w:highlight w:val="none"/>
                </w:rPr>
                <w:t>https://doi.org/10.1016/j.compedu.2012.05.008</w:t>
              </w:r>
            </w:hyperlink>
          </w:p>
        </w:tc>
      </w:tr>
      <w:tr w:rsidR="00097971" w:rsidRPr="00130DB8" w14:paraId="13841B9D" w14:textId="77777777" w:rsidTr="00097971">
        <w:trPr>
          <w:trHeight w:val="20"/>
        </w:trPr>
        <w:tc>
          <w:tcPr>
            <w:tcW w:w="5000" w:type="pct"/>
            <w:tcMar>
              <w:top w:w="100" w:type="dxa"/>
              <w:left w:w="108" w:type="dxa"/>
              <w:bottom w:w="100" w:type="dxa"/>
              <w:right w:w="108" w:type="dxa"/>
            </w:tcMar>
          </w:tcPr>
          <w:p w14:paraId="1EF0B608" w14:textId="3C698C2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Soroya SH, Ahmad AS, Ahmad S, Soroya MS (2021) Mapping internet literacy skills of digital natives: A developing country perspective. PLoS ONE 16(4 April). </w:t>
            </w:r>
            <w:hyperlink r:id="rId184" w:history="1">
              <w:r w:rsidRPr="00130DB8">
                <w:rPr>
                  <w:rStyle w:val="Hyperlink"/>
                  <w:sz w:val="20"/>
                  <w:szCs w:val="20"/>
                  <w:highlight w:val="none"/>
                </w:rPr>
                <w:t>https://doi.org/10.1371/journal.pone.0249495</w:t>
              </w:r>
            </w:hyperlink>
          </w:p>
        </w:tc>
      </w:tr>
      <w:tr w:rsidR="00097971" w:rsidRPr="00130DB8" w14:paraId="581A91EC" w14:textId="77777777" w:rsidTr="00097971">
        <w:trPr>
          <w:trHeight w:val="20"/>
        </w:trPr>
        <w:tc>
          <w:tcPr>
            <w:tcW w:w="5000" w:type="pct"/>
            <w:tcMar>
              <w:top w:w="100" w:type="dxa"/>
              <w:left w:w="108" w:type="dxa"/>
              <w:bottom w:w="100" w:type="dxa"/>
              <w:right w:w="108" w:type="dxa"/>
            </w:tcMar>
          </w:tcPr>
          <w:p w14:paraId="4E240D2F" w14:textId="3448E50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Soysal F, Çalli BA, Coşkun E (2019) Intra and intergenerational digital divide through ICT literacy, information acquisition skills, and internet utilization purposes: An analysis of Gen Z. TEM J 8(1):264–274. </w:t>
            </w:r>
            <w:hyperlink r:id="rId185" w:history="1">
              <w:r w:rsidRPr="00130DB8">
                <w:rPr>
                  <w:rStyle w:val="Hyperlink"/>
                  <w:sz w:val="20"/>
                  <w:szCs w:val="20"/>
                  <w:highlight w:val="none"/>
                </w:rPr>
                <w:t>https://doi.org/10.18421/TEM81-37</w:t>
              </w:r>
            </w:hyperlink>
          </w:p>
        </w:tc>
      </w:tr>
      <w:tr w:rsidR="00097971" w:rsidRPr="00130DB8" w14:paraId="20E41D19" w14:textId="77777777" w:rsidTr="00097971">
        <w:trPr>
          <w:trHeight w:val="20"/>
        </w:trPr>
        <w:tc>
          <w:tcPr>
            <w:tcW w:w="5000" w:type="pct"/>
            <w:tcMar>
              <w:top w:w="100" w:type="dxa"/>
              <w:left w:w="108" w:type="dxa"/>
              <w:bottom w:w="100" w:type="dxa"/>
              <w:right w:w="108" w:type="dxa"/>
            </w:tcMar>
          </w:tcPr>
          <w:p w14:paraId="0E5D0060" w14:textId="1B672C86"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Štemberger T, Konrad SČ (2021) Attitudes Towards Using Digital Technologies in Education as an Important Factor in Developing Digital Competence: The Case of Slovenian Student Teachers. Int J Emerg Technol Learn 16(4):83–98. </w:t>
            </w:r>
            <w:hyperlink r:id="rId186" w:history="1">
              <w:r w:rsidRPr="00130DB8">
                <w:rPr>
                  <w:rStyle w:val="Hyperlink"/>
                  <w:sz w:val="20"/>
                  <w:szCs w:val="20"/>
                  <w:highlight w:val="none"/>
                </w:rPr>
                <w:t>https://doi.org/10.3991/ijet.v16i14.22649</w:t>
              </w:r>
            </w:hyperlink>
          </w:p>
        </w:tc>
      </w:tr>
      <w:tr w:rsidR="00097971" w:rsidRPr="00130DB8" w14:paraId="4151C5B3" w14:textId="77777777" w:rsidTr="00097971">
        <w:trPr>
          <w:trHeight w:val="20"/>
        </w:trPr>
        <w:tc>
          <w:tcPr>
            <w:tcW w:w="5000" w:type="pct"/>
            <w:tcMar>
              <w:top w:w="100" w:type="dxa"/>
              <w:left w:w="108" w:type="dxa"/>
              <w:bottom w:w="100" w:type="dxa"/>
              <w:right w:w="108" w:type="dxa"/>
            </w:tcMar>
          </w:tcPr>
          <w:p w14:paraId="6A3D00BA" w14:textId="58D2711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Stodt B, Brand M, Sindermann C, et al (2018) Investigating the effect of personality, internet literacy, and use expectancies in internet-use disorder: A comparative study between China and Germany. Int J Environ Res Public Health 15(4). </w:t>
            </w:r>
            <w:hyperlink r:id="rId187" w:history="1">
              <w:r w:rsidRPr="00130DB8">
                <w:rPr>
                  <w:rStyle w:val="Hyperlink"/>
                  <w:sz w:val="20"/>
                  <w:szCs w:val="20"/>
                  <w:highlight w:val="none"/>
                </w:rPr>
                <w:t>https://doi.org/10.3390/ijerph15040579</w:t>
              </w:r>
            </w:hyperlink>
          </w:p>
        </w:tc>
      </w:tr>
      <w:tr w:rsidR="00097971" w:rsidRPr="00130DB8" w14:paraId="7C547B61" w14:textId="77777777" w:rsidTr="00097971">
        <w:trPr>
          <w:trHeight w:val="20"/>
        </w:trPr>
        <w:tc>
          <w:tcPr>
            <w:tcW w:w="5000" w:type="pct"/>
            <w:tcMar>
              <w:top w:w="100" w:type="dxa"/>
              <w:left w:w="108" w:type="dxa"/>
              <w:bottom w:w="100" w:type="dxa"/>
              <w:right w:w="108" w:type="dxa"/>
            </w:tcMar>
          </w:tcPr>
          <w:p w14:paraId="791A2D9B" w14:textId="1D35AE6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Subaveerapandiyan A, Sinha P (2021) Digital Literacy and Reading Habits of the Central University of Tamil Nadu Students: A Survey Study. Libr Philos Pract 2021:1–18. </w:t>
            </w:r>
            <w:hyperlink r:id="rId188" w:history="1">
              <w:r w:rsidRPr="00130DB8">
                <w:rPr>
                  <w:rStyle w:val="Hyperlink"/>
                  <w:sz w:val="20"/>
                  <w:szCs w:val="20"/>
                  <w:highlight w:val="none"/>
                </w:rPr>
                <w:t>https://doi.org/10.2139/ssrn.3924832</w:t>
              </w:r>
            </w:hyperlink>
          </w:p>
        </w:tc>
      </w:tr>
      <w:tr w:rsidR="00097971" w:rsidRPr="00130DB8" w14:paraId="4E52C4E1" w14:textId="77777777" w:rsidTr="00097971">
        <w:trPr>
          <w:trHeight w:val="20"/>
        </w:trPr>
        <w:tc>
          <w:tcPr>
            <w:tcW w:w="5000" w:type="pct"/>
            <w:tcMar>
              <w:top w:w="100" w:type="dxa"/>
              <w:left w:w="108" w:type="dxa"/>
              <w:bottom w:w="100" w:type="dxa"/>
              <w:right w:w="108" w:type="dxa"/>
            </w:tcMar>
          </w:tcPr>
          <w:p w14:paraId="500E43FB" w14:textId="78D49C3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Suliman A, Yunus MM, Nor MYM (2019) Delving into the cognizance of information and communication technology (ICT) among undergraduate students. Int J Innov Technol Explor Eng 8(11):1026–1031. </w:t>
            </w:r>
            <w:hyperlink r:id="rId189" w:history="1">
              <w:r w:rsidRPr="00130DB8">
                <w:rPr>
                  <w:rStyle w:val="Hyperlink"/>
                  <w:sz w:val="20"/>
                  <w:szCs w:val="20"/>
                  <w:highlight w:val="none"/>
                </w:rPr>
                <w:t>https://doi.org/10.35940/ijitee.I8472.0981119</w:t>
              </w:r>
            </w:hyperlink>
          </w:p>
        </w:tc>
      </w:tr>
      <w:tr w:rsidR="00097971" w:rsidRPr="00130DB8" w14:paraId="3DDE46ED" w14:textId="77777777" w:rsidTr="00097971">
        <w:trPr>
          <w:trHeight w:val="20"/>
        </w:trPr>
        <w:tc>
          <w:tcPr>
            <w:tcW w:w="5000" w:type="pct"/>
            <w:tcMar>
              <w:top w:w="100" w:type="dxa"/>
              <w:left w:w="108" w:type="dxa"/>
              <w:bottom w:w="100" w:type="dxa"/>
              <w:right w:w="108" w:type="dxa"/>
            </w:tcMar>
          </w:tcPr>
          <w:p w14:paraId="5857DDA1" w14:textId="2777956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Sundararasan T, Kalaiyarasan G, Udhaya Mohan Babu R, et al (2019) Digital literacy program to undergraduate students through priceless laptop scheme: An illuminative evaluation. Int J Adv Sci Technol 28(18):592–599</w:t>
            </w:r>
          </w:p>
        </w:tc>
      </w:tr>
      <w:tr w:rsidR="00097971" w:rsidRPr="00130DB8" w14:paraId="0DEC4895" w14:textId="77777777" w:rsidTr="00097971">
        <w:trPr>
          <w:trHeight w:val="20"/>
        </w:trPr>
        <w:tc>
          <w:tcPr>
            <w:tcW w:w="5000" w:type="pct"/>
            <w:tcMar>
              <w:top w:w="100" w:type="dxa"/>
              <w:left w:w="108" w:type="dxa"/>
              <w:bottom w:w="100" w:type="dxa"/>
              <w:right w:w="108" w:type="dxa"/>
            </w:tcMar>
          </w:tcPr>
          <w:p w14:paraId="1353B8FC" w14:textId="791D7C7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Suominen S, Ikonen K, Asikainen M (2021) New Vocational School Students’ Basic ICT Skills Self-Assessment. Eurasia J Math Sci Technol Educ 17(11):1–18. </w:t>
            </w:r>
            <w:hyperlink r:id="rId190" w:history="1">
              <w:r w:rsidRPr="00130DB8">
                <w:rPr>
                  <w:rStyle w:val="Hyperlink"/>
                  <w:sz w:val="20"/>
                  <w:szCs w:val="20"/>
                  <w:highlight w:val="none"/>
                </w:rPr>
                <w:t>https://doi.org/10.29333/EJMSTE/11193</w:t>
              </w:r>
            </w:hyperlink>
          </w:p>
        </w:tc>
      </w:tr>
      <w:tr w:rsidR="00097971" w:rsidRPr="00130DB8" w14:paraId="428873FD" w14:textId="77777777" w:rsidTr="00097971">
        <w:trPr>
          <w:trHeight w:val="20"/>
        </w:trPr>
        <w:tc>
          <w:tcPr>
            <w:tcW w:w="5000" w:type="pct"/>
            <w:tcMar>
              <w:top w:w="100" w:type="dxa"/>
              <w:left w:w="108" w:type="dxa"/>
              <w:bottom w:w="100" w:type="dxa"/>
              <w:right w:w="108" w:type="dxa"/>
            </w:tcMar>
          </w:tcPr>
          <w:p w14:paraId="3CA935F9" w14:textId="5A7B7F9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Supardi S, Juhji J, Azkiyah I, et al (2021) The ICT basic skills: Contribution to student social media utilization activities. Int J Eval Res Educ 10(1):222–229. </w:t>
            </w:r>
            <w:hyperlink r:id="rId191" w:history="1">
              <w:r w:rsidRPr="00130DB8">
                <w:rPr>
                  <w:rStyle w:val="Hyperlink"/>
                  <w:sz w:val="20"/>
                  <w:szCs w:val="20"/>
                  <w:highlight w:val="none"/>
                </w:rPr>
                <w:t>https://doi.org/10.11591/ijere.v10i1.20598</w:t>
              </w:r>
            </w:hyperlink>
          </w:p>
        </w:tc>
      </w:tr>
      <w:tr w:rsidR="00097971" w:rsidRPr="00130DB8" w14:paraId="4BC3E2DD" w14:textId="77777777" w:rsidTr="00097971">
        <w:trPr>
          <w:trHeight w:val="20"/>
        </w:trPr>
        <w:tc>
          <w:tcPr>
            <w:tcW w:w="5000" w:type="pct"/>
            <w:tcMar>
              <w:top w:w="100" w:type="dxa"/>
              <w:left w:w="108" w:type="dxa"/>
              <w:bottom w:w="100" w:type="dxa"/>
              <w:right w:w="108" w:type="dxa"/>
            </w:tcMar>
          </w:tcPr>
          <w:p w14:paraId="07D68548" w14:textId="4C666CE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Suwantarathip O (2019) Predictors of students’ satisfaction with a hybrid english course. Turk Online J Distance Educ 20(1):115–130. </w:t>
            </w:r>
            <w:hyperlink r:id="rId192" w:history="1">
              <w:r w:rsidRPr="00130DB8">
                <w:rPr>
                  <w:rStyle w:val="Hyperlink"/>
                  <w:sz w:val="20"/>
                  <w:szCs w:val="20"/>
                  <w:highlight w:val="none"/>
                </w:rPr>
                <w:t>https://doi.org/10.17718/TOJDE.522427</w:t>
              </w:r>
            </w:hyperlink>
          </w:p>
        </w:tc>
      </w:tr>
      <w:tr w:rsidR="00097971" w:rsidRPr="00130DB8" w14:paraId="0541128D" w14:textId="77777777" w:rsidTr="00097971">
        <w:trPr>
          <w:trHeight w:val="20"/>
        </w:trPr>
        <w:tc>
          <w:tcPr>
            <w:tcW w:w="5000" w:type="pct"/>
            <w:tcMar>
              <w:top w:w="100" w:type="dxa"/>
              <w:left w:w="108" w:type="dxa"/>
              <w:bottom w:w="100" w:type="dxa"/>
              <w:right w:w="108" w:type="dxa"/>
            </w:tcMar>
          </w:tcPr>
          <w:p w14:paraId="34E30B9B" w14:textId="20679AEC"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Suzuki I (2012) Effects of sense of direction on Internet skill and cognitive maps of the Web. Comput Human Behav 28(1):120–128. </w:t>
            </w:r>
            <w:hyperlink r:id="rId193" w:history="1">
              <w:r w:rsidRPr="00130DB8">
                <w:rPr>
                  <w:rStyle w:val="Hyperlink"/>
                  <w:sz w:val="20"/>
                  <w:szCs w:val="20"/>
                  <w:highlight w:val="none"/>
                </w:rPr>
                <w:t>https://doi.org/10.1016/j.chb.2011.08.018</w:t>
              </w:r>
            </w:hyperlink>
          </w:p>
        </w:tc>
      </w:tr>
      <w:tr w:rsidR="00097971" w:rsidRPr="00130DB8" w14:paraId="16365496" w14:textId="77777777" w:rsidTr="00097971">
        <w:trPr>
          <w:trHeight w:val="20"/>
        </w:trPr>
        <w:tc>
          <w:tcPr>
            <w:tcW w:w="5000" w:type="pct"/>
            <w:tcMar>
              <w:top w:w="100" w:type="dxa"/>
              <w:left w:w="108" w:type="dxa"/>
              <w:bottom w:w="100" w:type="dxa"/>
              <w:right w:w="108" w:type="dxa"/>
            </w:tcMar>
          </w:tcPr>
          <w:p w14:paraId="2C716B83" w14:textId="72F5767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Syam HM, Nurrahmi F (2020) “I Don’t Know If It Is Fake or Real News” How Little Indonesian University Students Understand Social Media Literacy. Jurnal Komunikasi Malays J Commun 36(2):92–105. </w:t>
            </w:r>
            <w:hyperlink r:id="rId194" w:history="1">
              <w:r w:rsidRPr="00130DB8">
                <w:rPr>
                  <w:rStyle w:val="Hyperlink"/>
                  <w:sz w:val="20"/>
                  <w:szCs w:val="20"/>
                  <w:highlight w:val="none"/>
                </w:rPr>
                <w:t>https://doi.org/10.17576/JKMJC-2020-3602-06</w:t>
              </w:r>
            </w:hyperlink>
          </w:p>
        </w:tc>
      </w:tr>
      <w:tr w:rsidR="00097971" w:rsidRPr="00130DB8" w14:paraId="6BE27FC4" w14:textId="77777777" w:rsidTr="00097971">
        <w:trPr>
          <w:trHeight w:val="20"/>
        </w:trPr>
        <w:tc>
          <w:tcPr>
            <w:tcW w:w="5000" w:type="pct"/>
            <w:tcMar>
              <w:top w:w="100" w:type="dxa"/>
              <w:left w:w="108" w:type="dxa"/>
              <w:bottom w:w="100" w:type="dxa"/>
              <w:right w:w="108" w:type="dxa"/>
            </w:tcMar>
          </w:tcPr>
          <w:p w14:paraId="3D57C9B8" w14:textId="01444B2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Tang CM, Chaw LY (2016) Digital literacy: A prerequisite for effective learning in a blended learning environment? Electron J e-Learning 14(1):54–65</w:t>
            </w:r>
          </w:p>
        </w:tc>
      </w:tr>
      <w:tr w:rsidR="00097971" w:rsidRPr="00130DB8" w14:paraId="70D4C5DE" w14:textId="77777777" w:rsidTr="00097971">
        <w:trPr>
          <w:trHeight w:val="20"/>
        </w:trPr>
        <w:tc>
          <w:tcPr>
            <w:tcW w:w="5000" w:type="pct"/>
            <w:tcMar>
              <w:top w:w="100" w:type="dxa"/>
              <w:left w:w="108" w:type="dxa"/>
              <w:bottom w:w="100" w:type="dxa"/>
              <w:right w:w="108" w:type="dxa"/>
            </w:tcMar>
          </w:tcPr>
          <w:p w14:paraId="6B4C7FEE" w14:textId="0413DCC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Thomas WW, Boechler PM (2014) Incidental learning in 3D virtual environments: Relationships to learning style, digital literacy and information display. Int J Virtual Pers Learn Environ 5(4):29–44. </w:t>
            </w:r>
            <w:hyperlink r:id="rId195" w:history="1">
              <w:r w:rsidRPr="00130DB8">
                <w:rPr>
                  <w:rStyle w:val="Hyperlink"/>
                  <w:sz w:val="20"/>
                  <w:szCs w:val="20"/>
                  <w:highlight w:val="none"/>
                </w:rPr>
                <w:t>https://doi.org/10.4018/IJVPLE.2014100103</w:t>
              </w:r>
            </w:hyperlink>
          </w:p>
        </w:tc>
      </w:tr>
      <w:tr w:rsidR="00097971" w:rsidRPr="00130DB8" w14:paraId="7FFE64AA" w14:textId="77777777" w:rsidTr="00097971">
        <w:trPr>
          <w:trHeight w:val="20"/>
        </w:trPr>
        <w:tc>
          <w:tcPr>
            <w:tcW w:w="5000" w:type="pct"/>
            <w:tcMar>
              <w:top w:w="100" w:type="dxa"/>
              <w:left w:w="108" w:type="dxa"/>
              <w:bottom w:w="100" w:type="dxa"/>
              <w:right w:w="108" w:type="dxa"/>
            </w:tcMar>
          </w:tcPr>
          <w:p w14:paraId="2DB7D1F5" w14:textId="514A848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Tomczyk Ł (2021) Declared and real level of digital skills of future teaching staff. Educ Sci 11(10). </w:t>
            </w:r>
            <w:hyperlink r:id="rId196" w:history="1">
              <w:r w:rsidRPr="00130DB8">
                <w:rPr>
                  <w:rStyle w:val="Hyperlink"/>
                  <w:sz w:val="20"/>
                  <w:szCs w:val="20"/>
                  <w:highlight w:val="none"/>
                </w:rPr>
                <w:t>https://doi.org/10.3390/educsci11100619</w:t>
              </w:r>
            </w:hyperlink>
          </w:p>
        </w:tc>
      </w:tr>
      <w:tr w:rsidR="00097971" w:rsidRPr="00130DB8" w14:paraId="174AD85C" w14:textId="77777777" w:rsidTr="00097971">
        <w:trPr>
          <w:trHeight w:val="20"/>
        </w:trPr>
        <w:tc>
          <w:tcPr>
            <w:tcW w:w="5000" w:type="pct"/>
            <w:tcMar>
              <w:top w:w="100" w:type="dxa"/>
              <w:left w:w="108" w:type="dxa"/>
              <w:bottom w:w="100" w:type="dxa"/>
              <w:right w:w="108" w:type="dxa"/>
            </w:tcMar>
          </w:tcPr>
          <w:p w14:paraId="5D68C498" w14:textId="16E4816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Tomczyk Ł, Eger L (2020) Online safety as a new component of digital literacy for young people. Integr Educ 24(2):172–184. </w:t>
            </w:r>
            <w:hyperlink r:id="rId197" w:history="1">
              <w:r w:rsidRPr="00130DB8">
                <w:rPr>
                  <w:rStyle w:val="Hyperlink"/>
                  <w:sz w:val="20"/>
                  <w:szCs w:val="20"/>
                  <w:highlight w:val="none"/>
                </w:rPr>
                <w:t>https://doi.org/10.15507/1991-9468.099.024.202002.172-184</w:t>
              </w:r>
            </w:hyperlink>
          </w:p>
        </w:tc>
      </w:tr>
      <w:tr w:rsidR="00097971" w:rsidRPr="00130DB8" w14:paraId="142D1BD8" w14:textId="77777777" w:rsidTr="00097971">
        <w:trPr>
          <w:trHeight w:val="20"/>
        </w:trPr>
        <w:tc>
          <w:tcPr>
            <w:tcW w:w="5000" w:type="pct"/>
            <w:tcMar>
              <w:top w:w="100" w:type="dxa"/>
              <w:left w:w="108" w:type="dxa"/>
              <w:bottom w:w="100" w:type="dxa"/>
              <w:right w:w="108" w:type="dxa"/>
            </w:tcMar>
          </w:tcPr>
          <w:p w14:paraId="2D5AEC6F" w14:textId="26ADDF4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Tondeur J, Sinnaeve I, van Houtte M, van Braak J (2011) Ict as cultural capital: The relationship between socioeconomic status and the computer-use profile of young people. New Media Soc 13(1):151–168. </w:t>
            </w:r>
            <w:hyperlink r:id="rId198" w:history="1">
              <w:r w:rsidRPr="00130DB8">
                <w:rPr>
                  <w:rStyle w:val="Hyperlink"/>
                  <w:sz w:val="20"/>
                  <w:szCs w:val="20"/>
                  <w:highlight w:val="none"/>
                </w:rPr>
                <w:t>https://doi.org/10.1177/1461444810369245</w:t>
              </w:r>
            </w:hyperlink>
          </w:p>
        </w:tc>
      </w:tr>
      <w:tr w:rsidR="00097971" w:rsidRPr="00130DB8" w14:paraId="752A4D2D" w14:textId="77777777" w:rsidTr="00097971">
        <w:trPr>
          <w:trHeight w:val="20"/>
        </w:trPr>
        <w:tc>
          <w:tcPr>
            <w:tcW w:w="5000" w:type="pct"/>
            <w:tcMar>
              <w:top w:w="100" w:type="dxa"/>
              <w:left w:w="108" w:type="dxa"/>
              <w:bottom w:w="100" w:type="dxa"/>
              <w:right w:w="108" w:type="dxa"/>
            </w:tcMar>
          </w:tcPr>
          <w:p w14:paraId="2191E5D1" w14:textId="7141D0F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Torres-Gastelú CA, Kiss G (2016) Perceptions of students towards ICT competencies at the University. Informatics Educ 15(2):319–338. </w:t>
            </w:r>
            <w:hyperlink r:id="rId199" w:history="1">
              <w:r w:rsidRPr="00130DB8">
                <w:rPr>
                  <w:rStyle w:val="Hyperlink"/>
                  <w:sz w:val="20"/>
                  <w:szCs w:val="20"/>
                  <w:highlight w:val="none"/>
                </w:rPr>
                <w:t>https://doi.org/10.15388/infedu.2016.16</w:t>
              </w:r>
            </w:hyperlink>
          </w:p>
        </w:tc>
      </w:tr>
      <w:tr w:rsidR="00097971" w:rsidRPr="00130DB8" w14:paraId="0B9A0DA9" w14:textId="77777777" w:rsidTr="00097971">
        <w:trPr>
          <w:trHeight w:val="20"/>
        </w:trPr>
        <w:tc>
          <w:tcPr>
            <w:tcW w:w="5000" w:type="pct"/>
            <w:tcMar>
              <w:top w:w="100" w:type="dxa"/>
              <w:left w:w="108" w:type="dxa"/>
              <w:bottom w:w="100" w:type="dxa"/>
              <w:right w:w="108" w:type="dxa"/>
            </w:tcMar>
          </w:tcPr>
          <w:p w14:paraId="72DFB7C6" w14:textId="24CC24B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Tsarapkina J, Plahina L, Konoplyuk N, et al (2021) The formation of bachelors’ digital competencies at the university. Propósitos y Representaciones 9. </w:t>
            </w:r>
            <w:hyperlink r:id="rId200" w:history="1">
              <w:r w:rsidRPr="00130DB8">
                <w:rPr>
                  <w:rStyle w:val="Hyperlink"/>
                  <w:sz w:val="20"/>
                  <w:szCs w:val="20"/>
                  <w:highlight w:val="none"/>
                </w:rPr>
                <w:t>https://doi.org/10.20511/pyr2021.v9nSPE1.811</w:t>
              </w:r>
            </w:hyperlink>
          </w:p>
        </w:tc>
      </w:tr>
      <w:tr w:rsidR="00097971" w:rsidRPr="00130DB8" w14:paraId="279D9D9E" w14:textId="77777777" w:rsidTr="00097971">
        <w:trPr>
          <w:trHeight w:val="20"/>
        </w:trPr>
        <w:tc>
          <w:tcPr>
            <w:tcW w:w="5000" w:type="pct"/>
            <w:tcMar>
              <w:top w:w="100" w:type="dxa"/>
              <w:left w:w="108" w:type="dxa"/>
              <w:bottom w:w="100" w:type="dxa"/>
              <w:right w:w="108" w:type="dxa"/>
            </w:tcMar>
          </w:tcPr>
          <w:p w14:paraId="300AC112" w14:textId="4F6C9F5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Turel V, Calik S, Doganer A (2015) Vocational School Students’ Information and Communication Technology Self-Efficacy Beliefs and the Factors Affecting Their Use of Such a Technology. Int J Adult Vocat Edu Technol 6(2):27–40. </w:t>
            </w:r>
            <w:hyperlink r:id="rId201" w:history="1">
              <w:r w:rsidRPr="00130DB8">
                <w:rPr>
                  <w:rStyle w:val="Hyperlink"/>
                  <w:sz w:val="20"/>
                  <w:szCs w:val="20"/>
                  <w:highlight w:val="none"/>
                </w:rPr>
                <w:t>https://doi.org/10.4018/ijavet.2015040103</w:t>
              </w:r>
            </w:hyperlink>
          </w:p>
        </w:tc>
      </w:tr>
      <w:tr w:rsidR="00097971" w:rsidRPr="00130DB8" w14:paraId="79DB3632" w14:textId="77777777" w:rsidTr="00097971">
        <w:trPr>
          <w:trHeight w:val="20"/>
        </w:trPr>
        <w:tc>
          <w:tcPr>
            <w:tcW w:w="5000" w:type="pct"/>
            <w:tcMar>
              <w:top w:w="100" w:type="dxa"/>
              <w:left w:w="108" w:type="dxa"/>
              <w:bottom w:w="100" w:type="dxa"/>
              <w:right w:w="108" w:type="dxa"/>
            </w:tcMar>
          </w:tcPr>
          <w:p w14:paraId="64B47436" w14:textId="57A11FA8"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Ukwoma SC, Iwundu NE, Iwundu IE (2016) Digital literacy skills possessed by students of UNN, implications for effective learning and performance: A study of the MTN Universities Connect Library. New Libr World 117(11–12):702–720. </w:t>
            </w:r>
            <w:hyperlink r:id="rId202" w:history="1">
              <w:r w:rsidRPr="00130DB8">
                <w:rPr>
                  <w:rStyle w:val="Hyperlink"/>
                  <w:sz w:val="20"/>
                  <w:szCs w:val="20"/>
                  <w:highlight w:val="none"/>
                </w:rPr>
                <w:t>https://doi.org/10.1108/NLW-08-2016-0061</w:t>
              </w:r>
            </w:hyperlink>
          </w:p>
        </w:tc>
      </w:tr>
      <w:tr w:rsidR="00097971" w:rsidRPr="00130DB8" w14:paraId="4B2D8908" w14:textId="77777777" w:rsidTr="00097971">
        <w:trPr>
          <w:trHeight w:val="20"/>
        </w:trPr>
        <w:tc>
          <w:tcPr>
            <w:tcW w:w="5000" w:type="pct"/>
            <w:tcMar>
              <w:top w:w="100" w:type="dxa"/>
              <w:left w:w="108" w:type="dxa"/>
              <w:bottom w:w="100" w:type="dxa"/>
              <w:right w:w="108" w:type="dxa"/>
            </w:tcMar>
          </w:tcPr>
          <w:p w14:paraId="69BB22A8" w14:textId="037CB13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Umut Zan B, Çolaklar H, Altay A, Taşkın N (2020) A Study on Digital Literacy Skills of Faculty of Letters Students: Use of University Library. Int J Emerg Technol Learn 16(1):152–171. </w:t>
            </w:r>
            <w:hyperlink r:id="rId203" w:history="1">
              <w:r w:rsidRPr="00130DB8">
                <w:rPr>
                  <w:rStyle w:val="Hyperlink"/>
                  <w:sz w:val="20"/>
                  <w:szCs w:val="20"/>
                  <w:highlight w:val="none"/>
                </w:rPr>
                <w:t>https://doi.org/10.3991/IJET.V16I01.16567</w:t>
              </w:r>
            </w:hyperlink>
          </w:p>
        </w:tc>
      </w:tr>
      <w:tr w:rsidR="00097971" w:rsidRPr="00130DB8" w14:paraId="61C8F45B" w14:textId="77777777" w:rsidTr="00097971">
        <w:trPr>
          <w:trHeight w:val="20"/>
        </w:trPr>
        <w:tc>
          <w:tcPr>
            <w:tcW w:w="5000" w:type="pct"/>
            <w:tcMar>
              <w:top w:w="100" w:type="dxa"/>
              <w:left w:w="108" w:type="dxa"/>
              <w:bottom w:w="100" w:type="dxa"/>
              <w:right w:w="108" w:type="dxa"/>
            </w:tcMar>
          </w:tcPr>
          <w:p w14:paraId="2CEED75E" w14:textId="43E360F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Ur Rehman S, Al Awadhi S (2013) Value of a structured information literacy course: a case analysis. Malaysian J Libr Inf Sci 18(1):27–37</w:t>
            </w:r>
          </w:p>
        </w:tc>
      </w:tr>
      <w:tr w:rsidR="00097971" w:rsidRPr="00130DB8" w14:paraId="167D0B8A" w14:textId="77777777" w:rsidTr="00097971">
        <w:trPr>
          <w:trHeight w:val="20"/>
        </w:trPr>
        <w:tc>
          <w:tcPr>
            <w:tcW w:w="5000" w:type="pct"/>
            <w:tcMar>
              <w:top w:w="100" w:type="dxa"/>
              <w:left w:w="108" w:type="dxa"/>
              <w:bottom w:w="100" w:type="dxa"/>
              <w:right w:w="108" w:type="dxa"/>
            </w:tcMar>
          </w:tcPr>
          <w:p w14:paraId="755344A3" w14:textId="57E61E5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Uzun AM, Kilis S (2020) Investigating antecedents of plagiarism using extended theory of planned behavior. Comput Educ 144. </w:t>
            </w:r>
            <w:hyperlink r:id="rId204" w:history="1">
              <w:r w:rsidRPr="00130DB8">
                <w:rPr>
                  <w:rStyle w:val="Hyperlink"/>
                  <w:sz w:val="20"/>
                  <w:szCs w:val="20"/>
                  <w:highlight w:val="none"/>
                </w:rPr>
                <w:t>https://doi.org/10.1016/j.compedu.2019.103700</w:t>
              </w:r>
            </w:hyperlink>
          </w:p>
        </w:tc>
      </w:tr>
      <w:tr w:rsidR="00097971" w:rsidRPr="00130DB8" w14:paraId="1D46E0AF" w14:textId="77777777" w:rsidTr="00097971">
        <w:trPr>
          <w:trHeight w:val="20"/>
        </w:trPr>
        <w:tc>
          <w:tcPr>
            <w:tcW w:w="5000" w:type="pct"/>
            <w:tcMar>
              <w:top w:w="100" w:type="dxa"/>
              <w:left w:w="108" w:type="dxa"/>
              <w:bottom w:w="100" w:type="dxa"/>
              <w:right w:w="108" w:type="dxa"/>
            </w:tcMar>
          </w:tcPr>
          <w:p w14:paraId="56307D61" w14:textId="40205BD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Vonkova H, Papajoanu O, Kralova K (2021a) Student online communication skills: Enhancing the comparability of self-reports among different groups of students. Educ Inf Technol. </w:t>
            </w:r>
            <w:hyperlink r:id="rId205" w:history="1">
              <w:r w:rsidRPr="00130DB8">
                <w:rPr>
                  <w:rStyle w:val="Hyperlink"/>
                  <w:sz w:val="20"/>
                  <w:szCs w:val="20"/>
                  <w:highlight w:val="none"/>
                </w:rPr>
                <w:t>https://doi.org/10.1007/s10639-021-10685-y</w:t>
              </w:r>
            </w:hyperlink>
          </w:p>
        </w:tc>
      </w:tr>
      <w:tr w:rsidR="00097971" w:rsidRPr="00130DB8" w14:paraId="33A54C83" w14:textId="77777777" w:rsidTr="00097971">
        <w:trPr>
          <w:trHeight w:val="20"/>
        </w:trPr>
        <w:tc>
          <w:tcPr>
            <w:tcW w:w="5000" w:type="pct"/>
            <w:tcMar>
              <w:top w:w="100" w:type="dxa"/>
              <w:left w:w="108" w:type="dxa"/>
              <w:bottom w:w="100" w:type="dxa"/>
              <w:right w:w="108" w:type="dxa"/>
            </w:tcMar>
          </w:tcPr>
          <w:p w14:paraId="4326695F" w14:textId="6E1454D7"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Vonkova H, Papajoanu O, Stipek J, Kralova K (2021b) Identifying the accuracy of and exaggeration in self-reports of ICT knowledge among different groups of students: The use of the overclaiming technique. Comput Educ 164. </w:t>
            </w:r>
            <w:hyperlink r:id="rId206" w:history="1">
              <w:r w:rsidRPr="00130DB8">
                <w:rPr>
                  <w:rStyle w:val="Hyperlink"/>
                  <w:sz w:val="20"/>
                  <w:szCs w:val="20"/>
                  <w:highlight w:val="none"/>
                </w:rPr>
                <w:t>https://doi.org/10.1016/j.compedu.2020.104112</w:t>
              </w:r>
            </w:hyperlink>
          </w:p>
        </w:tc>
      </w:tr>
      <w:tr w:rsidR="00097971" w:rsidRPr="00130DB8" w14:paraId="0E845181" w14:textId="77777777" w:rsidTr="00097971">
        <w:trPr>
          <w:trHeight w:val="20"/>
        </w:trPr>
        <w:tc>
          <w:tcPr>
            <w:tcW w:w="5000" w:type="pct"/>
            <w:tcMar>
              <w:top w:w="100" w:type="dxa"/>
              <w:left w:w="108" w:type="dxa"/>
              <w:bottom w:w="100" w:type="dxa"/>
              <w:right w:w="108" w:type="dxa"/>
            </w:tcMar>
          </w:tcPr>
          <w:p w14:paraId="6774FFC0" w14:textId="4968FB8E"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Wang Q, Zhao G (2021) ICT self-efficacy mediates most effects of university ICT support on preservice teachers’ TPACK: Evidence from three normal universities in China. Br J Educ Technol 52(6):2319–2339. </w:t>
            </w:r>
            <w:hyperlink r:id="rId207" w:history="1">
              <w:r w:rsidRPr="00130DB8">
                <w:rPr>
                  <w:rStyle w:val="Hyperlink"/>
                  <w:sz w:val="20"/>
                  <w:szCs w:val="20"/>
                  <w:highlight w:val="none"/>
                </w:rPr>
                <w:t>https://doi.org/10.1111/bjet.13141</w:t>
              </w:r>
            </w:hyperlink>
          </w:p>
        </w:tc>
      </w:tr>
      <w:tr w:rsidR="00097971" w:rsidRPr="00130DB8" w14:paraId="3B3BA0AD" w14:textId="77777777" w:rsidTr="00097971">
        <w:trPr>
          <w:trHeight w:val="20"/>
        </w:trPr>
        <w:tc>
          <w:tcPr>
            <w:tcW w:w="5000" w:type="pct"/>
            <w:tcMar>
              <w:top w:w="100" w:type="dxa"/>
              <w:left w:w="108" w:type="dxa"/>
              <w:bottom w:w="100" w:type="dxa"/>
              <w:right w:w="108" w:type="dxa"/>
            </w:tcMar>
          </w:tcPr>
          <w:p w14:paraId="053772CC" w14:textId="743BB3B4"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Wang X, Zhang R, Wang Z, Li T (2021) How Does Digital Competence Preserve University Students’ Psychological Well-Being During the Pandemic? An Investigation From Self-Determined Theory. Front Psychol 12. </w:t>
            </w:r>
            <w:hyperlink r:id="rId208" w:history="1">
              <w:r w:rsidRPr="00130DB8">
                <w:rPr>
                  <w:rStyle w:val="Hyperlink"/>
                  <w:sz w:val="20"/>
                  <w:szCs w:val="20"/>
                  <w:highlight w:val="none"/>
                </w:rPr>
                <w:t>https://doi.org/10.3389/fpsyg.2021.652594</w:t>
              </w:r>
            </w:hyperlink>
          </w:p>
        </w:tc>
      </w:tr>
      <w:tr w:rsidR="00097971" w:rsidRPr="00130DB8" w14:paraId="1E80D768" w14:textId="77777777" w:rsidTr="00097971">
        <w:trPr>
          <w:trHeight w:val="20"/>
        </w:trPr>
        <w:tc>
          <w:tcPr>
            <w:tcW w:w="5000" w:type="pct"/>
            <w:tcMar>
              <w:top w:w="100" w:type="dxa"/>
              <w:left w:w="108" w:type="dxa"/>
              <w:bottom w:w="100" w:type="dxa"/>
              <w:right w:w="108" w:type="dxa"/>
            </w:tcMar>
          </w:tcPr>
          <w:p w14:paraId="798FD8E6" w14:textId="47781D7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Waseel F, Yusof F (2019) Attitudes and challenges toward the use of ICT skills: An Assessment of ICT skills among university lecturers and students in Afghanistan. Int J Recent Technol Eng 8(1C2):314–321</w:t>
            </w:r>
          </w:p>
        </w:tc>
      </w:tr>
      <w:tr w:rsidR="00097971" w:rsidRPr="00130DB8" w14:paraId="26725779" w14:textId="77777777" w:rsidTr="00097971">
        <w:trPr>
          <w:trHeight w:val="20"/>
        </w:trPr>
        <w:tc>
          <w:tcPr>
            <w:tcW w:w="5000" w:type="pct"/>
            <w:tcMar>
              <w:top w:w="100" w:type="dxa"/>
              <w:left w:w="108" w:type="dxa"/>
              <w:bottom w:w="100" w:type="dxa"/>
              <w:right w:w="108" w:type="dxa"/>
            </w:tcMar>
          </w:tcPr>
          <w:p w14:paraId="4FD48154" w14:textId="15A1553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Wastiau P, Blamire R, Kearney C, et al (2013) The Use of ICT in Education: A survey of schools in Europe. Eur J Educ 48(1):11–27. </w:t>
            </w:r>
            <w:hyperlink r:id="rId209" w:history="1">
              <w:r w:rsidRPr="00130DB8">
                <w:rPr>
                  <w:rStyle w:val="Hyperlink"/>
                  <w:sz w:val="20"/>
                  <w:szCs w:val="20"/>
                  <w:highlight w:val="none"/>
                </w:rPr>
                <w:t>https://doi.org/10.1111/ejed.12020</w:t>
              </w:r>
            </w:hyperlink>
          </w:p>
        </w:tc>
      </w:tr>
      <w:tr w:rsidR="00097971" w:rsidRPr="00130DB8" w14:paraId="0DB64F91" w14:textId="77777777" w:rsidTr="00097971">
        <w:trPr>
          <w:trHeight w:val="20"/>
        </w:trPr>
        <w:tc>
          <w:tcPr>
            <w:tcW w:w="5000" w:type="pct"/>
            <w:tcMar>
              <w:top w:w="100" w:type="dxa"/>
              <w:left w:w="108" w:type="dxa"/>
              <w:bottom w:w="100" w:type="dxa"/>
              <w:right w:w="108" w:type="dxa"/>
            </w:tcMar>
          </w:tcPr>
          <w:p w14:paraId="0B927C46" w14:textId="6B322B3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Welser HT, Khan ML, Dickard M (2019) Digital remediation: social support and online learning communities can help offset rural digital inequality. Inf Commun Soc 22(5):717–723. </w:t>
            </w:r>
            <w:hyperlink r:id="rId210" w:history="1">
              <w:r w:rsidRPr="00130DB8">
                <w:rPr>
                  <w:rStyle w:val="Hyperlink"/>
                  <w:sz w:val="20"/>
                  <w:szCs w:val="20"/>
                  <w:highlight w:val="none"/>
                </w:rPr>
                <w:t>https://doi.org/10.1080/1369118X.2019.1566485</w:t>
              </w:r>
            </w:hyperlink>
          </w:p>
        </w:tc>
      </w:tr>
      <w:tr w:rsidR="00097971" w:rsidRPr="00130DB8" w14:paraId="6076A5CE" w14:textId="77777777" w:rsidTr="00097971">
        <w:trPr>
          <w:trHeight w:val="20"/>
        </w:trPr>
        <w:tc>
          <w:tcPr>
            <w:tcW w:w="5000" w:type="pct"/>
            <w:tcMar>
              <w:top w:w="100" w:type="dxa"/>
              <w:left w:w="108" w:type="dxa"/>
              <w:bottom w:w="100" w:type="dxa"/>
              <w:right w:w="108" w:type="dxa"/>
            </w:tcMar>
          </w:tcPr>
          <w:p w14:paraId="261721C1" w14:textId="477CF8C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Wild S, Schulze Heuling L (2020) How do the digital competences of students in vocational schools differ from those of students in cooperative higher education institutions in Germany? Empir Res Vocat Educ Train 12(1). </w:t>
            </w:r>
            <w:hyperlink r:id="rId211" w:history="1">
              <w:r w:rsidRPr="00130DB8">
                <w:rPr>
                  <w:rStyle w:val="Hyperlink"/>
                  <w:sz w:val="20"/>
                  <w:szCs w:val="20"/>
                  <w:highlight w:val="none"/>
                </w:rPr>
                <w:t>https://doi.org/10.1186/s40461-020-00091-y</w:t>
              </w:r>
            </w:hyperlink>
          </w:p>
        </w:tc>
      </w:tr>
      <w:tr w:rsidR="00097971" w:rsidRPr="00130DB8" w14:paraId="680EDAFB" w14:textId="77777777" w:rsidTr="00097971">
        <w:trPr>
          <w:trHeight w:val="20"/>
        </w:trPr>
        <w:tc>
          <w:tcPr>
            <w:tcW w:w="5000" w:type="pct"/>
            <w:tcMar>
              <w:top w:w="100" w:type="dxa"/>
              <w:left w:w="108" w:type="dxa"/>
              <w:bottom w:w="100" w:type="dxa"/>
              <w:right w:w="108" w:type="dxa"/>
            </w:tcMar>
          </w:tcPr>
          <w:p w14:paraId="42C3AE9F" w14:textId="48578801"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Xiao F, Sun L (2021) Profiles of student ICT use and their relations to background, motivational factors, and academic achievement. J Res Technolog Educ. </w:t>
            </w:r>
            <w:hyperlink r:id="rId212" w:history="1">
              <w:r w:rsidRPr="00130DB8">
                <w:rPr>
                  <w:rStyle w:val="Hyperlink"/>
                  <w:sz w:val="20"/>
                  <w:szCs w:val="20"/>
                  <w:highlight w:val="none"/>
                </w:rPr>
                <w:t>https://doi.org/10.1080/15391523.2021.1876577</w:t>
              </w:r>
            </w:hyperlink>
          </w:p>
        </w:tc>
      </w:tr>
      <w:tr w:rsidR="00097971" w:rsidRPr="00130DB8" w14:paraId="4FD2615C" w14:textId="77777777" w:rsidTr="00097971">
        <w:trPr>
          <w:trHeight w:val="20"/>
        </w:trPr>
        <w:tc>
          <w:tcPr>
            <w:tcW w:w="5000" w:type="pct"/>
            <w:tcMar>
              <w:top w:w="100" w:type="dxa"/>
              <w:left w:w="108" w:type="dxa"/>
              <w:bottom w:w="100" w:type="dxa"/>
              <w:right w:w="108" w:type="dxa"/>
            </w:tcMar>
          </w:tcPr>
          <w:p w14:paraId="1CF3CB7E" w14:textId="431D0B79"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Xu S, Yang HH, MacLeod J, Zhu S (2019) Social media competence and digital citizenship among college students. Convergence 25(4):735–752. </w:t>
            </w:r>
            <w:hyperlink r:id="rId213" w:history="1">
              <w:r w:rsidRPr="00130DB8">
                <w:rPr>
                  <w:rStyle w:val="Hyperlink"/>
                  <w:sz w:val="20"/>
                  <w:szCs w:val="20"/>
                  <w:highlight w:val="none"/>
                </w:rPr>
                <w:t>https://doi.org/10.1177/1354856517751390</w:t>
              </w:r>
            </w:hyperlink>
          </w:p>
        </w:tc>
      </w:tr>
      <w:tr w:rsidR="00097971" w:rsidRPr="00130DB8" w14:paraId="480E55FD" w14:textId="77777777" w:rsidTr="00097971">
        <w:trPr>
          <w:trHeight w:val="20"/>
        </w:trPr>
        <w:tc>
          <w:tcPr>
            <w:tcW w:w="5000" w:type="pct"/>
            <w:tcMar>
              <w:top w:w="100" w:type="dxa"/>
              <w:left w:w="108" w:type="dxa"/>
              <w:bottom w:w="100" w:type="dxa"/>
              <w:right w:w="108" w:type="dxa"/>
            </w:tcMar>
          </w:tcPr>
          <w:p w14:paraId="54EDF64A" w14:textId="6775ABF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Yaman S, Koksal M, Saka Y (2016) Analysis of Turkish Prospective Science Teachers’ Perceptions on Technology in Education. Aust J Teach Educ 41(1):22–41. </w:t>
            </w:r>
            <w:hyperlink r:id="rId214" w:history="1">
              <w:r w:rsidRPr="00130DB8">
                <w:rPr>
                  <w:rStyle w:val="Hyperlink"/>
                  <w:sz w:val="20"/>
                  <w:szCs w:val="20"/>
                  <w:highlight w:val="none"/>
                </w:rPr>
                <w:t>https://doi.org/10.14221/ajte.2016v41n1.2</w:t>
              </w:r>
            </w:hyperlink>
          </w:p>
        </w:tc>
      </w:tr>
      <w:tr w:rsidR="00097971" w:rsidRPr="00130DB8" w14:paraId="1AE41086" w14:textId="77777777" w:rsidTr="00097971">
        <w:trPr>
          <w:trHeight w:val="20"/>
        </w:trPr>
        <w:tc>
          <w:tcPr>
            <w:tcW w:w="5000" w:type="pct"/>
            <w:tcMar>
              <w:top w:w="100" w:type="dxa"/>
              <w:left w:w="108" w:type="dxa"/>
              <w:bottom w:w="100" w:type="dxa"/>
              <w:right w:w="108" w:type="dxa"/>
            </w:tcMar>
          </w:tcPr>
          <w:p w14:paraId="6905B455" w14:textId="006E5100"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Yasmin M (2019) Quality of information literacy and ICT skills among the women students in two women’s universities at Tamilnadu, India: A study. Libr Philos Pract 2019</w:t>
            </w:r>
          </w:p>
        </w:tc>
      </w:tr>
      <w:tr w:rsidR="00097971" w:rsidRPr="00130DB8" w14:paraId="44409D87" w14:textId="77777777" w:rsidTr="00097971">
        <w:trPr>
          <w:trHeight w:val="20"/>
        </w:trPr>
        <w:tc>
          <w:tcPr>
            <w:tcW w:w="5000" w:type="pct"/>
            <w:tcMar>
              <w:top w:w="100" w:type="dxa"/>
              <w:left w:w="108" w:type="dxa"/>
              <w:bottom w:w="100" w:type="dxa"/>
              <w:right w:w="108" w:type="dxa"/>
            </w:tcMar>
          </w:tcPr>
          <w:p w14:paraId="3A5AB0E2" w14:textId="06BED0C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Yevtushenko O, Kovalova T (2019) Media education for future media professionals: designing and implementing a training programme. Adv Edu (12):94–104. </w:t>
            </w:r>
            <w:hyperlink r:id="rId215" w:history="1">
              <w:r w:rsidRPr="00130DB8">
                <w:rPr>
                  <w:rStyle w:val="Hyperlink"/>
                  <w:sz w:val="20"/>
                  <w:szCs w:val="20"/>
                  <w:highlight w:val="none"/>
                </w:rPr>
                <w:t>https://doi.org/10.20535/2410-8286.128668</w:t>
              </w:r>
            </w:hyperlink>
          </w:p>
        </w:tc>
      </w:tr>
      <w:tr w:rsidR="00097971" w:rsidRPr="00130DB8" w14:paraId="4A28D74B" w14:textId="77777777" w:rsidTr="00097971">
        <w:trPr>
          <w:trHeight w:val="20"/>
        </w:trPr>
        <w:tc>
          <w:tcPr>
            <w:tcW w:w="5000" w:type="pct"/>
            <w:tcMar>
              <w:top w:w="100" w:type="dxa"/>
              <w:left w:w="108" w:type="dxa"/>
              <w:bottom w:w="100" w:type="dxa"/>
              <w:right w:w="108" w:type="dxa"/>
            </w:tcMar>
          </w:tcPr>
          <w:p w14:paraId="7DE80C32" w14:textId="091B4673"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Yildiz Durak H, Seferoğlu SS (2020) Antecedents of Social Media Usage Status: Examination of Predictiveness of Digital Literacy, Academic Performance, and Fear of Missing Out Variables. Soc Sci Q 101(3):1056–1074. </w:t>
            </w:r>
            <w:hyperlink r:id="rId216" w:history="1">
              <w:r w:rsidRPr="00130DB8">
                <w:rPr>
                  <w:rStyle w:val="Hyperlink"/>
                  <w:sz w:val="20"/>
                  <w:szCs w:val="20"/>
                  <w:highlight w:val="none"/>
                </w:rPr>
                <w:t>https://doi.org/10.1111/ssqu.12790</w:t>
              </w:r>
            </w:hyperlink>
          </w:p>
        </w:tc>
      </w:tr>
      <w:tr w:rsidR="00097971" w:rsidRPr="00130DB8" w14:paraId="520030E7" w14:textId="77777777" w:rsidTr="00097971">
        <w:trPr>
          <w:trHeight w:val="20"/>
        </w:trPr>
        <w:tc>
          <w:tcPr>
            <w:tcW w:w="5000" w:type="pct"/>
            <w:tcMar>
              <w:top w:w="100" w:type="dxa"/>
              <w:left w:w="108" w:type="dxa"/>
              <w:bottom w:w="100" w:type="dxa"/>
              <w:right w:w="108" w:type="dxa"/>
            </w:tcMar>
          </w:tcPr>
          <w:p w14:paraId="1BD83F46" w14:textId="6860459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Yildiz EP, Çengel M, Alkan A (2020) Determination of digital citizenship levels of university students at sakarya university Turkey. Intl J High Edu 9(3):300–308. </w:t>
            </w:r>
            <w:hyperlink r:id="rId217" w:history="1">
              <w:r w:rsidRPr="00130DB8">
                <w:rPr>
                  <w:rStyle w:val="Hyperlink"/>
                  <w:sz w:val="20"/>
                  <w:szCs w:val="20"/>
                  <w:highlight w:val="none"/>
                </w:rPr>
                <w:t>https://doi.org/10.5430/IJHE.V9N3P300</w:t>
              </w:r>
            </w:hyperlink>
          </w:p>
        </w:tc>
      </w:tr>
      <w:tr w:rsidR="00097971" w:rsidRPr="00130DB8" w14:paraId="5D2089B7" w14:textId="77777777" w:rsidTr="00097971">
        <w:trPr>
          <w:trHeight w:val="20"/>
        </w:trPr>
        <w:tc>
          <w:tcPr>
            <w:tcW w:w="5000" w:type="pct"/>
            <w:tcMar>
              <w:top w:w="100" w:type="dxa"/>
              <w:left w:w="108" w:type="dxa"/>
              <w:bottom w:w="100" w:type="dxa"/>
              <w:right w:w="108" w:type="dxa"/>
            </w:tcMar>
          </w:tcPr>
          <w:p w14:paraId="6C60EAE7" w14:textId="53FD70DB"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Youssef AB, Dahmani M, Omrani N (2015) Information technologies, students’ e-skills and diversity of learning process. Educ Inf Technol 20(1):141–159. </w:t>
            </w:r>
            <w:hyperlink r:id="rId218" w:history="1">
              <w:r w:rsidRPr="00130DB8">
                <w:rPr>
                  <w:rStyle w:val="Hyperlink"/>
                  <w:sz w:val="20"/>
                  <w:szCs w:val="20"/>
                  <w:highlight w:val="none"/>
                </w:rPr>
                <w:t>https://doi.org/10.1007/s10639-013-9272-x</w:t>
              </w:r>
            </w:hyperlink>
          </w:p>
        </w:tc>
      </w:tr>
      <w:tr w:rsidR="00097971" w:rsidRPr="00130DB8" w14:paraId="508C7AE8" w14:textId="77777777" w:rsidTr="00097971">
        <w:trPr>
          <w:trHeight w:val="20"/>
        </w:trPr>
        <w:tc>
          <w:tcPr>
            <w:tcW w:w="5000" w:type="pct"/>
            <w:tcMar>
              <w:top w:w="100" w:type="dxa"/>
              <w:left w:w="108" w:type="dxa"/>
              <w:bottom w:w="100" w:type="dxa"/>
              <w:right w:w="108" w:type="dxa"/>
            </w:tcMar>
          </w:tcPr>
          <w:p w14:paraId="44501D9A" w14:textId="5FA56B05"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lastRenderedPageBreak/>
              <w:t xml:space="preserve">Yurtseven N, Saraç S, Akgün E (2021) Digital skills for teaching and learning in distance education: An example of a university in the pandemic. Eurasian J Educ Res 2021(94):295–314. </w:t>
            </w:r>
            <w:hyperlink r:id="rId219" w:history="1">
              <w:r w:rsidRPr="00130DB8">
                <w:rPr>
                  <w:rStyle w:val="Hyperlink"/>
                  <w:sz w:val="20"/>
                  <w:szCs w:val="20"/>
                  <w:highlight w:val="none"/>
                </w:rPr>
                <w:t>https://doi.org/10.14689/ejer.2021.94.13</w:t>
              </w:r>
            </w:hyperlink>
          </w:p>
        </w:tc>
      </w:tr>
      <w:tr w:rsidR="00097971" w:rsidRPr="00130DB8" w14:paraId="05E7F5AE" w14:textId="77777777" w:rsidTr="00097971">
        <w:trPr>
          <w:trHeight w:val="20"/>
        </w:trPr>
        <w:tc>
          <w:tcPr>
            <w:tcW w:w="5000" w:type="pct"/>
            <w:tcMar>
              <w:top w:w="100" w:type="dxa"/>
              <w:left w:w="108" w:type="dxa"/>
              <w:bottom w:w="100" w:type="dxa"/>
              <w:right w:w="108" w:type="dxa"/>
            </w:tcMar>
          </w:tcPr>
          <w:p w14:paraId="3853E794" w14:textId="0208929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Zhang Y, Sindermann C, Kendrick KM, et al (2021) Individual Differences in Tendencies Toward Internet Use Disorder, Internet Literacy and Their Link to Autistic Traits in Both China and Germany. Front Psychiatry 12. </w:t>
            </w:r>
            <w:hyperlink r:id="rId220" w:history="1">
              <w:r w:rsidRPr="00130DB8">
                <w:rPr>
                  <w:rStyle w:val="Hyperlink"/>
                  <w:sz w:val="20"/>
                  <w:szCs w:val="20"/>
                  <w:highlight w:val="none"/>
                </w:rPr>
                <w:t>https://doi.org/10.3389/fpsyt.2021.638655</w:t>
              </w:r>
            </w:hyperlink>
          </w:p>
        </w:tc>
      </w:tr>
      <w:tr w:rsidR="00097971" w:rsidRPr="00130DB8" w14:paraId="68FA6D17" w14:textId="77777777" w:rsidTr="00097971">
        <w:trPr>
          <w:trHeight w:val="20"/>
        </w:trPr>
        <w:tc>
          <w:tcPr>
            <w:tcW w:w="5000" w:type="pct"/>
            <w:tcMar>
              <w:top w:w="100" w:type="dxa"/>
              <w:left w:w="108" w:type="dxa"/>
              <w:bottom w:w="100" w:type="dxa"/>
              <w:right w:w="108" w:type="dxa"/>
            </w:tcMar>
          </w:tcPr>
          <w:p w14:paraId="2EC8D0AE" w14:textId="7097DD5F"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Zhao G, Wang Q, Wu L, Dong Y (2021a) Exploring the Structural Relationship Between University Support, Students’ Technostress, and Burnout in Technology-enhanced Learning. Asia Pac Educ Res. </w:t>
            </w:r>
            <w:hyperlink r:id="rId221" w:history="1">
              <w:r w:rsidRPr="00130DB8">
                <w:rPr>
                  <w:rStyle w:val="Hyperlink"/>
                  <w:sz w:val="20"/>
                  <w:szCs w:val="20"/>
                  <w:highlight w:val="none"/>
                </w:rPr>
                <w:t>https://doi.org/10.1007/s40299-021-00588-4</w:t>
              </w:r>
            </w:hyperlink>
          </w:p>
        </w:tc>
      </w:tr>
      <w:tr w:rsidR="00097971" w:rsidRPr="00130DB8" w14:paraId="7DF03A5E" w14:textId="77777777" w:rsidTr="00097971">
        <w:trPr>
          <w:trHeight w:val="20"/>
        </w:trPr>
        <w:tc>
          <w:tcPr>
            <w:tcW w:w="5000" w:type="pct"/>
            <w:tcMar>
              <w:top w:w="100" w:type="dxa"/>
              <w:left w:w="108" w:type="dxa"/>
              <w:bottom w:w="100" w:type="dxa"/>
              <w:right w:w="108" w:type="dxa"/>
            </w:tcMar>
          </w:tcPr>
          <w:p w14:paraId="6A37E8F0" w14:textId="634CDDFD"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Zhao Y, Sánchez Gómez MC, Pinto Llorente AM, Zhao L (2021b) Digital competence in higher education: Students’ perception and personal factors. Sustainability 13(21). </w:t>
            </w:r>
            <w:hyperlink r:id="rId222" w:history="1">
              <w:r w:rsidRPr="00130DB8">
                <w:rPr>
                  <w:rStyle w:val="Hyperlink"/>
                  <w:sz w:val="20"/>
                  <w:szCs w:val="20"/>
                  <w:highlight w:val="none"/>
                </w:rPr>
                <w:t>https://doi.org/10.3390/su132112184</w:t>
              </w:r>
            </w:hyperlink>
          </w:p>
        </w:tc>
      </w:tr>
      <w:tr w:rsidR="00097971" w:rsidRPr="00130DB8" w14:paraId="79716FC9" w14:textId="77777777" w:rsidTr="00097971">
        <w:trPr>
          <w:trHeight w:val="830"/>
        </w:trPr>
        <w:tc>
          <w:tcPr>
            <w:tcW w:w="5000" w:type="pct"/>
            <w:tcMar>
              <w:top w:w="100" w:type="dxa"/>
              <w:left w:w="108" w:type="dxa"/>
              <w:bottom w:w="100" w:type="dxa"/>
              <w:right w:w="108" w:type="dxa"/>
            </w:tcMar>
          </w:tcPr>
          <w:p w14:paraId="03FC19AB" w14:textId="1FCF8AC2" w:rsidR="00097971" w:rsidRPr="00130DB8" w:rsidRDefault="00097971" w:rsidP="00097971">
            <w:pPr>
              <w:pBdr>
                <w:top w:val="nil"/>
                <w:left w:val="nil"/>
                <w:bottom w:val="nil"/>
                <w:right w:val="nil"/>
                <w:between w:val="nil"/>
              </w:pBdr>
              <w:spacing w:line="240" w:lineRule="auto"/>
              <w:ind w:left="459" w:hanging="459"/>
              <w:rPr>
                <w:color w:val="000000" w:themeColor="text1"/>
                <w:sz w:val="20"/>
                <w:szCs w:val="20"/>
                <w:highlight w:val="none"/>
                <w:shd w:val="clear" w:color="auto" w:fill="auto"/>
                <w:lang w:val="en-GB"/>
              </w:rPr>
            </w:pPr>
            <w:r w:rsidRPr="00130DB8">
              <w:rPr>
                <w:sz w:val="20"/>
                <w:szCs w:val="20"/>
                <w:highlight w:val="none"/>
              </w:rPr>
              <w:t xml:space="preserve">Ziegler A, Bedenlier S, Gläser-Zikuda M, et al (2021) Helplessness among university students: An empirical study based on a modified framework of implicit personality theories. Educ Sci 11(10). </w:t>
            </w:r>
            <w:hyperlink r:id="rId223" w:history="1">
              <w:r w:rsidRPr="00130DB8">
                <w:rPr>
                  <w:rStyle w:val="Hyperlink"/>
                  <w:sz w:val="20"/>
                  <w:szCs w:val="20"/>
                  <w:highlight w:val="none"/>
                </w:rPr>
                <w:t>https://doi.org/10.3390/educsci11100630</w:t>
              </w:r>
            </w:hyperlink>
          </w:p>
        </w:tc>
      </w:tr>
      <w:tr w:rsidR="00097971" w:rsidRPr="00130DB8" w14:paraId="3B153913" w14:textId="77777777" w:rsidTr="00097971">
        <w:trPr>
          <w:trHeight w:val="830"/>
        </w:trPr>
        <w:tc>
          <w:tcPr>
            <w:tcW w:w="5000" w:type="pct"/>
            <w:tcBorders>
              <w:bottom w:val="single" w:sz="4" w:space="0" w:color="auto"/>
            </w:tcBorders>
            <w:tcMar>
              <w:top w:w="100" w:type="dxa"/>
              <w:left w:w="108" w:type="dxa"/>
              <w:bottom w:w="100" w:type="dxa"/>
              <w:right w:w="108" w:type="dxa"/>
            </w:tcMar>
          </w:tcPr>
          <w:p w14:paraId="532E879B" w14:textId="780B064C" w:rsidR="00097971" w:rsidRPr="00130DB8" w:rsidRDefault="00097971" w:rsidP="00097971">
            <w:pPr>
              <w:pBdr>
                <w:top w:val="nil"/>
                <w:left w:val="nil"/>
                <w:bottom w:val="nil"/>
                <w:right w:val="nil"/>
                <w:between w:val="nil"/>
              </w:pBdr>
              <w:spacing w:line="240" w:lineRule="auto"/>
              <w:ind w:left="459" w:hanging="459"/>
              <w:rPr>
                <w:sz w:val="20"/>
                <w:szCs w:val="20"/>
                <w:highlight w:val="none"/>
              </w:rPr>
            </w:pPr>
            <w:r w:rsidRPr="00130DB8">
              <w:rPr>
                <w:sz w:val="20"/>
                <w:szCs w:val="20"/>
                <w:highlight w:val="none"/>
              </w:rPr>
              <w:t xml:space="preserve">Zylka J, Christoph G, Kroehne U, et al (2015) Moving beyond cognitive elements of ICT literacy: First evidence on the structure of ICT engagement. Comput Hum Behav 53:149–160. </w:t>
            </w:r>
            <w:hyperlink r:id="rId224" w:history="1">
              <w:r w:rsidRPr="00130DB8">
                <w:rPr>
                  <w:rStyle w:val="Hyperlink"/>
                  <w:sz w:val="20"/>
                  <w:szCs w:val="20"/>
                  <w:highlight w:val="none"/>
                </w:rPr>
                <w:t>https://doi.org/10.1016/j.chb.2015.07.008</w:t>
              </w:r>
            </w:hyperlink>
          </w:p>
        </w:tc>
      </w:tr>
    </w:tbl>
    <w:p w14:paraId="0FDA7AD8" w14:textId="77777777" w:rsidR="00BD525F" w:rsidRPr="00130DB8" w:rsidRDefault="00BD525F" w:rsidP="00BD525F">
      <w:pPr>
        <w:rPr>
          <w:b/>
          <w:color w:val="000000"/>
          <w:sz w:val="20"/>
          <w:szCs w:val="20"/>
          <w:highlight w:val="none"/>
          <w:shd w:val="clear" w:color="auto" w:fill="auto"/>
          <w:lang w:val="en-GB"/>
        </w:rPr>
        <w:sectPr w:rsidR="00BD525F" w:rsidRPr="00130DB8">
          <w:pgSz w:w="12240" w:h="15840"/>
          <w:pgMar w:top="1440" w:right="1440" w:bottom="1440" w:left="1440" w:header="720" w:footer="720" w:gutter="0"/>
          <w:cols w:space="720"/>
          <w:titlePg/>
        </w:sectPr>
      </w:pPr>
      <w:r w:rsidRPr="00130DB8">
        <w:rPr>
          <w:sz w:val="20"/>
          <w:szCs w:val="20"/>
          <w:highlight w:val="none"/>
          <w:lang w:val="en-GB"/>
        </w:rPr>
        <w:br w:type="page"/>
      </w:r>
    </w:p>
    <w:p w14:paraId="6DDAA1CB" w14:textId="48E657BF" w:rsidR="00BD525F" w:rsidRPr="00130DB8" w:rsidRDefault="00E04E82" w:rsidP="00BD525F">
      <w:pPr>
        <w:pBdr>
          <w:top w:val="nil"/>
          <w:left w:val="nil"/>
          <w:bottom w:val="nil"/>
          <w:right w:val="nil"/>
          <w:between w:val="nil"/>
        </w:pBdr>
        <w:ind w:firstLine="0"/>
        <w:rPr>
          <w:iCs/>
          <w:color w:val="000000"/>
          <w:sz w:val="20"/>
          <w:szCs w:val="20"/>
          <w:highlight w:val="none"/>
          <w:shd w:val="clear" w:color="auto" w:fill="auto"/>
          <w:lang w:val="en-GB"/>
        </w:rPr>
      </w:pPr>
      <w:r w:rsidRPr="00130DB8">
        <w:rPr>
          <w:b/>
          <w:color w:val="000000"/>
          <w:sz w:val="20"/>
          <w:szCs w:val="20"/>
          <w:highlight w:val="none"/>
          <w:lang w:val="en-GB"/>
        </w:rPr>
        <w:lastRenderedPageBreak/>
        <w:t xml:space="preserve">Supplementary Table S3. </w:t>
      </w:r>
      <w:r w:rsidR="00BD525F" w:rsidRPr="00130DB8">
        <w:rPr>
          <w:iCs/>
          <w:color w:val="000000"/>
          <w:sz w:val="20"/>
          <w:szCs w:val="20"/>
          <w:highlight w:val="none"/>
          <w:lang w:val="en-GB"/>
        </w:rPr>
        <w:t>Categorization of concomitant variables (that have been explored in the context of DC)</w:t>
      </w:r>
    </w:p>
    <w:tbl>
      <w:tblPr>
        <w:tblW w:w="5000" w:type="pct"/>
        <w:tblLook w:val="0400" w:firstRow="0" w:lastRow="0" w:firstColumn="0" w:lastColumn="0" w:noHBand="0" w:noVBand="1"/>
      </w:tblPr>
      <w:tblGrid>
        <w:gridCol w:w="452"/>
        <w:gridCol w:w="1969"/>
        <w:gridCol w:w="10539"/>
      </w:tblGrid>
      <w:tr w:rsidR="00BD525F" w:rsidRPr="00130DB8" w14:paraId="256C2CB3" w14:textId="77777777" w:rsidTr="00BD525F">
        <w:trPr>
          <w:cantSplit/>
          <w:trHeight w:val="66"/>
        </w:trPr>
        <w:tc>
          <w:tcPr>
            <w:tcW w:w="934" w:type="pct"/>
            <w:gridSpan w:val="2"/>
            <w:tcBorders>
              <w:top w:val="single" w:sz="4" w:space="0" w:color="auto"/>
              <w:bottom w:val="single" w:sz="4" w:space="0" w:color="auto"/>
            </w:tcBorders>
            <w:tcMar>
              <w:top w:w="100" w:type="dxa"/>
              <w:left w:w="108" w:type="dxa"/>
              <w:bottom w:w="100" w:type="dxa"/>
              <w:right w:w="108" w:type="dxa"/>
            </w:tcMar>
            <w:vAlign w:val="center"/>
          </w:tcPr>
          <w:p w14:paraId="777DD9CF" w14:textId="77777777" w:rsidR="00BD525F" w:rsidRPr="00130DB8" w:rsidRDefault="00BD525F" w:rsidP="00707BAD">
            <w:pPr>
              <w:pStyle w:val="Table"/>
              <w:jc w:val="center"/>
            </w:pPr>
            <w:r w:rsidRPr="00130DB8">
              <w:t>Type of classification</w:t>
            </w:r>
          </w:p>
        </w:tc>
        <w:tc>
          <w:tcPr>
            <w:tcW w:w="4066" w:type="pct"/>
            <w:tcBorders>
              <w:top w:val="single" w:sz="4" w:space="0" w:color="auto"/>
              <w:bottom w:val="single" w:sz="4" w:space="0" w:color="auto"/>
            </w:tcBorders>
            <w:tcMar>
              <w:top w:w="100" w:type="dxa"/>
              <w:left w:w="108" w:type="dxa"/>
              <w:bottom w:w="100" w:type="dxa"/>
              <w:right w:w="108" w:type="dxa"/>
            </w:tcMar>
            <w:vAlign w:val="center"/>
          </w:tcPr>
          <w:p w14:paraId="3219DE26" w14:textId="77777777" w:rsidR="00BD525F" w:rsidRPr="00130DB8" w:rsidRDefault="00BD525F" w:rsidP="00707BAD">
            <w:pPr>
              <w:pStyle w:val="Table"/>
              <w:jc w:val="center"/>
            </w:pPr>
            <w:r w:rsidRPr="00130DB8">
              <w:t>Concomitant variables</w:t>
            </w:r>
          </w:p>
        </w:tc>
      </w:tr>
      <w:tr w:rsidR="00BD525F" w:rsidRPr="00130DB8" w14:paraId="65656E70" w14:textId="77777777" w:rsidTr="008C5FF2">
        <w:trPr>
          <w:cantSplit/>
          <w:trHeight w:val="683"/>
        </w:trPr>
        <w:tc>
          <w:tcPr>
            <w:tcW w:w="934" w:type="pct"/>
            <w:gridSpan w:val="2"/>
            <w:tcBorders>
              <w:top w:val="single" w:sz="4" w:space="0" w:color="auto"/>
            </w:tcBorders>
            <w:tcMar>
              <w:top w:w="100" w:type="dxa"/>
              <w:left w:w="108" w:type="dxa"/>
              <w:bottom w:w="100" w:type="dxa"/>
              <w:right w:w="108" w:type="dxa"/>
            </w:tcMar>
            <w:vAlign w:val="center"/>
          </w:tcPr>
          <w:p w14:paraId="41FBA126" w14:textId="77777777" w:rsidR="00BD525F" w:rsidRPr="00130DB8" w:rsidRDefault="00BD525F" w:rsidP="00707BAD">
            <w:pPr>
              <w:pStyle w:val="Table"/>
            </w:pPr>
            <w:r w:rsidRPr="00130DB8">
              <w:t>Sociodemographic variables</w:t>
            </w:r>
          </w:p>
        </w:tc>
        <w:tc>
          <w:tcPr>
            <w:tcW w:w="4066" w:type="pct"/>
            <w:tcBorders>
              <w:top w:val="single" w:sz="4" w:space="0" w:color="auto"/>
              <w:bottom w:val="single" w:sz="4" w:space="0" w:color="auto"/>
            </w:tcBorders>
            <w:tcMar>
              <w:top w:w="100" w:type="dxa"/>
              <w:left w:w="108" w:type="dxa"/>
              <w:bottom w:w="100" w:type="dxa"/>
              <w:right w:w="108" w:type="dxa"/>
            </w:tcMar>
          </w:tcPr>
          <w:p w14:paraId="6D620BA3" w14:textId="77777777" w:rsidR="00BD525F" w:rsidRPr="00130DB8" w:rsidRDefault="00BD525F" w:rsidP="00707BAD">
            <w:pPr>
              <w:pStyle w:val="Table"/>
            </w:pPr>
            <w:r w:rsidRPr="00130DB8">
              <w:t>Gender, age, age group, residential area, geographical area, population density of living area, citizenship, country of residence, country of origin, continent, migration background, ethnic background, race</w:t>
            </w:r>
          </w:p>
        </w:tc>
      </w:tr>
      <w:tr w:rsidR="00BD525F" w:rsidRPr="00130DB8" w14:paraId="3B35F63D" w14:textId="77777777" w:rsidTr="00CD179E">
        <w:trPr>
          <w:trHeight w:val="1131"/>
        </w:trPr>
        <w:tc>
          <w:tcPr>
            <w:tcW w:w="174" w:type="pct"/>
            <w:vMerge w:val="restart"/>
            <w:tcMar>
              <w:top w:w="100" w:type="dxa"/>
              <w:left w:w="108" w:type="dxa"/>
              <w:bottom w:w="100" w:type="dxa"/>
              <w:right w:w="108" w:type="dxa"/>
            </w:tcMar>
            <w:textDirection w:val="btLr"/>
            <w:vAlign w:val="center"/>
          </w:tcPr>
          <w:p w14:paraId="7F4AB333" w14:textId="77777777" w:rsidR="00BD525F" w:rsidRPr="00130DB8" w:rsidRDefault="00BD525F" w:rsidP="00707BAD">
            <w:pPr>
              <w:pStyle w:val="Table"/>
              <w:jc w:val="center"/>
            </w:pPr>
            <w:r w:rsidRPr="00130DB8">
              <w:t>Socio-economic variables</w:t>
            </w:r>
          </w:p>
        </w:tc>
        <w:tc>
          <w:tcPr>
            <w:tcW w:w="760" w:type="pct"/>
            <w:tcMar>
              <w:top w:w="100" w:type="dxa"/>
              <w:left w:w="108" w:type="dxa"/>
              <w:bottom w:w="100" w:type="dxa"/>
              <w:right w:w="108" w:type="dxa"/>
            </w:tcMar>
          </w:tcPr>
          <w:p w14:paraId="6FC996AC" w14:textId="77777777" w:rsidR="00BD525F" w:rsidRPr="00130DB8" w:rsidRDefault="00BD525F" w:rsidP="00707BAD">
            <w:pPr>
              <w:pStyle w:val="Table"/>
            </w:pPr>
            <w:r w:rsidRPr="00130DB8">
              <w:t>Family background</w:t>
            </w:r>
          </w:p>
        </w:tc>
        <w:tc>
          <w:tcPr>
            <w:tcW w:w="4066" w:type="pct"/>
            <w:tcBorders>
              <w:top w:val="single" w:sz="4" w:space="0" w:color="auto"/>
            </w:tcBorders>
            <w:tcMar>
              <w:top w:w="100" w:type="dxa"/>
              <w:left w:w="108" w:type="dxa"/>
              <w:bottom w:w="100" w:type="dxa"/>
              <w:right w:w="108" w:type="dxa"/>
            </w:tcMar>
          </w:tcPr>
          <w:p w14:paraId="23A63B19" w14:textId="77777777" w:rsidR="00BD525F" w:rsidRPr="00130DB8" w:rsidRDefault="00BD525F" w:rsidP="00707BAD">
            <w:pPr>
              <w:pStyle w:val="Table"/>
            </w:pPr>
            <w:r w:rsidRPr="00130DB8">
              <w:t>Native language, language integration, foreign language use at home, language at home, family background, gender role orientation, parents’ education, parents’ academical background, mothers’ educational status, mothers’ education level, fathers’ educational status, fathers’ education level, entrepreneurial family backgrounds, occupational status of parents, single-parent family, household size, household occupation, household books, number of books at home</w:t>
            </w:r>
          </w:p>
        </w:tc>
      </w:tr>
      <w:tr w:rsidR="00BD525F" w:rsidRPr="00130DB8" w14:paraId="2BDA2F4A" w14:textId="77777777" w:rsidTr="008C5FF2">
        <w:trPr>
          <w:trHeight w:val="865"/>
        </w:trPr>
        <w:tc>
          <w:tcPr>
            <w:tcW w:w="174" w:type="pct"/>
            <w:vMerge/>
            <w:tcMar>
              <w:top w:w="100" w:type="dxa"/>
              <w:left w:w="108" w:type="dxa"/>
              <w:bottom w:w="100" w:type="dxa"/>
              <w:right w:w="108" w:type="dxa"/>
            </w:tcMar>
            <w:textDirection w:val="btLr"/>
            <w:vAlign w:val="center"/>
          </w:tcPr>
          <w:p w14:paraId="203458EE" w14:textId="77777777" w:rsidR="00BD525F" w:rsidRPr="00130DB8" w:rsidRDefault="00BD525F" w:rsidP="00707BAD">
            <w:pPr>
              <w:pStyle w:val="Table"/>
              <w:jc w:val="center"/>
            </w:pPr>
          </w:p>
        </w:tc>
        <w:tc>
          <w:tcPr>
            <w:tcW w:w="760" w:type="pct"/>
            <w:tcMar>
              <w:top w:w="100" w:type="dxa"/>
              <w:left w:w="108" w:type="dxa"/>
              <w:bottom w:w="100" w:type="dxa"/>
              <w:right w:w="108" w:type="dxa"/>
            </w:tcMar>
          </w:tcPr>
          <w:p w14:paraId="134462FA" w14:textId="77777777" w:rsidR="00BD525F" w:rsidRPr="00130DB8" w:rsidRDefault="00BD525F" w:rsidP="00707BAD">
            <w:pPr>
              <w:pStyle w:val="Table"/>
            </w:pPr>
            <w:r w:rsidRPr="00130DB8">
              <w:t xml:space="preserve">Social </w:t>
            </w:r>
          </w:p>
        </w:tc>
        <w:tc>
          <w:tcPr>
            <w:tcW w:w="4066" w:type="pct"/>
            <w:tcMar>
              <w:top w:w="100" w:type="dxa"/>
              <w:left w:w="108" w:type="dxa"/>
              <w:bottom w:w="100" w:type="dxa"/>
              <w:right w:w="108" w:type="dxa"/>
            </w:tcMar>
          </w:tcPr>
          <w:p w14:paraId="4195D35B" w14:textId="77777777" w:rsidR="00BD525F" w:rsidRPr="00130DB8" w:rsidRDefault="00BD525F" w:rsidP="00707BAD">
            <w:pPr>
              <w:pStyle w:val="Table"/>
            </w:pPr>
            <w:r w:rsidRPr="00130DB8">
              <w:t>Socio-economic status, socio-economic group, social background, social capital, ESCS (economic, social, and cultural status), social status, family socio-economic status, household social group, cultural capital, political party sympathies, composite polity score</w:t>
            </w:r>
          </w:p>
        </w:tc>
      </w:tr>
      <w:tr w:rsidR="00BD525F" w:rsidRPr="00130DB8" w14:paraId="211FE76E" w14:textId="77777777" w:rsidTr="00CD179E">
        <w:trPr>
          <w:trHeight w:val="1255"/>
        </w:trPr>
        <w:tc>
          <w:tcPr>
            <w:tcW w:w="174" w:type="pct"/>
            <w:vMerge/>
            <w:tcMar>
              <w:top w:w="100" w:type="dxa"/>
              <w:left w:w="108" w:type="dxa"/>
              <w:bottom w:w="100" w:type="dxa"/>
              <w:right w:w="108" w:type="dxa"/>
            </w:tcMar>
            <w:textDirection w:val="btLr"/>
            <w:vAlign w:val="center"/>
          </w:tcPr>
          <w:p w14:paraId="6C54EC91" w14:textId="77777777" w:rsidR="00BD525F" w:rsidRPr="00130DB8" w:rsidRDefault="00BD525F" w:rsidP="00707BAD">
            <w:pPr>
              <w:pStyle w:val="Table"/>
              <w:jc w:val="center"/>
            </w:pPr>
          </w:p>
        </w:tc>
        <w:tc>
          <w:tcPr>
            <w:tcW w:w="760" w:type="pct"/>
            <w:tcMar>
              <w:top w:w="100" w:type="dxa"/>
              <w:left w:w="108" w:type="dxa"/>
              <w:bottom w:w="100" w:type="dxa"/>
              <w:right w:w="108" w:type="dxa"/>
            </w:tcMar>
          </w:tcPr>
          <w:p w14:paraId="110469D8" w14:textId="77777777" w:rsidR="00BD525F" w:rsidRPr="00130DB8" w:rsidRDefault="00BD525F" w:rsidP="00707BAD">
            <w:pPr>
              <w:pStyle w:val="Table"/>
            </w:pPr>
            <w:r w:rsidRPr="00130DB8">
              <w:t>Economic</w:t>
            </w:r>
          </w:p>
        </w:tc>
        <w:tc>
          <w:tcPr>
            <w:tcW w:w="4066" w:type="pct"/>
            <w:tcBorders>
              <w:bottom w:val="single" w:sz="4" w:space="0" w:color="auto"/>
            </w:tcBorders>
            <w:tcMar>
              <w:top w:w="100" w:type="dxa"/>
              <w:left w:w="108" w:type="dxa"/>
              <w:bottom w:w="100" w:type="dxa"/>
              <w:right w:w="108" w:type="dxa"/>
            </w:tcMar>
          </w:tcPr>
          <w:p w14:paraId="715D3DFC" w14:textId="77777777" w:rsidR="00BD525F" w:rsidRPr="00130DB8" w:rsidRDefault="00BD525F" w:rsidP="00707BAD">
            <w:pPr>
              <w:pStyle w:val="Table"/>
            </w:pPr>
            <w:r w:rsidRPr="00130DB8">
              <w:t>Monthly expenses, standard of living, pocket money, ability to pay, lost job, occupation, youth employability, gross domestic product (GDP), research &amp; development as % of GDP, secondary educational expenditures as % of GDP, economic development, educational expenditures, income inequality, family income, household income, household expenditure quintile group, having a job while studying</w:t>
            </w:r>
          </w:p>
        </w:tc>
      </w:tr>
      <w:tr w:rsidR="00BD525F" w:rsidRPr="00130DB8" w14:paraId="250A1C40" w14:textId="77777777" w:rsidTr="00CD179E">
        <w:trPr>
          <w:trHeight w:val="1377"/>
        </w:trPr>
        <w:tc>
          <w:tcPr>
            <w:tcW w:w="174" w:type="pct"/>
            <w:vMerge w:val="restart"/>
            <w:tcMar>
              <w:top w:w="100" w:type="dxa"/>
              <w:left w:w="108" w:type="dxa"/>
              <w:bottom w:w="100" w:type="dxa"/>
              <w:right w:w="108" w:type="dxa"/>
            </w:tcMar>
            <w:textDirection w:val="btLr"/>
            <w:vAlign w:val="center"/>
          </w:tcPr>
          <w:p w14:paraId="5FFE3C9A" w14:textId="77777777" w:rsidR="00BD525F" w:rsidRPr="00130DB8" w:rsidRDefault="00BD525F" w:rsidP="00707BAD">
            <w:pPr>
              <w:pStyle w:val="Table"/>
              <w:jc w:val="center"/>
            </w:pPr>
            <w:r w:rsidRPr="00130DB8">
              <w:t>Educational variables</w:t>
            </w:r>
          </w:p>
        </w:tc>
        <w:tc>
          <w:tcPr>
            <w:tcW w:w="760" w:type="pct"/>
            <w:tcMar>
              <w:top w:w="100" w:type="dxa"/>
              <w:left w:w="108" w:type="dxa"/>
              <w:bottom w:w="100" w:type="dxa"/>
              <w:right w:w="108" w:type="dxa"/>
            </w:tcMar>
          </w:tcPr>
          <w:p w14:paraId="3767D163" w14:textId="77777777" w:rsidR="00BD525F" w:rsidRPr="00130DB8" w:rsidRDefault="00BD525F" w:rsidP="00707BAD">
            <w:pPr>
              <w:pStyle w:val="Table"/>
            </w:pPr>
            <w:r w:rsidRPr="00130DB8">
              <w:t>Educational/ academic setting</w:t>
            </w:r>
          </w:p>
        </w:tc>
        <w:tc>
          <w:tcPr>
            <w:tcW w:w="4066" w:type="pct"/>
            <w:tcBorders>
              <w:top w:val="single" w:sz="4" w:space="0" w:color="auto"/>
            </w:tcBorders>
            <w:tcMar>
              <w:top w:w="100" w:type="dxa"/>
              <w:left w:w="108" w:type="dxa"/>
              <w:bottom w:w="100" w:type="dxa"/>
              <w:right w:w="108" w:type="dxa"/>
            </w:tcMar>
          </w:tcPr>
          <w:p w14:paraId="24D89CF5" w14:textId="77777777" w:rsidR="00BD525F" w:rsidRPr="00130DB8" w:rsidRDefault="00BD525F" w:rsidP="00707BAD">
            <w:pPr>
              <w:pStyle w:val="Table"/>
            </w:pPr>
            <w:r w:rsidRPr="00130DB8">
              <w:t>School, type of school, type of high school the student had attended, population density of school area, school SES, high school GPA, specialization of school, university, home university, specialization of university, language of instruction, campus networking, inclusion in academic settings/exclusion from academic settings, learning agency, academic major, academic discipline, academic specialization, department, academic orientation, field of study, domain of study, study mode, vocational apprenticeship, field of vocational education, type of education, administration support, university ICT support, digitally supportive schools,  digitally confident and supportive teachers</w:t>
            </w:r>
          </w:p>
        </w:tc>
      </w:tr>
      <w:tr w:rsidR="00BD525F" w:rsidRPr="00130DB8" w14:paraId="7FDCED86" w14:textId="77777777" w:rsidTr="00CD179E">
        <w:trPr>
          <w:trHeight w:val="363"/>
        </w:trPr>
        <w:tc>
          <w:tcPr>
            <w:tcW w:w="174" w:type="pct"/>
            <w:vMerge/>
            <w:tcMar>
              <w:top w:w="100" w:type="dxa"/>
              <w:left w:w="108" w:type="dxa"/>
              <w:bottom w:w="100" w:type="dxa"/>
              <w:right w:w="108" w:type="dxa"/>
            </w:tcMar>
            <w:textDirection w:val="btLr"/>
            <w:vAlign w:val="center"/>
          </w:tcPr>
          <w:p w14:paraId="0FEA9467" w14:textId="77777777" w:rsidR="00BD525F" w:rsidRPr="00130DB8" w:rsidRDefault="00BD525F" w:rsidP="00707BAD">
            <w:pPr>
              <w:pStyle w:val="Table"/>
              <w:jc w:val="center"/>
            </w:pPr>
          </w:p>
        </w:tc>
        <w:tc>
          <w:tcPr>
            <w:tcW w:w="760" w:type="pct"/>
            <w:tcMar>
              <w:top w:w="100" w:type="dxa"/>
              <w:left w:w="108" w:type="dxa"/>
              <w:bottom w:w="100" w:type="dxa"/>
              <w:right w:w="108" w:type="dxa"/>
            </w:tcMar>
          </w:tcPr>
          <w:p w14:paraId="354BDC08" w14:textId="77777777" w:rsidR="00BD525F" w:rsidRPr="00130DB8" w:rsidRDefault="00BD525F" w:rsidP="00707BAD">
            <w:pPr>
              <w:pStyle w:val="Table"/>
            </w:pPr>
            <w:r w:rsidRPr="00130DB8">
              <w:t xml:space="preserve">Educational level  </w:t>
            </w:r>
          </w:p>
        </w:tc>
        <w:tc>
          <w:tcPr>
            <w:tcW w:w="4066" w:type="pct"/>
            <w:tcMar>
              <w:top w:w="100" w:type="dxa"/>
              <w:left w:w="108" w:type="dxa"/>
              <w:bottom w:w="100" w:type="dxa"/>
              <w:right w:w="108" w:type="dxa"/>
            </w:tcMar>
          </w:tcPr>
          <w:p w14:paraId="3A44E39E" w14:textId="77777777" w:rsidR="00BD525F" w:rsidRPr="00130DB8" w:rsidRDefault="00BD525F" w:rsidP="00707BAD">
            <w:pPr>
              <w:pStyle w:val="Table"/>
            </w:pPr>
            <w:r w:rsidRPr="00130DB8">
              <w:t>Educational status, education, school level, level of study, study level, academic degree, academic year, prior academic experience, upper-secondary school program</w:t>
            </w:r>
          </w:p>
        </w:tc>
      </w:tr>
      <w:tr w:rsidR="00BD525F" w:rsidRPr="00130DB8" w14:paraId="3455381B" w14:textId="77777777" w:rsidTr="00CD179E">
        <w:trPr>
          <w:trHeight w:val="863"/>
        </w:trPr>
        <w:tc>
          <w:tcPr>
            <w:tcW w:w="174" w:type="pct"/>
            <w:vMerge/>
            <w:tcMar>
              <w:top w:w="100" w:type="dxa"/>
              <w:left w:w="108" w:type="dxa"/>
              <w:bottom w:w="100" w:type="dxa"/>
              <w:right w:w="108" w:type="dxa"/>
            </w:tcMar>
            <w:textDirection w:val="btLr"/>
            <w:vAlign w:val="center"/>
          </w:tcPr>
          <w:p w14:paraId="599138AC" w14:textId="77777777" w:rsidR="00BD525F" w:rsidRPr="00130DB8" w:rsidRDefault="00BD525F" w:rsidP="00707BAD">
            <w:pPr>
              <w:pStyle w:val="Table"/>
              <w:jc w:val="center"/>
            </w:pPr>
          </w:p>
        </w:tc>
        <w:tc>
          <w:tcPr>
            <w:tcW w:w="760" w:type="pct"/>
            <w:tcMar>
              <w:top w:w="100" w:type="dxa"/>
              <w:left w:w="108" w:type="dxa"/>
              <w:bottom w:w="100" w:type="dxa"/>
              <w:right w:w="108" w:type="dxa"/>
            </w:tcMar>
          </w:tcPr>
          <w:p w14:paraId="3337F63A" w14:textId="77777777" w:rsidR="00BD525F" w:rsidRPr="00130DB8" w:rsidRDefault="00BD525F" w:rsidP="00707BAD">
            <w:pPr>
              <w:pStyle w:val="Table"/>
            </w:pPr>
            <w:r w:rsidRPr="00130DB8">
              <w:t>Academic performance</w:t>
            </w:r>
          </w:p>
        </w:tc>
        <w:tc>
          <w:tcPr>
            <w:tcW w:w="4066" w:type="pct"/>
            <w:tcBorders>
              <w:bottom w:val="single" w:sz="4" w:space="0" w:color="auto"/>
            </w:tcBorders>
            <w:tcMar>
              <w:top w:w="100" w:type="dxa"/>
              <w:left w:w="108" w:type="dxa"/>
              <w:bottom w:w="100" w:type="dxa"/>
              <w:right w:w="108" w:type="dxa"/>
            </w:tcMar>
          </w:tcPr>
          <w:p w14:paraId="04EDDD73" w14:textId="77777777" w:rsidR="00BD525F" w:rsidRPr="00130DB8" w:rsidRDefault="00BD525F" w:rsidP="00707BAD">
            <w:pPr>
              <w:pStyle w:val="Table"/>
            </w:pPr>
            <w:r w:rsidRPr="00130DB8">
              <w:t>Classroom grades, performance on standardized exams, academic performance, academic achievement, academic success, academic outcome, science performance, reading performance, behaviour grades, science achievement, reading achievement, mathematics achievement, students’ qualification, university entrance qualification</w:t>
            </w:r>
          </w:p>
        </w:tc>
      </w:tr>
      <w:tr w:rsidR="00BD525F" w:rsidRPr="00130DB8" w14:paraId="56E7B406" w14:textId="77777777" w:rsidTr="00BD525F">
        <w:tc>
          <w:tcPr>
            <w:tcW w:w="174" w:type="pct"/>
            <w:vMerge w:val="restart"/>
            <w:tcMar>
              <w:top w:w="100" w:type="dxa"/>
              <w:left w:w="108" w:type="dxa"/>
              <w:bottom w:w="100" w:type="dxa"/>
              <w:right w:w="108" w:type="dxa"/>
            </w:tcMar>
            <w:textDirection w:val="btLr"/>
            <w:vAlign w:val="center"/>
          </w:tcPr>
          <w:p w14:paraId="4456278B" w14:textId="77777777" w:rsidR="00BD525F" w:rsidRPr="00130DB8" w:rsidRDefault="00BD525F" w:rsidP="00707BAD">
            <w:pPr>
              <w:pStyle w:val="Table"/>
              <w:jc w:val="center"/>
            </w:pPr>
            <w:r w:rsidRPr="00130DB8">
              <w:lastRenderedPageBreak/>
              <w:t>(ICT-related) person characteristics</w:t>
            </w:r>
          </w:p>
        </w:tc>
        <w:tc>
          <w:tcPr>
            <w:tcW w:w="760" w:type="pct"/>
            <w:tcMar>
              <w:top w:w="100" w:type="dxa"/>
              <w:left w:w="108" w:type="dxa"/>
              <w:bottom w:w="100" w:type="dxa"/>
              <w:right w:w="108" w:type="dxa"/>
            </w:tcMar>
          </w:tcPr>
          <w:p w14:paraId="3837E121" w14:textId="77777777" w:rsidR="00BD525F" w:rsidRPr="00130DB8" w:rsidRDefault="00BD525F" w:rsidP="00707BAD">
            <w:pPr>
              <w:pStyle w:val="Table"/>
            </w:pPr>
            <w:r w:rsidRPr="00130DB8">
              <w:t>Aspirational level/ academic motivation</w:t>
            </w:r>
          </w:p>
        </w:tc>
        <w:tc>
          <w:tcPr>
            <w:tcW w:w="4066" w:type="pct"/>
            <w:tcBorders>
              <w:top w:val="single" w:sz="4" w:space="0" w:color="auto"/>
            </w:tcBorders>
            <w:tcMar>
              <w:top w:w="100" w:type="dxa"/>
              <w:left w:w="108" w:type="dxa"/>
              <w:bottom w:w="100" w:type="dxa"/>
              <w:right w:w="108" w:type="dxa"/>
            </w:tcMar>
          </w:tcPr>
          <w:p w14:paraId="52C47C77" w14:textId="77777777" w:rsidR="00BD525F" w:rsidRPr="00130DB8" w:rsidRDefault="00BD525F" w:rsidP="00707BAD">
            <w:pPr>
              <w:pStyle w:val="Table"/>
            </w:pPr>
            <w:r w:rsidRPr="00130DB8">
              <w:t>Motivation, motivational beliefs, mastery orientation, academic aspirations, academic self-perception, enjoyment of science, interest in broad science topics, science self-efficacy, epistemological beliefs about science, attitude towards science, intention to become a researcher, entrepreneurial attitude, entrepreneurial intention, school interest, academic engagement, student engagement, learning engagement, reason for choosing an academic major, persistence of study choice</w:t>
            </w:r>
          </w:p>
        </w:tc>
      </w:tr>
      <w:tr w:rsidR="00BD525F" w:rsidRPr="00130DB8" w14:paraId="7BF931B4" w14:textId="77777777" w:rsidTr="00BD525F">
        <w:tc>
          <w:tcPr>
            <w:tcW w:w="174" w:type="pct"/>
            <w:vMerge/>
            <w:tcMar>
              <w:top w:w="100" w:type="dxa"/>
              <w:left w:w="108" w:type="dxa"/>
              <w:bottom w:w="100" w:type="dxa"/>
              <w:right w:w="108" w:type="dxa"/>
            </w:tcMar>
            <w:textDirection w:val="btLr"/>
            <w:vAlign w:val="center"/>
          </w:tcPr>
          <w:p w14:paraId="11F23F5F" w14:textId="77777777" w:rsidR="00BD525F" w:rsidRPr="00130DB8" w:rsidRDefault="00BD525F" w:rsidP="00707BAD">
            <w:pPr>
              <w:pStyle w:val="Table"/>
            </w:pPr>
          </w:p>
        </w:tc>
        <w:tc>
          <w:tcPr>
            <w:tcW w:w="760" w:type="pct"/>
            <w:tcMar>
              <w:top w:w="100" w:type="dxa"/>
              <w:left w:w="108" w:type="dxa"/>
              <w:bottom w:w="100" w:type="dxa"/>
              <w:right w:w="108" w:type="dxa"/>
            </w:tcMar>
          </w:tcPr>
          <w:p w14:paraId="1575D64A" w14:textId="77777777" w:rsidR="00BD525F" w:rsidRPr="00130DB8" w:rsidRDefault="00BD525F" w:rsidP="00707BAD">
            <w:pPr>
              <w:pStyle w:val="Table"/>
            </w:pPr>
            <w:r w:rsidRPr="00130DB8">
              <w:t>Cognitive competences</w:t>
            </w:r>
          </w:p>
        </w:tc>
        <w:tc>
          <w:tcPr>
            <w:tcW w:w="4066" w:type="pct"/>
            <w:tcMar>
              <w:top w:w="100" w:type="dxa"/>
              <w:left w:w="108" w:type="dxa"/>
              <w:bottom w:w="100" w:type="dxa"/>
              <w:right w:w="108" w:type="dxa"/>
            </w:tcMar>
          </w:tcPr>
          <w:p w14:paraId="64AA7FE4" w14:textId="77777777" w:rsidR="00BD525F" w:rsidRPr="00130DB8" w:rsidRDefault="00BD525F" w:rsidP="00707BAD">
            <w:pPr>
              <w:pStyle w:val="Table"/>
            </w:pPr>
            <w:r w:rsidRPr="00130DB8">
              <w:t xml:space="preserve">Basic cognitive skills, higher-order thinking competences, higher-order thinking capacities, English proficiency, scientific literacy, mathematical literacy, reading literacy, critical thinking skills, technological pedagogical content knowledge (TPACK), e-Health literacy, core competencies, cognitive engagement, metacognitive knowledge, resource management, digital text comprehension, time management, (level of) computational thinking, (growth of) computational thinking, </w:t>
            </w:r>
          </w:p>
        </w:tc>
      </w:tr>
      <w:tr w:rsidR="00BD525F" w:rsidRPr="00130DB8" w14:paraId="60C439BF" w14:textId="77777777" w:rsidTr="00BD525F">
        <w:tc>
          <w:tcPr>
            <w:tcW w:w="174" w:type="pct"/>
            <w:vMerge/>
            <w:tcMar>
              <w:top w:w="100" w:type="dxa"/>
              <w:left w:w="108" w:type="dxa"/>
              <w:bottom w:w="100" w:type="dxa"/>
              <w:right w:w="108" w:type="dxa"/>
            </w:tcMar>
            <w:textDirection w:val="btLr"/>
            <w:vAlign w:val="center"/>
          </w:tcPr>
          <w:p w14:paraId="21F4CB77" w14:textId="77777777" w:rsidR="00BD525F" w:rsidRPr="00130DB8" w:rsidRDefault="00BD525F" w:rsidP="00707BAD">
            <w:pPr>
              <w:pStyle w:val="Table"/>
            </w:pPr>
          </w:p>
        </w:tc>
        <w:tc>
          <w:tcPr>
            <w:tcW w:w="760" w:type="pct"/>
            <w:tcMar>
              <w:top w:w="100" w:type="dxa"/>
              <w:left w:w="108" w:type="dxa"/>
              <w:bottom w:w="100" w:type="dxa"/>
              <w:right w:w="108" w:type="dxa"/>
            </w:tcMar>
          </w:tcPr>
          <w:p w14:paraId="472E5E7C" w14:textId="77777777" w:rsidR="00BD525F" w:rsidRPr="00130DB8" w:rsidRDefault="00BD525F" w:rsidP="00707BAD">
            <w:pPr>
              <w:pStyle w:val="Table"/>
            </w:pPr>
            <w:r w:rsidRPr="00130DB8">
              <w:t>Personality traits</w:t>
            </w:r>
          </w:p>
        </w:tc>
        <w:tc>
          <w:tcPr>
            <w:tcW w:w="4066" w:type="pct"/>
            <w:tcMar>
              <w:top w:w="100" w:type="dxa"/>
              <w:left w:w="108" w:type="dxa"/>
              <w:bottom w:w="100" w:type="dxa"/>
              <w:right w:w="108" w:type="dxa"/>
            </w:tcMar>
          </w:tcPr>
          <w:p w14:paraId="58EB951C" w14:textId="77777777" w:rsidR="00BD525F" w:rsidRPr="00130DB8" w:rsidRDefault="00BD525F" w:rsidP="00707BAD">
            <w:pPr>
              <w:pStyle w:val="Table"/>
            </w:pPr>
            <w:r w:rsidRPr="00130DB8">
              <w:t>Intelligence, autistic traits, self-esteem, self-concept, creative self-concept, risk taking, modifiability beliefs, stability beliefs, constructivist belief, working type, learning style, learning strategies, learning agility, incidental learning, teamwork competence</w:t>
            </w:r>
          </w:p>
        </w:tc>
      </w:tr>
      <w:tr w:rsidR="00BD525F" w:rsidRPr="00130DB8" w14:paraId="5F4847E0" w14:textId="77777777" w:rsidTr="00BD525F">
        <w:tc>
          <w:tcPr>
            <w:tcW w:w="174" w:type="pct"/>
            <w:vMerge/>
            <w:tcMar>
              <w:top w:w="100" w:type="dxa"/>
              <w:left w:w="108" w:type="dxa"/>
              <w:bottom w:w="100" w:type="dxa"/>
              <w:right w:w="108" w:type="dxa"/>
            </w:tcMar>
            <w:textDirection w:val="btLr"/>
            <w:vAlign w:val="center"/>
          </w:tcPr>
          <w:p w14:paraId="62E847C6" w14:textId="77777777" w:rsidR="00BD525F" w:rsidRPr="00130DB8" w:rsidRDefault="00BD525F" w:rsidP="00707BAD">
            <w:pPr>
              <w:pStyle w:val="Table"/>
            </w:pPr>
          </w:p>
        </w:tc>
        <w:tc>
          <w:tcPr>
            <w:tcW w:w="760" w:type="pct"/>
            <w:tcMar>
              <w:top w:w="100" w:type="dxa"/>
              <w:left w:w="108" w:type="dxa"/>
              <w:bottom w:w="100" w:type="dxa"/>
              <w:right w:w="108" w:type="dxa"/>
            </w:tcMar>
          </w:tcPr>
          <w:p w14:paraId="04166CA5" w14:textId="77777777" w:rsidR="00BD525F" w:rsidRPr="00130DB8" w:rsidRDefault="00BD525F" w:rsidP="00707BAD">
            <w:pPr>
              <w:pStyle w:val="Table"/>
            </w:pPr>
            <w:r w:rsidRPr="00130DB8">
              <w:t>Psycho-social characteristics</w:t>
            </w:r>
          </w:p>
        </w:tc>
        <w:tc>
          <w:tcPr>
            <w:tcW w:w="4066" w:type="pct"/>
            <w:tcMar>
              <w:top w:w="100" w:type="dxa"/>
              <w:left w:w="108" w:type="dxa"/>
              <w:bottom w:w="100" w:type="dxa"/>
              <w:right w:w="108" w:type="dxa"/>
            </w:tcMar>
          </w:tcPr>
          <w:p w14:paraId="6B52B720" w14:textId="77777777" w:rsidR="00BD525F" w:rsidRPr="00130DB8" w:rsidRDefault="00BD525F" w:rsidP="00707BAD">
            <w:pPr>
              <w:pStyle w:val="Table"/>
            </w:pPr>
            <w:r w:rsidRPr="00130DB8">
              <w:t>Peer support, social support, perceived family support, perceived peer support, social influence, eustress, distress, stress, burnout, well-being, help-seeking behaviours, mental load, mental effort, academic burnout, helplessness, mindfulness, life satisfaction, self-efficacy, identity status</w:t>
            </w:r>
          </w:p>
        </w:tc>
      </w:tr>
      <w:tr w:rsidR="00BD525F" w:rsidRPr="00130DB8" w14:paraId="036D8526" w14:textId="77777777" w:rsidTr="00BD525F">
        <w:tc>
          <w:tcPr>
            <w:tcW w:w="174" w:type="pct"/>
            <w:vMerge/>
            <w:tcMar>
              <w:top w:w="100" w:type="dxa"/>
              <w:left w:w="108" w:type="dxa"/>
              <w:bottom w:w="100" w:type="dxa"/>
              <w:right w:w="108" w:type="dxa"/>
            </w:tcMar>
            <w:textDirection w:val="btLr"/>
            <w:vAlign w:val="center"/>
          </w:tcPr>
          <w:p w14:paraId="72FA42F3" w14:textId="77777777" w:rsidR="00BD525F" w:rsidRPr="00130DB8" w:rsidRDefault="00BD525F" w:rsidP="00707BAD">
            <w:pPr>
              <w:pStyle w:val="Table"/>
            </w:pPr>
          </w:p>
        </w:tc>
        <w:tc>
          <w:tcPr>
            <w:tcW w:w="760" w:type="pct"/>
            <w:tcMar>
              <w:top w:w="100" w:type="dxa"/>
              <w:left w:w="108" w:type="dxa"/>
              <w:bottom w:w="100" w:type="dxa"/>
              <w:right w:w="108" w:type="dxa"/>
            </w:tcMar>
          </w:tcPr>
          <w:p w14:paraId="05E757AC" w14:textId="77777777" w:rsidR="00BD525F" w:rsidRPr="00130DB8" w:rsidRDefault="00BD525F" w:rsidP="00707BAD">
            <w:pPr>
              <w:pStyle w:val="Table"/>
            </w:pPr>
            <w:r w:rsidRPr="00130DB8">
              <w:t>IT access</w:t>
            </w:r>
          </w:p>
        </w:tc>
        <w:tc>
          <w:tcPr>
            <w:tcW w:w="4066" w:type="pct"/>
            <w:tcMar>
              <w:top w:w="100" w:type="dxa"/>
              <w:left w:w="108" w:type="dxa"/>
              <w:bottom w:w="100" w:type="dxa"/>
              <w:right w:w="108" w:type="dxa"/>
            </w:tcMar>
          </w:tcPr>
          <w:p w14:paraId="171B0A79" w14:textId="77777777" w:rsidR="00BD525F" w:rsidRPr="00130DB8" w:rsidRDefault="00BD525F" w:rsidP="00707BAD">
            <w:pPr>
              <w:pStyle w:val="Table"/>
            </w:pPr>
            <w:r w:rsidRPr="00130DB8">
              <w:t xml:space="preserve">Digital resources, household with computers and Internet, home internet access, home internet connection, home infrastructure, internet access at home, computer at home, use of PC of family members at home, use of PC of family members at work, internet access tools, ICT access, IT access, ICT availability, device connection to the Internet, owned equipment device, owning a computer, owning a tablet, having a personal computer, computer ownership, ownership mobile phone, connection with the Internet, usual internet connection location, connection place, places of access to internet, type of device used, number of available access locations, </w:t>
            </w:r>
          </w:p>
        </w:tc>
      </w:tr>
      <w:tr w:rsidR="00BD525F" w:rsidRPr="00130DB8" w14:paraId="421A6DEC" w14:textId="77777777" w:rsidTr="00BD525F">
        <w:tc>
          <w:tcPr>
            <w:tcW w:w="174" w:type="pct"/>
            <w:vMerge/>
            <w:tcMar>
              <w:top w:w="100" w:type="dxa"/>
              <w:left w:w="108" w:type="dxa"/>
              <w:bottom w:w="100" w:type="dxa"/>
              <w:right w:w="108" w:type="dxa"/>
            </w:tcMar>
            <w:textDirection w:val="btLr"/>
            <w:vAlign w:val="center"/>
          </w:tcPr>
          <w:p w14:paraId="1B99B755" w14:textId="77777777" w:rsidR="00BD525F" w:rsidRPr="00130DB8" w:rsidRDefault="00BD525F" w:rsidP="00707BAD">
            <w:pPr>
              <w:pStyle w:val="Table"/>
            </w:pPr>
          </w:p>
        </w:tc>
        <w:tc>
          <w:tcPr>
            <w:tcW w:w="760" w:type="pct"/>
            <w:tcMar>
              <w:top w:w="100" w:type="dxa"/>
              <w:left w:w="108" w:type="dxa"/>
              <w:bottom w:w="100" w:type="dxa"/>
              <w:right w:w="108" w:type="dxa"/>
            </w:tcMar>
          </w:tcPr>
          <w:p w14:paraId="731AF804" w14:textId="77777777" w:rsidR="00BD525F" w:rsidRPr="00130DB8" w:rsidRDefault="00BD525F" w:rsidP="00707BAD">
            <w:pPr>
              <w:pStyle w:val="Table"/>
            </w:pPr>
            <w:r w:rsidRPr="00130DB8">
              <w:t xml:space="preserve">ICT usage </w:t>
            </w:r>
          </w:p>
        </w:tc>
        <w:tc>
          <w:tcPr>
            <w:tcW w:w="4066" w:type="pct"/>
            <w:tcMar>
              <w:top w:w="100" w:type="dxa"/>
              <w:left w:w="108" w:type="dxa"/>
              <w:bottom w:w="100" w:type="dxa"/>
              <w:right w:w="108" w:type="dxa"/>
            </w:tcMar>
          </w:tcPr>
          <w:p w14:paraId="6CA99DDF" w14:textId="77777777" w:rsidR="00BD525F" w:rsidRPr="00130DB8" w:rsidRDefault="00BD525F" w:rsidP="00707BAD">
            <w:pPr>
              <w:pStyle w:val="Table"/>
            </w:pPr>
            <w:r w:rsidRPr="00130DB8">
              <w:t>ICT use, personal ICT use, personal computer use, prospective computer use, integration of ICT, internet usage, breadth of ICT usage, digital technology usage, technology use habits, computer use profile, utilization of social media, social media usage status (SMU), time spent using digital media, frequency of use of certain electronic activities, frequency of computer use, frequency of ICT usage at home, frequency of ICT usage at school, frequency of PC use at home, frequency of PC use at school, internet use frequency, frequency of ICT use, frequency of internet use, frequency of connecting to the internet, level of computer usage, time to surf the internet, daily internet usage, daily length of computer use, daily computer use, computer use, hours of daily internet access, intensity of ICT use, IT involvement, internet use disorder tendencies, internet use disorder symptoms</w:t>
            </w:r>
          </w:p>
        </w:tc>
      </w:tr>
      <w:tr w:rsidR="00BD525F" w:rsidRPr="00130DB8" w14:paraId="5D94F5CE" w14:textId="77777777" w:rsidTr="00BD525F">
        <w:trPr>
          <w:trHeight w:val="467"/>
        </w:trPr>
        <w:tc>
          <w:tcPr>
            <w:tcW w:w="174" w:type="pct"/>
            <w:vMerge/>
            <w:tcMar>
              <w:top w:w="100" w:type="dxa"/>
              <w:left w:w="108" w:type="dxa"/>
              <w:bottom w:w="100" w:type="dxa"/>
              <w:right w:w="108" w:type="dxa"/>
            </w:tcMar>
            <w:textDirection w:val="btLr"/>
            <w:vAlign w:val="center"/>
          </w:tcPr>
          <w:p w14:paraId="0AF7BE98" w14:textId="77777777" w:rsidR="00BD525F" w:rsidRPr="00130DB8" w:rsidRDefault="00BD525F" w:rsidP="00707BAD">
            <w:pPr>
              <w:pStyle w:val="Table"/>
            </w:pPr>
          </w:p>
        </w:tc>
        <w:tc>
          <w:tcPr>
            <w:tcW w:w="760" w:type="pct"/>
            <w:vMerge w:val="restart"/>
            <w:tcMar>
              <w:top w:w="100" w:type="dxa"/>
              <w:left w:w="108" w:type="dxa"/>
              <w:bottom w:w="100" w:type="dxa"/>
              <w:right w:w="108" w:type="dxa"/>
            </w:tcMar>
          </w:tcPr>
          <w:p w14:paraId="5D57881C" w14:textId="77777777" w:rsidR="00BD525F" w:rsidRPr="00130DB8" w:rsidRDefault="00BD525F" w:rsidP="00707BAD">
            <w:pPr>
              <w:pStyle w:val="Table"/>
            </w:pPr>
            <w:r w:rsidRPr="00130DB8">
              <w:t>ICT usage motives / activities</w:t>
            </w:r>
          </w:p>
        </w:tc>
        <w:tc>
          <w:tcPr>
            <w:tcW w:w="4066" w:type="pct"/>
            <w:vMerge w:val="restart"/>
            <w:tcMar>
              <w:top w:w="100" w:type="dxa"/>
              <w:left w:w="108" w:type="dxa"/>
              <w:bottom w:w="100" w:type="dxa"/>
              <w:right w:w="108" w:type="dxa"/>
            </w:tcMar>
          </w:tcPr>
          <w:p w14:paraId="020D9189" w14:textId="77777777" w:rsidR="00BD525F" w:rsidRPr="00130DB8" w:rsidRDefault="00BD525F" w:rsidP="00707BAD">
            <w:pPr>
              <w:pStyle w:val="Table"/>
            </w:pPr>
            <w:r w:rsidRPr="00130DB8">
              <w:t xml:space="preserve">ICT usage motives, internet use motives, surfing motives, purpose of using the ICT tools, ICT use for personal purpose, academic ICT use at home, academic ICT use in the classroom, ICT use at school, ICT use outside of school for schoolwork, </w:t>
            </w:r>
            <w:r w:rsidRPr="00130DB8">
              <w:lastRenderedPageBreak/>
              <w:t>ICT use outside of school for leisure, ICT use in social interaction, ICT use for informal learning, ICT use for formal learning, study-oriented ICT behaviour, online learning community participation, digital informal learning, online class participation, online information searching strategies, strategic information use, information use behaviour, deviant online behaviour, intention to engage in plagiarism, willingness to commit cyber-attacks, cybercrime awareness, cybercrime occurrence, online turbulence, online privacy practices, digital piracy, civic online reasoning, detecting sponsored material (sourcing), source critical evaluation in education, information credibility, comparing articles (corroboration), scrutinizing comments and images (evidence), online opportunities, online risks, preferred news, news attention</w:t>
            </w:r>
          </w:p>
        </w:tc>
      </w:tr>
      <w:tr w:rsidR="00BD525F" w:rsidRPr="00130DB8" w14:paraId="6DE0855A" w14:textId="77777777" w:rsidTr="00BD525F">
        <w:trPr>
          <w:trHeight w:val="1134"/>
        </w:trPr>
        <w:tc>
          <w:tcPr>
            <w:tcW w:w="174" w:type="pct"/>
            <w:vMerge/>
            <w:tcMar>
              <w:top w:w="100" w:type="dxa"/>
              <w:left w:w="108" w:type="dxa"/>
              <w:bottom w:w="100" w:type="dxa"/>
              <w:right w:w="108" w:type="dxa"/>
            </w:tcMar>
            <w:textDirection w:val="btLr"/>
            <w:vAlign w:val="center"/>
          </w:tcPr>
          <w:p w14:paraId="36A6D327" w14:textId="77777777" w:rsidR="00BD525F" w:rsidRPr="00130DB8" w:rsidRDefault="00BD525F" w:rsidP="00707BAD">
            <w:pPr>
              <w:pStyle w:val="Table"/>
            </w:pPr>
          </w:p>
        </w:tc>
        <w:tc>
          <w:tcPr>
            <w:tcW w:w="760" w:type="pct"/>
            <w:vMerge/>
            <w:tcMar>
              <w:top w:w="100" w:type="dxa"/>
              <w:left w:w="108" w:type="dxa"/>
              <w:bottom w:w="100" w:type="dxa"/>
              <w:right w:w="108" w:type="dxa"/>
            </w:tcMar>
          </w:tcPr>
          <w:p w14:paraId="38FF5E8D" w14:textId="77777777" w:rsidR="00BD525F" w:rsidRPr="00130DB8" w:rsidRDefault="00BD525F" w:rsidP="00707BAD">
            <w:pPr>
              <w:pStyle w:val="Table"/>
            </w:pPr>
          </w:p>
        </w:tc>
        <w:tc>
          <w:tcPr>
            <w:tcW w:w="4066" w:type="pct"/>
            <w:vMerge/>
            <w:tcMar>
              <w:top w:w="100" w:type="dxa"/>
              <w:left w:w="108" w:type="dxa"/>
              <w:bottom w:w="100" w:type="dxa"/>
              <w:right w:w="108" w:type="dxa"/>
            </w:tcMar>
          </w:tcPr>
          <w:p w14:paraId="37DB29D4" w14:textId="77777777" w:rsidR="00BD525F" w:rsidRPr="00130DB8" w:rsidRDefault="00BD525F" w:rsidP="00707BAD">
            <w:pPr>
              <w:pStyle w:val="Table"/>
            </w:pPr>
          </w:p>
        </w:tc>
      </w:tr>
      <w:tr w:rsidR="00BD525F" w:rsidRPr="00130DB8" w14:paraId="7BAAB8A6" w14:textId="77777777" w:rsidTr="00BD525F">
        <w:trPr>
          <w:trHeight w:val="1307"/>
        </w:trPr>
        <w:tc>
          <w:tcPr>
            <w:tcW w:w="174" w:type="pct"/>
            <w:vMerge/>
            <w:tcMar>
              <w:top w:w="100" w:type="dxa"/>
              <w:left w:w="108" w:type="dxa"/>
              <w:bottom w:w="100" w:type="dxa"/>
              <w:right w:w="108" w:type="dxa"/>
            </w:tcMar>
            <w:textDirection w:val="btLr"/>
            <w:vAlign w:val="center"/>
          </w:tcPr>
          <w:p w14:paraId="5968B7A5" w14:textId="77777777" w:rsidR="00BD525F" w:rsidRPr="00130DB8" w:rsidRDefault="00BD525F" w:rsidP="00707BAD">
            <w:pPr>
              <w:pStyle w:val="Table"/>
            </w:pPr>
          </w:p>
        </w:tc>
        <w:tc>
          <w:tcPr>
            <w:tcW w:w="760" w:type="pct"/>
            <w:tcMar>
              <w:top w:w="100" w:type="dxa"/>
              <w:left w:w="108" w:type="dxa"/>
              <w:bottom w:w="100" w:type="dxa"/>
              <w:right w:w="108" w:type="dxa"/>
            </w:tcMar>
          </w:tcPr>
          <w:p w14:paraId="215A08CA" w14:textId="77777777" w:rsidR="00BD525F" w:rsidRPr="00130DB8" w:rsidRDefault="00BD525F" w:rsidP="00707BAD">
            <w:pPr>
              <w:pStyle w:val="Table"/>
            </w:pPr>
            <w:r w:rsidRPr="00130DB8">
              <w:t>ICT experience</w:t>
            </w:r>
          </w:p>
        </w:tc>
        <w:tc>
          <w:tcPr>
            <w:tcW w:w="4066" w:type="pct"/>
            <w:tcMar>
              <w:top w:w="100" w:type="dxa"/>
              <w:left w:w="108" w:type="dxa"/>
              <w:bottom w:w="100" w:type="dxa"/>
              <w:right w:w="108" w:type="dxa"/>
            </w:tcMar>
          </w:tcPr>
          <w:p w14:paraId="160FEAAD" w14:textId="77777777" w:rsidR="00BD525F" w:rsidRPr="00130DB8" w:rsidRDefault="00BD525F" w:rsidP="00707BAD">
            <w:pPr>
              <w:pStyle w:val="Table"/>
            </w:pPr>
            <w:r w:rsidRPr="00130DB8">
              <w:t>Previous training, previous ICT course, ICT training, having taken an ICT course before, ICT course in secondary school, training on Web 2.0, previous experiences within the everyday life digital environment, age at which one began social network use, prior digital experiences with family, age of first internet access, age at first PC experience, computer-use experience, years of experience with ICT, years using PC, ICT experience in secondary school and at university, previous PC/ internet experience, years online, prior ICT experience, years of experience with computer and internet, internet experience, ICT experience, social media experience, age at which one began social network use, IT learning mechanisms, social media experience ICT experience, past ICT experience, social exposure to ICT</w:t>
            </w:r>
          </w:p>
        </w:tc>
      </w:tr>
      <w:tr w:rsidR="00BD525F" w:rsidRPr="00130DB8" w14:paraId="310CED6C" w14:textId="77777777" w:rsidTr="00BD525F">
        <w:trPr>
          <w:trHeight w:val="2421"/>
        </w:trPr>
        <w:tc>
          <w:tcPr>
            <w:tcW w:w="174" w:type="pct"/>
            <w:vMerge/>
            <w:tcMar>
              <w:top w:w="100" w:type="dxa"/>
              <w:left w:w="108" w:type="dxa"/>
              <w:bottom w:w="100" w:type="dxa"/>
              <w:right w:w="108" w:type="dxa"/>
            </w:tcMar>
            <w:textDirection w:val="btLr"/>
            <w:vAlign w:val="center"/>
          </w:tcPr>
          <w:p w14:paraId="5F7AB549" w14:textId="77777777" w:rsidR="00BD525F" w:rsidRPr="00130DB8" w:rsidRDefault="00BD525F" w:rsidP="00707BAD">
            <w:pPr>
              <w:pStyle w:val="Table"/>
            </w:pPr>
          </w:p>
        </w:tc>
        <w:tc>
          <w:tcPr>
            <w:tcW w:w="760" w:type="pct"/>
            <w:tcMar>
              <w:top w:w="100" w:type="dxa"/>
              <w:left w:w="108" w:type="dxa"/>
              <w:bottom w:w="100" w:type="dxa"/>
              <w:right w:w="108" w:type="dxa"/>
            </w:tcMar>
          </w:tcPr>
          <w:p w14:paraId="01898A77" w14:textId="77777777" w:rsidR="00BD525F" w:rsidRPr="00130DB8" w:rsidRDefault="00BD525F" w:rsidP="00707BAD">
            <w:pPr>
              <w:pStyle w:val="Table"/>
            </w:pPr>
            <w:r w:rsidRPr="00130DB8">
              <w:t>Attitudes towards ICT</w:t>
            </w:r>
          </w:p>
        </w:tc>
        <w:tc>
          <w:tcPr>
            <w:tcW w:w="4066" w:type="pct"/>
            <w:tcMar>
              <w:top w:w="100" w:type="dxa"/>
              <w:left w:w="108" w:type="dxa"/>
              <w:bottom w:w="100" w:type="dxa"/>
              <w:right w:w="108" w:type="dxa"/>
            </w:tcMar>
          </w:tcPr>
          <w:p w14:paraId="14919BA6" w14:textId="77777777" w:rsidR="00BD525F" w:rsidRPr="00130DB8" w:rsidRDefault="00BD525F" w:rsidP="00707BAD">
            <w:pPr>
              <w:pStyle w:val="Table"/>
            </w:pPr>
            <w:r w:rsidRPr="00130DB8">
              <w:t>Computer interest, ICT-related interest, ICT attitude, attitudes towards digital technologies, computer attitude, attitude towards the use of ICT, attitude towards ICT, approaches to digital improvement, personal effort to learn ICT, perception of advantages, perceptions of ICT, perceived usefulness (PU), perceived ease of using (PEOU), attitude towards using internet (ATI), behavioural intention towards internet (BI), intention to technology acceptance, perception of technology, perceived usefulness of computers, perceived usefulness of ICT, perceived usefulness of internet, behaviour expressing a negative attitude towards PC, ICT perception, internet use enjoyment, facilitating conditions, satisfaction with online education, satisfaction with a hybrid learning course, online learning satisfaction, quality of e-learning, expectations towards e-learning course design, attitudes toward using Web 2.0 for constructing their Personal Learning Environments (PLES), perceptions on mobile-based learning media, intention to use digital learning materials, intention to continue using technology for learning, e-learning attitudes, attitude towards computer-assisted education, attitude toward computer in education, students’ belief that ICT is necessary for scientific research, scientific research needs ICT</w:t>
            </w:r>
          </w:p>
        </w:tc>
      </w:tr>
      <w:tr w:rsidR="00BD525F" w:rsidRPr="00130DB8" w14:paraId="3F92E970" w14:textId="77777777" w:rsidTr="00BD525F">
        <w:trPr>
          <w:trHeight w:val="1134"/>
        </w:trPr>
        <w:tc>
          <w:tcPr>
            <w:tcW w:w="174" w:type="pct"/>
            <w:vMerge/>
            <w:tcMar>
              <w:top w:w="100" w:type="dxa"/>
              <w:left w:w="108" w:type="dxa"/>
              <w:bottom w:w="100" w:type="dxa"/>
              <w:right w:w="108" w:type="dxa"/>
            </w:tcMar>
            <w:textDirection w:val="btLr"/>
            <w:vAlign w:val="center"/>
          </w:tcPr>
          <w:p w14:paraId="57FD1D77" w14:textId="77777777" w:rsidR="00BD525F" w:rsidRPr="00130DB8" w:rsidRDefault="00BD525F" w:rsidP="00707BAD">
            <w:pPr>
              <w:pStyle w:val="Table"/>
            </w:pPr>
          </w:p>
        </w:tc>
        <w:tc>
          <w:tcPr>
            <w:tcW w:w="760" w:type="pct"/>
            <w:tcMar>
              <w:top w:w="100" w:type="dxa"/>
              <w:left w:w="108" w:type="dxa"/>
              <w:bottom w:w="100" w:type="dxa"/>
              <w:right w:w="108" w:type="dxa"/>
            </w:tcMar>
          </w:tcPr>
          <w:p w14:paraId="24603C88" w14:textId="77777777" w:rsidR="00BD525F" w:rsidRPr="00130DB8" w:rsidRDefault="00BD525F" w:rsidP="00707BAD">
            <w:pPr>
              <w:pStyle w:val="Table"/>
            </w:pPr>
            <w:r w:rsidRPr="00130DB8">
              <w:t>ICT-related self-expectancy</w:t>
            </w:r>
          </w:p>
        </w:tc>
        <w:tc>
          <w:tcPr>
            <w:tcW w:w="4066" w:type="pct"/>
            <w:tcBorders>
              <w:bottom w:val="single" w:sz="4" w:space="0" w:color="auto"/>
            </w:tcBorders>
            <w:tcMar>
              <w:top w:w="100" w:type="dxa"/>
              <w:left w:w="108" w:type="dxa"/>
              <w:bottom w:w="100" w:type="dxa"/>
              <w:right w:w="108" w:type="dxa"/>
            </w:tcMar>
          </w:tcPr>
          <w:p w14:paraId="1AFEE48E" w14:textId="77777777" w:rsidR="00BD525F" w:rsidRPr="00130DB8" w:rsidRDefault="00BD525F" w:rsidP="00707BAD">
            <w:pPr>
              <w:pStyle w:val="Table"/>
            </w:pPr>
            <w:r w:rsidRPr="00130DB8">
              <w:t>ICT self-efficacy, IT self-efficacy, computer self-efficacy, social media self-efficacy, internet use self-efficacy, computer efficacy, computer anxiety, technology anxiety, anxiety when using ICT, internet use anxiety, ICT confidence, ICT perception, information literacy self-efficacy, ICT familiarity, ease of use, computer self-concept, self-concept related to the use of ICT, computer performance, ICT self-reported confidence, confidence in doing ICT-related activities, control of computers, perceived ease of use or control of ICT, self-rated abilities to find information online, technostress, giving tech support to peers, online learning readiness, effort expectancy, performance expectancy</w:t>
            </w:r>
          </w:p>
        </w:tc>
      </w:tr>
      <w:tr w:rsidR="00BD525F" w:rsidRPr="00130DB8" w14:paraId="38EE0E4A" w14:textId="77777777" w:rsidTr="00BD525F">
        <w:trPr>
          <w:cantSplit/>
          <w:trHeight w:val="566"/>
        </w:trPr>
        <w:tc>
          <w:tcPr>
            <w:tcW w:w="934" w:type="pct"/>
            <w:gridSpan w:val="2"/>
            <w:tcBorders>
              <w:bottom w:val="single" w:sz="4" w:space="0" w:color="auto"/>
            </w:tcBorders>
            <w:tcMar>
              <w:top w:w="100" w:type="dxa"/>
              <w:left w:w="108" w:type="dxa"/>
              <w:bottom w:w="100" w:type="dxa"/>
              <w:right w:w="108" w:type="dxa"/>
            </w:tcMar>
            <w:vAlign w:val="center"/>
          </w:tcPr>
          <w:p w14:paraId="02123CF7" w14:textId="77777777" w:rsidR="00BD525F" w:rsidRPr="00130DB8" w:rsidRDefault="00BD525F" w:rsidP="00707BAD">
            <w:pPr>
              <w:pStyle w:val="Table"/>
            </w:pPr>
            <w:r w:rsidRPr="00130DB8">
              <w:t>Situational (study) characteristics</w:t>
            </w:r>
          </w:p>
        </w:tc>
        <w:tc>
          <w:tcPr>
            <w:tcW w:w="4066" w:type="pct"/>
            <w:tcBorders>
              <w:top w:val="single" w:sz="4" w:space="0" w:color="auto"/>
              <w:bottom w:val="single" w:sz="4" w:space="0" w:color="auto"/>
            </w:tcBorders>
            <w:tcMar>
              <w:top w:w="100" w:type="dxa"/>
              <w:left w:w="108" w:type="dxa"/>
              <w:bottom w:w="100" w:type="dxa"/>
              <w:right w:w="108" w:type="dxa"/>
            </w:tcMar>
          </w:tcPr>
          <w:p w14:paraId="10B989F4" w14:textId="77777777" w:rsidR="00BD525F" w:rsidRPr="00130DB8" w:rsidRDefault="00BD525F" w:rsidP="00707BAD">
            <w:pPr>
              <w:pStyle w:val="Table"/>
            </w:pPr>
            <w:r w:rsidRPr="00130DB8">
              <w:t>Assessment of DC (instrument), DC dimension, software used, time (e.g., different measurement points), intervention, type of intervention, intervention group (control group vs. experimental group)</w:t>
            </w:r>
          </w:p>
        </w:tc>
      </w:tr>
    </w:tbl>
    <w:p w14:paraId="1FA703A7" w14:textId="77777777" w:rsidR="00BD525F" w:rsidRPr="00130DB8" w:rsidRDefault="00BD525F" w:rsidP="00BD525F">
      <w:pPr>
        <w:pBdr>
          <w:top w:val="nil"/>
          <w:left w:val="nil"/>
          <w:bottom w:val="nil"/>
          <w:right w:val="nil"/>
          <w:between w:val="nil"/>
        </w:pBdr>
        <w:spacing w:line="240" w:lineRule="auto"/>
        <w:ind w:firstLine="0"/>
        <w:rPr>
          <w:color w:val="000000"/>
          <w:sz w:val="20"/>
          <w:szCs w:val="20"/>
          <w:highlight w:val="none"/>
          <w:shd w:val="clear" w:color="auto" w:fill="auto"/>
          <w:lang w:val="en-GB"/>
        </w:rPr>
        <w:sectPr w:rsidR="00BD525F" w:rsidRPr="00130DB8" w:rsidSect="00B46114">
          <w:pgSz w:w="15840" w:h="12240" w:orient="landscape"/>
          <w:pgMar w:top="1440" w:right="1440" w:bottom="1440" w:left="1440" w:header="720" w:footer="720" w:gutter="0"/>
          <w:cols w:space="720"/>
          <w:titlePg/>
          <w:docGrid w:linePitch="299"/>
        </w:sectPr>
      </w:pPr>
      <w:r w:rsidRPr="00130DB8">
        <w:rPr>
          <w:b/>
          <w:color w:val="808080"/>
          <w:sz w:val="20"/>
          <w:szCs w:val="20"/>
          <w:highlight w:val="none"/>
          <w:shd w:val="clear" w:color="auto" w:fill="auto"/>
          <w:lang w:val="en-GB"/>
        </w:rPr>
        <w:br/>
      </w:r>
    </w:p>
    <w:p w14:paraId="77AF739C" w14:textId="16B411E8" w:rsidR="00BD525F" w:rsidRPr="00130DB8" w:rsidRDefault="002C124E" w:rsidP="00BD525F">
      <w:pPr>
        <w:pBdr>
          <w:top w:val="nil"/>
          <w:left w:val="nil"/>
          <w:bottom w:val="nil"/>
          <w:right w:val="nil"/>
          <w:between w:val="nil"/>
        </w:pBdr>
        <w:ind w:firstLine="0"/>
        <w:rPr>
          <w:iCs/>
          <w:color w:val="000000"/>
          <w:sz w:val="20"/>
          <w:szCs w:val="20"/>
          <w:highlight w:val="none"/>
          <w:shd w:val="clear" w:color="auto" w:fill="auto"/>
          <w:lang w:val="en-GB"/>
        </w:rPr>
      </w:pPr>
      <w:r w:rsidRPr="00130DB8">
        <w:rPr>
          <w:b/>
          <w:color w:val="000000"/>
          <w:sz w:val="20"/>
          <w:szCs w:val="20"/>
          <w:highlight w:val="none"/>
          <w:lang w:val="en-GB"/>
        </w:rPr>
        <w:lastRenderedPageBreak/>
        <w:t xml:space="preserve">Supplementary Table S4. </w:t>
      </w:r>
      <w:r w:rsidR="00BD525F" w:rsidRPr="00130DB8">
        <w:rPr>
          <w:iCs/>
          <w:color w:val="000000"/>
          <w:sz w:val="20"/>
          <w:szCs w:val="20"/>
          <w:highlight w:val="none"/>
          <w:lang w:val="en-GB"/>
        </w:rPr>
        <w:t>Categorization of statistical analysis methods</w:t>
      </w:r>
    </w:p>
    <w:tbl>
      <w:tblPr>
        <w:tblW w:w="5000" w:type="pct"/>
        <w:jc w:val="center"/>
        <w:tblLook w:val="0400" w:firstRow="0" w:lastRow="0" w:firstColumn="0" w:lastColumn="0" w:noHBand="0" w:noVBand="1"/>
      </w:tblPr>
      <w:tblGrid>
        <w:gridCol w:w="2269"/>
        <w:gridCol w:w="7091"/>
      </w:tblGrid>
      <w:tr w:rsidR="00BD525F" w:rsidRPr="00130DB8" w14:paraId="464D32FB" w14:textId="77777777" w:rsidTr="002F1E81">
        <w:trPr>
          <w:trHeight w:hRule="exact" w:val="340"/>
          <w:jc w:val="center"/>
        </w:trPr>
        <w:tc>
          <w:tcPr>
            <w:tcW w:w="1212" w:type="pct"/>
            <w:tcBorders>
              <w:top w:val="single" w:sz="4" w:space="0" w:color="auto"/>
              <w:bottom w:val="single" w:sz="4" w:space="0" w:color="auto"/>
            </w:tcBorders>
            <w:tcMar>
              <w:top w:w="100" w:type="dxa"/>
              <w:left w:w="108" w:type="dxa"/>
              <w:bottom w:w="100" w:type="dxa"/>
              <w:right w:w="108" w:type="dxa"/>
            </w:tcMar>
            <w:vAlign w:val="center"/>
          </w:tcPr>
          <w:p w14:paraId="20F30CE7" w14:textId="77777777" w:rsidR="00BD525F" w:rsidRPr="00130DB8" w:rsidRDefault="00BD525F" w:rsidP="001F7A7E">
            <w:pPr>
              <w:pStyle w:val="Table"/>
              <w:jc w:val="center"/>
            </w:pPr>
            <w:r w:rsidRPr="00130DB8">
              <w:t>Type of classification</w:t>
            </w:r>
          </w:p>
        </w:tc>
        <w:tc>
          <w:tcPr>
            <w:tcW w:w="3788" w:type="pct"/>
            <w:tcBorders>
              <w:top w:val="single" w:sz="4" w:space="0" w:color="auto"/>
              <w:bottom w:val="single" w:sz="4" w:space="0" w:color="auto"/>
            </w:tcBorders>
            <w:tcMar>
              <w:top w:w="100" w:type="dxa"/>
              <w:left w:w="108" w:type="dxa"/>
              <w:bottom w:w="100" w:type="dxa"/>
              <w:right w:w="108" w:type="dxa"/>
            </w:tcMar>
            <w:vAlign w:val="center"/>
          </w:tcPr>
          <w:p w14:paraId="2742BCAE" w14:textId="77777777" w:rsidR="00BD525F" w:rsidRPr="00130DB8" w:rsidRDefault="00BD525F" w:rsidP="001F7A7E">
            <w:pPr>
              <w:pStyle w:val="Table"/>
              <w:jc w:val="center"/>
            </w:pPr>
            <w:r w:rsidRPr="00130DB8">
              <w:t>Type of statistical analysis</w:t>
            </w:r>
          </w:p>
        </w:tc>
      </w:tr>
      <w:tr w:rsidR="00BD525F" w:rsidRPr="00130DB8" w14:paraId="20D3206F" w14:textId="77777777" w:rsidTr="002F1E81">
        <w:trPr>
          <w:trHeight w:hRule="exact" w:val="854"/>
          <w:jc w:val="center"/>
        </w:trPr>
        <w:tc>
          <w:tcPr>
            <w:tcW w:w="1212" w:type="pct"/>
            <w:tcBorders>
              <w:top w:val="single" w:sz="4" w:space="0" w:color="auto"/>
            </w:tcBorders>
            <w:tcMar>
              <w:top w:w="100" w:type="dxa"/>
              <w:left w:w="108" w:type="dxa"/>
              <w:bottom w:w="100" w:type="dxa"/>
              <w:right w:w="108" w:type="dxa"/>
            </w:tcMar>
          </w:tcPr>
          <w:p w14:paraId="1AA9A3DF" w14:textId="77777777" w:rsidR="00BD525F" w:rsidRPr="00130DB8" w:rsidRDefault="00BD525F" w:rsidP="001F7A7E">
            <w:pPr>
              <w:pStyle w:val="Table"/>
            </w:pPr>
            <w:r w:rsidRPr="00130DB8">
              <w:t>Descriptive analyses</w:t>
            </w:r>
          </w:p>
        </w:tc>
        <w:tc>
          <w:tcPr>
            <w:tcW w:w="3788" w:type="pct"/>
            <w:tcBorders>
              <w:top w:val="single" w:sz="4" w:space="0" w:color="auto"/>
            </w:tcBorders>
            <w:tcMar>
              <w:top w:w="100" w:type="dxa"/>
              <w:left w:w="108" w:type="dxa"/>
              <w:bottom w:w="100" w:type="dxa"/>
              <w:right w:w="108" w:type="dxa"/>
            </w:tcMar>
          </w:tcPr>
          <w:p w14:paraId="79006FEF" w14:textId="77777777" w:rsidR="00BD525F" w:rsidRPr="00130DB8" w:rsidRDefault="00BD525F" w:rsidP="001F7A7E">
            <w:pPr>
              <w:pStyle w:val="Table"/>
            </w:pPr>
            <w:r w:rsidRPr="00130DB8">
              <w:t>Descriptive statistics, mean, percentage, frequency, standard deviation, median, maximum, minimum, mode, crosstab, histogram, interquartile range, distribution tests (e.g., Kolmogorov-Smirnov test, Shapiro-Wilk test, Pearson's chi-squared test)</w:t>
            </w:r>
          </w:p>
        </w:tc>
      </w:tr>
      <w:tr w:rsidR="00BD525F" w:rsidRPr="00130DB8" w14:paraId="442EC7E5" w14:textId="77777777" w:rsidTr="002F1E81">
        <w:trPr>
          <w:trHeight w:hRule="exact" w:val="1287"/>
          <w:jc w:val="center"/>
        </w:trPr>
        <w:tc>
          <w:tcPr>
            <w:tcW w:w="1212" w:type="pct"/>
            <w:tcMar>
              <w:top w:w="100" w:type="dxa"/>
              <w:left w:w="108" w:type="dxa"/>
              <w:bottom w:w="100" w:type="dxa"/>
              <w:right w:w="108" w:type="dxa"/>
            </w:tcMar>
          </w:tcPr>
          <w:p w14:paraId="5E8FF87F" w14:textId="77777777" w:rsidR="00BD525F" w:rsidRPr="00130DB8" w:rsidRDefault="00BD525F" w:rsidP="001F7A7E">
            <w:pPr>
              <w:pStyle w:val="Table"/>
            </w:pPr>
            <w:r w:rsidRPr="00130DB8">
              <w:t>Group comparisons &amp; correlational analyses</w:t>
            </w:r>
          </w:p>
        </w:tc>
        <w:tc>
          <w:tcPr>
            <w:tcW w:w="3788" w:type="pct"/>
            <w:tcMar>
              <w:top w:w="100" w:type="dxa"/>
              <w:left w:w="108" w:type="dxa"/>
              <w:bottom w:w="100" w:type="dxa"/>
              <w:right w:w="108" w:type="dxa"/>
            </w:tcMar>
          </w:tcPr>
          <w:p w14:paraId="543D067D" w14:textId="77777777" w:rsidR="00BD525F" w:rsidRPr="00130DB8" w:rsidRDefault="00BD525F" w:rsidP="001F7A7E">
            <w:pPr>
              <w:pStyle w:val="Table"/>
            </w:pPr>
            <w:r w:rsidRPr="00130DB8">
              <w:rPr>
                <w:i/>
                <w:iCs/>
              </w:rPr>
              <w:t>t</w:t>
            </w:r>
            <w:r w:rsidRPr="00130DB8">
              <w:t>-test, Pearson correlation, Mann Whitney U-test, correlation analysis, analysis of variance, Kruskal-Wallis test, chi-square test, Spearman correlation, Wilcoxon-test, (analysis of covariance), Fisher's exact test, multiple group comparisons, multivariate analysis of variance, bivariate statistics, Dunnett's test, nonparametric analysis of variance-type statistic, nonparametric tests, post hoc tests (e.g., Tukey’s HSD), contrasts</w:t>
            </w:r>
          </w:p>
        </w:tc>
      </w:tr>
      <w:tr w:rsidR="00BD525F" w:rsidRPr="00130DB8" w14:paraId="6DDC786B" w14:textId="77777777" w:rsidTr="002F1E81">
        <w:trPr>
          <w:trHeight w:hRule="exact" w:val="2455"/>
          <w:jc w:val="center"/>
        </w:trPr>
        <w:tc>
          <w:tcPr>
            <w:tcW w:w="1212" w:type="pct"/>
            <w:tcMar>
              <w:top w:w="100" w:type="dxa"/>
              <w:left w:w="108" w:type="dxa"/>
              <w:bottom w:w="100" w:type="dxa"/>
              <w:right w:w="108" w:type="dxa"/>
            </w:tcMar>
          </w:tcPr>
          <w:p w14:paraId="51B777E7" w14:textId="77777777" w:rsidR="00BD525F" w:rsidRPr="00130DB8" w:rsidRDefault="00BD525F" w:rsidP="001F7A7E">
            <w:pPr>
              <w:pStyle w:val="Table"/>
            </w:pPr>
            <w:r w:rsidRPr="00130DB8">
              <w:t>Prognostic models (e.g., regression models)</w:t>
            </w:r>
          </w:p>
        </w:tc>
        <w:tc>
          <w:tcPr>
            <w:tcW w:w="3788" w:type="pct"/>
            <w:tcMar>
              <w:top w:w="100" w:type="dxa"/>
              <w:left w:w="108" w:type="dxa"/>
              <w:bottom w:w="100" w:type="dxa"/>
              <w:right w:w="108" w:type="dxa"/>
            </w:tcMar>
          </w:tcPr>
          <w:p w14:paraId="067FBF59" w14:textId="77777777" w:rsidR="00BD525F" w:rsidRPr="00130DB8" w:rsidRDefault="00BD525F" w:rsidP="001F7A7E">
            <w:pPr>
              <w:pStyle w:val="Table"/>
            </w:pPr>
            <w:r w:rsidRPr="00130DB8">
              <w:t xml:space="preserve">Structural equation model, regression analysis, confirmatory factor analysis, linear regression, multilevel analysis, multiple regression, logistic regression, multiple linear regression, bootstrapping, hierarchical linear model, multivariate regression, path analysis, analysis of covariance, hierarchical regression model, mediation analysis, moderated regression, probit regression, CHOPIT model, general linear model, inference regression, latent change score analysis, latent growth curve model, linear multiple hierarchical regressions analysis, multinomial logit model, multiple logistic regression, multivariate analysis of covariance, Poisson regression, random forest algorithm, relative weights analysis, ROC curves, effect size measures (e.g.,  Cohen's </w:t>
            </w:r>
            <w:r w:rsidRPr="00130DB8">
              <w:rPr>
                <w:i/>
              </w:rPr>
              <w:t>d</w:t>
            </w:r>
            <w:r w:rsidRPr="00130DB8">
              <w:t>)</w:t>
            </w:r>
          </w:p>
        </w:tc>
      </w:tr>
      <w:tr w:rsidR="00BD525F" w:rsidRPr="00130DB8" w14:paraId="125182F2" w14:textId="77777777" w:rsidTr="002F1E81">
        <w:trPr>
          <w:trHeight w:hRule="exact" w:val="1210"/>
          <w:jc w:val="center"/>
        </w:trPr>
        <w:tc>
          <w:tcPr>
            <w:tcW w:w="1212" w:type="pct"/>
            <w:tcMar>
              <w:top w:w="100" w:type="dxa"/>
              <w:left w:w="108" w:type="dxa"/>
              <w:bottom w:w="100" w:type="dxa"/>
              <w:right w:w="108" w:type="dxa"/>
            </w:tcMar>
          </w:tcPr>
          <w:p w14:paraId="3E049ED3" w14:textId="77777777" w:rsidR="00BD525F" w:rsidRPr="00130DB8" w:rsidRDefault="00BD525F" w:rsidP="001F7A7E">
            <w:pPr>
              <w:pStyle w:val="Table"/>
            </w:pPr>
            <w:r w:rsidRPr="00130DB8">
              <w:t>Exploratory analyses / clustering techniques</w:t>
            </w:r>
          </w:p>
        </w:tc>
        <w:tc>
          <w:tcPr>
            <w:tcW w:w="3788" w:type="pct"/>
            <w:tcMar>
              <w:top w:w="100" w:type="dxa"/>
              <w:left w:w="108" w:type="dxa"/>
              <w:bottom w:w="100" w:type="dxa"/>
              <w:right w:w="108" w:type="dxa"/>
            </w:tcMar>
          </w:tcPr>
          <w:p w14:paraId="524DEB87" w14:textId="77777777" w:rsidR="00BD525F" w:rsidRPr="00130DB8" w:rsidRDefault="00BD525F" w:rsidP="001F7A7E">
            <w:pPr>
              <w:pStyle w:val="Table"/>
            </w:pPr>
            <w:r w:rsidRPr="00130DB8">
              <w:t>Exploratory factor analysis, cluster analysis, canonical correlation, correspondence analysis, factor analysis, data mining, k-mean clustering, latent class analysis, latent profile analysis, multiple correspondence analysis, principal component analysis</w:t>
            </w:r>
          </w:p>
        </w:tc>
      </w:tr>
      <w:tr w:rsidR="00BD525F" w:rsidRPr="00130DB8" w14:paraId="067E07C6" w14:textId="77777777" w:rsidTr="002F1E81">
        <w:trPr>
          <w:trHeight w:hRule="exact" w:val="567"/>
          <w:jc w:val="center"/>
        </w:trPr>
        <w:tc>
          <w:tcPr>
            <w:tcW w:w="1212" w:type="pct"/>
            <w:tcBorders>
              <w:bottom w:val="single" w:sz="4" w:space="0" w:color="000000"/>
            </w:tcBorders>
            <w:tcMar>
              <w:top w:w="100" w:type="dxa"/>
              <w:left w:w="108" w:type="dxa"/>
              <w:bottom w:w="100" w:type="dxa"/>
              <w:right w:w="108" w:type="dxa"/>
            </w:tcMar>
          </w:tcPr>
          <w:p w14:paraId="5C193CC7" w14:textId="77777777" w:rsidR="00BD525F" w:rsidRPr="00130DB8" w:rsidRDefault="00BD525F" w:rsidP="001F7A7E">
            <w:pPr>
              <w:pStyle w:val="Table"/>
            </w:pPr>
            <w:r w:rsidRPr="00130DB8">
              <w:t>Item response theory (IRT) analyses</w:t>
            </w:r>
          </w:p>
        </w:tc>
        <w:tc>
          <w:tcPr>
            <w:tcW w:w="3788" w:type="pct"/>
            <w:tcBorders>
              <w:bottom w:val="single" w:sz="4" w:space="0" w:color="auto"/>
            </w:tcBorders>
            <w:tcMar>
              <w:top w:w="100" w:type="dxa"/>
              <w:left w:w="108" w:type="dxa"/>
              <w:bottom w:w="100" w:type="dxa"/>
              <w:right w:w="108" w:type="dxa"/>
            </w:tcMar>
          </w:tcPr>
          <w:p w14:paraId="4F3D8758" w14:textId="77777777" w:rsidR="00BD525F" w:rsidRPr="00130DB8" w:rsidRDefault="00BD525F" w:rsidP="001F7A7E">
            <w:pPr>
              <w:pStyle w:val="Table"/>
            </w:pPr>
            <w:r w:rsidRPr="00130DB8">
              <w:t>Rasch-model, weighted likelihood estimates</w:t>
            </w:r>
          </w:p>
        </w:tc>
      </w:tr>
    </w:tbl>
    <w:p w14:paraId="2BFCF160" w14:textId="77777777" w:rsidR="00BD525F" w:rsidRPr="00130DB8" w:rsidRDefault="00BD525F" w:rsidP="00BD525F">
      <w:pPr>
        <w:rPr>
          <w:b/>
          <w:bCs/>
          <w:color w:val="000000"/>
          <w:sz w:val="20"/>
          <w:szCs w:val="20"/>
          <w:highlight w:val="none"/>
          <w:shd w:val="clear" w:color="auto" w:fill="auto"/>
          <w:lang w:val="en-GB"/>
        </w:rPr>
      </w:pPr>
      <w:r w:rsidRPr="00130DB8">
        <w:rPr>
          <w:sz w:val="20"/>
          <w:szCs w:val="20"/>
          <w:highlight w:val="none"/>
          <w:lang w:val="en-GB"/>
        </w:rPr>
        <w:br w:type="page"/>
      </w:r>
    </w:p>
    <w:p w14:paraId="13A3D85D" w14:textId="38F7A357" w:rsidR="00BD525F" w:rsidRPr="00130DB8" w:rsidRDefault="00A030CD" w:rsidP="00BD525F">
      <w:pPr>
        <w:pBdr>
          <w:top w:val="nil"/>
          <w:left w:val="nil"/>
          <w:bottom w:val="nil"/>
          <w:right w:val="nil"/>
          <w:between w:val="nil"/>
        </w:pBdr>
        <w:ind w:firstLine="0"/>
        <w:rPr>
          <w:iCs/>
          <w:color w:val="000000"/>
          <w:sz w:val="20"/>
          <w:szCs w:val="20"/>
          <w:highlight w:val="none"/>
          <w:shd w:val="clear" w:color="auto" w:fill="auto"/>
          <w:lang w:val="en-GB"/>
        </w:rPr>
      </w:pPr>
      <w:r w:rsidRPr="00130DB8">
        <w:rPr>
          <w:b/>
          <w:color w:val="000000"/>
          <w:sz w:val="20"/>
          <w:szCs w:val="20"/>
          <w:highlight w:val="none"/>
          <w:lang w:val="en-GB"/>
        </w:rPr>
        <w:lastRenderedPageBreak/>
        <w:t xml:space="preserve">Supplementary Table S5. </w:t>
      </w:r>
      <w:r w:rsidR="00BD525F" w:rsidRPr="00130DB8">
        <w:rPr>
          <w:iCs/>
          <w:color w:val="000000"/>
          <w:sz w:val="20"/>
          <w:szCs w:val="20"/>
          <w:highlight w:val="none"/>
          <w:lang w:val="en-GB"/>
        </w:rPr>
        <w:t xml:space="preserve">Overview of </w:t>
      </w:r>
      <w:r w:rsidRPr="00130DB8">
        <w:rPr>
          <w:iCs/>
          <w:color w:val="000000"/>
          <w:sz w:val="20"/>
          <w:szCs w:val="20"/>
          <w:highlight w:val="none"/>
          <w:lang w:val="en-GB"/>
        </w:rPr>
        <w:t xml:space="preserve">sample 1 </w:t>
      </w:r>
      <w:r w:rsidR="00BD525F" w:rsidRPr="00130DB8">
        <w:rPr>
          <w:iCs/>
          <w:color w:val="000000"/>
          <w:sz w:val="20"/>
          <w:szCs w:val="20"/>
          <w:highlight w:val="none"/>
          <w:lang w:val="en-GB"/>
        </w:rPr>
        <w:t xml:space="preserve">articles </w:t>
      </w:r>
    </w:p>
    <w:tbl>
      <w:tblPr>
        <w:tblW w:w="5000" w:type="pct"/>
        <w:tblLook w:val="0400" w:firstRow="0" w:lastRow="0" w:firstColumn="0" w:lastColumn="0" w:noHBand="0" w:noVBand="1"/>
      </w:tblPr>
      <w:tblGrid>
        <w:gridCol w:w="2127"/>
        <w:gridCol w:w="1842"/>
        <w:gridCol w:w="5391"/>
      </w:tblGrid>
      <w:tr w:rsidR="00BD525F" w:rsidRPr="00130DB8" w14:paraId="548C3AD7" w14:textId="77777777" w:rsidTr="00BD525F">
        <w:trPr>
          <w:trHeight w:val="20"/>
        </w:trPr>
        <w:tc>
          <w:tcPr>
            <w:tcW w:w="1136" w:type="pct"/>
            <w:tcBorders>
              <w:top w:val="single" w:sz="4" w:space="0" w:color="000000"/>
            </w:tcBorders>
            <w:tcMar>
              <w:top w:w="100" w:type="dxa"/>
              <w:left w:w="108" w:type="dxa"/>
              <w:bottom w:w="100" w:type="dxa"/>
              <w:right w:w="108" w:type="dxa"/>
            </w:tcMar>
          </w:tcPr>
          <w:p w14:paraId="0FB0327E" w14:textId="77777777" w:rsidR="00BD525F" w:rsidRPr="00130DB8" w:rsidRDefault="00BD525F" w:rsidP="000E09ED">
            <w:pPr>
              <w:pStyle w:val="Table"/>
            </w:pPr>
            <w:r w:rsidRPr="00130DB8">
              <w:t>Country of first author</w:t>
            </w:r>
          </w:p>
        </w:tc>
        <w:tc>
          <w:tcPr>
            <w:tcW w:w="984" w:type="pct"/>
            <w:tcBorders>
              <w:top w:val="single" w:sz="4" w:space="0" w:color="000000"/>
              <w:bottom w:val="single" w:sz="4" w:space="0" w:color="000000"/>
            </w:tcBorders>
            <w:tcMar>
              <w:top w:w="100" w:type="dxa"/>
              <w:left w:w="108" w:type="dxa"/>
              <w:bottom w:w="100" w:type="dxa"/>
              <w:right w:w="108" w:type="dxa"/>
            </w:tcMar>
          </w:tcPr>
          <w:p w14:paraId="758DC2EB" w14:textId="77777777" w:rsidR="00BD525F" w:rsidRPr="00130DB8" w:rsidRDefault="00BD525F" w:rsidP="000E09ED">
            <w:pPr>
              <w:pStyle w:val="Table"/>
            </w:pPr>
            <w:r w:rsidRPr="00130DB8">
              <w:t>Africa (11)</w:t>
            </w:r>
          </w:p>
        </w:tc>
        <w:tc>
          <w:tcPr>
            <w:tcW w:w="2880" w:type="pct"/>
            <w:tcBorders>
              <w:top w:val="single" w:sz="4" w:space="0" w:color="000000"/>
              <w:bottom w:val="single" w:sz="4" w:space="0" w:color="000000"/>
            </w:tcBorders>
            <w:tcMar>
              <w:top w:w="100" w:type="dxa"/>
              <w:left w:w="108" w:type="dxa"/>
              <w:bottom w:w="100" w:type="dxa"/>
              <w:right w:w="108" w:type="dxa"/>
            </w:tcMar>
          </w:tcPr>
          <w:p w14:paraId="5A7BA595" w14:textId="28A6BD78" w:rsidR="00BD525F" w:rsidRPr="00130DB8" w:rsidRDefault="00BD525F" w:rsidP="000E09ED">
            <w:pPr>
              <w:pStyle w:val="Table"/>
            </w:pPr>
            <w:r w:rsidRPr="00130DB8">
              <w:t>Ghana</w:t>
            </w:r>
            <w:r w:rsidR="00F17FC9" w:rsidRPr="00130DB8">
              <w:t xml:space="preserve"> (1)</w:t>
            </w:r>
            <w:r w:rsidRPr="00130DB8">
              <w:t>, Morocco</w:t>
            </w:r>
            <w:r w:rsidR="00F17FC9" w:rsidRPr="00130DB8">
              <w:t xml:space="preserve"> (1)</w:t>
            </w:r>
            <w:r w:rsidRPr="00130DB8">
              <w:t>, Nigeria</w:t>
            </w:r>
            <w:r w:rsidR="00F17FC9" w:rsidRPr="00130DB8">
              <w:t xml:space="preserve"> (6)</w:t>
            </w:r>
            <w:r w:rsidRPr="00130DB8">
              <w:t>, South Africa</w:t>
            </w:r>
            <w:r w:rsidR="00F17FC9" w:rsidRPr="00130DB8">
              <w:t xml:space="preserve"> (3)</w:t>
            </w:r>
          </w:p>
        </w:tc>
      </w:tr>
      <w:tr w:rsidR="00BD525F" w:rsidRPr="00130DB8" w14:paraId="43E8546F" w14:textId="77777777" w:rsidTr="00BD525F">
        <w:trPr>
          <w:trHeight w:val="20"/>
        </w:trPr>
        <w:tc>
          <w:tcPr>
            <w:tcW w:w="1136" w:type="pct"/>
            <w:tcMar>
              <w:top w:w="100" w:type="dxa"/>
              <w:left w:w="108" w:type="dxa"/>
              <w:bottom w:w="100" w:type="dxa"/>
              <w:right w:w="108" w:type="dxa"/>
            </w:tcMar>
          </w:tcPr>
          <w:p w14:paraId="22BA31A9"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5C0FD4EB" w14:textId="77777777" w:rsidR="00BD525F" w:rsidRPr="00130DB8" w:rsidRDefault="00BD525F" w:rsidP="000E09ED">
            <w:pPr>
              <w:pStyle w:val="Table"/>
            </w:pPr>
            <w:r w:rsidRPr="00130DB8">
              <w:t xml:space="preserve">Asia (72) </w:t>
            </w:r>
          </w:p>
        </w:tc>
        <w:tc>
          <w:tcPr>
            <w:tcW w:w="2880" w:type="pct"/>
            <w:tcBorders>
              <w:top w:val="single" w:sz="4" w:space="0" w:color="000000"/>
              <w:bottom w:val="single" w:sz="4" w:space="0" w:color="000000"/>
            </w:tcBorders>
            <w:tcMar>
              <w:top w:w="100" w:type="dxa"/>
              <w:left w:w="108" w:type="dxa"/>
              <w:bottom w:w="100" w:type="dxa"/>
              <w:right w:w="108" w:type="dxa"/>
            </w:tcMar>
          </w:tcPr>
          <w:p w14:paraId="666821DF" w14:textId="16B888B8" w:rsidR="00BD525F" w:rsidRPr="00130DB8" w:rsidRDefault="00BD525F" w:rsidP="000E09ED">
            <w:pPr>
              <w:pStyle w:val="Table"/>
            </w:pPr>
            <w:r w:rsidRPr="00130DB8">
              <w:t>Afghanistan</w:t>
            </w:r>
            <w:r w:rsidR="00F17FC9" w:rsidRPr="00130DB8">
              <w:t xml:space="preserve"> (1)</w:t>
            </w:r>
            <w:r w:rsidRPr="00130DB8">
              <w:t>, China</w:t>
            </w:r>
            <w:r w:rsidR="00F17FC9" w:rsidRPr="00130DB8">
              <w:t xml:space="preserve"> (13)</w:t>
            </w:r>
            <w:r w:rsidRPr="00130DB8">
              <w:t>, India</w:t>
            </w:r>
            <w:r w:rsidR="00F17FC9" w:rsidRPr="00130DB8">
              <w:t xml:space="preserve"> (8)</w:t>
            </w:r>
            <w:r w:rsidRPr="00130DB8">
              <w:t>, Indonesia</w:t>
            </w:r>
            <w:r w:rsidR="00F17FC9" w:rsidRPr="00130DB8">
              <w:t xml:space="preserve"> (6)</w:t>
            </w:r>
            <w:r w:rsidRPr="00130DB8">
              <w:t>, Iran</w:t>
            </w:r>
            <w:r w:rsidR="00F17FC9" w:rsidRPr="00130DB8">
              <w:t xml:space="preserve"> (3)</w:t>
            </w:r>
            <w:r w:rsidRPr="00130DB8">
              <w:t>, Israel</w:t>
            </w:r>
            <w:r w:rsidR="00F17FC9" w:rsidRPr="00130DB8">
              <w:t xml:space="preserve"> (2)</w:t>
            </w:r>
            <w:r w:rsidRPr="00130DB8">
              <w:t>, Japan</w:t>
            </w:r>
            <w:r w:rsidR="00F17FC9" w:rsidRPr="00130DB8">
              <w:t xml:space="preserve"> (2)</w:t>
            </w:r>
            <w:r w:rsidRPr="00130DB8">
              <w:t>, Jordan</w:t>
            </w:r>
            <w:r w:rsidR="00F17FC9" w:rsidRPr="00130DB8">
              <w:t xml:space="preserve"> (2)</w:t>
            </w:r>
            <w:r w:rsidRPr="00130DB8">
              <w:t>, Kazakhstan</w:t>
            </w:r>
            <w:r w:rsidR="00F17FC9" w:rsidRPr="00130DB8">
              <w:t xml:space="preserve"> (1)</w:t>
            </w:r>
            <w:r w:rsidRPr="00130DB8">
              <w:t>, Korea</w:t>
            </w:r>
            <w:r w:rsidR="00F17FC9" w:rsidRPr="00130DB8">
              <w:t xml:space="preserve"> (5)</w:t>
            </w:r>
            <w:r w:rsidRPr="00130DB8">
              <w:t>, Kuwait</w:t>
            </w:r>
            <w:r w:rsidR="00F17FC9" w:rsidRPr="00130DB8">
              <w:t xml:space="preserve"> (2)</w:t>
            </w:r>
            <w:r w:rsidRPr="00130DB8">
              <w:t>, Malaysia</w:t>
            </w:r>
            <w:r w:rsidR="00F17FC9" w:rsidRPr="00130DB8">
              <w:t xml:space="preserve"> (6)</w:t>
            </w:r>
            <w:r w:rsidRPr="00130DB8">
              <w:t>, Pakistan</w:t>
            </w:r>
            <w:r w:rsidR="00F17FC9" w:rsidRPr="00130DB8">
              <w:t xml:space="preserve"> (4)</w:t>
            </w:r>
            <w:r w:rsidRPr="00130DB8">
              <w:t>, Philippines</w:t>
            </w:r>
            <w:r w:rsidR="00F17FC9" w:rsidRPr="00130DB8">
              <w:t xml:space="preserve"> (3)</w:t>
            </w:r>
            <w:r w:rsidRPr="00130DB8">
              <w:t>, Saudi Arabia</w:t>
            </w:r>
            <w:r w:rsidR="00F17FC9" w:rsidRPr="00130DB8">
              <w:t xml:space="preserve"> (3)</w:t>
            </w:r>
            <w:r w:rsidRPr="00130DB8">
              <w:t>, Singapore</w:t>
            </w:r>
            <w:r w:rsidR="00F17FC9" w:rsidRPr="00130DB8">
              <w:t xml:space="preserve"> (2)</w:t>
            </w:r>
            <w:r w:rsidRPr="00130DB8">
              <w:t>, South Korea</w:t>
            </w:r>
            <w:r w:rsidR="00F17FC9" w:rsidRPr="00130DB8">
              <w:t xml:space="preserve"> (3)</w:t>
            </w:r>
            <w:r w:rsidRPr="00130DB8">
              <w:t>, Taiwan</w:t>
            </w:r>
            <w:r w:rsidR="00F17FC9" w:rsidRPr="00130DB8">
              <w:t xml:space="preserve"> (3)</w:t>
            </w:r>
            <w:r w:rsidRPr="00130DB8">
              <w:t>, Thailand</w:t>
            </w:r>
            <w:r w:rsidR="00F17FC9" w:rsidRPr="00130DB8">
              <w:t xml:space="preserve"> (3)</w:t>
            </w:r>
          </w:p>
        </w:tc>
      </w:tr>
      <w:tr w:rsidR="00BD525F" w:rsidRPr="00130DB8" w14:paraId="07816B30" w14:textId="77777777" w:rsidTr="00BD525F">
        <w:trPr>
          <w:trHeight w:val="20"/>
        </w:trPr>
        <w:tc>
          <w:tcPr>
            <w:tcW w:w="1136" w:type="pct"/>
            <w:tcMar>
              <w:top w:w="100" w:type="dxa"/>
              <w:left w:w="108" w:type="dxa"/>
              <w:bottom w:w="100" w:type="dxa"/>
              <w:right w:w="108" w:type="dxa"/>
            </w:tcMar>
          </w:tcPr>
          <w:p w14:paraId="42FBF9CB"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57AAC7EC" w14:textId="77777777" w:rsidR="00BD525F" w:rsidRPr="00130DB8" w:rsidRDefault="00BD525F" w:rsidP="000E09ED">
            <w:pPr>
              <w:pStyle w:val="Table"/>
            </w:pPr>
            <w:r w:rsidRPr="00130DB8">
              <w:t>Europe (110)</w:t>
            </w:r>
          </w:p>
        </w:tc>
        <w:tc>
          <w:tcPr>
            <w:tcW w:w="2880" w:type="pct"/>
            <w:tcBorders>
              <w:top w:val="single" w:sz="4" w:space="0" w:color="000000"/>
              <w:bottom w:val="single" w:sz="4" w:space="0" w:color="000000"/>
            </w:tcBorders>
            <w:tcMar>
              <w:top w:w="100" w:type="dxa"/>
              <w:left w:w="108" w:type="dxa"/>
              <w:bottom w:w="100" w:type="dxa"/>
              <w:right w:w="108" w:type="dxa"/>
            </w:tcMar>
          </w:tcPr>
          <w:p w14:paraId="4DC48725" w14:textId="321C7BF2" w:rsidR="00BD525F" w:rsidRPr="00130DB8" w:rsidRDefault="00BD525F" w:rsidP="000E09ED">
            <w:pPr>
              <w:pStyle w:val="Table"/>
            </w:pPr>
            <w:r w:rsidRPr="00130DB8">
              <w:t>Belgium</w:t>
            </w:r>
            <w:r w:rsidR="00F17FC9" w:rsidRPr="00130DB8">
              <w:t xml:space="preserve"> (8)</w:t>
            </w:r>
            <w:r w:rsidRPr="00130DB8">
              <w:t>, Bulgaria</w:t>
            </w:r>
            <w:r w:rsidR="00F17FC9" w:rsidRPr="00130DB8">
              <w:t xml:space="preserve"> (1)</w:t>
            </w:r>
            <w:r w:rsidRPr="00130DB8">
              <w:t>, Czech Republic</w:t>
            </w:r>
            <w:r w:rsidR="00F17FC9" w:rsidRPr="00130DB8">
              <w:t xml:space="preserve"> (5)</w:t>
            </w:r>
            <w:r w:rsidRPr="00130DB8">
              <w:t>, Finland</w:t>
            </w:r>
            <w:r w:rsidR="00F17FC9" w:rsidRPr="00130DB8">
              <w:t xml:space="preserve"> (6)</w:t>
            </w:r>
            <w:r w:rsidRPr="00130DB8">
              <w:t>, France</w:t>
            </w:r>
            <w:r w:rsidR="00F17FC9" w:rsidRPr="00130DB8">
              <w:t xml:space="preserve"> (3)</w:t>
            </w:r>
            <w:r w:rsidRPr="00130DB8">
              <w:t>, Germany</w:t>
            </w:r>
            <w:r w:rsidR="00F17FC9" w:rsidRPr="00130DB8">
              <w:t xml:space="preserve"> (11)</w:t>
            </w:r>
            <w:r w:rsidRPr="00130DB8">
              <w:t>, Greece</w:t>
            </w:r>
            <w:r w:rsidR="00F17FC9" w:rsidRPr="00130DB8">
              <w:t xml:space="preserve"> (4)</w:t>
            </w:r>
            <w:r w:rsidRPr="00130DB8">
              <w:t>, Hungary</w:t>
            </w:r>
            <w:r w:rsidR="00F17FC9" w:rsidRPr="00130DB8">
              <w:t xml:space="preserve"> (1)</w:t>
            </w:r>
            <w:r w:rsidRPr="00130DB8">
              <w:t>, Ireland</w:t>
            </w:r>
            <w:r w:rsidR="00F17FC9" w:rsidRPr="00130DB8">
              <w:t xml:space="preserve"> (2)</w:t>
            </w:r>
            <w:r w:rsidRPr="00130DB8">
              <w:t>, Italy</w:t>
            </w:r>
            <w:r w:rsidR="00F17FC9" w:rsidRPr="00130DB8">
              <w:t xml:space="preserve"> (3)</w:t>
            </w:r>
            <w:r w:rsidRPr="00130DB8">
              <w:t>, Kosovo</w:t>
            </w:r>
            <w:r w:rsidR="00F17FC9" w:rsidRPr="00130DB8">
              <w:t xml:space="preserve"> (1)</w:t>
            </w:r>
            <w:r w:rsidRPr="00130DB8">
              <w:t>, Latvia</w:t>
            </w:r>
            <w:r w:rsidR="00F17FC9" w:rsidRPr="00130DB8">
              <w:t xml:space="preserve"> (1)</w:t>
            </w:r>
            <w:r w:rsidRPr="00130DB8">
              <w:t>, Lithuania</w:t>
            </w:r>
            <w:r w:rsidR="00F17FC9" w:rsidRPr="00130DB8">
              <w:t xml:space="preserve"> (1)</w:t>
            </w:r>
            <w:r w:rsidRPr="00130DB8">
              <w:t>, Netherlands</w:t>
            </w:r>
            <w:r w:rsidR="00F17FC9" w:rsidRPr="00130DB8">
              <w:t xml:space="preserve"> (2)</w:t>
            </w:r>
            <w:r w:rsidRPr="00130DB8">
              <w:t>, Norway</w:t>
            </w:r>
            <w:r w:rsidR="00F17FC9" w:rsidRPr="00130DB8">
              <w:t xml:space="preserve"> (5)</w:t>
            </w:r>
            <w:r w:rsidRPr="00130DB8">
              <w:t>, Poland</w:t>
            </w:r>
            <w:r w:rsidR="00F17FC9" w:rsidRPr="00130DB8">
              <w:t xml:space="preserve"> (2)</w:t>
            </w:r>
            <w:r w:rsidRPr="00130DB8">
              <w:t>, Portugal</w:t>
            </w:r>
            <w:r w:rsidR="00F17FC9" w:rsidRPr="00130DB8">
              <w:t xml:space="preserve"> (1)</w:t>
            </w:r>
            <w:r w:rsidRPr="00130DB8">
              <w:t>, Russia</w:t>
            </w:r>
            <w:r w:rsidR="00F17FC9" w:rsidRPr="00130DB8">
              <w:t xml:space="preserve"> (2)</w:t>
            </w:r>
            <w:r w:rsidRPr="00130DB8">
              <w:t>, Serbia</w:t>
            </w:r>
            <w:r w:rsidR="00F17FC9" w:rsidRPr="00130DB8">
              <w:t xml:space="preserve"> (2)</w:t>
            </w:r>
            <w:r w:rsidRPr="00130DB8">
              <w:t>, Slovenia</w:t>
            </w:r>
            <w:r w:rsidR="00F17FC9" w:rsidRPr="00130DB8">
              <w:t xml:space="preserve"> (3)</w:t>
            </w:r>
            <w:r w:rsidRPr="00130DB8">
              <w:t>, Spain</w:t>
            </w:r>
            <w:r w:rsidR="00F17FC9" w:rsidRPr="00130DB8">
              <w:t xml:space="preserve"> (19)</w:t>
            </w:r>
            <w:r w:rsidRPr="00130DB8">
              <w:t>, Sweden</w:t>
            </w:r>
            <w:r w:rsidR="00F17FC9" w:rsidRPr="00130DB8">
              <w:t xml:space="preserve"> (1)</w:t>
            </w:r>
            <w:r w:rsidRPr="00130DB8">
              <w:t>, Switzerland</w:t>
            </w:r>
            <w:r w:rsidR="00F17FC9" w:rsidRPr="00130DB8">
              <w:t xml:space="preserve"> (1)</w:t>
            </w:r>
            <w:r w:rsidRPr="00130DB8">
              <w:t>, Turkey</w:t>
            </w:r>
            <w:r w:rsidR="00F17FC9" w:rsidRPr="00130DB8">
              <w:t xml:space="preserve"> (22)</w:t>
            </w:r>
            <w:r w:rsidRPr="00130DB8">
              <w:t>, Ukraine</w:t>
            </w:r>
            <w:r w:rsidR="00F17FC9" w:rsidRPr="00130DB8">
              <w:t xml:space="preserve"> (1)</w:t>
            </w:r>
            <w:r w:rsidRPr="00130DB8">
              <w:t>, United Kingdom</w:t>
            </w:r>
            <w:r w:rsidR="00F17FC9" w:rsidRPr="00130DB8">
              <w:t xml:space="preserve"> (2)</w:t>
            </w:r>
          </w:p>
        </w:tc>
      </w:tr>
      <w:tr w:rsidR="00BD525F" w:rsidRPr="00130DB8" w14:paraId="7F74BC62" w14:textId="77777777" w:rsidTr="00BD525F">
        <w:trPr>
          <w:trHeight w:val="20"/>
        </w:trPr>
        <w:tc>
          <w:tcPr>
            <w:tcW w:w="1136" w:type="pct"/>
            <w:tcMar>
              <w:top w:w="100" w:type="dxa"/>
              <w:left w:w="108" w:type="dxa"/>
              <w:bottom w:w="100" w:type="dxa"/>
              <w:right w:w="108" w:type="dxa"/>
            </w:tcMar>
          </w:tcPr>
          <w:p w14:paraId="0AF9D4A0"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2D5EBCD7" w14:textId="77777777" w:rsidR="00BD525F" w:rsidRPr="00130DB8" w:rsidRDefault="00BD525F" w:rsidP="000E09ED">
            <w:pPr>
              <w:pStyle w:val="Table"/>
            </w:pPr>
            <w:r w:rsidRPr="00130DB8">
              <w:t>North America (24)</w:t>
            </w:r>
          </w:p>
        </w:tc>
        <w:tc>
          <w:tcPr>
            <w:tcW w:w="2880" w:type="pct"/>
            <w:tcBorders>
              <w:top w:val="single" w:sz="4" w:space="0" w:color="000000"/>
              <w:bottom w:val="single" w:sz="4" w:space="0" w:color="000000"/>
            </w:tcBorders>
            <w:tcMar>
              <w:top w:w="100" w:type="dxa"/>
              <w:left w:w="108" w:type="dxa"/>
              <w:bottom w:w="100" w:type="dxa"/>
              <w:right w:w="108" w:type="dxa"/>
            </w:tcMar>
          </w:tcPr>
          <w:p w14:paraId="267F5F38" w14:textId="04BC6E30" w:rsidR="00BD525F" w:rsidRPr="00130DB8" w:rsidRDefault="00BD525F" w:rsidP="000E09ED">
            <w:pPr>
              <w:pStyle w:val="Table"/>
            </w:pPr>
            <w:r w:rsidRPr="00130DB8">
              <w:t>Canada</w:t>
            </w:r>
            <w:r w:rsidR="00225269" w:rsidRPr="00130DB8">
              <w:t xml:space="preserve"> (3)</w:t>
            </w:r>
            <w:r w:rsidRPr="00130DB8">
              <w:t>, Mexico</w:t>
            </w:r>
            <w:r w:rsidR="00225269" w:rsidRPr="00130DB8">
              <w:t xml:space="preserve"> (3)</w:t>
            </w:r>
            <w:r w:rsidRPr="00130DB8">
              <w:t>, United States</w:t>
            </w:r>
            <w:r w:rsidR="00225269" w:rsidRPr="00130DB8">
              <w:t xml:space="preserve"> (18)</w:t>
            </w:r>
          </w:p>
        </w:tc>
      </w:tr>
      <w:tr w:rsidR="00BD525F" w:rsidRPr="00130DB8" w14:paraId="0216EB3D" w14:textId="77777777" w:rsidTr="00BD525F">
        <w:trPr>
          <w:trHeight w:val="20"/>
        </w:trPr>
        <w:tc>
          <w:tcPr>
            <w:tcW w:w="1136" w:type="pct"/>
            <w:tcMar>
              <w:top w:w="100" w:type="dxa"/>
              <w:left w:w="108" w:type="dxa"/>
              <w:bottom w:w="100" w:type="dxa"/>
              <w:right w:w="108" w:type="dxa"/>
            </w:tcMar>
          </w:tcPr>
          <w:p w14:paraId="3C6C0206"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169674ED" w14:textId="77777777" w:rsidR="00BD525F" w:rsidRPr="00130DB8" w:rsidRDefault="00BD525F" w:rsidP="000E09ED">
            <w:pPr>
              <w:pStyle w:val="Table"/>
            </w:pPr>
            <w:r w:rsidRPr="00130DB8">
              <w:t>Oceania (6)</w:t>
            </w:r>
          </w:p>
        </w:tc>
        <w:tc>
          <w:tcPr>
            <w:tcW w:w="2880" w:type="pct"/>
            <w:tcBorders>
              <w:top w:val="single" w:sz="4" w:space="0" w:color="000000"/>
              <w:bottom w:val="single" w:sz="4" w:space="0" w:color="000000"/>
            </w:tcBorders>
            <w:tcMar>
              <w:top w:w="100" w:type="dxa"/>
              <w:left w:w="108" w:type="dxa"/>
              <w:bottom w:w="100" w:type="dxa"/>
              <w:right w:w="108" w:type="dxa"/>
            </w:tcMar>
          </w:tcPr>
          <w:p w14:paraId="25106C49" w14:textId="4A3B5711" w:rsidR="00BD525F" w:rsidRPr="00130DB8" w:rsidRDefault="00BD525F" w:rsidP="000E09ED">
            <w:pPr>
              <w:pStyle w:val="Table"/>
            </w:pPr>
            <w:r w:rsidRPr="00130DB8">
              <w:t>Australia</w:t>
            </w:r>
            <w:r w:rsidR="00225269" w:rsidRPr="00130DB8">
              <w:t xml:space="preserve"> (3)</w:t>
            </w:r>
            <w:r w:rsidRPr="00130DB8">
              <w:t>, Fiji</w:t>
            </w:r>
            <w:r w:rsidR="00225269" w:rsidRPr="00130DB8">
              <w:t xml:space="preserve"> (2)</w:t>
            </w:r>
            <w:r w:rsidRPr="00130DB8">
              <w:t>, Papa New Guinea</w:t>
            </w:r>
            <w:r w:rsidR="00225269" w:rsidRPr="00130DB8">
              <w:t xml:space="preserve"> (1)</w:t>
            </w:r>
          </w:p>
        </w:tc>
      </w:tr>
      <w:tr w:rsidR="00BD525F" w:rsidRPr="00130DB8" w14:paraId="56317087" w14:textId="77777777" w:rsidTr="00BD525F">
        <w:trPr>
          <w:trHeight w:val="181"/>
        </w:trPr>
        <w:tc>
          <w:tcPr>
            <w:tcW w:w="1136" w:type="pct"/>
            <w:tcMar>
              <w:top w:w="100" w:type="dxa"/>
              <w:left w:w="108" w:type="dxa"/>
              <w:bottom w:w="100" w:type="dxa"/>
              <w:right w:w="108" w:type="dxa"/>
            </w:tcMar>
          </w:tcPr>
          <w:p w14:paraId="444B37E9"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14ACBAB2" w14:textId="77777777" w:rsidR="00BD525F" w:rsidRPr="00130DB8" w:rsidRDefault="00BD525F" w:rsidP="000E09ED">
            <w:pPr>
              <w:pStyle w:val="Table"/>
            </w:pPr>
            <w:r w:rsidRPr="00130DB8">
              <w:t>South America (5)</w:t>
            </w:r>
          </w:p>
        </w:tc>
        <w:tc>
          <w:tcPr>
            <w:tcW w:w="2880" w:type="pct"/>
            <w:tcBorders>
              <w:top w:val="single" w:sz="4" w:space="0" w:color="000000"/>
              <w:bottom w:val="single" w:sz="4" w:space="0" w:color="000000"/>
            </w:tcBorders>
            <w:tcMar>
              <w:top w:w="100" w:type="dxa"/>
              <w:left w:w="108" w:type="dxa"/>
              <w:bottom w:w="100" w:type="dxa"/>
              <w:right w:w="108" w:type="dxa"/>
            </w:tcMar>
          </w:tcPr>
          <w:p w14:paraId="4182E900" w14:textId="237BCB3D" w:rsidR="00BD525F" w:rsidRPr="00130DB8" w:rsidRDefault="00BD525F" w:rsidP="000E09ED">
            <w:pPr>
              <w:pStyle w:val="Table"/>
            </w:pPr>
            <w:r w:rsidRPr="00130DB8">
              <w:t>Argentina</w:t>
            </w:r>
            <w:r w:rsidR="00956AD2" w:rsidRPr="00130DB8">
              <w:t xml:space="preserve"> (1)</w:t>
            </w:r>
            <w:r w:rsidRPr="00130DB8">
              <w:t>, Chile</w:t>
            </w:r>
            <w:r w:rsidR="00956AD2" w:rsidRPr="00130DB8">
              <w:t xml:space="preserve"> (3)</w:t>
            </w:r>
            <w:r w:rsidRPr="00130DB8">
              <w:t>, Peru</w:t>
            </w:r>
            <w:r w:rsidR="00956AD2" w:rsidRPr="00130DB8">
              <w:t xml:space="preserve"> (1)</w:t>
            </w:r>
          </w:p>
        </w:tc>
      </w:tr>
      <w:tr w:rsidR="00BD525F" w:rsidRPr="00130DB8" w14:paraId="6524ADBF" w14:textId="77777777" w:rsidTr="00BD525F">
        <w:trPr>
          <w:trHeight w:val="20"/>
        </w:trPr>
        <w:tc>
          <w:tcPr>
            <w:tcW w:w="1136" w:type="pct"/>
            <w:tcBorders>
              <w:bottom w:val="single" w:sz="4" w:space="0" w:color="000000"/>
            </w:tcBorders>
            <w:tcMar>
              <w:top w:w="100" w:type="dxa"/>
              <w:left w:w="108" w:type="dxa"/>
              <w:bottom w:w="100" w:type="dxa"/>
              <w:right w:w="108" w:type="dxa"/>
            </w:tcMar>
          </w:tcPr>
          <w:p w14:paraId="41B6C87B" w14:textId="77777777" w:rsidR="00BD525F" w:rsidRPr="00130DB8" w:rsidRDefault="00BD525F" w:rsidP="000E09ED">
            <w:pPr>
              <w:pStyle w:val="Table"/>
            </w:pPr>
          </w:p>
        </w:tc>
        <w:tc>
          <w:tcPr>
            <w:tcW w:w="984" w:type="pct"/>
            <w:tcBorders>
              <w:top w:val="single" w:sz="4" w:space="0" w:color="000000"/>
              <w:bottom w:val="single" w:sz="4" w:space="0" w:color="000000"/>
            </w:tcBorders>
            <w:tcMar>
              <w:top w:w="100" w:type="dxa"/>
              <w:left w:w="108" w:type="dxa"/>
              <w:bottom w:w="100" w:type="dxa"/>
              <w:right w:w="108" w:type="dxa"/>
            </w:tcMar>
          </w:tcPr>
          <w:p w14:paraId="1C35DD91" w14:textId="77777777" w:rsidR="00BD525F" w:rsidRPr="00130DB8" w:rsidRDefault="00BD525F" w:rsidP="000E09ED">
            <w:pPr>
              <w:pStyle w:val="Table"/>
            </w:pPr>
            <w:r w:rsidRPr="00130DB8">
              <w:t>Not specified (2)</w:t>
            </w:r>
          </w:p>
        </w:tc>
        <w:tc>
          <w:tcPr>
            <w:tcW w:w="2880" w:type="pct"/>
            <w:tcBorders>
              <w:top w:val="single" w:sz="4" w:space="0" w:color="000000"/>
              <w:bottom w:val="single" w:sz="4" w:space="0" w:color="000000"/>
            </w:tcBorders>
            <w:tcMar>
              <w:top w:w="100" w:type="dxa"/>
              <w:left w:w="108" w:type="dxa"/>
              <w:bottom w:w="100" w:type="dxa"/>
              <w:right w:w="108" w:type="dxa"/>
            </w:tcMar>
          </w:tcPr>
          <w:p w14:paraId="5981D712" w14:textId="77777777" w:rsidR="00BD525F" w:rsidRPr="00130DB8" w:rsidRDefault="00BD525F" w:rsidP="000E09ED">
            <w:pPr>
              <w:pStyle w:val="Table"/>
            </w:pPr>
          </w:p>
        </w:tc>
      </w:tr>
      <w:tr w:rsidR="00BD525F" w:rsidRPr="00130DB8" w14:paraId="0BF1E9BC" w14:textId="77777777" w:rsidTr="00BD525F">
        <w:trPr>
          <w:trHeight w:val="20"/>
        </w:trPr>
        <w:tc>
          <w:tcPr>
            <w:tcW w:w="1136" w:type="pct"/>
            <w:tcBorders>
              <w:top w:val="single" w:sz="4" w:space="0" w:color="000000"/>
              <w:bottom w:val="single" w:sz="4" w:space="0" w:color="000000"/>
            </w:tcBorders>
            <w:tcMar>
              <w:top w:w="100" w:type="dxa"/>
              <w:left w:w="108" w:type="dxa"/>
              <w:bottom w:w="100" w:type="dxa"/>
              <w:right w:w="108" w:type="dxa"/>
            </w:tcMar>
          </w:tcPr>
          <w:p w14:paraId="4B2A5AEB" w14:textId="77777777" w:rsidR="00BD525F" w:rsidRPr="00130DB8" w:rsidRDefault="00BD525F" w:rsidP="000E09ED">
            <w:pPr>
              <w:pStyle w:val="Table"/>
            </w:pPr>
            <w:r w:rsidRPr="00130DB8">
              <w:t>Main Discipline</w:t>
            </w:r>
          </w:p>
        </w:tc>
        <w:tc>
          <w:tcPr>
            <w:tcW w:w="3864" w:type="pct"/>
            <w:gridSpan w:val="2"/>
            <w:tcBorders>
              <w:top w:val="single" w:sz="4" w:space="0" w:color="000000"/>
              <w:bottom w:val="single" w:sz="4" w:space="0" w:color="000000"/>
            </w:tcBorders>
            <w:tcMar>
              <w:top w:w="100" w:type="dxa"/>
              <w:left w:w="108" w:type="dxa"/>
              <w:bottom w:w="100" w:type="dxa"/>
              <w:right w:w="108" w:type="dxa"/>
            </w:tcMar>
          </w:tcPr>
          <w:p w14:paraId="32EEBDBE" w14:textId="77777777" w:rsidR="00BD525F" w:rsidRPr="00130DB8" w:rsidRDefault="00BD525F" w:rsidP="000E09ED">
            <w:pPr>
              <w:pStyle w:val="Table"/>
            </w:pPr>
            <w:r w:rsidRPr="00130DB8">
              <w:t>Education (164), Psychology (33), Business (13), Computer Science (9), Economics (2), Political Science (2), Ecology and Evolution (1), Engineering (1), Law (1), Linguistics (1), Medicine (1)</w:t>
            </w:r>
          </w:p>
        </w:tc>
      </w:tr>
      <w:tr w:rsidR="00BD525F" w:rsidRPr="00130DB8" w14:paraId="73AEFDD8" w14:textId="77777777" w:rsidTr="00BD525F">
        <w:trPr>
          <w:trHeight w:val="20"/>
        </w:trPr>
        <w:tc>
          <w:tcPr>
            <w:tcW w:w="1136" w:type="pct"/>
            <w:tcBorders>
              <w:top w:val="single" w:sz="4" w:space="0" w:color="000000"/>
              <w:bottom w:val="single" w:sz="4" w:space="0" w:color="000000"/>
            </w:tcBorders>
            <w:tcMar>
              <w:top w:w="100" w:type="dxa"/>
              <w:left w:w="108" w:type="dxa"/>
              <w:bottom w:w="100" w:type="dxa"/>
              <w:right w:w="108" w:type="dxa"/>
            </w:tcMar>
          </w:tcPr>
          <w:p w14:paraId="5AA07E41" w14:textId="77777777" w:rsidR="00BD525F" w:rsidRPr="00130DB8" w:rsidRDefault="00BD525F" w:rsidP="000E09ED">
            <w:pPr>
              <w:pStyle w:val="Table"/>
            </w:pPr>
            <w:r w:rsidRPr="00130DB8">
              <w:t>Popular journals</w:t>
            </w:r>
            <w:r w:rsidRPr="00130DB8">
              <w:rPr>
                <w:vertAlign w:val="superscript"/>
              </w:rPr>
              <w:t>a</w:t>
            </w:r>
          </w:p>
        </w:tc>
        <w:tc>
          <w:tcPr>
            <w:tcW w:w="3864" w:type="pct"/>
            <w:gridSpan w:val="2"/>
            <w:tcBorders>
              <w:top w:val="single" w:sz="4" w:space="0" w:color="000000"/>
              <w:bottom w:val="single" w:sz="4" w:space="0" w:color="000000"/>
            </w:tcBorders>
            <w:tcMar>
              <w:top w:w="100" w:type="dxa"/>
              <w:left w:w="108" w:type="dxa"/>
              <w:bottom w:w="100" w:type="dxa"/>
              <w:right w:w="108" w:type="dxa"/>
            </w:tcMar>
          </w:tcPr>
          <w:p w14:paraId="5A185CDA" w14:textId="77777777" w:rsidR="00BD525F" w:rsidRPr="00130DB8" w:rsidRDefault="00BD525F" w:rsidP="000E09ED">
            <w:pPr>
              <w:pStyle w:val="Table"/>
            </w:pPr>
            <w:r w:rsidRPr="00130DB8">
              <w:t>Computers &amp; Education (17), Education and Information Technologies (10), Sustainability (9), Computers in Human Behaviour (6), Education Sciences (6), British Journal of Educational Technology (4), Eurasia Journal of Mathematics, Science and Technology Education (4), International Journal of Educational Technology in Higher Education (4), International Journal of Emerging Technologies in Learning (4), Journal of Information Technology Education: Research (3), Frontiers in Psychology (3), International Journal of Higher Education (3), Journal of Librarianship and Information Science (3), Library Philosophy and Practice (3), New Media &amp; Society (3), Turkish Online Journal of Educational Technology (3), Other (64)</w:t>
            </w:r>
          </w:p>
        </w:tc>
      </w:tr>
      <w:tr w:rsidR="00BD525F" w:rsidRPr="00130DB8" w14:paraId="0F4E6B53" w14:textId="77777777" w:rsidTr="00BD525F">
        <w:trPr>
          <w:trHeight w:val="20"/>
        </w:trPr>
        <w:tc>
          <w:tcPr>
            <w:tcW w:w="1136" w:type="pct"/>
            <w:tcBorders>
              <w:top w:val="single" w:sz="4" w:space="0" w:color="000000"/>
              <w:bottom w:val="single" w:sz="4" w:space="0" w:color="000000"/>
            </w:tcBorders>
            <w:tcMar>
              <w:top w:w="100" w:type="dxa"/>
              <w:left w:w="108" w:type="dxa"/>
              <w:bottom w:w="100" w:type="dxa"/>
              <w:right w:w="108" w:type="dxa"/>
            </w:tcMar>
          </w:tcPr>
          <w:p w14:paraId="1B4D41D4" w14:textId="77777777" w:rsidR="00BD525F" w:rsidRPr="00130DB8" w:rsidRDefault="00BD525F" w:rsidP="000E09ED">
            <w:pPr>
              <w:pStyle w:val="Table"/>
            </w:pPr>
            <w:r w:rsidRPr="00130DB8">
              <w:t>Frequently used terms</w:t>
            </w:r>
            <w:r w:rsidRPr="00130DB8">
              <w:rPr>
                <w:vertAlign w:val="superscript"/>
              </w:rPr>
              <w:t>b</w:t>
            </w:r>
          </w:p>
        </w:tc>
        <w:tc>
          <w:tcPr>
            <w:tcW w:w="3864" w:type="pct"/>
            <w:gridSpan w:val="2"/>
            <w:tcBorders>
              <w:top w:val="single" w:sz="4" w:space="0" w:color="000000"/>
              <w:bottom w:val="single" w:sz="4" w:space="0" w:color="000000"/>
            </w:tcBorders>
            <w:tcMar>
              <w:top w:w="100" w:type="dxa"/>
              <w:left w:w="108" w:type="dxa"/>
              <w:bottom w:w="100" w:type="dxa"/>
              <w:right w:w="108" w:type="dxa"/>
            </w:tcMar>
          </w:tcPr>
          <w:p w14:paraId="7DE32D51" w14:textId="77777777" w:rsidR="00BD525F" w:rsidRPr="00130DB8" w:rsidRDefault="00BD525F" w:rsidP="000E09ED">
            <w:pPr>
              <w:pStyle w:val="Table"/>
            </w:pPr>
            <w:r w:rsidRPr="00130DB8">
              <w:t>Digital competence (54), Digital literacy (44), ICT competence (32), ICT skills (24), Digital skills (18), ICT literacy (11), Internet skills (9), Computer skills (8), Computer literacy (7), Information literacy (7), Internet literacy (7), Other (37)</w:t>
            </w:r>
          </w:p>
        </w:tc>
      </w:tr>
      <w:tr w:rsidR="00BD525F" w:rsidRPr="00130DB8" w14:paraId="3EEA13E8" w14:textId="77777777" w:rsidTr="00BD525F">
        <w:trPr>
          <w:trHeight w:val="798"/>
        </w:trPr>
        <w:tc>
          <w:tcPr>
            <w:tcW w:w="1136" w:type="pct"/>
            <w:tcBorders>
              <w:top w:val="single" w:sz="4" w:space="0" w:color="000000"/>
              <w:bottom w:val="single" w:sz="4" w:space="0" w:color="000000"/>
            </w:tcBorders>
            <w:tcMar>
              <w:top w:w="100" w:type="dxa"/>
              <w:left w:w="108" w:type="dxa"/>
              <w:bottom w:w="100" w:type="dxa"/>
              <w:right w:w="108" w:type="dxa"/>
            </w:tcMar>
          </w:tcPr>
          <w:p w14:paraId="4E77FC09" w14:textId="77777777" w:rsidR="00BD525F" w:rsidRPr="00130DB8" w:rsidRDefault="00BD525F" w:rsidP="000E09ED">
            <w:pPr>
              <w:pStyle w:val="Table"/>
            </w:pPr>
            <w:r w:rsidRPr="00130DB8">
              <w:t>Frequently used frameworks</w:t>
            </w:r>
            <w:r w:rsidRPr="00130DB8">
              <w:rPr>
                <w:vertAlign w:val="superscript"/>
              </w:rPr>
              <w:t>c</w:t>
            </w:r>
          </w:p>
        </w:tc>
        <w:tc>
          <w:tcPr>
            <w:tcW w:w="3864" w:type="pct"/>
            <w:gridSpan w:val="2"/>
            <w:tcBorders>
              <w:top w:val="single" w:sz="4" w:space="0" w:color="000000"/>
              <w:bottom w:val="single" w:sz="4" w:space="0" w:color="000000"/>
            </w:tcBorders>
            <w:tcMar>
              <w:top w:w="100" w:type="dxa"/>
              <w:left w:w="108" w:type="dxa"/>
              <w:bottom w:w="100" w:type="dxa"/>
              <w:right w:w="108" w:type="dxa"/>
            </w:tcMar>
          </w:tcPr>
          <w:p w14:paraId="6C0CB78A" w14:textId="77777777" w:rsidR="00BD525F" w:rsidRPr="00130DB8" w:rsidRDefault="00BD525F" w:rsidP="000E09ED">
            <w:pPr>
              <w:pStyle w:val="Table"/>
            </w:pPr>
            <w:r w:rsidRPr="00130DB8">
              <w:t>DigComp 2.1 (13), DigComp 1.0 (12), DigCompEdu (8), Digital Competence Framework (5), DigComp 2.0 (4), General Technology Competency and Use (GTCU) framework (4), ICILS Framework (3), Other (45)</w:t>
            </w:r>
          </w:p>
        </w:tc>
      </w:tr>
    </w:tbl>
    <w:p w14:paraId="3B6BEFBB" w14:textId="26CEBAC5" w:rsidR="004D5980" w:rsidRPr="00585D57" w:rsidRDefault="00BD525F" w:rsidP="00585D57">
      <w:pPr>
        <w:pStyle w:val="TableDescription"/>
      </w:pPr>
      <w:r w:rsidRPr="00130DB8">
        <w:t xml:space="preserve">Frequencies are displayed in brackets. </w:t>
      </w:r>
      <w:r w:rsidRPr="00130DB8">
        <w:rPr>
          <w:vertAlign w:val="superscript"/>
        </w:rPr>
        <w:t>a</w:t>
      </w:r>
      <w:r w:rsidRPr="00130DB8">
        <w:t>The presented 16 most relevant journals form the basis for the growth index of publication statistics displayed in Fig</w:t>
      </w:r>
      <w:r w:rsidR="00B1421A" w:rsidRPr="00130DB8">
        <w:t>.</w:t>
      </w:r>
      <w:r w:rsidRPr="00130DB8">
        <w:t xml:space="preserve"> 2. </w:t>
      </w:r>
      <w:r w:rsidRPr="00130DB8">
        <w:rPr>
          <w:vertAlign w:val="superscript"/>
        </w:rPr>
        <w:t>b</w:t>
      </w:r>
      <w:r w:rsidRPr="00130DB8">
        <w:t xml:space="preserve">Terms that have been used in at least six articles. It was possible that articles focused on more than one term. </w:t>
      </w:r>
      <w:r w:rsidRPr="00130DB8">
        <w:rPr>
          <w:vertAlign w:val="superscript"/>
        </w:rPr>
        <w:t>c</w:t>
      </w:r>
      <w:r w:rsidRPr="00130DB8">
        <w:t>Frameworks that have been mentioned more than two times. Articles could refer to more than one framework.</w:t>
      </w:r>
    </w:p>
    <w:sectPr w:rsidR="004D5980" w:rsidRPr="00585D57" w:rsidSect="00B46114">
      <w:pgSz w:w="12240" w:h="15840"/>
      <w:pgMar w:top="1440" w:right="1440" w:bottom="1440" w:left="1440"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Linux Libertine O">
    <w:altName w:val="Cambria"/>
    <w:panose1 w:val="020B0604020202020204"/>
    <w:charset w:val="00"/>
    <w:family w:val="auto"/>
    <w:notTrueType/>
    <w:pitch w:val="variable"/>
    <w:sig w:usb0="00000000" w:usb1="5200E5FB" w:usb2="02000020" w:usb3="00000000" w:csb0="000001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4106"/>
    <w:multiLevelType w:val="multilevel"/>
    <w:tmpl w:val="7362D576"/>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05143A"/>
    <w:multiLevelType w:val="multilevel"/>
    <w:tmpl w:val="F7B22028"/>
    <w:lvl w:ilvl="0">
      <w:start w:val="1"/>
      <w:numFmt w:val="decimal"/>
      <w:pStyle w:val="berschrift1"/>
      <w:lvlText w:val="%1."/>
      <w:lvlJc w:val="left"/>
      <w:pPr>
        <w:ind w:left="360" w:hanging="360"/>
      </w:pPr>
    </w:lvl>
    <w:lvl w:ilvl="1">
      <w:start w:val="1"/>
      <w:numFmt w:val="decimal"/>
      <w:pStyle w:val="berschrift2"/>
      <w:lvlText w:val="%1.%2."/>
      <w:lvlJc w:val="left"/>
      <w:pPr>
        <w:ind w:left="792" w:hanging="432"/>
      </w:pPr>
    </w:lvl>
    <w:lvl w:ilvl="2">
      <w:start w:val="1"/>
      <w:numFmt w:val="decimal"/>
      <w:pStyle w:val="berschrift3"/>
      <w:lvlText w:val="%1.%2.%3."/>
      <w:lvlJc w:val="left"/>
      <w:pPr>
        <w:ind w:left="1224" w:hanging="504"/>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2768D0"/>
    <w:multiLevelType w:val="multilevel"/>
    <w:tmpl w:val="78DAC3D6"/>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28" w:hanging="360"/>
      </w:pPr>
      <w:rPr>
        <w:rFonts w:ascii="Courier New" w:eastAsia="Courier New" w:hAnsi="Courier New" w:cs="Courier New"/>
      </w:rPr>
    </w:lvl>
    <w:lvl w:ilvl="2">
      <w:start w:val="1"/>
      <w:numFmt w:val="bullet"/>
      <w:lvlText w:val="▪"/>
      <w:lvlJc w:val="left"/>
      <w:pPr>
        <w:ind w:left="2148" w:hanging="360"/>
      </w:pPr>
      <w:rPr>
        <w:rFonts w:ascii="Noto Sans Symbols" w:eastAsia="Noto Sans Symbols" w:hAnsi="Noto Sans Symbols" w:cs="Noto Sans Symbols"/>
      </w:rPr>
    </w:lvl>
    <w:lvl w:ilvl="3">
      <w:start w:val="1"/>
      <w:numFmt w:val="bullet"/>
      <w:lvlText w:val="●"/>
      <w:lvlJc w:val="left"/>
      <w:pPr>
        <w:ind w:left="2868" w:hanging="360"/>
      </w:pPr>
      <w:rPr>
        <w:rFonts w:ascii="Noto Sans Symbols" w:eastAsia="Noto Sans Symbols" w:hAnsi="Noto Sans Symbols" w:cs="Noto Sans Symbols"/>
      </w:rPr>
    </w:lvl>
    <w:lvl w:ilvl="4">
      <w:start w:val="1"/>
      <w:numFmt w:val="bullet"/>
      <w:lvlText w:val="o"/>
      <w:lvlJc w:val="left"/>
      <w:pPr>
        <w:ind w:left="3588" w:hanging="360"/>
      </w:pPr>
      <w:rPr>
        <w:rFonts w:ascii="Courier New" w:eastAsia="Courier New" w:hAnsi="Courier New" w:cs="Courier New"/>
      </w:rPr>
    </w:lvl>
    <w:lvl w:ilvl="5">
      <w:start w:val="1"/>
      <w:numFmt w:val="bullet"/>
      <w:lvlText w:val="▪"/>
      <w:lvlJc w:val="left"/>
      <w:pPr>
        <w:ind w:left="4308" w:hanging="360"/>
      </w:pPr>
      <w:rPr>
        <w:rFonts w:ascii="Noto Sans Symbols" w:eastAsia="Noto Sans Symbols" w:hAnsi="Noto Sans Symbols" w:cs="Noto Sans Symbols"/>
      </w:rPr>
    </w:lvl>
    <w:lvl w:ilvl="6">
      <w:start w:val="1"/>
      <w:numFmt w:val="bullet"/>
      <w:lvlText w:val="●"/>
      <w:lvlJc w:val="left"/>
      <w:pPr>
        <w:ind w:left="5028" w:hanging="360"/>
      </w:pPr>
      <w:rPr>
        <w:rFonts w:ascii="Noto Sans Symbols" w:eastAsia="Noto Sans Symbols" w:hAnsi="Noto Sans Symbols" w:cs="Noto Sans Symbols"/>
      </w:rPr>
    </w:lvl>
    <w:lvl w:ilvl="7">
      <w:start w:val="1"/>
      <w:numFmt w:val="bullet"/>
      <w:lvlText w:val="o"/>
      <w:lvlJc w:val="left"/>
      <w:pPr>
        <w:ind w:left="5748" w:hanging="360"/>
      </w:pPr>
      <w:rPr>
        <w:rFonts w:ascii="Courier New" w:eastAsia="Courier New" w:hAnsi="Courier New" w:cs="Courier New"/>
      </w:rPr>
    </w:lvl>
    <w:lvl w:ilvl="8">
      <w:start w:val="1"/>
      <w:numFmt w:val="bullet"/>
      <w:lvlText w:val="▪"/>
      <w:lvlJc w:val="left"/>
      <w:pPr>
        <w:ind w:left="6468" w:hanging="360"/>
      </w:pPr>
      <w:rPr>
        <w:rFonts w:ascii="Noto Sans Symbols" w:eastAsia="Noto Sans Symbols" w:hAnsi="Noto Sans Symbols" w:cs="Noto Sans Symbols"/>
      </w:rPr>
    </w:lvl>
  </w:abstractNum>
  <w:abstractNum w:abstractNumId="3" w15:restartNumberingAfterBreak="0">
    <w:nsid w:val="63365366"/>
    <w:multiLevelType w:val="multilevel"/>
    <w:tmpl w:val="7BF6FD3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pStyle w:val="berschrift4"/>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DFC3745"/>
    <w:multiLevelType w:val="multilevel"/>
    <w:tmpl w:val="3D10F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347F8F"/>
    <w:multiLevelType w:val="multilevel"/>
    <w:tmpl w:val="A55645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897328472">
    <w:abstractNumId w:val="0"/>
  </w:num>
  <w:num w:numId="2" w16cid:durableId="1232230852">
    <w:abstractNumId w:val="5"/>
  </w:num>
  <w:num w:numId="3" w16cid:durableId="1962683749">
    <w:abstractNumId w:val="1"/>
  </w:num>
  <w:num w:numId="4" w16cid:durableId="1217202779">
    <w:abstractNumId w:val="2"/>
  </w:num>
  <w:num w:numId="5" w16cid:durableId="1762488427">
    <w:abstractNumId w:val="3"/>
  </w:num>
  <w:num w:numId="6" w16cid:durableId="88159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5F"/>
    <w:rsid w:val="00001E29"/>
    <w:rsid w:val="00036783"/>
    <w:rsid w:val="00060566"/>
    <w:rsid w:val="00063026"/>
    <w:rsid w:val="00063800"/>
    <w:rsid w:val="000638AB"/>
    <w:rsid w:val="0009448C"/>
    <w:rsid w:val="00097971"/>
    <w:rsid w:val="000E09ED"/>
    <w:rsid w:val="000E516E"/>
    <w:rsid w:val="000F1FFF"/>
    <w:rsid w:val="000F563F"/>
    <w:rsid w:val="000F7915"/>
    <w:rsid w:val="001053BC"/>
    <w:rsid w:val="00107F5C"/>
    <w:rsid w:val="001112B0"/>
    <w:rsid w:val="00117EDA"/>
    <w:rsid w:val="001228C6"/>
    <w:rsid w:val="00130DB8"/>
    <w:rsid w:val="00147D2B"/>
    <w:rsid w:val="00150A4D"/>
    <w:rsid w:val="00161EE5"/>
    <w:rsid w:val="001B6284"/>
    <w:rsid w:val="001C529E"/>
    <w:rsid w:val="001D457F"/>
    <w:rsid w:val="001E57E1"/>
    <w:rsid w:val="001F7A7E"/>
    <w:rsid w:val="00221ACF"/>
    <w:rsid w:val="00225269"/>
    <w:rsid w:val="00230D40"/>
    <w:rsid w:val="0025275A"/>
    <w:rsid w:val="002638EA"/>
    <w:rsid w:val="00273248"/>
    <w:rsid w:val="002862C6"/>
    <w:rsid w:val="002A5D42"/>
    <w:rsid w:val="002C124E"/>
    <w:rsid w:val="002C18A3"/>
    <w:rsid w:val="002D0F6D"/>
    <w:rsid w:val="002D126D"/>
    <w:rsid w:val="002F13C3"/>
    <w:rsid w:val="002F1E81"/>
    <w:rsid w:val="002F5F5D"/>
    <w:rsid w:val="00301B62"/>
    <w:rsid w:val="0030621D"/>
    <w:rsid w:val="00307901"/>
    <w:rsid w:val="00316C9B"/>
    <w:rsid w:val="0032188C"/>
    <w:rsid w:val="0033067B"/>
    <w:rsid w:val="003438F9"/>
    <w:rsid w:val="00353546"/>
    <w:rsid w:val="0036410F"/>
    <w:rsid w:val="00364971"/>
    <w:rsid w:val="003773A3"/>
    <w:rsid w:val="003810BD"/>
    <w:rsid w:val="003849EA"/>
    <w:rsid w:val="00384F83"/>
    <w:rsid w:val="00386176"/>
    <w:rsid w:val="003A6B29"/>
    <w:rsid w:val="003C5933"/>
    <w:rsid w:val="003F2091"/>
    <w:rsid w:val="004149A4"/>
    <w:rsid w:val="004209A5"/>
    <w:rsid w:val="004221D4"/>
    <w:rsid w:val="0042515B"/>
    <w:rsid w:val="0042767A"/>
    <w:rsid w:val="00433EE2"/>
    <w:rsid w:val="004424B9"/>
    <w:rsid w:val="00442636"/>
    <w:rsid w:val="00463A24"/>
    <w:rsid w:val="00464240"/>
    <w:rsid w:val="00470677"/>
    <w:rsid w:val="00495B8F"/>
    <w:rsid w:val="004D5980"/>
    <w:rsid w:val="004D6D37"/>
    <w:rsid w:val="004E0BAE"/>
    <w:rsid w:val="004E2D7B"/>
    <w:rsid w:val="00530BF5"/>
    <w:rsid w:val="00534613"/>
    <w:rsid w:val="0055051B"/>
    <w:rsid w:val="00563755"/>
    <w:rsid w:val="00563E83"/>
    <w:rsid w:val="005821E9"/>
    <w:rsid w:val="00585D57"/>
    <w:rsid w:val="005C6EC5"/>
    <w:rsid w:val="005D78D8"/>
    <w:rsid w:val="005E4BC1"/>
    <w:rsid w:val="0061722B"/>
    <w:rsid w:val="006233F9"/>
    <w:rsid w:val="00625F3D"/>
    <w:rsid w:val="00627093"/>
    <w:rsid w:val="006400EE"/>
    <w:rsid w:val="00667A24"/>
    <w:rsid w:val="006717E0"/>
    <w:rsid w:val="00681B5A"/>
    <w:rsid w:val="006861FB"/>
    <w:rsid w:val="00686396"/>
    <w:rsid w:val="0069118B"/>
    <w:rsid w:val="006916C0"/>
    <w:rsid w:val="006E12FA"/>
    <w:rsid w:val="006E1D7E"/>
    <w:rsid w:val="006E4ABC"/>
    <w:rsid w:val="00701A2D"/>
    <w:rsid w:val="00707BAD"/>
    <w:rsid w:val="00714998"/>
    <w:rsid w:val="007307EE"/>
    <w:rsid w:val="00743CDC"/>
    <w:rsid w:val="00744D8F"/>
    <w:rsid w:val="007540D7"/>
    <w:rsid w:val="00772D54"/>
    <w:rsid w:val="00781821"/>
    <w:rsid w:val="00785134"/>
    <w:rsid w:val="00795FF2"/>
    <w:rsid w:val="007A0479"/>
    <w:rsid w:val="007A3171"/>
    <w:rsid w:val="007B0A8C"/>
    <w:rsid w:val="007C78A5"/>
    <w:rsid w:val="007E748E"/>
    <w:rsid w:val="008010AB"/>
    <w:rsid w:val="00841910"/>
    <w:rsid w:val="00844006"/>
    <w:rsid w:val="00845ADB"/>
    <w:rsid w:val="00855072"/>
    <w:rsid w:val="008B7D20"/>
    <w:rsid w:val="008C3A91"/>
    <w:rsid w:val="008C5FF2"/>
    <w:rsid w:val="008F6033"/>
    <w:rsid w:val="009029A8"/>
    <w:rsid w:val="00910E37"/>
    <w:rsid w:val="0091376A"/>
    <w:rsid w:val="009257C7"/>
    <w:rsid w:val="009272F3"/>
    <w:rsid w:val="0093056B"/>
    <w:rsid w:val="00951B02"/>
    <w:rsid w:val="00956AD2"/>
    <w:rsid w:val="00967E13"/>
    <w:rsid w:val="0097218A"/>
    <w:rsid w:val="009D170C"/>
    <w:rsid w:val="00A030CD"/>
    <w:rsid w:val="00A21759"/>
    <w:rsid w:val="00A40444"/>
    <w:rsid w:val="00A45CEF"/>
    <w:rsid w:val="00A50459"/>
    <w:rsid w:val="00A50965"/>
    <w:rsid w:val="00A52E39"/>
    <w:rsid w:val="00A662F3"/>
    <w:rsid w:val="00A93743"/>
    <w:rsid w:val="00A9750A"/>
    <w:rsid w:val="00AA1653"/>
    <w:rsid w:val="00AA62CB"/>
    <w:rsid w:val="00AB6061"/>
    <w:rsid w:val="00AD1F54"/>
    <w:rsid w:val="00AE3D94"/>
    <w:rsid w:val="00AE4C2F"/>
    <w:rsid w:val="00AF0587"/>
    <w:rsid w:val="00B06E74"/>
    <w:rsid w:val="00B119CF"/>
    <w:rsid w:val="00B1421A"/>
    <w:rsid w:val="00B14B54"/>
    <w:rsid w:val="00B2224D"/>
    <w:rsid w:val="00B321C8"/>
    <w:rsid w:val="00B353E7"/>
    <w:rsid w:val="00B43368"/>
    <w:rsid w:val="00B46E34"/>
    <w:rsid w:val="00B743AB"/>
    <w:rsid w:val="00B83E37"/>
    <w:rsid w:val="00BD525F"/>
    <w:rsid w:val="00BD66E2"/>
    <w:rsid w:val="00C419F6"/>
    <w:rsid w:val="00C860DF"/>
    <w:rsid w:val="00C94BCE"/>
    <w:rsid w:val="00CA148C"/>
    <w:rsid w:val="00CB1CD1"/>
    <w:rsid w:val="00CB67A7"/>
    <w:rsid w:val="00CD179E"/>
    <w:rsid w:val="00CD6AA6"/>
    <w:rsid w:val="00CF2D8D"/>
    <w:rsid w:val="00D0389D"/>
    <w:rsid w:val="00D07DE1"/>
    <w:rsid w:val="00D37E1F"/>
    <w:rsid w:val="00D402E4"/>
    <w:rsid w:val="00D45E18"/>
    <w:rsid w:val="00D80023"/>
    <w:rsid w:val="00D857E8"/>
    <w:rsid w:val="00D93544"/>
    <w:rsid w:val="00D94A44"/>
    <w:rsid w:val="00DB0124"/>
    <w:rsid w:val="00DC402F"/>
    <w:rsid w:val="00DF4A0E"/>
    <w:rsid w:val="00DF5DDF"/>
    <w:rsid w:val="00E00F00"/>
    <w:rsid w:val="00E045F5"/>
    <w:rsid w:val="00E04E82"/>
    <w:rsid w:val="00E23569"/>
    <w:rsid w:val="00E26F70"/>
    <w:rsid w:val="00E4598F"/>
    <w:rsid w:val="00E54DA3"/>
    <w:rsid w:val="00E82F01"/>
    <w:rsid w:val="00E91268"/>
    <w:rsid w:val="00E930C1"/>
    <w:rsid w:val="00EB453D"/>
    <w:rsid w:val="00EC7EE4"/>
    <w:rsid w:val="00EF5D2F"/>
    <w:rsid w:val="00F028DA"/>
    <w:rsid w:val="00F171AD"/>
    <w:rsid w:val="00F17FC9"/>
    <w:rsid w:val="00F25BBE"/>
    <w:rsid w:val="00F27218"/>
    <w:rsid w:val="00F307DB"/>
    <w:rsid w:val="00F8383E"/>
    <w:rsid w:val="00F86889"/>
    <w:rsid w:val="00FB6067"/>
    <w:rsid w:val="00FF37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7550"/>
  <w15:chartTrackingRefBased/>
  <w15:docId w15:val="{C29FA53E-3FE9-4248-8560-82F4BEF1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525F"/>
    <w:pPr>
      <w:spacing w:line="480" w:lineRule="auto"/>
      <w:ind w:firstLine="720"/>
    </w:pPr>
    <w:rPr>
      <w:rFonts w:ascii="Times New Roman" w:eastAsia="Times New Roman" w:hAnsi="Times New Roman" w:cs="Times New Roman"/>
      <w:kern w:val="0"/>
      <w:sz w:val="22"/>
      <w:szCs w:val="22"/>
      <w:highlight w:val="white"/>
      <w:shd w:val="clear" w:color="auto" w:fill="FFFFFF"/>
      <w:lang w:val="en-US" w:eastAsia="de-DE"/>
      <w14:ligatures w14:val="none"/>
    </w:rPr>
  </w:style>
  <w:style w:type="paragraph" w:styleId="berschrift1">
    <w:name w:val="heading 1"/>
    <w:basedOn w:val="StandardWeb"/>
    <w:next w:val="Standard"/>
    <w:link w:val="berschrift1Zchn"/>
    <w:uiPriority w:val="9"/>
    <w:qFormat/>
    <w:rsid w:val="00BD525F"/>
    <w:pPr>
      <w:numPr>
        <w:numId w:val="3"/>
      </w:numPr>
      <w:spacing w:before="0" w:beforeAutospacing="0" w:after="0" w:afterAutospacing="0" w:line="480" w:lineRule="auto"/>
      <w:jc w:val="center"/>
      <w:outlineLvl w:val="0"/>
    </w:pPr>
    <w:rPr>
      <w:b/>
      <w:bCs/>
      <w:color w:val="000000"/>
      <w:sz w:val="20"/>
      <w:szCs w:val="20"/>
      <w:lang w:val="en-US"/>
    </w:rPr>
  </w:style>
  <w:style w:type="paragraph" w:styleId="berschrift2">
    <w:name w:val="heading 2"/>
    <w:basedOn w:val="Standard"/>
    <w:next w:val="Standard"/>
    <w:link w:val="berschrift2Zchn"/>
    <w:uiPriority w:val="9"/>
    <w:unhideWhenUsed/>
    <w:qFormat/>
    <w:rsid w:val="00BD525F"/>
    <w:pPr>
      <w:numPr>
        <w:ilvl w:val="1"/>
        <w:numId w:val="3"/>
      </w:numPr>
      <w:pBdr>
        <w:top w:val="nil"/>
        <w:left w:val="nil"/>
        <w:bottom w:val="nil"/>
        <w:right w:val="nil"/>
        <w:between w:val="nil"/>
      </w:pBdr>
      <w:outlineLvl w:val="1"/>
    </w:pPr>
    <w:rPr>
      <w:i/>
      <w:color w:val="000000"/>
      <w:sz w:val="20"/>
      <w:szCs w:val="20"/>
      <w:highlight w:val="none"/>
      <w:shd w:val="clear" w:color="auto" w:fill="auto"/>
    </w:rPr>
  </w:style>
  <w:style w:type="paragraph" w:styleId="berschrift3">
    <w:name w:val="heading 3"/>
    <w:basedOn w:val="Standard"/>
    <w:next w:val="Standard"/>
    <w:link w:val="berschrift3Zchn"/>
    <w:uiPriority w:val="9"/>
    <w:unhideWhenUsed/>
    <w:qFormat/>
    <w:rsid w:val="00BD525F"/>
    <w:pPr>
      <w:numPr>
        <w:ilvl w:val="2"/>
        <w:numId w:val="3"/>
      </w:numPr>
      <w:pBdr>
        <w:top w:val="nil"/>
        <w:left w:val="nil"/>
        <w:bottom w:val="nil"/>
        <w:right w:val="nil"/>
        <w:between w:val="nil"/>
      </w:pBdr>
      <w:ind w:left="993" w:hanging="567"/>
      <w:outlineLvl w:val="2"/>
    </w:pPr>
    <w:rPr>
      <w:i/>
      <w:color w:val="000000"/>
      <w:sz w:val="20"/>
      <w:szCs w:val="20"/>
      <w:highlight w:val="none"/>
      <w:shd w:val="clear" w:color="auto" w:fill="auto"/>
    </w:rPr>
  </w:style>
  <w:style w:type="paragraph" w:styleId="berschrift4">
    <w:name w:val="heading 4"/>
    <w:basedOn w:val="Listenabsatz"/>
    <w:next w:val="Standard"/>
    <w:link w:val="berschrift4Zchn"/>
    <w:uiPriority w:val="9"/>
    <w:semiHidden/>
    <w:unhideWhenUsed/>
    <w:qFormat/>
    <w:rsid w:val="00BD525F"/>
    <w:pPr>
      <w:numPr>
        <w:ilvl w:val="2"/>
        <w:numId w:val="5"/>
      </w:numPr>
      <w:ind w:left="567" w:hanging="567"/>
      <w:outlineLvl w:val="3"/>
    </w:pPr>
    <w:rPr>
      <w:i/>
      <w:iCs/>
      <w:highlight w:val="none"/>
    </w:rPr>
  </w:style>
  <w:style w:type="paragraph" w:styleId="berschrift5">
    <w:name w:val="heading 5"/>
    <w:basedOn w:val="Standard"/>
    <w:next w:val="Standard"/>
    <w:link w:val="berschrift5Zchn"/>
    <w:uiPriority w:val="9"/>
    <w:semiHidden/>
    <w:unhideWhenUsed/>
    <w:qFormat/>
    <w:rsid w:val="00BD525F"/>
    <w:pPr>
      <w:outlineLvl w:val="4"/>
    </w:pPr>
    <w:rPr>
      <w:rFonts w:cs="Calibri"/>
      <w:b/>
      <w:i/>
    </w:rPr>
  </w:style>
  <w:style w:type="paragraph" w:styleId="berschrift6">
    <w:name w:val="heading 6"/>
    <w:basedOn w:val="Standard"/>
    <w:next w:val="Standard"/>
    <w:link w:val="berschrift6Zchn"/>
    <w:uiPriority w:val="9"/>
    <w:semiHidden/>
    <w:unhideWhenUsed/>
    <w:qFormat/>
    <w:rsid w:val="00BD525F"/>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525F"/>
    <w:rPr>
      <w:rFonts w:ascii="Times New Roman" w:eastAsia="Times New Roman" w:hAnsi="Times New Roman" w:cs="Times New Roman"/>
      <w:b/>
      <w:bCs/>
      <w:color w:val="000000"/>
      <w:kern w:val="0"/>
      <w:sz w:val="20"/>
      <w:szCs w:val="20"/>
      <w:lang w:val="en-US" w:eastAsia="de-DE"/>
      <w14:ligatures w14:val="none"/>
    </w:rPr>
  </w:style>
  <w:style w:type="character" w:customStyle="1" w:styleId="berschrift2Zchn">
    <w:name w:val="Überschrift 2 Zchn"/>
    <w:basedOn w:val="Absatz-Standardschriftart"/>
    <w:link w:val="berschrift2"/>
    <w:uiPriority w:val="9"/>
    <w:rsid w:val="00BD525F"/>
    <w:rPr>
      <w:rFonts w:ascii="Times New Roman" w:eastAsia="Times New Roman" w:hAnsi="Times New Roman" w:cs="Times New Roman"/>
      <w:i/>
      <w:color w:val="000000"/>
      <w:kern w:val="0"/>
      <w:sz w:val="20"/>
      <w:szCs w:val="20"/>
      <w:lang w:val="en-US" w:eastAsia="de-DE"/>
      <w14:ligatures w14:val="none"/>
    </w:rPr>
  </w:style>
  <w:style w:type="character" w:customStyle="1" w:styleId="berschrift3Zchn">
    <w:name w:val="Überschrift 3 Zchn"/>
    <w:basedOn w:val="Absatz-Standardschriftart"/>
    <w:link w:val="berschrift3"/>
    <w:uiPriority w:val="9"/>
    <w:rsid w:val="00BD525F"/>
    <w:rPr>
      <w:rFonts w:ascii="Times New Roman" w:eastAsia="Times New Roman" w:hAnsi="Times New Roman" w:cs="Times New Roman"/>
      <w:i/>
      <w:color w:val="000000"/>
      <w:kern w:val="0"/>
      <w:sz w:val="20"/>
      <w:szCs w:val="20"/>
      <w:lang w:val="en-US" w:eastAsia="de-DE"/>
      <w14:ligatures w14:val="none"/>
    </w:rPr>
  </w:style>
  <w:style w:type="character" w:customStyle="1" w:styleId="berschrift4Zchn">
    <w:name w:val="Überschrift 4 Zchn"/>
    <w:basedOn w:val="Absatz-Standardschriftart"/>
    <w:link w:val="berschrift4"/>
    <w:uiPriority w:val="9"/>
    <w:semiHidden/>
    <w:rsid w:val="00BD525F"/>
    <w:rPr>
      <w:rFonts w:ascii="Times New Roman" w:eastAsia="Times New Roman" w:hAnsi="Times New Roman" w:cs="Times New Roman"/>
      <w:i/>
      <w:iCs/>
      <w:kern w:val="0"/>
      <w:sz w:val="22"/>
      <w:szCs w:val="22"/>
      <w:lang w:val="en-US" w:eastAsia="de-DE"/>
      <w14:ligatures w14:val="none"/>
    </w:rPr>
  </w:style>
  <w:style w:type="character" w:customStyle="1" w:styleId="berschrift5Zchn">
    <w:name w:val="Überschrift 5 Zchn"/>
    <w:basedOn w:val="Absatz-Standardschriftart"/>
    <w:link w:val="berschrift5"/>
    <w:uiPriority w:val="9"/>
    <w:semiHidden/>
    <w:rsid w:val="00BD525F"/>
    <w:rPr>
      <w:rFonts w:ascii="Times New Roman" w:eastAsia="Times New Roman" w:hAnsi="Times New Roman" w:cs="Calibri"/>
      <w:b/>
      <w:i/>
      <w:kern w:val="0"/>
      <w:sz w:val="22"/>
      <w:szCs w:val="22"/>
      <w:highlight w:val="white"/>
      <w:lang w:val="en-US" w:eastAsia="de-DE"/>
      <w14:ligatures w14:val="none"/>
    </w:rPr>
  </w:style>
  <w:style w:type="character" w:customStyle="1" w:styleId="berschrift6Zchn">
    <w:name w:val="Überschrift 6 Zchn"/>
    <w:basedOn w:val="Absatz-Standardschriftart"/>
    <w:link w:val="berschrift6"/>
    <w:uiPriority w:val="9"/>
    <w:semiHidden/>
    <w:rsid w:val="00BD525F"/>
    <w:rPr>
      <w:rFonts w:ascii="Times New Roman" w:eastAsia="Times New Roman" w:hAnsi="Times New Roman" w:cs="Times New Roman"/>
      <w:b/>
      <w:kern w:val="0"/>
      <w:sz w:val="20"/>
      <w:szCs w:val="20"/>
      <w:highlight w:val="white"/>
      <w:lang w:val="en-US" w:eastAsia="de-DE"/>
      <w14:ligatures w14:val="none"/>
    </w:rPr>
  </w:style>
  <w:style w:type="table" w:customStyle="1" w:styleId="TableNormal">
    <w:name w:val="Table Normal"/>
    <w:rsid w:val="00BD525F"/>
    <w:pPr>
      <w:spacing w:line="480" w:lineRule="auto"/>
      <w:ind w:firstLine="720"/>
    </w:pPr>
    <w:rPr>
      <w:rFonts w:ascii="Times New Roman" w:eastAsia="Times New Roman" w:hAnsi="Times New Roman" w:cs="Times New Roman"/>
      <w:kern w:val="0"/>
      <w:sz w:val="22"/>
      <w:szCs w:val="22"/>
      <w:highlight w:val="white"/>
      <w:lang w:val="en-US" w:eastAsia="de-DE"/>
      <w14:ligatures w14:val="none"/>
    </w:rPr>
    <w:tblPr>
      <w:tblCellMar>
        <w:top w:w="0" w:type="dxa"/>
        <w:left w:w="0" w:type="dxa"/>
        <w:bottom w:w="0" w:type="dxa"/>
        <w:right w:w="0" w:type="dxa"/>
      </w:tblCellMar>
    </w:tblPr>
  </w:style>
  <w:style w:type="paragraph" w:styleId="Titel">
    <w:name w:val="Title"/>
    <w:basedOn w:val="Standard"/>
    <w:next w:val="Standard"/>
    <w:link w:val="TitelZchn"/>
    <w:uiPriority w:val="10"/>
    <w:qFormat/>
    <w:rsid w:val="00BD525F"/>
    <w:pPr>
      <w:pBdr>
        <w:top w:val="nil"/>
        <w:left w:val="nil"/>
        <w:bottom w:val="nil"/>
        <w:right w:val="nil"/>
        <w:between w:val="nil"/>
      </w:pBdr>
      <w:ind w:left="360" w:hanging="360"/>
      <w:jc w:val="center"/>
    </w:pPr>
    <w:rPr>
      <w:b/>
      <w:color w:val="000000"/>
      <w:sz w:val="20"/>
      <w:szCs w:val="20"/>
      <w:highlight w:val="none"/>
    </w:rPr>
  </w:style>
  <w:style w:type="character" w:customStyle="1" w:styleId="TitelZchn">
    <w:name w:val="Titel Zchn"/>
    <w:basedOn w:val="Absatz-Standardschriftart"/>
    <w:link w:val="Titel"/>
    <w:uiPriority w:val="10"/>
    <w:rsid w:val="00BD525F"/>
    <w:rPr>
      <w:rFonts w:ascii="Times New Roman" w:eastAsia="Times New Roman" w:hAnsi="Times New Roman" w:cs="Times New Roman"/>
      <w:b/>
      <w:color w:val="000000"/>
      <w:kern w:val="0"/>
      <w:sz w:val="20"/>
      <w:szCs w:val="20"/>
      <w:lang w:val="en-US" w:eastAsia="de-DE"/>
      <w14:ligatures w14:val="none"/>
    </w:rPr>
  </w:style>
  <w:style w:type="paragraph" w:styleId="Kopfzeile">
    <w:name w:val="header"/>
    <w:basedOn w:val="Standard"/>
    <w:link w:val="KopfzeileZchn"/>
    <w:uiPriority w:val="99"/>
    <w:unhideWhenUsed/>
    <w:rsid w:val="00BD525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BD525F"/>
    <w:rPr>
      <w:rFonts w:ascii="Times New Roman" w:eastAsia="Times New Roman" w:hAnsi="Times New Roman" w:cs="Times New Roman"/>
      <w:kern w:val="0"/>
      <w:sz w:val="22"/>
      <w:szCs w:val="22"/>
      <w:highlight w:val="white"/>
      <w:lang w:val="en-US" w:eastAsia="de-DE"/>
      <w14:ligatures w14:val="none"/>
    </w:rPr>
  </w:style>
  <w:style w:type="paragraph" w:styleId="Fuzeile">
    <w:name w:val="footer"/>
    <w:basedOn w:val="Standard"/>
    <w:link w:val="FuzeileZchn"/>
    <w:uiPriority w:val="99"/>
    <w:unhideWhenUsed/>
    <w:rsid w:val="00BD525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BD525F"/>
    <w:rPr>
      <w:rFonts w:ascii="Times New Roman" w:eastAsia="Times New Roman" w:hAnsi="Times New Roman" w:cs="Times New Roman"/>
      <w:kern w:val="0"/>
      <w:sz w:val="22"/>
      <w:szCs w:val="22"/>
      <w:highlight w:val="white"/>
      <w:lang w:val="en-US" w:eastAsia="de-DE"/>
      <w14:ligatures w14:val="none"/>
    </w:rPr>
  </w:style>
  <w:style w:type="character" w:customStyle="1" w:styleId="o00408">
    <w:name w:val="o00408"/>
    <w:basedOn w:val="Absatz-Standardschriftart"/>
    <w:rsid w:val="00BD525F"/>
  </w:style>
  <w:style w:type="character" w:customStyle="1" w:styleId="s01997">
    <w:name w:val="s01997"/>
    <w:basedOn w:val="Absatz-Standardschriftart"/>
    <w:rsid w:val="00BD525F"/>
  </w:style>
  <w:style w:type="character" w:customStyle="1" w:styleId="first-table-reference">
    <w:name w:val="first-table-reference"/>
    <w:basedOn w:val="Absatz-Standardschriftart"/>
    <w:rsid w:val="00BD525F"/>
  </w:style>
  <w:style w:type="character" w:styleId="Hyperlink">
    <w:name w:val="Hyperlink"/>
    <w:basedOn w:val="Absatz-Standardschriftart"/>
    <w:uiPriority w:val="99"/>
    <w:unhideWhenUsed/>
    <w:rsid w:val="00BD525F"/>
    <w:rPr>
      <w:color w:val="0563C1" w:themeColor="hyperlink"/>
      <w:u w:val="single"/>
    </w:rPr>
  </w:style>
  <w:style w:type="character" w:customStyle="1" w:styleId="UnresolvedMention1">
    <w:name w:val="Unresolved Mention1"/>
    <w:basedOn w:val="Absatz-Standardschriftart"/>
    <w:uiPriority w:val="99"/>
    <w:semiHidden/>
    <w:unhideWhenUsed/>
    <w:rsid w:val="00BD525F"/>
    <w:rPr>
      <w:color w:val="605E5C"/>
      <w:shd w:val="clear" w:color="auto" w:fill="E1DFDD"/>
    </w:rPr>
  </w:style>
  <w:style w:type="paragraph" w:styleId="Funotentext">
    <w:name w:val="footnote text"/>
    <w:basedOn w:val="Standard"/>
    <w:link w:val="FunotentextZchn"/>
    <w:uiPriority w:val="99"/>
    <w:unhideWhenUsed/>
    <w:rsid w:val="00BD525F"/>
    <w:pPr>
      <w:spacing w:line="240" w:lineRule="auto"/>
    </w:pPr>
    <w:rPr>
      <w:sz w:val="20"/>
      <w:szCs w:val="20"/>
    </w:rPr>
  </w:style>
  <w:style w:type="character" w:customStyle="1" w:styleId="FunotentextZchn">
    <w:name w:val="Fußnotentext Zchn"/>
    <w:basedOn w:val="Absatz-Standardschriftart"/>
    <w:link w:val="Funotentext"/>
    <w:uiPriority w:val="99"/>
    <w:rsid w:val="00BD525F"/>
    <w:rPr>
      <w:rFonts w:ascii="Times New Roman" w:eastAsia="Times New Roman" w:hAnsi="Times New Roman" w:cs="Times New Roman"/>
      <w:kern w:val="0"/>
      <w:sz w:val="20"/>
      <w:szCs w:val="20"/>
      <w:highlight w:val="white"/>
      <w:lang w:val="en-US" w:eastAsia="de-DE"/>
      <w14:ligatures w14:val="none"/>
    </w:rPr>
  </w:style>
  <w:style w:type="character" w:styleId="Funotenzeichen">
    <w:name w:val="footnote reference"/>
    <w:basedOn w:val="Absatz-Standardschriftart"/>
    <w:uiPriority w:val="99"/>
    <w:semiHidden/>
    <w:unhideWhenUsed/>
    <w:rsid w:val="00BD525F"/>
    <w:rPr>
      <w:vertAlign w:val="superscript"/>
    </w:rPr>
  </w:style>
  <w:style w:type="character" w:styleId="Kommentarzeichen">
    <w:name w:val="annotation reference"/>
    <w:basedOn w:val="Absatz-Standardschriftart"/>
    <w:uiPriority w:val="99"/>
    <w:semiHidden/>
    <w:unhideWhenUsed/>
    <w:rsid w:val="00BD525F"/>
    <w:rPr>
      <w:sz w:val="16"/>
      <w:szCs w:val="16"/>
    </w:rPr>
  </w:style>
  <w:style w:type="paragraph" w:styleId="Kommentartext">
    <w:name w:val="annotation text"/>
    <w:basedOn w:val="Standard"/>
    <w:link w:val="KommentartextZchn"/>
    <w:unhideWhenUsed/>
    <w:rsid w:val="00BD525F"/>
    <w:pPr>
      <w:spacing w:line="240" w:lineRule="auto"/>
      <w:ind w:firstLine="0"/>
    </w:pPr>
    <w:rPr>
      <w:sz w:val="20"/>
      <w:szCs w:val="20"/>
    </w:rPr>
  </w:style>
  <w:style w:type="character" w:customStyle="1" w:styleId="KommentartextZchn">
    <w:name w:val="Kommentartext Zchn"/>
    <w:basedOn w:val="Absatz-Standardschriftart"/>
    <w:link w:val="Kommentartext"/>
    <w:rsid w:val="00BD525F"/>
    <w:rPr>
      <w:rFonts w:ascii="Times New Roman" w:eastAsia="Times New Roman" w:hAnsi="Times New Roman" w:cs="Times New Roman"/>
      <w:kern w:val="0"/>
      <w:sz w:val="20"/>
      <w:szCs w:val="20"/>
      <w:highlight w:val="white"/>
      <w:lang w:val="en-US" w:eastAsia="de-DE"/>
      <w14:ligatures w14:val="none"/>
    </w:rPr>
  </w:style>
  <w:style w:type="paragraph" w:styleId="Kommentarthema">
    <w:name w:val="annotation subject"/>
    <w:basedOn w:val="Kommentartext"/>
    <w:next w:val="Kommentartext"/>
    <w:link w:val="KommentarthemaZchn"/>
    <w:uiPriority w:val="99"/>
    <w:semiHidden/>
    <w:unhideWhenUsed/>
    <w:rsid w:val="00BD525F"/>
    <w:rPr>
      <w:b/>
      <w:bCs/>
    </w:rPr>
  </w:style>
  <w:style w:type="character" w:customStyle="1" w:styleId="KommentarthemaZchn">
    <w:name w:val="Kommentarthema Zchn"/>
    <w:basedOn w:val="KommentartextZchn"/>
    <w:link w:val="Kommentarthema"/>
    <w:uiPriority w:val="99"/>
    <w:semiHidden/>
    <w:rsid w:val="00BD525F"/>
    <w:rPr>
      <w:rFonts w:ascii="Times New Roman" w:eastAsia="Times New Roman" w:hAnsi="Times New Roman" w:cs="Times New Roman"/>
      <w:b/>
      <w:bCs/>
      <w:kern w:val="0"/>
      <w:sz w:val="20"/>
      <w:szCs w:val="20"/>
      <w:highlight w:val="white"/>
      <w:lang w:val="en-US" w:eastAsia="de-DE"/>
      <w14:ligatures w14:val="none"/>
    </w:rPr>
  </w:style>
  <w:style w:type="paragraph" w:styleId="Sprechblasentext">
    <w:name w:val="Balloon Text"/>
    <w:basedOn w:val="Standard"/>
    <w:link w:val="SprechblasentextZchn"/>
    <w:uiPriority w:val="99"/>
    <w:semiHidden/>
    <w:unhideWhenUsed/>
    <w:rsid w:val="00BD525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D525F"/>
    <w:rPr>
      <w:rFonts w:ascii="Segoe UI" w:eastAsia="Times New Roman" w:hAnsi="Segoe UI" w:cs="Segoe UI"/>
      <w:kern w:val="0"/>
      <w:sz w:val="18"/>
      <w:szCs w:val="18"/>
      <w:highlight w:val="white"/>
      <w:lang w:val="en-US" w:eastAsia="de-DE"/>
      <w14:ligatures w14:val="none"/>
    </w:rPr>
  </w:style>
  <w:style w:type="table" w:styleId="Tabellenraster">
    <w:name w:val="Table Grid"/>
    <w:basedOn w:val="NormaleTabelle"/>
    <w:uiPriority w:val="39"/>
    <w:rsid w:val="00BD525F"/>
    <w:pPr>
      <w:ind w:firstLine="720"/>
    </w:pPr>
    <w:rPr>
      <w:rFonts w:ascii="Times New Roman" w:eastAsia="Times New Roman" w:hAnsi="Times New Roman" w:cs="Times New Roman"/>
      <w:kern w:val="0"/>
      <w:sz w:val="22"/>
      <w:szCs w:val="22"/>
      <w:highlight w:val="white"/>
      <w:lang w:val="en-US"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D525F"/>
    <w:rPr>
      <w:color w:val="954F72" w:themeColor="followedHyperlink"/>
      <w:u w:val="single"/>
    </w:rPr>
  </w:style>
  <w:style w:type="paragraph" w:styleId="berarbeitung">
    <w:name w:val="Revision"/>
    <w:hidden/>
    <w:uiPriority w:val="99"/>
    <w:semiHidden/>
    <w:rsid w:val="00BD525F"/>
    <w:pPr>
      <w:ind w:firstLine="720"/>
    </w:pPr>
    <w:rPr>
      <w:rFonts w:ascii="Arial" w:eastAsia="Times New Roman" w:hAnsi="Arial" w:cs="Arial"/>
      <w:color w:val="333333"/>
      <w:kern w:val="0"/>
      <w:sz w:val="21"/>
      <w:szCs w:val="21"/>
      <w:highlight w:val="white"/>
      <w:shd w:val="clear" w:color="auto" w:fill="FFFFFF"/>
      <w:lang w:val="en-US" w:eastAsia="de-DE"/>
      <w14:ligatures w14:val="none"/>
    </w:rPr>
  </w:style>
  <w:style w:type="paragraph" w:styleId="Zitat">
    <w:name w:val="Quote"/>
    <w:basedOn w:val="Standard"/>
    <w:next w:val="Standard"/>
    <w:link w:val="ZitatZchn"/>
    <w:uiPriority w:val="29"/>
    <w:qFormat/>
    <w:rsid w:val="00BD525F"/>
    <w:pPr>
      <w:ind w:left="720" w:firstLine="0"/>
    </w:pPr>
    <w:rPr>
      <w:iCs/>
      <w:color w:val="404040" w:themeColor="text1" w:themeTint="BF"/>
    </w:rPr>
  </w:style>
  <w:style w:type="character" w:customStyle="1" w:styleId="ZitatZchn">
    <w:name w:val="Zitat Zchn"/>
    <w:basedOn w:val="Absatz-Standardschriftart"/>
    <w:link w:val="Zitat"/>
    <w:uiPriority w:val="29"/>
    <w:rsid w:val="00BD525F"/>
    <w:rPr>
      <w:rFonts w:ascii="Times New Roman" w:eastAsia="Times New Roman" w:hAnsi="Times New Roman" w:cs="Times New Roman"/>
      <w:iCs/>
      <w:color w:val="404040" w:themeColor="text1" w:themeTint="BF"/>
      <w:kern w:val="0"/>
      <w:sz w:val="22"/>
      <w:szCs w:val="22"/>
      <w:highlight w:val="white"/>
      <w:lang w:val="en-US" w:eastAsia="de-DE"/>
      <w14:ligatures w14:val="none"/>
    </w:rPr>
  </w:style>
  <w:style w:type="paragraph" w:customStyle="1" w:styleId="Affiliations">
    <w:name w:val="Affiliations"/>
    <w:basedOn w:val="Standard"/>
    <w:qFormat/>
    <w:rsid w:val="00BD525F"/>
    <w:pPr>
      <w:spacing w:line="240" w:lineRule="auto"/>
      <w:jc w:val="center"/>
    </w:pPr>
    <w:rPr>
      <w:i/>
      <w:iCs/>
      <w:sz w:val="16"/>
      <w:szCs w:val="16"/>
      <w:vertAlign w:val="superscript"/>
      <w:lang w:val="de-DE"/>
    </w:rPr>
  </w:style>
  <w:style w:type="paragraph" w:customStyle="1" w:styleId="Authors">
    <w:name w:val="Authors"/>
    <w:basedOn w:val="Standard"/>
    <w:link w:val="AuthorsChar"/>
    <w:qFormat/>
    <w:rsid w:val="00BD525F"/>
    <w:pPr>
      <w:spacing w:line="240" w:lineRule="auto"/>
      <w:jc w:val="center"/>
    </w:pPr>
    <w:rPr>
      <w:sz w:val="26"/>
      <w:szCs w:val="26"/>
      <w:lang w:val="de-DE"/>
    </w:rPr>
  </w:style>
  <w:style w:type="paragraph" w:styleId="Listenabsatz">
    <w:name w:val="List Paragraph"/>
    <w:basedOn w:val="Standard"/>
    <w:uiPriority w:val="34"/>
    <w:qFormat/>
    <w:rsid w:val="00BD525F"/>
    <w:pPr>
      <w:ind w:left="720"/>
      <w:contextualSpacing/>
    </w:pPr>
  </w:style>
  <w:style w:type="paragraph" w:customStyle="1" w:styleId="Code">
    <w:name w:val="Code"/>
    <w:basedOn w:val="Standard"/>
    <w:qFormat/>
    <w:rsid w:val="00BD525F"/>
    <w:pPr>
      <w:spacing w:after="160" w:line="259" w:lineRule="auto"/>
      <w:ind w:firstLine="0"/>
    </w:pPr>
    <w:rPr>
      <w:rFonts w:ascii="Century" w:hAnsi="Century" w:cstheme="majorHAnsi"/>
      <w:sz w:val="20"/>
      <w:szCs w:val="20"/>
      <w:shd w:val="clear" w:color="auto" w:fill="auto"/>
    </w:rPr>
  </w:style>
  <w:style w:type="paragraph" w:customStyle="1" w:styleId="ZitatA">
    <w:name w:val="Zitat_A"/>
    <w:basedOn w:val="Standard"/>
    <w:uiPriority w:val="99"/>
    <w:qFormat/>
    <w:rsid w:val="00BD525F"/>
    <w:pPr>
      <w:spacing w:before="240" w:after="240" w:line="240" w:lineRule="auto"/>
      <w:ind w:left="284" w:right="284" w:firstLine="0"/>
    </w:pPr>
    <w:rPr>
      <w:rFonts w:ascii="Calibri Light" w:eastAsiaTheme="minorEastAsia" w:hAnsi="Calibri Light" w:cs="Calibri Light"/>
      <w:i/>
      <w:color w:val="007AB0"/>
      <w:szCs w:val="24"/>
      <w:shd w:val="clear" w:color="auto" w:fill="auto"/>
      <w:lang w:val="de-DE"/>
    </w:rPr>
  </w:style>
  <w:style w:type="character" w:styleId="NichtaufgelsteErwhnung">
    <w:name w:val="Unresolved Mention"/>
    <w:basedOn w:val="Absatz-Standardschriftart"/>
    <w:uiPriority w:val="99"/>
    <w:semiHidden/>
    <w:unhideWhenUsed/>
    <w:rsid w:val="00BD525F"/>
    <w:rPr>
      <w:color w:val="605E5C"/>
      <w:shd w:val="clear" w:color="auto" w:fill="E1DFDD"/>
    </w:rPr>
  </w:style>
  <w:style w:type="paragraph" w:customStyle="1" w:styleId="References">
    <w:name w:val="References"/>
    <w:basedOn w:val="Standard"/>
    <w:qFormat/>
    <w:rsid w:val="00BD525F"/>
    <w:pPr>
      <w:pBdr>
        <w:top w:val="nil"/>
        <w:left w:val="nil"/>
        <w:bottom w:val="nil"/>
        <w:right w:val="nil"/>
        <w:between w:val="nil"/>
      </w:pBdr>
      <w:ind w:left="720" w:hanging="720"/>
    </w:pPr>
    <w:rPr>
      <w:color w:val="000000"/>
      <w:sz w:val="20"/>
      <w:szCs w:val="20"/>
      <w:highlight w:val="none"/>
      <w:shd w:val="clear" w:color="auto" w:fill="auto"/>
    </w:rPr>
  </w:style>
  <w:style w:type="paragraph" w:styleId="Untertitel">
    <w:name w:val="Subtitle"/>
    <w:basedOn w:val="Standard"/>
    <w:next w:val="Standard"/>
    <w:link w:val="UntertitelZchn"/>
    <w:uiPriority w:val="11"/>
    <w:qFormat/>
    <w:rsid w:val="00BD525F"/>
    <w:pPr>
      <w:pBdr>
        <w:top w:val="nil"/>
        <w:left w:val="nil"/>
        <w:bottom w:val="nil"/>
        <w:right w:val="nil"/>
        <w:between w:val="nil"/>
      </w:pBdr>
      <w:ind w:left="360" w:hanging="360"/>
      <w:jc w:val="center"/>
    </w:pPr>
    <w:rPr>
      <w:b/>
      <w:color w:val="000000"/>
      <w:shd w:val="clear" w:color="auto" w:fill="auto"/>
    </w:rPr>
  </w:style>
  <w:style w:type="character" w:customStyle="1" w:styleId="UntertitelZchn">
    <w:name w:val="Untertitel Zchn"/>
    <w:basedOn w:val="Absatz-Standardschriftart"/>
    <w:link w:val="Untertitel"/>
    <w:uiPriority w:val="11"/>
    <w:rsid w:val="00BD525F"/>
    <w:rPr>
      <w:rFonts w:ascii="Times New Roman" w:eastAsia="Times New Roman" w:hAnsi="Times New Roman" w:cs="Times New Roman"/>
      <w:b/>
      <w:color w:val="000000"/>
      <w:kern w:val="0"/>
      <w:sz w:val="22"/>
      <w:szCs w:val="22"/>
      <w:highlight w:val="white"/>
      <w:lang w:val="en-US" w:eastAsia="de-DE"/>
      <w14:ligatures w14:val="none"/>
    </w:rPr>
  </w:style>
  <w:style w:type="paragraph" w:customStyle="1" w:styleId="StandardohneEinzug">
    <w:name w:val="Standard_ohneEinzug"/>
    <w:basedOn w:val="Standard"/>
    <w:qFormat/>
    <w:rsid w:val="00BD525F"/>
    <w:pPr>
      <w:spacing w:line="360" w:lineRule="auto"/>
      <w:ind w:firstLine="0"/>
    </w:pPr>
    <w:rPr>
      <w:rFonts w:eastAsiaTheme="minorHAnsi"/>
      <w:highlight w:val="none"/>
      <w:lang w:eastAsia="en-US"/>
    </w:rPr>
  </w:style>
  <w:style w:type="paragraph" w:customStyle="1" w:styleId="msonormal0">
    <w:name w:val="msonormal"/>
    <w:basedOn w:val="Standard"/>
    <w:rsid w:val="00BD525F"/>
    <w:pPr>
      <w:spacing w:before="100" w:beforeAutospacing="1" w:after="100" w:afterAutospacing="1" w:line="240" w:lineRule="auto"/>
      <w:ind w:firstLine="0"/>
    </w:pPr>
    <w:rPr>
      <w:sz w:val="24"/>
      <w:szCs w:val="24"/>
      <w:highlight w:val="none"/>
      <w:shd w:val="clear" w:color="auto" w:fill="auto"/>
      <w:lang w:val="de-DE"/>
    </w:rPr>
  </w:style>
  <w:style w:type="character" w:customStyle="1" w:styleId="z3988">
    <w:name w:val="z3988"/>
    <w:basedOn w:val="Absatz-Standardschriftart"/>
    <w:rsid w:val="00BD525F"/>
  </w:style>
  <w:style w:type="paragraph" w:customStyle="1" w:styleId="Times">
    <w:name w:val="Times"/>
    <w:basedOn w:val="Standard"/>
    <w:qFormat/>
    <w:rsid w:val="00BD525F"/>
    <w:pPr>
      <w:spacing w:line="240" w:lineRule="auto"/>
      <w:ind w:firstLine="0"/>
    </w:pPr>
    <w:rPr>
      <w:highlight w:val="none"/>
      <w:shd w:val="clear" w:color="auto" w:fill="auto"/>
    </w:rPr>
  </w:style>
  <w:style w:type="paragraph" w:customStyle="1" w:styleId="Literaturverzeichnis1">
    <w:name w:val="Literaturverzeichnis1"/>
    <w:basedOn w:val="Standard"/>
    <w:link w:val="BibliographyZchn"/>
    <w:rsid w:val="00BD525F"/>
    <w:pPr>
      <w:ind w:left="720" w:hanging="720"/>
    </w:pPr>
    <w:rPr>
      <w:highlight w:val="none"/>
    </w:rPr>
  </w:style>
  <w:style w:type="character" w:customStyle="1" w:styleId="BibliographyZchn">
    <w:name w:val="Bibliography Zchn"/>
    <w:basedOn w:val="Absatz-Standardschriftart"/>
    <w:link w:val="Literaturverzeichnis1"/>
    <w:rsid w:val="00BD525F"/>
    <w:rPr>
      <w:rFonts w:ascii="Times New Roman" w:eastAsia="Times New Roman" w:hAnsi="Times New Roman" w:cs="Times New Roman"/>
      <w:kern w:val="0"/>
      <w:sz w:val="22"/>
      <w:szCs w:val="22"/>
      <w:lang w:val="en-US" w:eastAsia="de-DE"/>
      <w14:ligatures w14:val="none"/>
    </w:rPr>
  </w:style>
  <w:style w:type="paragraph" w:customStyle="1" w:styleId="Affiliation">
    <w:name w:val="Affiliation"/>
    <w:rsid w:val="00BD525F"/>
    <w:pPr>
      <w:spacing w:before="60" w:line="297" w:lineRule="atLeast"/>
    </w:pPr>
    <w:rPr>
      <w:rFonts w:ascii="Linux Libertine O" w:eastAsia="Times New Roman" w:hAnsi="Linux Libertine O" w:cs="Linux Libertine O"/>
      <w:kern w:val="0"/>
      <w:sz w:val="18"/>
      <w:szCs w:val="20"/>
      <w:lang w:val="en-US"/>
      <w14:ligatures w14:val="none"/>
    </w:rPr>
  </w:style>
  <w:style w:type="paragraph" w:customStyle="1" w:styleId="AuthNotes">
    <w:name w:val="AuthNotes"/>
    <w:rsid w:val="00BD525F"/>
    <w:pPr>
      <w:spacing w:line="140" w:lineRule="atLeast"/>
      <w:jc w:val="both"/>
    </w:pPr>
    <w:rPr>
      <w:rFonts w:ascii="Linux Libertine O" w:eastAsia="Cambria" w:hAnsi="Linux Libertine O" w:cs="Linux Libertine O"/>
      <w:kern w:val="0"/>
      <w:sz w:val="14"/>
      <w:szCs w:val="22"/>
      <w:lang w:val="en-US"/>
      <w14:ligatures w14:val="none"/>
    </w:rPr>
  </w:style>
  <w:style w:type="character" w:customStyle="1" w:styleId="AuthorsChar">
    <w:name w:val="Authors Char"/>
    <w:link w:val="Authors"/>
    <w:locked/>
    <w:rsid w:val="00BD525F"/>
    <w:rPr>
      <w:rFonts w:ascii="Times New Roman" w:eastAsia="Times New Roman" w:hAnsi="Times New Roman" w:cs="Times New Roman"/>
      <w:kern w:val="0"/>
      <w:sz w:val="26"/>
      <w:szCs w:val="26"/>
      <w:highlight w:val="white"/>
      <w:lang w:eastAsia="de-DE"/>
      <w14:ligatures w14:val="none"/>
    </w:rPr>
  </w:style>
  <w:style w:type="paragraph" w:styleId="StandardWeb">
    <w:name w:val="Normal (Web)"/>
    <w:basedOn w:val="Standard"/>
    <w:uiPriority w:val="99"/>
    <w:semiHidden/>
    <w:unhideWhenUsed/>
    <w:rsid w:val="00BD525F"/>
    <w:pPr>
      <w:spacing w:before="100" w:beforeAutospacing="1" w:after="100" w:afterAutospacing="1" w:line="240" w:lineRule="auto"/>
      <w:ind w:firstLine="0"/>
    </w:pPr>
    <w:rPr>
      <w:sz w:val="24"/>
      <w:szCs w:val="24"/>
      <w:highlight w:val="none"/>
      <w:shd w:val="clear" w:color="auto" w:fill="auto"/>
      <w:lang w:val="de-DE"/>
    </w:rPr>
  </w:style>
  <w:style w:type="paragraph" w:customStyle="1" w:styleId="Table">
    <w:name w:val="Table"/>
    <w:basedOn w:val="Standard"/>
    <w:qFormat/>
    <w:rsid w:val="000E09ED"/>
    <w:pPr>
      <w:pBdr>
        <w:top w:val="nil"/>
        <w:left w:val="nil"/>
        <w:bottom w:val="nil"/>
        <w:right w:val="nil"/>
        <w:between w:val="nil"/>
      </w:pBdr>
      <w:spacing w:line="240" w:lineRule="auto"/>
      <w:ind w:firstLine="0"/>
    </w:pPr>
    <w:rPr>
      <w:color w:val="000000"/>
      <w:sz w:val="20"/>
      <w:szCs w:val="20"/>
      <w:highlight w:val="none"/>
      <w:shd w:val="clear" w:color="auto" w:fill="auto"/>
      <w:lang w:val="en-GB"/>
    </w:rPr>
  </w:style>
  <w:style w:type="paragraph" w:customStyle="1" w:styleId="TableDescription">
    <w:name w:val="Table Description"/>
    <w:basedOn w:val="Standard"/>
    <w:qFormat/>
    <w:rsid w:val="001F7A7E"/>
    <w:pPr>
      <w:pBdr>
        <w:top w:val="nil"/>
        <w:left w:val="nil"/>
        <w:bottom w:val="nil"/>
        <w:right w:val="nil"/>
        <w:between w:val="nil"/>
      </w:pBdr>
      <w:spacing w:line="240" w:lineRule="auto"/>
      <w:ind w:firstLine="0"/>
    </w:pPr>
    <w:rPr>
      <w:color w:val="000000"/>
      <w:sz w:val="20"/>
      <w:szCs w:val="20"/>
      <w:highlight w:val="none"/>
      <w:shd w:val="clear" w:color="auto" w:fill="auto"/>
      <w:lang w:val="en-GB"/>
    </w:rPr>
  </w:style>
  <w:style w:type="paragraph" w:customStyle="1" w:styleId="Text">
    <w:name w:val="Text"/>
    <w:basedOn w:val="Standard"/>
    <w:qFormat/>
    <w:rsid w:val="009D170C"/>
    <w:pPr>
      <w:pBdr>
        <w:top w:val="nil"/>
        <w:left w:val="nil"/>
        <w:bottom w:val="nil"/>
        <w:right w:val="nil"/>
        <w:between w:val="nil"/>
      </w:pBdr>
      <w:ind w:firstLine="0"/>
    </w:pPr>
    <w:rPr>
      <w:iCs/>
      <w:color w:val="000000"/>
      <w:sz w:val="20"/>
      <w:szCs w:val="20"/>
      <w:highlight w:val="none"/>
      <w:shd w:val="clear" w:color="auto" w:fil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409163">
      <w:bodyDiv w:val="1"/>
      <w:marLeft w:val="0"/>
      <w:marRight w:val="0"/>
      <w:marTop w:val="0"/>
      <w:marBottom w:val="0"/>
      <w:divBdr>
        <w:top w:val="none" w:sz="0" w:space="0" w:color="auto"/>
        <w:left w:val="none" w:sz="0" w:space="0" w:color="auto"/>
        <w:bottom w:val="none" w:sz="0" w:space="0" w:color="auto"/>
        <w:right w:val="none" w:sz="0" w:space="0" w:color="auto"/>
      </w:divBdr>
    </w:div>
    <w:div w:id="8645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11/j.1467-8535.2009.01053.x" TargetMode="External"/><Relationship Id="rId21" Type="http://schemas.openxmlformats.org/officeDocument/2006/relationships/hyperlink" Target="https://doi.org/10.3390/ejihpe10010024" TargetMode="External"/><Relationship Id="rId42" Type="http://schemas.openxmlformats.org/officeDocument/2006/relationships/hyperlink" Target="https://doi.org/10.1016/j.compedu.2011.10.004" TargetMode="External"/><Relationship Id="rId63" Type="http://schemas.openxmlformats.org/officeDocument/2006/relationships/hyperlink" Target="https://doi.org/10.30935/cedtech/9607" TargetMode="External"/><Relationship Id="rId84" Type="http://schemas.openxmlformats.org/officeDocument/2006/relationships/hyperlink" Target="https://doi.org/10.1080/0144929X.2020.1752800" TargetMode="External"/><Relationship Id="rId138" Type="http://schemas.openxmlformats.org/officeDocument/2006/relationships/hyperlink" Target="https://doi.org/10.1016/j.compedu.2021.104184" TargetMode="External"/><Relationship Id="rId159" Type="http://schemas.openxmlformats.org/officeDocument/2006/relationships/hyperlink" Target="https://doi.org/10.3389/fpsyg.2021.733830" TargetMode="External"/><Relationship Id="rId170" Type="http://schemas.openxmlformats.org/officeDocument/2006/relationships/hyperlink" Target="https://doi.org/10.17583/IJEP.2021.4667" TargetMode="External"/><Relationship Id="rId191" Type="http://schemas.openxmlformats.org/officeDocument/2006/relationships/hyperlink" Target="https://doi.org/10.11591/ijere.v10i1.20598" TargetMode="External"/><Relationship Id="rId205" Type="http://schemas.openxmlformats.org/officeDocument/2006/relationships/hyperlink" Target="https://doi.org/10.1007/s10639-021-10685-y" TargetMode="External"/><Relationship Id="rId226" Type="http://schemas.openxmlformats.org/officeDocument/2006/relationships/theme" Target="theme/theme1.xml"/><Relationship Id="rId107" Type="http://schemas.openxmlformats.org/officeDocument/2006/relationships/hyperlink" Target="https://doi.org/10.12738/estp.2019.2.001" TargetMode="External"/><Relationship Id="rId11" Type="http://schemas.openxmlformats.org/officeDocument/2006/relationships/hyperlink" Target="https://doi.org/10.3991/ijet.v15i19.15611" TargetMode="External"/><Relationship Id="rId32" Type="http://schemas.openxmlformats.org/officeDocument/2006/relationships/hyperlink" Target="https://doi.org/10.5281/zenodo.3891822" TargetMode="External"/><Relationship Id="rId53" Type="http://schemas.openxmlformats.org/officeDocument/2006/relationships/hyperlink" Target="https://doi.org/10.1016/j.compedu.2014.07.003" TargetMode="External"/><Relationship Id="rId74" Type="http://schemas.openxmlformats.org/officeDocument/2006/relationships/hyperlink" Target="https://doi.org/10.1177/1461444810389751" TargetMode="External"/><Relationship Id="rId128" Type="http://schemas.openxmlformats.org/officeDocument/2006/relationships/hyperlink" Target="https://doi.org/10.1108/02640471211275675" TargetMode="External"/><Relationship Id="rId149" Type="http://schemas.openxmlformats.org/officeDocument/2006/relationships/hyperlink" Target="https://doi.org/10.5897/ERR2018.3539" TargetMode="External"/><Relationship Id="rId5" Type="http://schemas.openxmlformats.org/officeDocument/2006/relationships/webSettings" Target="webSettings.xml"/><Relationship Id="rId95" Type="http://schemas.openxmlformats.org/officeDocument/2006/relationships/hyperlink" Target="https://doi.org/10.1080/15391523.2019.1576559" TargetMode="External"/><Relationship Id="rId160" Type="http://schemas.openxmlformats.org/officeDocument/2006/relationships/hyperlink" Target="https://doi.org/10.1016/j.compedu.2009.08.015" TargetMode="External"/><Relationship Id="rId181" Type="http://schemas.openxmlformats.org/officeDocument/2006/relationships/hyperlink" Target="https://doi.org/10.20448/journal.522.2020.62.117.121" TargetMode="External"/><Relationship Id="rId216" Type="http://schemas.openxmlformats.org/officeDocument/2006/relationships/hyperlink" Target="https://doi.org/10.1111/ssqu.12790" TargetMode="External"/><Relationship Id="rId22" Type="http://schemas.openxmlformats.org/officeDocument/2006/relationships/hyperlink" Target="https://doi.org/10.1016/j.chb.2019.04.005" TargetMode="External"/><Relationship Id="rId43" Type="http://schemas.openxmlformats.org/officeDocument/2006/relationships/hyperlink" Target="https://doi.org/10.3389/fpsyg.2020.00230" TargetMode="External"/><Relationship Id="rId64" Type="http://schemas.openxmlformats.org/officeDocument/2006/relationships/hyperlink" Target="https://doi.org/10.3916/C61-2019-05" TargetMode="External"/><Relationship Id="rId118" Type="http://schemas.openxmlformats.org/officeDocument/2006/relationships/hyperlink" Target="https://doi.org/10.1007/s10639-021-10432-3" TargetMode="External"/><Relationship Id="rId139" Type="http://schemas.openxmlformats.org/officeDocument/2006/relationships/hyperlink" Target="https://doi.org/10.1111/bjet.12729" TargetMode="External"/><Relationship Id="rId85" Type="http://schemas.openxmlformats.org/officeDocument/2006/relationships/hyperlink" Target="https://doi.org/10.1111/bjet.12778" TargetMode="External"/><Relationship Id="rId150" Type="http://schemas.openxmlformats.org/officeDocument/2006/relationships/hyperlink" Target="https://doi.org/10.2478/nor-2019-0002" TargetMode="External"/><Relationship Id="rId171" Type="http://schemas.openxmlformats.org/officeDocument/2006/relationships/hyperlink" Target="https://doi.org/10.1016/j.jobcr.2017.10.001" TargetMode="External"/><Relationship Id="rId192" Type="http://schemas.openxmlformats.org/officeDocument/2006/relationships/hyperlink" Target="https://doi.org/10.17718/TOJDE.522427" TargetMode="External"/><Relationship Id="rId206" Type="http://schemas.openxmlformats.org/officeDocument/2006/relationships/hyperlink" Target="https://doi.org/10.1016/j.compedu.2020.104112" TargetMode="External"/><Relationship Id="rId12" Type="http://schemas.openxmlformats.org/officeDocument/2006/relationships/hyperlink" Target="https://doi.org/10.3390/su132112304" TargetMode="External"/><Relationship Id="rId33" Type="http://schemas.openxmlformats.org/officeDocument/2006/relationships/hyperlink" Target="https://doi.org/10.1186/s41239-018-0119-9" TargetMode="External"/><Relationship Id="rId108" Type="http://schemas.openxmlformats.org/officeDocument/2006/relationships/hyperlink" Target="https://doi.org/10.1111/nhs.12711" TargetMode="External"/><Relationship Id="rId129" Type="http://schemas.openxmlformats.org/officeDocument/2006/relationships/hyperlink" Target="https://doi.org/10.5430/ijhe.v9n9p11" TargetMode="External"/><Relationship Id="rId54" Type="http://schemas.openxmlformats.org/officeDocument/2006/relationships/hyperlink" Target="https://doi.org/10.11591/edulearn.v14i2.14921" TargetMode="External"/><Relationship Id="rId75" Type="http://schemas.openxmlformats.org/officeDocument/2006/relationships/hyperlink" Target="https://doi.org/10.5614/itbj.ict.res.appl.2018.12.2.3" TargetMode="External"/><Relationship Id="rId96" Type="http://schemas.openxmlformats.org/officeDocument/2006/relationships/hyperlink" Target="https://doi.org/10.1080/19393555.2019.1685142" TargetMode="External"/><Relationship Id="rId140" Type="http://schemas.openxmlformats.org/officeDocument/2006/relationships/hyperlink" Target="https://doi.org/10.6018/RED.438721" TargetMode="External"/><Relationship Id="rId161" Type="http://schemas.openxmlformats.org/officeDocument/2006/relationships/hyperlink" Target="https://www.jstor.org/stable/10.2307/26926422" TargetMode="External"/><Relationship Id="rId182" Type="http://schemas.openxmlformats.org/officeDocument/2006/relationships/hyperlink" Target="https://doi.org/10.3390/su13116424" TargetMode="External"/><Relationship Id="rId217" Type="http://schemas.openxmlformats.org/officeDocument/2006/relationships/hyperlink" Target="https://doi.org/10.5430/IJHE.V9N3P300" TargetMode="External"/><Relationship Id="rId6" Type="http://schemas.openxmlformats.org/officeDocument/2006/relationships/hyperlink" Target="mailto:annika.kreuder@psych.rwth-aachen.de" TargetMode="External"/><Relationship Id="rId23" Type="http://schemas.openxmlformats.org/officeDocument/2006/relationships/hyperlink" Target="https://doi.org/10.3390/su12208438" TargetMode="External"/><Relationship Id="rId119" Type="http://schemas.openxmlformats.org/officeDocument/2006/relationships/hyperlink" Target="https://doi.org/10.3390/ijerph16245157" TargetMode="External"/><Relationship Id="rId44" Type="http://schemas.openxmlformats.org/officeDocument/2006/relationships/hyperlink" Target="https://doi.org/10.3390/educsci11110729" TargetMode="External"/><Relationship Id="rId65" Type="http://schemas.openxmlformats.org/officeDocument/2006/relationships/hyperlink" Target="https://doi.org/10.3390/su122410426" TargetMode="External"/><Relationship Id="rId86" Type="http://schemas.openxmlformats.org/officeDocument/2006/relationships/hyperlink" Target="https://doi.org/10.1186/s41239-017-0082-x" TargetMode="External"/><Relationship Id="rId130" Type="http://schemas.openxmlformats.org/officeDocument/2006/relationships/hyperlink" Target="https://doi.org/10.5817/CP2018-1-2" TargetMode="External"/><Relationship Id="rId151" Type="http://schemas.openxmlformats.org/officeDocument/2006/relationships/hyperlink" Target="https://doi.org/10.1186/s12909-019-1475-4" TargetMode="External"/><Relationship Id="rId172" Type="http://schemas.openxmlformats.org/officeDocument/2006/relationships/hyperlink" Target="https://doi.org/10.18666/JNEL-2020-V10-I1-9566" TargetMode="External"/><Relationship Id="rId193" Type="http://schemas.openxmlformats.org/officeDocument/2006/relationships/hyperlink" Target="https://doi.org/10.1016/j.chb.2011.08.018" TargetMode="External"/><Relationship Id="rId207" Type="http://schemas.openxmlformats.org/officeDocument/2006/relationships/hyperlink" Target="https://doi.org/10.1111/bjet.13141" TargetMode="External"/><Relationship Id="rId13" Type="http://schemas.openxmlformats.org/officeDocument/2006/relationships/hyperlink" Target="https://doi.org/10.1111/jcal.12413" TargetMode="External"/><Relationship Id="rId109" Type="http://schemas.openxmlformats.org/officeDocument/2006/relationships/hyperlink" Target="https://doi.org/10.22492/ije.8.2.06" TargetMode="External"/><Relationship Id="rId34" Type="http://schemas.openxmlformats.org/officeDocument/2006/relationships/hyperlink" Target="https://doi.org/10.1080/1475939X.2017.1391871" TargetMode="External"/><Relationship Id="rId55" Type="http://schemas.openxmlformats.org/officeDocument/2006/relationships/hyperlink" Target="https://doi.org/10.33225/JBSE/18.17.851" TargetMode="External"/><Relationship Id="rId76" Type="http://schemas.openxmlformats.org/officeDocument/2006/relationships/hyperlink" Target="https://doi.org/10.1016/j.tele.2021.101666" TargetMode="External"/><Relationship Id="rId97" Type="http://schemas.openxmlformats.org/officeDocument/2006/relationships/hyperlink" Target="https://doi.org/10.1080/09588221.2011.643411" TargetMode="External"/><Relationship Id="rId120" Type="http://schemas.openxmlformats.org/officeDocument/2006/relationships/hyperlink" Target="https://doi.org/10.1016/j.chb.2014.04.027" TargetMode="External"/><Relationship Id="rId141" Type="http://schemas.openxmlformats.org/officeDocument/2006/relationships/hyperlink" Target="https://doi.org/10.1080/17482798.2020.1728700" TargetMode="External"/><Relationship Id="rId7" Type="http://schemas.openxmlformats.org/officeDocument/2006/relationships/hyperlink" Target="file:///Users/annikakreuder/Documents/Work/Paper/Scoping%20Review/Humanities%20and%20Social%20Sciences%20(HSSC)%20&#8211;%20HSSCOMMS-14771/Final%20Submission/ulrich.frick@uni-wuerzburg.de" TargetMode="External"/><Relationship Id="rId162" Type="http://schemas.openxmlformats.org/officeDocument/2006/relationships/hyperlink" Target="https://doi.org/10.1177/0894439315597429" TargetMode="External"/><Relationship Id="rId183" Type="http://schemas.openxmlformats.org/officeDocument/2006/relationships/hyperlink" Target="https://doi.org/10.1016/j.compedu.2012.05.008" TargetMode="External"/><Relationship Id="rId218" Type="http://schemas.openxmlformats.org/officeDocument/2006/relationships/hyperlink" Target="https://doi.org/10.1007/s10639-013-9272-x" TargetMode="External"/><Relationship Id="rId24" Type="http://schemas.openxmlformats.org/officeDocument/2006/relationships/hyperlink" Target="https://doi.org/10.3390/educsci9010040" TargetMode="External"/><Relationship Id="rId45" Type="http://schemas.openxmlformats.org/officeDocument/2006/relationships/hyperlink" Target="https://doi.org/10.18178/ijiet.2019.9.12.1321" TargetMode="External"/><Relationship Id="rId66" Type="http://schemas.openxmlformats.org/officeDocument/2006/relationships/hyperlink" Target="https://doi.org/10.1007/s10758-021-09546-x" TargetMode="External"/><Relationship Id="rId87" Type="http://schemas.openxmlformats.org/officeDocument/2006/relationships/hyperlink" Target="https://doi.org/10.1007/s12564-018-9517-x" TargetMode="External"/><Relationship Id="rId110" Type="http://schemas.openxmlformats.org/officeDocument/2006/relationships/hyperlink" Target="https://doi.org/10.1016/j.chb.2009.11.011" TargetMode="External"/><Relationship Id="rId131" Type="http://schemas.openxmlformats.org/officeDocument/2006/relationships/hyperlink" Target="https://doi.org/10.11113/jt.v77.6448" TargetMode="External"/><Relationship Id="rId152" Type="http://schemas.openxmlformats.org/officeDocument/2006/relationships/hyperlink" Target="https://doi.org/10.5430/ijhe.v9n4p206" TargetMode="External"/><Relationship Id="rId173" Type="http://schemas.openxmlformats.org/officeDocument/2006/relationships/hyperlink" Target="https://doi.org/10.1080/18146627.2017.1341291" TargetMode="External"/><Relationship Id="rId194" Type="http://schemas.openxmlformats.org/officeDocument/2006/relationships/hyperlink" Target="https://doi.org/10.17576/JKMJC-2020-3602-06" TargetMode="External"/><Relationship Id="rId208" Type="http://schemas.openxmlformats.org/officeDocument/2006/relationships/hyperlink" Target="https://doi.org/10.3389/fpsyg.2021.652594" TargetMode="External"/><Relationship Id="rId14" Type="http://schemas.openxmlformats.org/officeDocument/2006/relationships/hyperlink" Target="https://doi.org/10.1007/s10639-021-10437-y" TargetMode="External"/><Relationship Id="rId35" Type="http://schemas.openxmlformats.org/officeDocument/2006/relationships/hyperlink" Target="https://doi.org/10.1080/0735648X.2019.1692423" TargetMode="External"/><Relationship Id="rId56" Type="http://schemas.openxmlformats.org/officeDocument/2006/relationships/hyperlink" Target="https://doi.org/10.1080/09588221.2021.1968913" TargetMode="External"/><Relationship Id="rId77" Type="http://schemas.openxmlformats.org/officeDocument/2006/relationships/hyperlink" Target="https://doi.org/10.30786/jef.509293" TargetMode="External"/><Relationship Id="rId100" Type="http://schemas.openxmlformats.org/officeDocument/2006/relationships/hyperlink" Target="https://doi.org/10.1007/s10209-017-0553-9" TargetMode="External"/><Relationship Id="rId8" Type="http://schemas.openxmlformats.org/officeDocument/2006/relationships/hyperlink" Target="mailto:katrin.rakoczy@erziehung.uni-giessen.de" TargetMode="External"/><Relationship Id="rId98" Type="http://schemas.openxmlformats.org/officeDocument/2006/relationships/hyperlink" Target="https://doi.org/10.1186/s41239-021-00248-z" TargetMode="External"/><Relationship Id="rId121" Type="http://schemas.openxmlformats.org/officeDocument/2006/relationships/hyperlink" Target="https://doi.org/10.3390/SU12103969" TargetMode="External"/><Relationship Id="rId142" Type="http://schemas.openxmlformats.org/officeDocument/2006/relationships/hyperlink" Target="https://doi.org/10.17509/ijal.v11i1.34628" TargetMode="External"/><Relationship Id="rId163" Type="http://schemas.openxmlformats.org/officeDocument/2006/relationships/hyperlink" Target="https://doi.org/10.21831/cp.v39i2.31491" TargetMode="External"/><Relationship Id="rId184" Type="http://schemas.openxmlformats.org/officeDocument/2006/relationships/hyperlink" Target="https://doi.org/10.1371/journal.pone.0249495" TargetMode="External"/><Relationship Id="rId219" Type="http://schemas.openxmlformats.org/officeDocument/2006/relationships/hyperlink" Target="https://doi.org/10.14689/ejer.2021.94.13" TargetMode="External"/><Relationship Id="rId3" Type="http://schemas.openxmlformats.org/officeDocument/2006/relationships/styles" Target="styles.xml"/><Relationship Id="rId214" Type="http://schemas.openxmlformats.org/officeDocument/2006/relationships/hyperlink" Target="https://doi.org/10.14221/ajte.2016v41n1.2" TargetMode="External"/><Relationship Id="rId25" Type="http://schemas.openxmlformats.org/officeDocument/2006/relationships/hyperlink" Target="https://doi.org/10.1177/0961000619898213" TargetMode="External"/><Relationship Id="rId46" Type="http://schemas.openxmlformats.org/officeDocument/2006/relationships/hyperlink" Target="https://doi.org/10.1016/j.compedu.2020.104004" TargetMode="External"/><Relationship Id="rId67" Type="http://schemas.openxmlformats.org/officeDocument/2006/relationships/hyperlink" Target="https://doi.org/10.29333/EJMSTE/85118" TargetMode="External"/><Relationship Id="rId116" Type="http://schemas.openxmlformats.org/officeDocument/2006/relationships/hyperlink" Target="https://doi.org/10.1080/1743727X.2021.1963226" TargetMode="External"/><Relationship Id="rId137" Type="http://schemas.openxmlformats.org/officeDocument/2006/relationships/hyperlink" Target="https://doi.org/10.1111/bjep.12279" TargetMode="External"/><Relationship Id="rId158" Type="http://schemas.openxmlformats.org/officeDocument/2006/relationships/hyperlink" Target="https://doi.org/10.30918/AERJ.8S1.20.001" TargetMode="External"/><Relationship Id="rId20" Type="http://schemas.openxmlformats.org/officeDocument/2006/relationships/hyperlink" Target="https://doi.org/10.21449/ijate.537877" TargetMode="External"/><Relationship Id="rId41" Type="http://schemas.openxmlformats.org/officeDocument/2006/relationships/hyperlink" Target="https://doi.org/10.7238/a.v0i40.1151" TargetMode="External"/><Relationship Id="rId62" Type="http://schemas.openxmlformats.org/officeDocument/2006/relationships/hyperlink" Target="https://doi.org/10.1111/1541-4329.12200" TargetMode="External"/><Relationship Id="rId83" Type="http://schemas.openxmlformats.org/officeDocument/2006/relationships/hyperlink" Target="https://doi.org/10.4103/1596-3519.64756" TargetMode="External"/><Relationship Id="rId88" Type="http://schemas.openxmlformats.org/officeDocument/2006/relationships/hyperlink" Target="https://doi.org/10.28945/2334" TargetMode="External"/><Relationship Id="rId111" Type="http://schemas.openxmlformats.org/officeDocument/2006/relationships/hyperlink" Target="https://doi.org/10.3390/educsci11110693" TargetMode="External"/><Relationship Id="rId132" Type="http://schemas.openxmlformats.org/officeDocument/2006/relationships/hyperlink" Target="https://doi.org/10.1504/IJTEL.2020.107986" TargetMode="External"/><Relationship Id="rId153" Type="http://schemas.openxmlformats.org/officeDocument/2006/relationships/hyperlink" Target="https://doi.org/10.1108/LM-08-2020-0118" TargetMode="External"/><Relationship Id="rId174" Type="http://schemas.openxmlformats.org/officeDocument/2006/relationships/hyperlink" Target="https://doi.org/10.1007/s10639-021-10759-x" TargetMode="External"/><Relationship Id="rId179" Type="http://schemas.openxmlformats.org/officeDocument/2006/relationships/hyperlink" Target="https://doi.org/10.1080/10852352.2019.1582145" TargetMode="External"/><Relationship Id="rId195" Type="http://schemas.openxmlformats.org/officeDocument/2006/relationships/hyperlink" Target="https://doi.org/10.4018/IJVPLE.2014100103" TargetMode="External"/><Relationship Id="rId209" Type="http://schemas.openxmlformats.org/officeDocument/2006/relationships/hyperlink" Target="https://doi.org/10.1111/ejed.12020" TargetMode="External"/><Relationship Id="rId190" Type="http://schemas.openxmlformats.org/officeDocument/2006/relationships/hyperlink" Target="https://doi.org/10.29333/EJMSTE/11193" TargetMode="External"/><Relationship Id="rId204" Type="http://schemas.openxmlformats.org/officeDocument/2006/relationships/hyperlink" Target="https://doi.org/10.1016/j.compedu.2019.103700" TargetMode="External"/><Relationship Id="rId220" Type="http://schemas.openxmlformats.org/officeDocument/2006/relationships/hyperlink" Target="https://doi.org/10.3389/fpsyt.2021.638655" TargetMode="External"/><Relationship Id="rId225" Type="http://schemas.openxmlformats.org/officeDocument/2006/relationships/fontTable" Target="fontTable.xml"/><Relationship Id="rId15" Type="http://schemas.openxmlformats.org/officeDocument/2006/relationships/hyperlink" Target="https://doi.org/10.13189/ujer.2020.080805" TargetMode="External"/><Relationship Id="rId36" Type="http://schemas.openxmlformats.org/officeDocument/2006/relationships/hyperlink" Target="https://doi.org/10.2196/mededu.5606" TargetMode="External"/><Relationship Id="rId57" Type="http://schemas.openxmlformats.org/officeDocument/2006/relationships/hyperlink" Target="https://doi.org/10.14453/jutlp.v18i5.7" TargetMode="External"/><Relationship Id="rId106" Type="http://schemas.openxmlformats.org/officeDocument/2006/relationships/hyperlink" Target="https://doi.org/10.3390/su10124635" TargetMode="External"/><Relationship Id="rId127" Type="http://schemas.openxmlformats.org/officeDocument/2006/relationships/hyperlink" Target="https://doi.org/10.1016/j.stueduc.2021.100982" TargetMode="External"/><Relationship Id="rId10" Type="http://schemas.openxmlformats.org/officeDocument/2006/relationships/hyperlink" Target="https://doi.org/10.5430/wje.v4n2p76" TargetMode="External"/><Relationship Id="rId31" Type="http://schemas.openxmlformats.org/officeDocument/2006/relationships/hyperlink" Target="https://doi.org/10.1177/0973801020976607" TargetMode="External"/><Relationship Id="rId52" Type="http://schemas.openxmlformats.org/officeDocument/2006/relationships/hyperlink" Target="https://doi.org/10.28945/1552" TargetMode="External"/><Relationship Id="rId73" Type="http://schemas.openxmlformats.org/officeDocument/2006/relationships/hyperlink" Target="https://doi.org/10.1016/j.compedu.2020.104060" TargetMode="External"/><Relationship Id="rId78" Type="http://schemas.openxmlformats.org/officeDocument/2006/relationships/hyperlink" Target="https://doi.org/10.14689/ejer.2020.88.6" TargetMode="External"/><Relationship Id="rId94" Type="http://schemas.openxmlformats.org/officeDocument/2006/relationships/hyperlink" Target="https://doi.org/10.1016/j.compedu.2018.05.021" TargetMode="External"/><Relationship Id="rId99" Type="http://schemas.openxmlformats.org/officeDocument/2006/relationships/hyperlink" Target="https://doi.org/10.18261/issn.1891-943x-2018-04-05" TargetMode="External"/><Relationship Id="rId101" Type="http://schemas.openxmlformats.org/officeDocument/2006/relationships/hyperlink" Target="https://doi.org/10.15516/CJE.V14I2.213" TargetMode="External"/><Relationship Id="rId122" Type="http://schemas.openxmlformats.org/officeDocument/2006/relationships/hyperlink" Target="https://doi.org/10.14742/AJET.5583" TargetMode="External"/><Relationship Id="rId143" Type="http://schemas.openxmlformats.org/officeDocument/2006/relationships/hyperlink" Target="https://doi.org/10.1007/s12144-021-02370-7" TargetMode="External"/><Relationship Id="rId148" Type="http://schemas.openxmlformats.org/officeDocument/2006/relationships/hyperlink" Target="https://doi.org/10.1177/1461444814552379" TargetMode="External"/><Relationship Id="rId164" Type="http://schemas.openxmlformats.org/officeDocument/2006/relationships/hyperlink" Target="https://doi.org/10.1108/JSTPM-04-2017-0014" TargetMode="External"/><Relationship Id="rId169" Type="http://schemas.openxmlformats.org/officeDocument/2006/relationships/hyperlink" Target="https://doi.org/10.3390/ijerph18094756" TargetMode="External"/><Relationship Id="rId185" Type="http://schemas.openxmlformats.org/officeDocument/2006/relationships/hyperlink" Target="https://doi.org/10.18421/TEM81-37" TargetMode="External"/><Relationship Id="rId4" Type="http://schemas.openxmlformats.org/officeDocument/2006/relationships/settings" Target="settings.xml"/><Relationship Id="rId9" Type="http://schemas.openxmlformats.org/officeDocument/2006/relationships/hyperlink" Target="mailto:sabine.schlittmeier@psych.rwth-aachen.de" TargetMode="External"/><Relationship Id="rId180" Type="http://schemas.openxmlformats.org/officeDocument/2006/relationships/hyperlink" Target="https://doi.org/10.12973/eurasia.2017.00977a" TargetMode="External"/><Relationship Id="rId210" Type="http://schemas.openxmlformats.org/officeDocument/2006/relationships/hyperlink" Target="https://doi.org/10.1080/1369118X.2019.1566485" TargetMode="External"/><Relationship Id="rId215" Type="http://schemas.openxmlformats.org/officeDocument/2006/relationships/hyperlink" Target="https://doi.org/10.20535/2410-8286.128668" TargetMode="External"/><Relationship Id="rId26" Type="http://schemas.openxmlformats.org/officeDocument/2006/relationships/hyperlink" Target="https://doi.org/10.1016/j.compedu.2019.01.002" TargetMode="External"/><Relationship Id="rId47" Type="http://schemas.openxmlformats.org/officeDocument/2006/relationships/hyperlink" Target="https://doi.org/10.1016/j.compedu.2014.09.004" TargetMode="External"/><Relationship Id="rId68" Type="http://schemas.openxmlformats.org/officeDocument/2006/relationships/hyperlink" Target="https://doi.org/10.1016/j.chb.2020.106533" TargetMode="External"/><Relationship Id="rId89" Type="http://schemas.openxmlformats.org/officeDocument/2006/relationships/hyperlink" Target="https://doi.org/10.1111/jcal.12553" TargetMode="External"/><Relationship Id="rId112" Type="http://schemas.openxmlformats.org/officeDocument/2006/relationships/hyperlink" Target="https://doi.org/10.3991/IJEP.V11I4.20821" TargetMode="External"/><Relationship Id="rId133" Type="http://schemas.openxmlformats.org/officeDocument/2006/relationships/hyperlink" Target="https://doi.org/10.1108/JD-03-2020-0041" TargetMode="External"/><Relationship Id="rId154" Type="http://schemas.openxmlformats.org/officeDocument/2006/relationships/hyperlink" Target="https://doi.org/10.1515/commun-2012-0016" TargetMode="External"/><Relationship Id="rId175" Type="http://schemas.openxmlformats.org/officeDocument/2006/relationships/hyperlink" Target="https://doi.org/10.1007/s11618-019-00914-z" TargetMode="External"/><Relationship Id="rId196" Type="http://schemas.openxmlformats.org/officeDocument/2006/relationships/hyperlink" Target="https://doi.org/10.3390/educsci11100619" TargetMode="External"/><Relationship Id="rId200" Type="http://schemas.openxmlformats.org/officeDocument/2006/relationships/hyperlink" Target="https://doi.org/10.20511/pyr2021.v9nSPE1.811" TargetMode="External"/><Relationship Id="rId16" Type="http://schemas.openxmlformats.org/officeDocument/2006/relationships/hyperlink" Target="https://doi.org/10.33806/IJAES2000.21.2.10" TargetMode="External"/><Relationship Id="rId221" Type="http://schemas.openxmlformats.org/officeDocument/2006/relationships/hyperlink" Target="https://doi.org/10.1007/s40299-021-00588-4" TargetMode="External"/><Relationship Id="rId37" Type="http://schemas.openxmlformats.org/officeDocument/2006/relationships/hyperlink" Target="https://doi.org/10.14569/IJACSA.2018.090661" TargetMode="External"/><Relationship Id="rId58" Type="http://schemas.openxmlformats.org/officeDocument/2006/relationships/hyperlink" Target="https://doi.org/10.17275/per.21.14.8.1" TargetMode="External"/><Relationship Id="rId79" Type="http://schemas.openxmlformats.org/officeDocument/2006/relationships/hyperlink" Target="https://doi.org/10.1109/MSP.2013.64" TargetMode="External"/><Relationship Id="rId102" Type="http://schemas.openxmlformats.org/officeDocument/2006/relationships/hyperlink" Target="https://doi.org/10.1177/13621688211047984" TargetMode="External"/><Relationship Id="rId123" Type="http://schemas.openxmlformats.org/officeDocument/2006/relationships/hyperlink" Target="https://doi.org/10.29333/ejmste/90991" TargetMode="External"/><Relationship Id="rId144" Type="http://schemas.openxmlformats.org/officeDocument/2006/relationships/hyperlink" Target="https://doi.org/10.1515/libri-2018-0123" TargetMode="External"/><Relationship Id="rId90" Type="http://schemas.openxmlformats.org/officeDocument/2006/relationships/hyperlink" Target="https://doi.org/10.46328/ijemst.1831" TargetMode="External"/><Relationship Id="rId165" Type="http://schemas.openxmlformats.org/officeDocument/2006/relationships/hyperlink" Target="https://doi.org/10.15760/comminfolit.2018.12.2.4" TargetMode="External"/><Relationship Id="rId186" Type="http://schemas.openxmlformats.org/officeDocument/2006/relationships/hyperlink" Target="https://doi.org/10.3991/ijet.v16i14.22649" TargetMode="External"/><Relationship Id="rId211" Type="http://schemas.openxmlformats.org/officeDocument/2006/relationships/hyperlink" Target="https://doi.org/10.1186/s40461-020-00091-y" TargetMode="External"/><Relationship Id="rId27" Type="http://schemas.openxmlformats.org/officeDocument/2006/relationships/hyperlink" Target="https://doi.org/10.5539/ies.v13n12p58" TargetMode="External"/><Relationship Id="rId48" Type="http://schemas.openxmlformats.org/officeDocument/2006/relationships/hyperlink" Target="https://doi.org/10.1016/j.compedu.2012.04.004" TargetMode="External"/><Relationship Id="rId69" Type="http://schemas.openxmlformats.org/officeDocument/2006/relationships/hyperlink" Target="https://doi.org/10.15516/cje.v20i1.2632" TargetMode="External"/><Relationship Id="rId113" Type="http://schemas.openxmlformats.org/officeDocument/2006/relationships/hyperlink" Target="https://doi.org/10.1177/01655515211040656" TargetMode="External"/><Relationship Id="rId134" Type="http://schemas.openxmlformats.org/officeDocument/2006/relationships/hyperlink" Target="https://doi.org/10.1177/09610006211048004" TargetMode="External"/><Relationship Id="rId80" Type="http://schemas.openxmlformats.org/officeDocument/2006/relationships/hyperlink" Target="https://doi.org/10.1016/j.compedu.2012.11.015" TargetMode="External"/><Relationship Id="rId155" Type="http://schemas.openxmlformats.org/officeDocument/2006/relationships/hyperlink" Target="https://doi.org/10.1080/02500167.2014.907191" TargetMode="External"/><Relationship Id="rId176" Type="http://schemas.openxmlformats.org/officeDocument/2006/relationships/hyperlink" Target="https://doi.org/10.1007/s10639-017-9657-3" TargetMode="External"/><Relationship Id="rId197" Type="http://schemas.openxmlformats.org/officeDocument/2006/relationships/hyperlink" Target="https://doi.org/10.15507/1991-9468.099.024.202002.172-184" TargetMode="External"/><Relationship Id="rId201" Type="http://schemas.openxmlformats.org/officeDocument/2006/relationships/hyperlink" Target="https://doi.org/10.4018/ijavet.2015040103" TargetMode="External"/><Relationship Id="rId222" Type="http://schemas.openxmlformats.org/officeDocument/2006/relationships/hyperlink" Target="https://doi.org/10.3390/su132112184" TargetMode="External"/><Relationship Id="rId17" Type="http://schemas.openxmlformats.org/officeDocument/2006/relationships/hyperlink" Target="https://doi.org/10.1016/j.ijer.2020.101561" TargetMode="External"/><Relationship Id="rId38" Type="http://schemas.openxmlformats.org/officeDocument/2006/relationships/hyperlink" Target="https://doi.org/10.3390/educsci11080385" TargetMode="External"/><Relationship Id="rId59" Type="http://schemas.openxmlformats.org/officeDocument/2006/relationships/hyperlink" Target="https://doi.org/10.3991/ijet.v15i02.11588" TargetMode="External"/><Relationship Id="rId103" Type="http://schemas.openxmlformats.org/officeDocument/2006/relationships/hyperlink" Target="https://doi.org/10.20448/JOURNAL.509.2021.82.158.172" TargetMode="External"/><Relationship Id="rId124" Type="http://schemas.openxmlformats.org/officeDocument/2006/relationships/hyperlink" Target="https://doi.org/10.15206/ajpor.2021.9.2.142" TargetMode="External"/><Relationship Id="rId70" Type="http://schemas.openxmlformats.org/officeDocument/2006/relationships/hyperlink" Target="https://doi.org/10.3390/fi12110204" TargetMode="External"/><Relationship Id="rId91" Type="http://schemas.openxmlformats.org/officeDocument/2006/relationships/hyperlink" Target="https://doi.org/10.1080/17439884.2014.883407" TargetMode="External"/><Relationship Id="rId145" Type="http://schemas.openxmlformats.org/officeDocument/2006/relationships/hyperlink" Target="https://doi.org/10.1515/libri-2020-0165" TargetMode="External"/><Relationship Id="rId166" Type="http://schemas.openxmlformats.org/officeDocument/2006/relationships/hyperlink" Target="https://doi.org/10.1007/s10639-021-10534-y" TargetMode="External"/><Relationship Id="rId187" Type="http://schemas.openxmlformats.org/officeDocument/2006/relationships/hyperlink" Target="https://doi.org/10.3390/ijerph15040579" TargetMode="External"/><Relationship Id="rId1" Type="http://schemas.openxmlformats.org/officeDocument/2006/relationships/customXml" Target="../customXml/item1.xml"/><Relationship Id="rId212" Type="http://schemas.openxmlformats.org/officeDocument/2006/relationships/hyperlink" Target="https://doi.org/10.1080/15391523.2021.1876577" TargetMode="External"/><Relationship Id="rId28" Type="http://schemas.openxmlformats.org/officeDocument/2006/relationships/hyperlink" Target="https://doi.org/10.46328/ijte.v3i2.28" TargetMode="External"/><Relationship Id="rId49" Type="http://schemas.openxmlformats.org/officeDocument/2006/relationships/hyperlink" Target="https://doi.org/10.29140/JALTCALL.V13N3.218" TargetMode="External"/><Relationship Id="rId114" Type="http://schemas.openxmlformats.org/officeDocument/2006/relationships/hyperlink" Target="https://doi.org/10.2147/PRBM.S325092" TargetMode="External"/><Relationship Id="rId60" Type="http://schemas.openxmlformats.org/officeDocument/2006/relationships/hyperlink" Target="https://doi.org/10.1002/ece3.4363" TargetMode="External"/><Relationship Id="rId81" Type="http://schemas.openxmlformats.org/officeDocument/2006/relationships/hyperlink" Target="https://doi.org/10.28945/2126" TargetMode="External"/><Relationship Id="rId135" Type="http://schemas.openxmlformats.org/officeDocument/2006/relationships/hyperlink" Target="https://doi.org/10.1016/j.compedu.2010.07.003" TargetMode="External"/><Relationship Id="rId156" Type="http://schemas.openxmlformats.org/officeDocument/2006/relationships/hyperlink" Target="https://doi.org/10.33225/jbse/21.20.639" TargetMode="External"/><Relationship Id="rId177" Type="http://schemas.openxmlformats.org/officeDocument/2006/relationships/hyperlink" Target="https://doi.org/10.7160/eriesj.2014.070201" TargetMode="External"/><Relationship Id="rId198" Type="http://schemas.openxmlformats.org/officeDocument/2006/relationships/hyperlink" Target="https://doi.org/10.1177/1461444810369245" TargetMode="External"/><Relationship Id="rId202" Type="http://schemas.openxmlformats.org/officeDocument/2006/relationships/hyperlink" Target="https://doi.org/10.1108/NLW-08-2016-0061" TargetMode="External"/><Relationship Id="rId223" Type="http://schemas.openxmlformats.org/officeDocument/2006/relationships/hyperlink" Target="https://doi.org/10.3390/educsci11100630" TargetMode="External"/><Relationship Id="rId18" Type="http://schemas.openxmlformats.org/officeDocument/2006/relationships/hyperlink" Target="https://doi.org/10.56059/jl4d.v7i1.376" TargetMode="External"/><Relationship Id="rId39" Type="http://schemas.openxmlformats.org/officeDocument/2006/relationships/hyperlink" Target="https://doi.org/10.1186/s41239-018-0099-9" TargetMode="External"/><Relationship Id="rId50" Type="http://schemas.openxmlformats.org/officeDocument/2006/relationships/hyperlink" Target="https://doi.org/10.28945/1762" TargetMode="External"/><Relationship Id="rId104" Type="http://schemas.openxmlformats.org/officeDocument/2006/relationships/hyperlink" Target="https://doi.org/10.1371/journal.pone.0258807" TargetMode="External"/><Relationship Id="rId125" Type="http://schemas.openxmlformats.org/officeDocument/2006/relationships/hyperlink" Target="https://doi.org/10.1177/00207152211023540" TargetMode="External"/><Relationship Id="rId146" Type="http://schemas.openxmlformats.org/officeDocument/2006/relationships/hyperlink" Target="https://doi.org/10.3991/ijim.v15i17.23801" TargetMode="External"/><Relationship Id="rId167" Type="http://schemas.openxmlformats.org/officeDocument/2006/relationships/hyperlink" Target="https://doi.org/10.1007/s10639-020-10320-2" TargetMode="External"/><Relationship Id="rId188" Type="http://schemas.openxmlformats.org/officeDocument/2006/relationships/hyperlink" Target="https://doi.org/10.2139/ssrn.3924832" TargetMode="External"/><Relationship Id="rId71" Type="http://schemas.openxmlformats.org/officeDocument/2006/relationships/hyperlink" Target="https://doi.org/10.1186/s40536-020-0079-0" TargetMode="External"/><Relationship Id="rId92" Type="http://schemas.openxmlformats.org/officeDocument/2006/relationships/hyperlink" Target="https://doi.org/10.47263/JASEM.5(1)04" TargetMode="External"/><Relationship Id="rId213" Type="http://schemas.openxmlformats.org/officeDocument/2006/relationships/hyperlink" Target="https://doi.org/10.1177/1354856517751390" TargetMode="External"/><Relationship Id="rId2" Type="http://schemas.openxmlformats.org/officeDocument/2006/relationships/numbering" Target="numbering.xml"/><Relationship Id="rId29" Type="http://schemas.openxmlformats.org/officeDocument/2006/relationships/hyperlink" Target="https://doi.org/10.3390/su13041711" TargetMode="External"/><Relationship Id="rId40" Type="http://schemas.openxmlformats.org/officeDocument/2006/relationships/hyperlink" Target="https://doi.org/10.3390/su13042318" TargetMode="External"/><Relationship Id="rId115" Type="http://schemas.openxmlformats.org/officeDocument/2006/relationships/hyperlink" Target="https://doi.org/10.3923/jeasci.2017.5695.5698" TargetMode="External"/><Relationship Id="rId136" Type="http://schemas.openxmlformats.org/officeDocument/2006/relationships/hyperlink" Target="https://doi.org/10.1080/03323315.2020.1800501" TargetMode="External"/><Relationship Id="rId157" Type="http://schemas.openxmlformats.org/officeDocument/2006/relationships/hyperlink" Target="https://doi.org/10.1007/s12564-010-9123-z" TargetMode="External"/><Relationship Id="rId178" Type="http://schemas.openxmlformats.org/officeDocument/2006/relationships/hyperlink" Target="https://doi.org/10.1108/JEC-04-2020-0071" TargetMode="External"/><Relationship Id="rId61" Type="http://schemas.openxmlformats.org/officeDocument/2006/relationships/hyperlink" Target="https://doi.org/10.47657/201213778" TargetMode="External"/><Relationship Id="rId82" Type="http://schemas.openxmlformats.org/officeDocument/2006/relationships/hyperlink" Target="https://doi.org/10.1016/j.compedu.2014.10.019" TargetMode="External"/><Relationship Id="rId199" Type="http://schemas.openxmlformats.org/officeDocument/2006/relationships/hyperlink" Target="https://doi.org/10.15388/infedu.2016.16" TargetMode="External"/><Relationship Id="rId203" Type="http://schemas.openxmlformats.org/officeDocument/2006/relationships/hyperlink" Target="https://doi.org/10.3991/IJET.V16I01.16567" TargetMode="External"/><Relationship Id="rId19" Type="http://schemas.openxmlformats.org/officeDocument/2006/relationships/hyperlink" Target="https://doi.org/10.1007/s10639-020-10201-8" TargetMode="External"/><Relationship Id="rId224" Type="http://schemas.openxmlformats.org/officeDocument/2006/relationships/hyperlink" Target="https://doi.org/10.1016/j.chb.2015.07.008" TargetMode="External"/><Relationship Id="rId30" Type="http://schemas.openxmlformats.org/officeDocument/2006/relationships/hyperlink" Target="https://doi.org/10.1504/IJTEL.2017.10003119" TargetMode="External"/><Relationship Id="rId105" Type="http://schemas.openxmlformats.org/officeDocument/2006/relationships/hyperlink" Target="https://doi.org/10.1080/13676261.2015.1083961" TargetMode="External"/><Relationship Id="rId126" Type="http://schemas.openxmlformats.org/officeDocument/2006/relationships/hyperlink" Target="https://doi.org/10.1007/s11205-018-2030-0" TargetMode="External"/><Relationship Id="rId147" Type="http://schemas.openxmlformats.org/officeDocument/2006/relationships/hyperlink" Target="https://doi.org/10.1177/0961000615624527" TargetMode="External"/><Relationship Id="rId168" Type="http://schemas.openxmlformats.org/officeDocument/2006/relationships/hyperlink" Target="https://doi.org/10.1016/j.invent.2021.100366" TargetMode="External"/><Relationship Id="rId51" Type="http://schemas.openxmlformats.org/officeDocument/2006/relationships/hyperlink" Target="https://doi.org/10.1007/s10639-011-9154-z" TargetMode="External"/><Relationship Id="rId72" Type="http://schemas.openxmlformats.org/officeDocument/2006/relationships/hyperlink" Target="https://doi.org/10.1016/j.compedu.2020.103877" TargetMode="External"/><Relationship Id="rId93" Type="http://schemas.openxmlformats.org/officeDocument/2006/relationships/hyperlink" Target="https://doi.org/10.1080/10572317.2018.1559661" TargetMode="External"/><Relationship Id="rId189" Type="http://schemas.openxmlformats.org/officeDocument/2006/relationships/hyperlink" Target="https://doi.org/10.35940/ijitee.I8472.0981119"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5C16D-BC0C-C745-90B4-3116782B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11010</Words>
  <Characters>69370</Characters>
  <Application>Microsoft Office Word</Application>
  <DocSecurity>0</DocSecurity>
  <Lines>578</Lines>
  <Paragraphs>160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Kreuder</dc:creator>
  <cp:keywords/>
  <dc:description/>
  <cp:lastModifiedBy>Annika Kreuder</cp:lastModifiedBy>
  <cp:revision>16</cp:revision>
  <dcterms:created xsi:type="dcterms:W3CDTF">2023-10-25T09:36:00Z</dcterms:created>
  <dcterms:modified xsi:type="dcterms:W3CDTF">2023-12-05T11:57:00Z</dcterms:modified>
</cp:coreProperties>
</file>