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200"/>
          <w:tab w:val="right" w:pos="8400"/>
        </w:tabs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8"/>
          <w:szCs w:val="36"/>
          <w:highlight w:val="yellow"/>
          <w:lang w:val="en"/>
        </w:rPr>
      </w:pPr>
      <w:r>
        <w:rPr>
          <w:rFonts w:ascii="Times New Roman" w:hAnsi="Times New Roman" w:cs="Times New Roman"/>
          <w:b/>
          <w:bCs/>
          <w:sz w:val="28"/>
          <w:szCs w:val="36"/>
          <w:highlight w:val="yellow"/>
          <w:lang w:val="en"/>
        </w:rPr>
        <w:t xml:space="preserve">Rethinking the </w:t>
      </w:r>
      <w:r>
        <w:rPr>
          <w:rFonts w:hint="eastAsia" w:ascii="Times New Roman" w:hAnsi="Times New Roman" w:cs="Times New Roman"/>
          <w:b/>
          <w:bCs/>
          <w:sz w:val="28"/>
          <w:szCs w:val="36"/>
          <w:highlight w:val="yellow"/>
          <w:lang w:val="en-US" w:eastAsia="zh-CN"/>
        </w:rPr>
        <w:t>e</w:t>
      </w:r>
      <w:r>
        <w:rPr>
          <w:rFonts w:ascii="Times New Roman" w:hAnsi="Times New Roman" w:cs="Times New Roman"/>
          <w:b/>
          <w:bCs/>
          <w:sz w:val="28"/>
          <w:szCs w:val="36"/>
          <w:highlight w:val="yellow"/>
          <w:lang w:val="en"/>
        </w:rPr>
        <w:t xml:space="preserve">nvironmental </w:t>
      </w:r>
      <w:r>
        <w:rPr>
          <w:rFonts w:hint="eastAsia" w:ascii="Times New Roman" w:hAnsi="Times New Roman" w:cs="Times New Roman"/>
          <w:b/>
          <w:bCs/>
          <w:sz w:val="28"/>
          <w:szCs w:val="36"/>
          <w:highlight w:val="yellow"/>
          <w:lang w:val="en-US" w:eastAsia="zh-CN"/>
        </w:rPr>
        <w:t>K</w:t>
      </w:r>
      <w:r>
        <w:rPr>
          <w:rFonts w:ascii="Times New Roman" w:hAnsi="Times New Roman" w:cs="Times New Roman"/>
          <w:b/>
          <w:bCs/>
          <w:sz w:val="28"/>
          <w:szCs w:val="36"/>
          <w:highlight w:val="yellow"/>
          <w:lang w:val="en"/>
        </w:rPr>
        <w:t xml:space="preserve">uznets </w:t>
      </w:r>
      <w:r>
        <w:rPr>
          <w:rFonts w:hint="eastAsia" w:ascii="Times New Roman" w:hAnsi="Times New Roman" w:cs="Times New Roman"/>
          <w:b/>
          <w:bCs/>
          <w:sz w:val="28"/>
          <w:szCs w:val="36"/>
          <w:highlight w:val="yellow"/>
          <w:lang w:val="en-US" w:eastAsia="zh-CN"/>
        </w:rPr>
        <w:t>c</w:t>
      </w:r>
      <w:r>
        <w:rPr>
          <w:rFonts w:ascii="Times New Roman" w:hAnsi="Times New Roman" w:cs="Times New Roman"/>
          <w:b/>
          <w:bCs/>
          <w:sz w:val="28"/>
          <w:szCs w:val="36"/>
          <w:highlight w:val="yellow"/>
          <w:lang w:val="en"/>
        </w:rPr>
        <w:t xml:space="preserve">urve </w:t>
      </w:r>
      <w:r>
        <w:rPr>
          <w:rFonts w:hint="eastAsia" w:ascii="Times New Roman" w:hAnsi="Times New Roman" w:cs="Times New Roman"/>
          <w:b/>
          <w:bCs/>
          <w:sz w:val="28"/>
          <w:szCs w:val="36"/>
          <w:highlight w:val="yellow"/>
          <w:lang w:val="en-US" w:eastAsia="zh-CN"/>
        </w:rPr>
        <w:t>h</w:t>
      </w:r>
      <w:r>
        <w:rPr>
          <w:rFonts w:ascii="Times New Roman" w:hAnsi="Times New Roman" w:cs="Times New Roman"/>
          <w:b/>
          <w:bCs/>
          <w:sz w:val="28"/>
          <w:szCs w:val="36"/>
          <w:highlight w:val="yellow"/>
          <w:lang w:val="en"/>
        </w:rPr>
        <w:t xml:space="preserve">ypothesis </w:t>
      </w:r>
      <w:r>
        <w:rPr>
          <w:rFonts w:hint="eastAsia" w:ascii="Times New Roman" w:hAnsi="Times New Roman" w:cs="Times New Roman"/>
          <w:b/>
          <w:bCs/>
          <w:sz w:val="28"/>
          <w:szCs w:val="36"/>
          <w:highlight w:val="yellow"/>
          <w:lang w:val="en-US" w:eastAsia="zh-CN"/>
        </w:rPr>
        <w:t>a</w:t>
      </w:r>
      <w:r>
        <w:rPr>
          <w:rFonts w:ascii="Times New Roman" w:hAnsi="Times New Roman" w:cs="Times New Roman"/>
          <w:b/>
          <w:bCs/>
          <w:sz w:val="28"/>
          <w:szCs w:val="36"/>
          <w:highlight w:val="yellow"/>
          <w:lang w:val="en"/>
        </w:rPr>
        <w:t xml:space="preserve">cross 214 </w:t>
      </w:r>
      <w:r>
        <w:rPr>
          <w:rFonts w:hint="eastAsia" w:ascii="Times New Roman" w:hAnsi="Times New Roman" w:cs="Times New Roman"/>
          <w:b/>
          <w:bCs/>
          <w:sz w:val="28"/>
          <w:szCs w:val="36"/>
          <w:highlight w:val="yellow"/>
          <w:lang w:val="en-US" w:eastAsia="zh-CN"/>
        </w:rPr>
        <w:t>c</w:t>
      </w:r>
      <w:r>
        <w:rPr>
          <w:rFonts w:ascii="Times New Roman" w:hAnsi="Times New Roman" w:cs="Times New Roman"/>
          <w:b/>
          <w:bCs/>
          <w:sz w:val="28"/>
          <w:szCs w:val="36"/>
          <w:highlight w:val="yellow"/>
          <w:lang w:val="en"/>
        </w:rPr>
        <w:t xml:space="preserve">ountries: </w:t>
      </w:r>
      <w:r>
        <w:rPr>
          <w:rFonts w:hint="eastAsia" w:ascii="Times New Roman" w:hAnsi="Times New Roman" w:cs="Times New Roman"/>
          <w:b/>
          <w:bCs/>
          <w:sz w:val="28"/>
          <w:szCs w:val="36"/>
          <w:highlight w:val="yellow"/>
          <w:lang w:val="en-US" w:eastAsia="zh-CN"/>
        </w:rPr>
        <w:t>t</w:t>
      </w:r>
      <w:r>
        <w:rPr>
          <w:rFonts w:ascii="Times New Roman" w:hAnsi="Times New Roman" w:cs="Times New Roman"/>
          <w:b/>
          <w:bCs/>
          <w:sz w:val="28"/>
          <w:szCs w:val="36"/>
          <w:highlight w:val="yellow"/>
          <w:lang w:val="en"/>
        </w:rPr>
        <w:t xml:space="preserve">he </w:t>
      </w:r>
      <w:r>
        <w:rPr>
          <w:rFonts w:hint="eastAsia" w:ascii="Times New Roman" w:hAnsi="Times New Roman" w:cs="Times New Roman"/>
          <w:b/>
          <w:bCs/>
          <w:sz w:val="28"/>
          <w:szCs w:val="36"/>
          <w:highlight w:val="yellow"/>
          <w:lang w:val="en-US" w:eastAsia="zh-CN"/>
        </w:rPr>
        <w:t>i</w:t>
      </w:r>
      <w:r>
        <w:rPr>
          <w:rFonts w:ascii="Times New Roman" w:hAnsi="Times New Roman" w:cs="Times New Roman"/>
          <w:b/>
          <w:bCs/>
          <w:sz w:val="28"/>
          <w:szCs w:val="36"/>
          <w:highlight w:val="yellow"/>
          <w:lang w:val="en"/>
        </w:rPr>
        <w:t xml:space="preserve">mpacts of 12 </w:t>
      </w:r>
      <w:r>
        <w:rPr>
          <w:rFonts w:hint="eastAsia" w:ascii="Times New Roman" w:hAnsi="Times New Roman" w:cs="Times New Roman"/>
          <w:b/>
          <w:bCs/>
          <w:sz w:val="28"/>
          <w:szCs w:val="36"/>
          <w:highlight w:val="yellow"/>
          <w:lang w:val="en-US" w:eastAsia="zh-CN"/>
        </w:rPr>
        <w:t>e</w:t>
      </w:r>
      <w:r>
        <w:rPr>
          <w:rFonts w:ascii="Times New Roman" w:hAnsi="Times New Roman" w:cs="Times New Roman"/>
          <w:b/>
          <w:bCs/>
          <w:sz w:val="28"/>
          <w:szCs w:val="36"/>
          <w:highlight w:val="yellow"/>
          <w:lang w:val="en"/>
        </w:rPr>
        <w:t xml:space="preserve">conomic, </w:t>
      </w:r>
      <w:r>
        <w:rPr>
          <w:rFonts w:hint="eastAsia" w:ascii="Times New Roman" w:hAnsi="Times New Roman" w:cs="Times New Roman"/>
          <w:b/>
          <w:bCs/>
          <w:sz w:val="28"/>
          <w:szCs w:val="36"/>
          <w:highlight w:val="yellow"/>
          <w:lang w:val="en-US" w:eastAsia="zh-CN"/>
        </w:rPr>
        <w:t>i</w:t>
      </w:r>
      <w:r>
        <w:rPr>
          <w:rFonts w:ascii="Times New Roman" w:hAnsi="Times New Roman" w:cs="Times New Roman"/>
          <w:b/>
          <w:bCs/>
          <w:sz w:val="28"/>
          <w:szCs w:val="36"/>
          <w:highlight w:val="yellow"/>
          <w:lang w:val="en"/>
        </w:rPr>
        <w:t xml:space="preserve">nstitutional, </w:t>
      </w:r>
      <w:r>
        <w:rPr>
          <w:rFonts w:hint="eastAsia" w:ascii="Times New Roman" w:hAnsi="Times New Roman" w:cs="Times New Roman"/>
          <w:b/>
          <w:bCs/>
          <w:sz w:val="28"/>
          <w:szCs w:val="36"/>
          <w:highlight w:val="yellow"/>
          <w:lang w:val="en-US" w:eastAsia="zh-CN"/>
        </w:rPr>
        <w:t>t</w:t>
      </w:r>
      <w:r>
        <w:rPr>
          <w:rFonts w:ascii="Times New Roman" w:hAnsi="Times New Roman" w:cs="Times New Roman"/>
          <w:b/>
          <w:bCs/>
          <w:sz w:val="28"/>
          <w:szCs w:val="36"/>
          <w:highlight w:val="yellow"/>
          <w:lang w:val="en"/>
        </w:rPr>
        <w:t xml:space="preserve">echnological, </w:t>
      </w:r>
      <w:r>
        <w:rPr>
          <w:rFonts w:hint="eastAsia" w:ascii="Times New Roman" w:hAnsi="Times New Roman" w:cs="Times New Roman"/>
          <w:b/>
          <w:bCs/>
          <w:sz w:val="28"/>
          <w:szCs w:val="36"/>
          <w:highlight w:val="yellow"/>
          <w:lang w:val="en-US" w:eastAsia="zh-CN"/>
        </w:rPr>
        <w:t>r</w:t>
      </w:r>
      <w:r>
        <w:rPr>
          <w:rFonts w:ascii="Times New Roman" w:hAnsi="Times New Roman" w:cs="Times New Roman"/>
          <w:b/>
          <w:bCs/>
          <w:sz w:val="28"/>
          <w:szCs w:val="36"/>
          <w:highlight w:val="yellow"/>
          <w:lang w:val="en"/>
        </w:rPr>
        <w:t xml:space="preserve">esource, and </w:t>
      </w:r>
      <w:r>
        <w:rPr>
          <w:rFonts w:hint="eastAsia" w:ascii="Times New Roman" w:hAnsi="Times New Roman" w:cs="Times New Roman"/>
          <w:b/>
          <w:bCs/>
          <w:sz w:val="28"/>
          <w:szCs w:val="36"/>
          <w:highlight w:val="yellow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sz w:val="28"/>
          <w:szCs w:val="36"/>
          <w:highlight w:val="yellow"/>
          <w:lang w:val="en"/>
        </w:rPr>
        <w:t xml:space="preserve">ocial </w:t>
      </w:r>
      <w:r>
        <w:rPr>
          <w:rFonts w:hint="eastAsia" w:ascii="Times New Roman" w:hAnsi="Times New Roman" w:cs="Times New Roman"/>
          <w:b/>
          <w:bCs/>
          <w:sz w:val="28"/>
          <w:szCs w:val="36"/>
          <w:highlight w:val="yellow"/>
          <w:lang w:val="en-US" w:eastAsia="zh-CN"/>
        </w:rPr>
        <w:t>f</w:t>
      </w:r>
      <w:r>
        <w:rPr>
          <w:rFonts w:ascii="Times New Roman" w:hAnsi="Times New Roman" w:cs="Times New Roman"/>
          <w:b/>
          <w:bCs/>
          <w:sz w:val="28"/>
          <w:szCs w:val="36"/>
          <w:highlight w:val="yellow"/>
          <w:lang w:val="en"/>
        </w:rPr>
        <w:t>actors</w:t>
      </w:r>
    </w:p>
    <w:p>
      <w:pPr>
        <w:tabs>
          <w:tab w:val="center" w:pos="4200"/>
          <w:tab w:val="right" w:pos="8400"/>
        </w:tabs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44"/>
          <w:sz w:val="24"/>
          <w:highlight w:val="yellow"/>
          <w:lang w:val="en"/>
        </w:rPr>
      </w:pPr>
      <w:r>
        <w:rPr>
          <w:rFonts w:ascii="Times New Roman" w:hAnsi="Times New Roman" w:cs="Times New Roman"/>
          <w:kern w:val="44"/>
          <w:sz w:val="24"/>
          <w:highlight w:val="yellow"/>
          <w:lang w:val="en"/>
        </w:rPr>
        <w:t xml:space="preserve">Qiang Wang </w:t>
      </w:r>
      <w:r>
        <w:rPr>
          <w:rFonts w:ascii="Times New Roman" w:hAnsi="Times New Roman" w:cs="Times New Roman"/>
          <w:kern w:val="44"/>
          <w:sz w:val="24"/>
          <w:highlight w:val="yellow"/>
          <w:vertAlign w:val="superscript"/>
          <w:lang w:val="en"/>
        </w:rPr>
        <w:t>1,2*</w:t>
      </w:r>
      <w:r>
        <w:rPr>
          <w:rFonts w:ascii="Times New Roman" w:hAnsi="Times New Roman" w:cs="Times New Roman"/>
          <w:kern w:val="44"/>
          <w:sz w:val="24"/>
          <w:highlight w:val="yellow"/>
          <w:lang w:val="en"/>
        </w:rPr>
        <w:t xml:space="preserve">, Yuanfan Li </w:t>
      </w:r>
      <w:r>
        <w:rPr>
          <w:rFonts w:ascii="Times New Roman" w:hAnsi="Times New Roman" w:cs="Times New Roman"/>
          <w:kern w:val="44"/>
          <w:sz w:val="24"/>
          <w:highlight w:val="yellow"/>
          <w:vertAlign w:val="superscript"/>
          <w:lang w:val="en"/>
        </w:rPr>
        <w:t>1</w:t>
      </w:r>
      <w:r>
        <w:rPr>
          <w:rFonts w:ascii="Times New Roman" w:hAnsi="Times New Roman" w:cs="Times New Roman"/>
          <w:kern w:val="44"/>
          <w:sz w:val="24"/>
          <w:highlight w:val="yellow"/>
          <w:lang w:val="en"/>
        </w:rPr>
        <w:t xml:space="preserve">, Rongrong Li </w:t>
      </w:r>
      <w:r>
        <w:rPr>
          <w:rFonts w:ascii="Times New Roman" w:hAnsi="Times New Roman" w:cs="Times New Roman"/>
          <w:kern w:val="44"/>
          <w:sz w:val="24"/>
          <w:highlight w:val="yellow"/>
          <w:vertAlign w:val="superscript"/>
          <w:lang w:val="en"/>
        </w:rPr>
        <w:t>1,2**</w:t>
      </w:r>
      <w:bookmarkStart w:id="0" w:name="OLE_LINK50"/>
      <w:bookmarkStart w:id="1" w:name="OLE_LINK51"/>
    </w:p>
    <w:p>
      <w:pPr>
        <w:pStyle w:val="8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highlight w:val="yellow"/>
        </w:rPr>
      </w:pPr>
      <w:bookmarkStart w:id="2" w:name="OLE_LINK68"/>
      <w:r>
        <w:rPr>
          <w:rFonts w:ascii="Times New Roman" w:hAnsi="Times New Roman" w:cs="Times New Roman"/>
          <w:highlight w:val="yellow"/>
        </w:rPr>
        <w:t xml:space="preserve">School of Economics and Management, China University of Petroleum (East China), Qingdao, 266580, </w:t>
      </w:r>
      <w:r>
        <w:rPr>
          <w:rFonts w:ascii="Times New Roman" w:hAnsi="Times New Roman" w:eastAsia="等线" w:cs="Times New Roman"/>
          <w:highlight w:val="yellow"/>
        </w:rPr>
        <w:t>People’s Republic of China</w:t>
      </w:r>
      <w:r>
        <w:rPr>
          <w:rFonts w:ascii="Times New Roman" w:hAnsi="Times New Roman" w:cs="Times New Roman"/>
          <w:highlight w:val="yellow"/>
        </w:rPr>
        <w:t>;</w:t>
      </w:r>
    </w:p>
    <w:bookmarkEnd w:id="2"/>
    <w:p>
      <w:pPr>
        <w:pStyle w:val="8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44"/>
          <w:highlight w:val="yellow"/>
        </w:rPr>
      </w:pPr>
      <w:r>
        <w:rPr>
          <w:rFonts w:ascii="Times New Roman" w:hAnsi="Times New Roman" w:cs="Times New Roman"/>
          <w:highlight w:val="yellow"/>
        </w:rPr>
        <w:t xml:space="preserve">School of Economics and Management, Xinjiang University, </w:t>
      </w:r>
      <w:r>
        <w:rPr>
          <w:rFonts w:hint="eastAsia" w:ascii="Times New Roman" w:hAnsi="Times New Roman" w:cs="Times New Roman"/>
          <w:highlight w:val="yellow"/>
        </w:rPr>
        <w:t>Wu</w:t>
      </w:r>
      <w:r>
        <w:rPr>
          <w:rFonts w:ascii="Times New Roman" w:hAnsi="Times New Roman" w:cs="Times New Roman"/>
          <w:highlight w:val="yellow"/>
        </w:rPr>
        <w:t xml:space="preserve">lumuqi, 830046, People’s Republic of China </w:t>
      </w:r>
      <w:bookmarkEnd w:id="0"/>
      <w:bookmarkEnd w:id="1"/>
    </w:p>
    <w:p>
      <w:pPr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sz w:val="24"/>
          <w:lang w:val="en"/>
        </w:rPr>
      </w:pPr>
      <w:bookmarkStart w:id="3" w:name="OLE_LINK77"/>
      <w:r>
        <w:rPr>
          <w:rFonts w:ascii="Times New Roman" w:hAnsi="Times New Roman" w:cs="Times New Roman"/>
          <w:sz w:val="24"/>
          <w:highlight w:val="yellow"/>
          <w:lang w:val="en"/>
        </w:rPr>
        <w:t xml:space="preserve">*The full contact details for the corresponding authors: wangqiang7@upc.edu.cn (Q. Wang), lirr@upc.edu.cn (R. Li); School of Economics and Management, China University of Petroleum (East China), Qingdao, 266580, </w:t>
      </w:r>
      <w:r>
        <w:rPr>
          <w:rFonts w:ascii="Times New Roman" w:hAnsi="Times New Roman" w:eastAsia="等线" w:cs="Times New Roman"/>
          <w:sz w:val="24"/>
          <w:highlight w:val="yellow"/>
          <w:lang w:val="en"/>
        </w:rPr>
        <w:t>People’s Republic of China</w:t>
      </w:r>
      <w:r>
        <w:rPr>
          <w:rFonts w:ascii="Times New Roman" w:hAnsi="Times New Roman" w:cs="Times New Roman"/>
          <w:sz w:val="24"/>
          <w:highlight w:val="yellow"/>
          <w:lang w:val="en"/>
        </w:rPr>
        <w:t>;</w:t>
      </w:r>
    </w:p>
    <w:bookmarkEnd w:id="3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3" w:lineRule="atLeast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3" w:lineRule="atLeast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3" w:lineRule="atLeast"/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Information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3" w:lineRule="atLeast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3" w:lineRule="atLeast"/>
        <w:jc w:val="center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3" w:lineRule="atLeast"/>
        <w:jc w:val="center"/>
        <w:rPr>
          <w:rFonts w:hint="eastAsia" w:ascii="Times New Roman" w:hAnsi="Times New Roman" w:cs="Times New Roman"/>
          <w:sz w:val="24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3" w:lineRule="atLeast"/>
        <w:jc w:val="both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3" w:lineRule="atLeast"/>
        <w:jc w:val="both"/>
        <w:rPr>
          <w:rFonts w:hint="eastAsia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 xml:space="preserve">Figure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instrText xml:space="preserve"> SEQ Figure \* ARABIC </w:instrTex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>1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  <w:t>Covariance and multicollinearity test (VIF) results of variable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3" w:lineRule="atLeast"/>
        <w:jc w:val="center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3" w:lineRule="atLeast"/>
        <w:jc w:val="center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drawing>
          <wp:inline distT="0" distB="0" distL="114300" distR="114300">
            <wp:extent cx="4707890" cy="2717165"/>
            <wp:effectExtent l="0" t="0" r="1270" b="10795"/>
            <wp:docPr id="1" name="图片 1" descr="Figure A1 Covariance and multicollinearity test (VIF) results of vari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A1 Covariance and multicollinearity test (VIF) results of variabl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07890" cy="271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center" w:pos="4200"/>
          <w:tab w:val="right" w:pos="8400"/>
        </w:tabs>
        <w:adjustRightInd w:val="0"/>
        <w:snapToGrid w:val="0"/>
        <w:spacing w:line="360" w:lineRule="auto"/>
        <w:jc w:val="both"/>
        <w:rPr>
          <w:rFonts w:ascii="Times New Roman" w:hAnsi="Times New Roman" w:eastAsia="黑体" w:cs="Times New Roman"/>
          <w:b/>
          <w:bCs/>
          <w:kern w:val="2"/>
          <w:sz w:val="24"/>
          <w:szCs w:val="24"/>
          <w:lang w:val="en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3" w:lineRule="atLeast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bookmarkStart w:id="4" w:name="_GoBack"/>
      <w:bookmarkEnd w:id="4"/>
    </w:p>
    <w:p>
      <w:pPr>
        <w:pStyle w:val="2"/>
        <w:keepNext w:val="0"/>
        <w:keepLines w:val="0"/>
        <w:pageBreakBefore w:val="0"/>
        <w:widowControl/>
        <w:tabs>
          <w:tab w:val="center" w:pos="4200"/>
          <w:tab w:val="right" w:pos="84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3" w:lineRule="atLeast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S1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Variable definitions, unit and data sources for the covered variables</w:t>
      </w:r>
    </w:p>
    <w:tbl>
      <w:tblPr>
        <w:tblStyle w:val="7"/>
        <w:tblW w:w="0" w:type="auto"/>
        <w:tblInd w:w="0" w:type="dxa"/>
        <w:tblBorders>
          <w:top w:val="single" w:color="7F7F7F" w:sz="4" w:space="0"/>
          <w:left w:val="none" w:color="auto" w:sz="6" w:space="0"/>
          <w:bottom w:val="single" w:color="7F7F7F" w:sz="4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4"/>
        <w:gridCol w:w="2402"/>
        <w:gridCol w:w="843"/>
        <w:gridCol w:w="5479"/>
        <w:gridCol w:w="1483"/>
        <w:gridCol w:w="1463"/>
      </w:tblGrid>
      <w:tr>
        <w:tblPrEx>
          <w:tblBorders>
            <w:top w:val="single" w:color="7F7F7F" w:sz="4" w:space="0"/>
            <w:left w:val="none" w:color="auto" w:sz="6" w:space="0"/>
            <w:bottom w:val="single" w:color="7F7F7F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Classification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Variable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Name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Definition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Unit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Source</w:t>
            </w:r>
          </w:p>
        </w:tc>
      </w:tr>
      <w:tr>
        <w:tblPrEx>
          <w:tblBorders>
            <w:top w:val="single" w:color="7F7F7F" w:sz="4" w:space="0"/>
            <w:left w:val="none" w:color="auto" w:sz="6" w:space="0"/>
            <w:bottom w:val="single" w:color="7F7F7F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Dependent variables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Carbon emissions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PCE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Carbon emissions per capita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metric tons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WDI</w:t>
            </w:r>
          </w:p>
        </w:tc>
      </w:tr>
      <w:tr>
        <w:tblPrEx>
          <w:tblBorders>
            <w:top w:val="single" w:color="7F7F7F" w:sz="4" w:space="0"/>
            <w:left w:val="none" w:color="auto" w:sz="6" w:space="0"/>
            <w:bottom w:val="single" w:color="7F7F7F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Independent 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GDP per capita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PGDP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GDP per capita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1000 $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WDI</w:t>
            </w:r>
          </w:p>
        </w:tc>
      </w:tr>
      <w:tr>
        <w:tblPrEx>
          <w:tblBorders>
            <w:top w:val="single" w:color="7F7F7F" w:sz="4" w:space="0"/>
            <w:left w:val="none" w:color="auto" w:sz="6" w:space="0"/>
            <w:bottom w:val="single" w:color="7F7F7F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Additional variables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bidi="ar"/>
              </w:rPr>
            </w:pP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bidi="ar"/>
              </w:rPr>
            </w:pP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bidi="ar"/>
              </w:rPr>
            </w:pP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bidi="ar"/>
              </w:rPr>
            </w:pP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bidi="ar"/>
              </w:rPr>
            </w:pPr>
          </w:p>
        </w:tc>
      </w:tr>
      <w:tr>
        <w:tblPrEx>
          <w:tblBorders>
            <w:top w:val="single" w:color="7F7F7F" w:sz="4" w:space="0"/>
            <w:left w:val="none" w:color="auto" w:sz="6" w:space="0"/>
            <w:bottom w:val="single" w:color="7F7F7F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Institution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Geopolitical Risks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GPR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The geopolitical risk index is measured from two perspectives: geopolitical actions and geopolitical threats. Higher numbers represent greater geopolitical tensions.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instrText xml:space="preserve"> ADDIN EN.CITE &lt;EndNote&gt;&lt;Cite&gt;&lt;Author&gt;Caldara&lt;/Author&gt;&lt;Year&gt;2022&lt;/Year&gt;&lt;RecNum&gt;97&lt;/RecNum&gt;&lt;DisplayText&gt;(Caldara and Iacoviello, 2022)&lt;/DisplayText&gt;&lt;record&gt;&lt;rec-number&gt;97&lt;/rec-number&gt;&lt;foreign-keys&gt;&lt;key app="EN" db-id="02e0wvxpppds9eepvd8x0f20pwpw9prpf9vp" timestamp="0"&gt;97&lt;/key&gt;&lt;/foreign-keys&gt;&lt;ref-type name="Journal Article"&gt;17&lt;/ref-type&gt;&lt;contributors&gt;&lt;authors&gt;&lt;author&gt;Caldara, Dario&lt;/author&gt;&lt;author&gt;Iacoviello, Matteo&lt;/author&gt;&lt;/authors&gt;&lt;/contributors&gt;&lt;titles&gt;&lt;title&gt;Measuring geopolitical risk&lt;/title&gt;&lt;secondary-title&gt;American Economic Review&lt;/secondary-title&gt;&lt;/titles&gt;&lt;pages&gt;1194-1225&lt;/pages&gt;&lt;volume&gt;112&lt;/volume&gt;&lt;number&gt;4&lt;/number&gt;&lt;dates&gt;&lt;year&gt;2022&lt;/year&gt;&lt;/dates&gt;&lt;isbn&gt;0002-8282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(Caldara and Iacoviello, 2022)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7F7F7F" w:sz="4" w:space="0"/>
            <w:left w:val="none" w:color="auto" w:sz="6" w:space="0"/>
            <w:bottom w:val="single" w:color="7F7F7F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Composite risk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CR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Half of political risk, economic risk, and financial risk combined. The range is from 0 to 100. Higher numbers represent lower risk.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index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ICRG</w:t>
            </w:r>
          </w:p>
        </w:tc>
      </w:tr>
      <w:tr>
        <w:tblPrEx>
          <w:tblBorders>
            <w:top w:val="single" w:color="7F7F7F" w:sz="4" w:space="0"/>
            <w:left w:val="none" w:color="auto" w:sz="6" w:space="0"/>
            <w:bottom w:val="single" w:color="7F7F7F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Institutional quality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Derived from the average of six sub-indicators of the Global Governance Index. Sub-indicators include voice and accountability, political stability and absence of violence/terrorism, government effectiveness, regulatory quality, rule of law, corruption 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WGI</w:t>
            </w:r>
          </w:p>
        </w:tc>
      </w:tr>
      <w:tr>
        <w:tblPrEx>
          <w:tblBorders>
            <w:top w:val="single" w:color="7F7F7F" w:sz="4" w:space="0"/>
            <w:left w:val="none" w:color="auto" w:sz="6" w:space="0"/>
            <w:bottom w:val="single" w:color="7F7F7F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0" w:type="auto"/>
            <w:vMerge w:val="restart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Technology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Digital Economy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DE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Calculated from 12 sub-indicators through the entropy weight method.The larger the number, the higher the level of the digital economy.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index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Calculated</w:t>
            </w:r>
          </w:p>
        </w:tc>
      </w:tr>
      <w:tr>
        <w:tblPrEx>
          <w:tblBorders>
            <w:top w:val="single" w:color="7F7F7F" w:sz="4" w:space="0"/>
            <w:left w:val="none" w:color="auto" w:sz="6" w:space="0"/>
            <w:bottom w:val="single" w:color="7F7F7F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0" w:type="auto"/>
            <w:vMerge w:val="continue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Artificial Intelligence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Represented by the total operating inventory of industrial robots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1000 stock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IFR</w:t>
            </w:r>
          </w:p>
        </w:tc>
      </w:tr>
      <w:tr>
        <w:tblPrEx>
          <w:tblBorders>
            <w:top w:val="single" w:color="7F7F7F" w:sz="4" w:space="0"/>
            <w:left w:val="none" w:color="auto" w:sz="6" w:space="0"/>
            <w:bottom w:val="single" w:color="7F7F7F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ICT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ICT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Mobile cellular subscriptions per 100 people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subscriptions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WDI</w:t>
            </w:r>
          </w:p>
        </w:tc>
      </w:tr>
      <w:tr>
        <w:tblPrEx>
          <w:tblBorders>
            <w:top w:val="single" w:color="7F7F7F" w:sz="4" w:space="0"/>
            <w:left w:val="none" w:color="auto" w:sz="6" w:space="0"/>
            <w:bottom w:val="single" w:color="7F7F7F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Resources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Energy Transition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Share of renewable energy in final energy consumption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WDI</w:t>
            </w:r>
          </w:p>
        </w:tc>
      </w:tr>
      <w:tr>
        <w:tblPrEx>
          <w:tblBorders>
            <w:top w:val="single" w:color="7F7F7F" w:sz="4" w:space="0"/>
            <w:left w:val="none" w:color="auto" w:sz="6" w:space="0"/>
            <w:bottom w:val="single" w:color="7F7F7F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Natural Resource Rent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NRR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Natural resources are measured by total natural resource rents as a percentage of GDP. Total natural resource rents are the sum of oil rents, natural gas rents, coal (hard coal and soft coal) rents, mineral rents, and forest rents.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%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WDI</w:t>
            </w:r>
          </w:p>
        </w:tc>
      </w:tr>
      <w:tr>
        <w:tblPrEx>
          <w:tblBorders>
            <w:top w:val="single" w:color="7F7F7F" w:sz="4" w:space="0"/>
            <w:left w:val="none" w:color="auto" w:sz="6" w:space="0"/>
            <w:bottom w:val="single" w:color="7F7F7F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Society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Population Aging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Population aged 65 and over as a percentage of the total domestic population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WDI</w:t>
            </w:r>
          </w:p>
        </w:tc>
      </w:tr>
      <w:tr>
        <w:tblPrEx>
          <w:tblBorders>
            <w:top w:val="single" w:color="7F7F7F" w:sz="4" w:space="0"/>
            <w:left w:val="none" w:color="auto" w:sz="6" w:space="0"/>
            <w:bottom w:val="single" w:color="7F7F7F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Food Safety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FS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The index includes 27 qualitative and quantitative indicators in three areas, including food affordability, food supply capacity, and quality and safety assurance. Higher numbers represent greater food safety.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index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WDI</w:t>
            </w:r>
          </w:p>
        </w:tc>
      </w:tr>
      <w:tr>
        <w:tblPrEx>
          <w:tblBorders>
            <w:top w:val="single" w:color="7F7F7F" w:sz="4" w:space="0"/>
            <w:left w:val="none" w:color="auto" w:sz="6" w:space="0"/>
            <w:bottom w:val="single" w:color="7F7F7F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Trade Openness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OPEN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Total trade as a share of GDP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WDI</w:t>
            </w:r>
          </w:p>
        </w:tc>
      </w:tr>
      <w:tr>
        <w:tblPrEx>
          <w:tblBorders>
            <w:top w:val="single" w:color="7F7F7F" w:sz="4" w:space="0"/>
            <w:left w:val="none" w:color="auto" w:sz="6" w:space="0"/>
            <w:bottom w:val="single" w:color="7F7F7F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Income Inequality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IIE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The Gini coefficient is a measure of income inequality based on the Lorenz curve and ranges from 0 to 100. Higher numbers represent greater income inequality.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%</w:t>
            </w:r>
          </w:p>
        </w:tc>
        <w:tc>
          <w:tcPr>
            <w:tcW w:w="0" w:type="auto"/>
            <w:tcBorders>
              <w:top w:val="single" w:color="7F7F7F" w:sz="4" w:space="0"/>
              <w:left w:val="nil"/>
              <w:bottom w:val="single" w:color="7F7F7F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WDI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3" w:lineRule="atLeast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center" w:pos="4200"/>
          <w:tab w:val="right" w:pos="84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3" w:lineRule="atLeast"/>
        <w:ind w:left="0" w:right="0"/>
        <w:jc w:val="both"/>
        <w:rPr>
          <w:rFonts w:hint="default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center" w:pos="4200"/>
          <w:tab w:val="right" w:pos="84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3" w:lineRule="atLeast"/>
        <w:ind w:left="0" w:right="0"/>
        <w:jc w:val="both"/>
        <w:rPr>
          <w:rFonts w:hint="default" w:ascii="Times New Roman" w:hAnsi="Times New Roman" w:eastAsia="黑体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"/>
        </w:rPr>
        <w:t xml:space="preserve">Table </w:t>
      </w:r>
      <w:r>
        <w:rPr>
          <w:rFonts w:hint="eastAsia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"/>
        </w:rPr>
        <w:t>S3</w:t>
      </w:r>
      <w:r>
        <w:rPr>
          <w:rFonts w:hint="default" w:ascii="Times New Roman" w:hAnsi="Times New Roman" w:eastAsia="黑体" w:cs="Times New Roman"/>
          <w:kern w:val="2"/>
          <w:sz w:val="24"/>
          <w:szCs w:val="24"/>
          <w:lang w:val="en-US" w:eastAsia="zh-CN" w:bidi="ar"/>
        </w:rPr>
        <w:t xml:space="preserve"> Details of the indicators used for calculating digital economy</w:t>
      </w:r>
    </w:p>
    <w:tbl>
      <w:tblPr>
        <w:tblStyle w:val="3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8"/>
        <w:gridCol w:w="5343"/>
        <w:gridCol w:w="3525"/>
        <w:gridCol w:w="1988"/>
        <w:gridCol w:w="14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6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Primary index</w:t>
            </w:r>
          </w:p>
        </w:tc>
        <w:tc>
          <w:tcPr>
            <w:tcW w:w="188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Secondary indicators</w:t>
            </w:r>
          </w:p>
        </w:tc>
        <w:tc>
          <w:tcPr>
            <w:tcW w:w="124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Unit</w:t>
            </w:r>
          </w:p>
        </w:tc>
        <w:tc>
          <w:tcPr>
            <w:tcW w:w="701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Indicator weights</w:t>
            </w:r>
          </w:p>
        </w:tc>
        <w:tc>
          <w:tcPr>
            <w:tcW w:w="50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Data source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66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Infrastructure</w:t>
            </w:r>
          </w:p>
        </w:tc>
        <w:tc>
          <w:tcPr>
            <w:tcW w:w="188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Fixed-telephone subscriptions</w:t>
            </w:r>
          </w:p>
        </w:tc>
        <w:tc>
          <w:tcPr>
            <w:tcW w:w="12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per 100 people</w:t>
            </w:r>
          </w:p>
        </w:tc>
        <w:tc>
          <w:tcPr>
            <w:tcW w:w="70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7.99%</w:t>
            </w:r>
          </w:p>
        </w:tc>
        <w:tc>
          <w:tcPr>
            <w:tcW w:w="50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ITU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66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Mobile-cellular subscriptions</w:t>
            </w:r>
          </w:p>
        </w:tc>
        <w:tc>
          <w:tcPr>
            <w:tcW w:w="12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per 100 people</w:t>
            </w:r>
          </w:p>
        </w:tc>
        <w:tc>
          <w:tcPr>
            <w:tcW w:w="70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4.82%</w:t>
            </w:r>
          </w:p>
        </w:tc>
        <w:tc>
          <w:tcPr>
            <w:tcW w:w="50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ITU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66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Active mobile-broadband subscriptions</w:t>
            </w:r>
          </w:p>
        </w:tc>
        <w:tc>
          <w:tcPr>
            <w:tcW w:w="12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per 100 inhabitants</w:t>
            </w:r>
          </w:p>
        </w:tc>
        <w:tc>
          <w:tcPr>
            <w:tcW w:w="70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11.31%</w:t>
            </w:r>
          </w:p>
        </w:tc>
        <w:tc>
          <w:tcPr>
            <w:tcW w:w="50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ITU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66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Fixed-broadband subscriptions</w:t>
            </w:r>
          </w:p>
        </w:tc>
        <w:tc>
          <w:tcPr>
            <w:tcW w:w="12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per 100 inhabitants</w:t>
            </w:r>
          </w:p>
        </w:tc>
        <w:tc>
          <w:tcPr>
            <w:tcW w:w="70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12.25%</w:t>
            </w:r>
          </w:p>
        </w:tc>
        <w:tc>
          <w:tcPr>
            <w:tcW w:w="50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ITU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66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Social support</w:t>
            </w:r>
          </w:p>
        </w:tc>
        <w:tc>
          <w:tcPr>
            <w:tcW w:w="188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Scientific and technical journal articles</w:t>
            </w:r>
          </w:p>
        </w:tc>
        <w:tc>
          <w:tcPr>
            <w:tcW w:w="12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article</w:t>
            </w:r>
          </w:p>
        </w:tc>
        <w:tc>
          <w:tcPr>
            <w:tcW w:w="70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8.34%</w:t>
            </w:r>
          </w:p>
        </w:tc>
        <w:tc>
          <w:tcPr>
            <w:tcW w:w="50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WDI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66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Medium and high-tech manufacturing value added</w:t>
            </w:r>
          </w:p>
        </w:tc>
        <w:tc>
          <w:tcPr>
            <w:tcW w:w="12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% of manufacturing value added</w:t>
            </w:r>
          </w:p>
        </w:tc>
        <w:tc>
          <w:tcPr>
            <w:tcW w:w="70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2.02%</w:t>
            </w:r>
          </w:p>
        </w:tc>
        <w:tc>
          <w:tcPr>
            <w:tcW w:w="50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WDI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66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Social effect</w:t>
            </w:r>
          </w:p>
        </w:tc>
        <w:tc>
          <w:tcPr>
            <w:tcW w:w="188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Individuals using the Internet</w:t>
            </w:r>
          </w:p>
        </w:tc>
        <w:tc>
          <w:tcPr>
            <w:tcW w:w="12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%of population</w:t>
            </w:r>
          </w:p>
        </w:tc>
        <w:tc>
          <w:tcPr>
            <w:tcW w:w="70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5.26%</w:t>
            </w:r>
          </w:p>
        </w:tc>
        <w:tc>
          <w:tcPr>
            <w:tcW w:w="50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ITU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66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Households with a computer</w:t>
            </w:r>
          </w:p>
        </w:tc>
        <w:tc>
          <w:tcPr>
            <w:tcW w:w="12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% of households</w:t>
            </w:r>
          </w:p>
        </w:tc>
        <w:tc>
          <w:tcPr>
            <w:tcW w:w="70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4.28%</w:t>
            </w:r>
          </w:p>
        </w:tc>
        <w:tc>
          <w:tcPr>
            <w:tcW w:w="50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ITU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66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Households with Internet access at home</w:t>
            </w:r>
          </w:p>
        </w:tc>
        <w:tc>
          <w:tcPr>
            <w:tcW w:w="12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% of households</w:t>
            </w:r>
          </w:p>
        </w:tc>
        <w:tc>
          <w:tcPr>
            <w:tcW w:w="70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7.56%</w:t>
            </w:r>
          </w:p>
        </w:tc>
        <w:tc>
          <w:tcPr>
            <w:tcW w:w="50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ITU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66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International bandwidth usage</w:t>
            </w:r>
          </w:p>
        </w:tc>
        <w:tc>
          <w:tcPr>
            <w:tcW w:w="12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bit/s</w:t>
            </w:r>
          </w:p>
        </w:tc>
        <w:tc>
          <w:tcPr>
            <w:tcW w:w="70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9.37%</w:t>
            </w:r>
          </w:p>
        </w:tc>
        <w:tc>
          <w:tcPr>
            <w:tcW w:w="50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ITU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66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Economic effect</w:t>
            </w:r>
          </w:p>
        </w:tc>
        <w:tc>
          <w:tcPr>
            <w:tcW w:w="188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ICT goods exports</w:t>
            </w:r>
          </w:p>
        </w:tc>
        <w:tc>
          <w:tcPr>
            <w:tcW w:w="12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% of total goods exports</w:t>
            </w:r>
          </w:p>
        </w:tc>
        <w:tc>
          <w:tcPr>
            <w:tcW w:w="70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13.16%</w:t>
            </w:r>
          </w:p>
        </w:tc>
        <w:tc>
          <w:tcPr>
            <w:tcW w:w="50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WDI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66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ICT goods imports</w:t>
            </w:r>
          </w:p>
        </w:tc>
        <w:tc>
          <w:tcPr>
            <w:tcW w:w="124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% of total goods imports</w:t>
            </w:r>
          </w:p>
        </w:tc>
        <w:tc>
          <w:tcPr>
            <w:tcW w:w="70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13.65%</w:t>
            </w:r>
          </w:p>
        </w:tc>
        <w:tc>
          <w:tcPr>
            <w:tcW w:w="50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WDI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tabs>
          <w:tab w:val="center" w:pos="4200"/>
          <w:tab w:val="right" w:pos="84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3" w:lineRule="atLeast"/>
        <w:ind w:left="0" w:right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widowControl w:val="0"/>
        <w:tabs>
          <w:tab w:val="center" w:pos="4200"/>
          <w:tab w:val="right" w:pos="8400"/>
        </w:tabs>
        <w:adjustRightInd w:val="0"/>
        <w:snapToGrid w:val="0"/>
        <w:spacing w:line="360" w:lineRule="auto"/>
        <w:jc w:val="both"/>
        <w:rPr>
          <w:rFonts w:ascii="Times New Roman" w:hAnsi="Times New Roman" w:eastAsia="黑体" w:cs="Times New Roman"/>
          <w:kern w:val="2"/>
          <w:sz w:val="24"/>
          <w:szCs w:val="24"/>
          <w:lang w:val="en-US" w:eastAsia="zh-CN" w:bidi="ar-SA"/>
        </w:rPr>
      </w:pPr>
      <w:r>
        <w:rPr>
          <w:rFonts w:ascii="Times New Roman" w:hAnsi="Times New Roman" w:eastAsia="黑体" w:cs="Times New Roman"/>
          <w:b/>
          <w:bCs/>
          <w:kern w:val="2"/>
          <w:sz w:val="24"/>
          <w:szCs w:val="24"/>
          <w:lang w:val="en" w:eastAsia="zh-CN" w:bidi="ar-SA"/>
        </w:rPr>
        <w:t xml:space="preserve">Table </w:t>
      </w:r>
      <w:r>
        <w:rPr>
          <w:rFonts w:hint="eastAsia" w:ascii="Times New Roman" w:hAnsi="Times New Roman" w:eastAsia="黑体" w:cs="Times New Roman"/>
          <w:b/>
          <w:bCs/>
          <w:kern w:val="2"/>
          <w:sz w:val="24"/>
          <w:szCs w:val="24"/>
          <w:lang w:val="en-US" w:eastAsia="zh-CN" w:bidi="ar-SA"/>
        </w:rPr>
        <w:t>S3</w:t>
      </w:r>
      <w:r>
        <w:rPr>
          <w:rFonts w:ascii="Times New Roman" w:hAnsi="Times New Roman" w:eastAsia="黑体" w:cs="Times New Roman"/>
          <w:kern w:val="2"/>
          <w:sz w:val="24"/>
          <w:szCs w:val="24"/>
          <w:lang w:val="en-US" w:eastAsia="zh-CN" w:bidi="ar-SA"/>
        </w:rPr>
        <w:t xml:space="preserve"> Descriptive statistics for the global panel of 214 countries under review</w:t>
      </w:r>
    </w:p>
    <w:tbl>
      <w:tblPr>
        <w:tblStyle w:val="3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352"/>
        <w:gridCol w:w="2352"/>
        <w:gridCol w:w="2352"/>
        <w:gridCol w:w="2352"/>
        <w:gridCol w:w="235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Variables</w:t>
            </w:r>
          </w:p>
        </w:tc>
        <w:tc>
          <w:tcPr>
            <w:tcW w:w="83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Mean</w:t>
            </w:r>
          </w:p>
        </w:tc>
        <w:tc>
          <w:tcPr>
            <w:tcW w:w="83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SD</w:t>
            </w:r>
          </w:p>
        </w:tc>
        <w:tc>
          <w:tcPr>
            <w:tcW w:w="83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Min</w:t>
            </w:r>
          </w:p>
        </w:tc>
        <w:tc>
          <w:tcPr>
            <w:tcW w:w="83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Max</w:t>
            </w:r>
          </w:p>
        </w:tc>
        <w:tc>
          <w:tcPr>
            <w:tcW w:w="83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lang w:val="en-US"/>
              </w:rPr>
              <w:t>PCE</w:t>
            </w:r>
          </w:p>
        </w:tc>
        <w:tc>
          <w:tcPr>
            <w:tcW w:w="83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47.26</w:t>
            </w:r>
          </w:p>
        </w:tc>
        <w:tc>
          <w:tcPr>
            <w:tcW w:w="83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12.64</w:t>
            </w:r>
          </w:p>
        </w:tc>
        <w:tc>
          <w:tcPr>
            <w:tcW w:w="83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-0.0201</w:t>
            </w:r>
          </w:p>
        </w:tc>
        <w:tc>
          <w:tcPr>
            <w:tcW w:w="83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360.9</w:t>
            </w:r>
          </w:p>
        </w:tc>
        <w:tc>
          <w:tcPr>
            <w:tcW w:w="83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10,511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PGDP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11.66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18.56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0.124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183.2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9,430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NRR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664.1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10.88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8751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8,703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OPEN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60.44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48.34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4,539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957.8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9,404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IT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30.82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30.74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98.34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5,988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AI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12.24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52.15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633.8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1,971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IQ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-0.199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5.500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-14.47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11.68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4,163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ICT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33.78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50.22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420.9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9,723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DE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5.438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6.591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0.136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52.85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13,054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CR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62.82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19.70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95.42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5,105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GPR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21.41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49.38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960.3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1,548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PA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6.408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4.480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0.686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28.40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11,764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FS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76.06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53.65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3.260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842.2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10,652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IIE</w:t>
            </w:r>
          </w:p>
        </w:tc>
        <w:tc>
          <w:tcPr>
            <w:tcW w:w="83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39.41</w:t>
            </w:r>
          </w:p>
        </w:tc>
        <w:tc>
          <w:tcPr>
            <w:tcW w:w="83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9.017</w:t>
            </w:r>
          </w:p>
        </w:tc>
        <w:tc>
          <w:tcPr>
            <w:tcW w:w="83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20.70</w:t>
            </w:r>
          </w:p>
        </w:tc>
        <w:tc>
          <w:tcPr>
            <w:tcW w:w="83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65.80</w:t>
            </w:r>
          </w:p>
        </w:tc>
        <w:tc>
          <w:tcPr>
            <w:tcW w:w="83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3,498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tabs>
          <w:tab w:val="center" w:pos="4200"/>
          <w:tab w:val="right" w:pos="84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3" w:lineRule="atLeast"/>
        <w:ind w:left="0" w:right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center" w:pos="4200"/>
          <w:tab w:val="right" w:pos="84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3" w:lineRule="atLeast"/>
        <w:ind w:left="0" w:right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widowControl w:val="0"/>
        <w:spacing w:line="360" w:lineRule="auto"/>
        <w:jc w:val="both"/>
        <w:rPr>
          <w:rFonts w:ascii="Times New Roman" w:hAnsi="Times New Roman" w:eastAsia="黑体" w:cs="Times New Roman"/>
          <w:kern w:val="2"/>
          <w:sz w:val="24"/>
          <w:szCs w:val="36"/>
          <w:lang w:val="en-US" w:eastAsia="zh-CN" w:bidi="ar-SA"/>
        </w:rPr>
      </w:pPr>
      <w:r>
        <w:rPr>
          <w:rFonts w:ascii="Times New Roman" w:hAnsi="Times New Roman" w:eastAsia="黑体" w:cs="Times New Roman"/>
          <w:b/>
          <w:bCs/>
          <w:kern w:val="2"/>
          <w:sz w:val="24"/>
          <w:szCs w:val="36"/>
          <w:lang w:val="en" w:eastAsia="zh-CN" w:bidi="ar-SA"/>
        </w:rPr>
        <w:t xml:space="preserve">Table </w:t>
      </w:r>
      <w:r>
        <w:rPr>
          <w:rFonts w:hint="eastAsia" w:ascii="Times New Roman" w:hAnsi="Times New Roman" w:eastAsia="黑体" w:cs="Times New Roman"/>
          <w:b/>
          <w:bCs/>
          <w:kern w:val="2"/>
          <w:sz w:val="24"/>
          <w:szCs w:val="36"/>
          <w:lang w:val="en-US" w:eastAsia="zh-CN" w:bidi="ar-SA"/>
        </w:rPr>
        <w:t>S4</w:t>
      </w:r>
      <w:r>
        <w:rPr>
          <w:rFonts w:ascii="Times New Roman" w:hAnsi="Times New Roman" w:eastAsia="黑体" w:cs="Times New Roman"/>
          <w:kern w:val="2"/>
          <w:sz w:val="24"/>
          <w:szCs w:val="36"/>
          <w:lang w:val="en-US" w:eastAsia="zh-CN" w:bidi="ar-SA"/>
        </w:rPr>
        <w:t xml:space="preserve"> Panel unit root test and Kao test results for the global panel</w:t>
      </w:r>
    </w:p>
    <w:tbl>
      <w:tblPr>
        <w:tblStyle w:val="3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9"/>
        <w:gridCol w:w="719"/>
        <w:gridCol w:w="2145"/>
        <w:gridCol w:w="1558"/>
        <w:gridCol w:w="700"/>
        <w:gridCol w:w="2145"/>
        <w:gridCol w:w="1558"/>
        <w:gridCol w:w="700"/>
        <w:gridCol w:w="1771"/>
      </w:tblGrid>
      <w:tr>
        <w:trPr>
          <w:trHeight w:val="312" w:hRule="atLeast"/>
        </w:trPr>
        <w:tc>
          <w:tcPr>
            <w:tcW w:w="1013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Variable</w:t>
            </w:r>
          </w:p>
        </w:tc>
        <w:tc>
          <w:tcPr>
            <w:tcW w:w="25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1307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Fisher-ADF</w:t>
            </w:r>
          </w:p>
        </w:tc>
        <w:tc>
          <w:tcPr>
            <w:tcW w:w="24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1307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Fisher-PP</w:t>
            </w:r>
          </w:p>
        </w:tc>
        <w:tc>
          <w:tcPr>
            <w:tcW w:w="24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Decision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13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Statistic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p-value</w:t>
            </w:r>
          </w:p>
        </w:tc>
        <w:tc>
          <w:tcPr>
            <w:tcW w:w="24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Statistic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p-value</w:t>
            </w:r>
          </w:p>
        </w:tc>
        <w:tc>
          <w:tcPr>
            <w:tcW w:w="24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ΔPCE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4184.3768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8029.0626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Smooth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ΔPGDP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2024.5868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3229.0879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Smooth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ΔGPR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1255.1954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2657.4161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Smooth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ΔCR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2024.8532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3412.9486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Smooth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ΔIQ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1428.2309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3065.382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Smooth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ΔDE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2114.6048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4686.4228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Smooth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ΔICT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994.9187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1971.4983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Smooth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ΔAI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328.7595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530.0277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Smooth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ΔET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2228.1551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4532.4729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Smooth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ΔNRR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4569.8789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6714.5409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Smooth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ΔPA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627.1177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416.6018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Smooth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ΔFS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5153.137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9925.4698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Smooth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ΔOPEN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4373.5519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7383.4182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Smooth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ΔIIE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809.3469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1517.8622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Smooth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1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Kao</w:t>
            </w:r>
          </w:p>
        </w:tc>
        <w:tc>
          <w:tcPr>
            <w:tcW w:w="25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4.8607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 xml:space="preserve">0.0000 </w:t>
            </w:r>
          </w:p>
        </w:tc>
        <w:tc>
          <w:tcPr>
            <w:tcW w:w="24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Cointegration</w:t>
            </w:r>
          </w:p>
        </w:tc>
      </w:tr>
    </w:tbl>
    <w:p>
      <w:pPr>
        <w:tabs>
          <w:tab w:val="center" w:pos="4200"/>
          <w:tab w:val="right" w:pos="8400"/>
        </w:tabs>
        <w:spacing w:line="360" w:lineRule="auto"/>
        <w:rPr>
          <w:rFonts w:ascii="Times New Roman" w:hAnsi="Times New Roman" w:eastAsia="黑体" w:cs="Times New Roman"/>
          <w:b/>
          <w:bCs/>
          <w:sz w:val="24"/>
          <w:szCs w:val="36"/>
          <w:lang w:val="en"/>
        </w:rPr>
      </w:pPr>
    </w:p>
    <w:p>
      <w:pPr>
        <w:tabs>
          <w:tab w:val="center" w:pos="4200"/>
          <w:tab w:val="right" w:pos="8400"/>
        </w:tabs>
        <w:spacing w:line="360" w:lineRule="auto"/>
        <w:rPr>
          <w:rFonts w:ascii="Times New Roman" w:hAnsi="Times New Roman" w:eastAsia="黑体" w:cs="Times New Roman"/>
          <w:b/>
          <w:bCs/>
          <w:sz w:val="24"/>
          <w:szCs w:val="36"/>
          <w:lang w:val="en"/>
        </w:rPr>
      </w:pPr>
    </w:p>
    <w:p>
      <w:pPr>
        <w:tabs>
          <w:tab w:val="center" w:pos="4200"/>
          <w:tab w:val="right" w:pos="8400"/>
        </w:tabs>
        <w:spacing w:line="360" w:lineRule="auto"/>
        <w:rPr>
          <w:rFonts w:ascii="Times New Roman" w:hAnsi="Times New Roman" w:eastAsia="黑体" w:cs="Times New Roman"/>
          <w:sz w:val="24"/>
          <w:szCs w:val="36"/>
          <w:lang w:val="en-US"/>
        </w:rPr>
      </w:pPr>
      <w:r>
        <w:rPr>
          <w:rFonts w:ascii="Times New Roman" w:hAnsi="Times New Roman" w:eastAsia="黑体" w:cs="Times New Roman"/>
          <w:b/>
          <w:bCs/>
          <w:sz w:val="24"/>
          <w:szCs w:val="36"/>
          <w:lang w:val="en"/>
        </w:rPr>
        <w:t xml:space="preserve">Table </w:t>
      </w:r>
      <w:r>
        <w:rPr>
          <w:rFonts w:hint="eastAsia" w:ascii="Times New Roman" w:hAnsi="Times New Roman" w:eastAsia="黑体" w:cs="Times New Roman"/>
          <w:b/>
          <w:bCs/>
          <w:sz w:val="24"/>
          <w:szCs w:val="36"/>
          <w:lang w:val="en-US" w:eastAsia="zh-CN"/>
        </w:rPr>
        <w:t>S5</w:t>
      </w:r>
      <w:r>
        <w:rPr>
          <w:rFonts w:ascii="Times New Roman" w:hAnsi="Times New Roman" w:eastAsia="黑体" w:cs="Times New Roman"/>
          <w:sz w:val="24"/>
          <w:szCs w:val="36"/>
          <w:lang w:val="en-US"/>
        </w:rPr>
        <w:t xml:space="preserve"> Complete regression results with stepwise addition of control variables</w:t>
      </w:r>
    </w:p>
    <w:tbl>
      <w:tblPr>
        <w:tblStyle w:val="3"/>
        <w:tblW w:w="4996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6"/>
        <w:gridCol w:w="1968"/>
        <w:gridCol w:w="1969"/>
        <w:gridCol w:w="1969"/>
        <w:gridCol w:w="1969"/>
        <w:gridCol w:w="1969"/>
        <w:gridCol w:w="19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Step 1</w:t>
            </w:r>
          </w:p>
        </w:tc>
        <w:tc>
          <w:tcPr>
            <w:tcW w:w="69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Step 2</w:t>
            </w:r>
          </w:p>
        </w:tc>
        <w:tc>
          <w:tcPr>
            <w:tcW w:w="69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Step 3</w:t>
            </w:r>
          </w:p>
        </w:tc>
        <w:tc>
          <w:tcPr>
            <w:tcW w:w="69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Step 4</w:t>
            </w:r>
          </w:p>
        </w:tc>
        <w:tc>
          <w:tcPr>
            <w:tcW w:w="69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Step 5</w:t>
            </w:r>
          </w:p>
        </w:tc>
        <w:tc>
          <w:tcPr>
            <w:tcW w:w="69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Step 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PGDP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0.5408***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0.6059***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0.5066***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0.4708***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0.6231***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0.9117***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(0.0165)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(0.0221)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(0.0215)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(0.0248)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(0.0368)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(0.0508)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PGDP2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-0.0113***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-0.0110***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-0.0071***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-0.0077***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-0.0113***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-0.0163***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(0.0004)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(0.0005)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(0.0005)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(0.0005)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(0.0007)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PGDP3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0.0001***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0.0001***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0.0000***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0.0000***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0.0001***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0.0001***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(0.0000)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ICT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0.0025**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0.0033***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0.0023***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0.0011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(0.0007)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(0.0010)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DE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-0.1066***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-0.0745***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-0.0371***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-0.0452***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-0.0656***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(0.0097)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(0.0067)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(0.0072)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(0.0087)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(0.0097)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PA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-0.0906***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-0.1616***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-0.1940***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-0.2646***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-0.1777***</w:t>
            </w:r>
          </w:p>
        </w:tc>
      </w:tr>
      <w:tr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(0.0210)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(0.0182)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(0.0189)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(0.0243)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(0.0283)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FS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0.0071***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0.0027***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0.0035***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0.0083***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-0.0130***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(0.0007)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(0.0011)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(0.0022)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(0.0032)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NRR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0.0001***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0.0002***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0.0001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(0.0001)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OPEN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-0.0022***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0.0002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-0.0032**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(0.0009)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(0.0015)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ET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-0.0298***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-0.0409***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-0.0795***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-0.1157***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(0.0024)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(0.0033)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(0.0053)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(0.0071)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CR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-0.0120***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-0.0098***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(0.0019)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(0.0032)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(0.0053)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AI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-0.0006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(0.0011)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IIE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-0.0179*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-0.0202*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(0.0092)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(0.0107)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GPR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0.0020**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IQ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-0.1206***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(0.0301)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Constant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1.1640***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0.9704***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3.2015***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4.9591***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6.0835***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4.6534***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(0.0854)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(0.1392)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(0.1948)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(0.2513)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(0.6108)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(0.8118)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  <w:t>N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8,460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6,838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4,791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3,652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1,280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725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R-squared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0.122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0.136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0.231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0.225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0.573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0.718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  <w:t>Countries</w:t>
            </w:r>
          </w:p>
        </w:tc>
        <w:tc>
          <w:tcPr>
            <w:tcW w:w="69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191</w:t>
            </w:r>
          </w:p>
        </w:tc>
        <w:tc>
          <w:tcPr>
            <w:tcW w:w="69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181</w:t>
            </w:r>
          </w:p>
        </w:tc>
        <w:tc>
          <w:tcPr>
            <w:tcW w:w="69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177</w:t>
            </w:r>
          </w:p>
        </w:tc>
        <w:tc>
          <w:tcPr>
            <w:tcW w:w="69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133</w:t>
            </w:r>
          </w:p>
        </w:tc>
        <w:tc>
          <w:tcPr>
            <w:tcW w:w="69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60</w:t>
            </w:r>
          </w:p>
        </w:tc>
        <w:tc>
          <w:tcPr>
            <w:tcW w:w="69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Standard errors in parentheses. *** p&lt;0.01, ** p&lt;0.05, * p&lt;0.1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tabs>
          <w:tab w:val="center" w:pos="4200"/>
          <w:tab w:val="right" w:pos="84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3" w:lineRule="atLeast"/>
        <w:ind w:left="0" w:right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center" w:pos="4200"/>
          <w:tab w:val="right" w:pos="84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3" w:lineRule="atLeast"/>
        <w:ind w:left="0" w:right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keepNext w:val="0"/>
        <w:keepLines w:val="0"/>
        <w:pageBreakBefore w:val="0"/>
        <w:widowControl w:val="0"/>
        <w:suppressLineNumbers w:val="0"/>
        <w:tabs>
          <w:tab w:val="center" w:pos="4200"/>
          <w:tab w:val="right" w:pos="8400"/>
        </w:tabs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3" w:lineRule="atLeast"/>
        <w:ind w:left="0" w:right="0"/>
        <w:jc w:val="both"/>
        <w:rPr>
          <w:rFonts w:hint="default" w:ascii="Times New Roman" w:hAnsi="Times New Roman" w:eastAsia="黑体" w:cs="Times New Roman"/>
          <w:sz w:val="24"/>
          <w:szCs w:val="36"/>
          <w:lang w:val="en-US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4"/>
          <w:szCs w:val="36"/>
          <w:lang w:val="en-US" w:eastAsia="zh-CN" w:bidi="ar"/>
        </w:rPr>
        <w:t xml:space="preserve">Table </w:t>
      </w:r>
      <w:r>
        <w:rPr>
          <w:rFonts w:hint="eastAsia" w:ascii="Times New Roman" w:hAnsi="Times New Roman" w:eastAsia="黑体" w:cs="Times New Roman"/>
          <w:b/>
          <w:bCs/>
          <w:kern w:val="2"/>
          <w:sz w:val="24"/>
          <w:szCs w:val="36"/>
          <w:lang w:val="en-US" w:eastAsia="zh-CN" w:bidi="ar"/>
        </w:rPr>
        <w:t>S6</w:t>
      </w:r>
      <w:r>
        <w:rPr>
          <w:rFonts w:hint="default" w:ascii="Times New Roman" w:hAnsi="Times New Roman" w:eastAsia="黑体" w:cs="Times New Roman"/>
          <w:kern w:val="2"/>
          <w:sz w:val="24"/>
          <w:szCs w:val="36"/>
          <w:lang w:val="en-US" w:eastAsia="zh-CN" w:bidi="ar"/>
        </w:rPr>
        <w:t xml:space="preserve"> Panel unit root test and cointegration test results before group regression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216"/>
        <w:gridCol w:w="998"/>
        <w:gridCol w:w="1217"/>
        <w:gridCol w:w="999"/>
        <w:gridCol w:w="1217"/>
        <w:gridCol w:w="999"/>
        <w:gridCol w:w="1087"/>
        <w:gridCol w:w="999"/>
        <w:gridCol w:w="1087"/>
        <w:gridCol w:w="999"/>
        <w:gridCol w:w="1217"/>
        <w:gridCol w:w="9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0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Variable</w:t>
            </w:r>
          </w:p>
        </w:tc>
        <w:tc>
          <w:tcPr>
            <w:tcW w:w="78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Stage 1</w:t>
            </w:r>
          </w:p>
        </w:tc>
        <w:tc>
          <w:tcPr>
            <w:tcW w:w="78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Stage 2</w:t>
            </w:r>
          </w:p>
        </w:tc>
        <w:tc>
          <w:tcPr>
            <w:tcW w:w="78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Stage 3</w:t>
            </w:r>
          </w:p>
        </w:tc>
        <w:tc>
          <w:tcPr>
            <w:tcW w:w="73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Stage 6</w:t>
            </w:r>
          </w:p>
        </w:tc>
        <w:tc>
          <w:tcPr>
            <w:tcW w:w="73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Stage 7</w:t>
            </w:r>
          </w:p>
        </w:tc>
        <w:tc>
          <w:tcPr>
            <w:tcW w:w="78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Stage 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0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Statistic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p-value</w:t>
            </w:r>
          </w:p>
        </w:tc>
        <w:tc>
          <w:tcPr>
            <w:tcW w:w="42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Statistic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p-value</w:t>
            </w:r>
          </w:p>
        </w:tc>
        <w:tc>
          <w:tcPr>
            <w:tcW w:w="42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Statistic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p-value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Statistic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p-value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Statistic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p-value</w:t>
            </w:r>
          </w:p>
        </w:tc>
        <w:tc>
          <w:tcPr>
            <w:tcW w:w="42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Statistic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ΔPCE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932.510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918.677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1150.008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189.646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96.346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597.786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ΔPGDP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300.192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395.989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596.666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127.852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63.241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352.304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ΔGPR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639.782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682.254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267.194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249.087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112.831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1933.539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ΔCR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610.378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839.870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691.995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190.826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61.294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308.075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ΔIQ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1585.081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1591.336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1927.235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405.634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214.764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855.912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60" w:hRule="atLeast"/>
        </w:trPr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ΔDE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354.244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338.363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572.260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83.835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48.035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414.902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ΔICT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150.264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244.635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300.889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123.504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42.751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136.084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ΔAI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179.226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357.992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348.774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102.333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21.763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0.016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190.360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ΔET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405.043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533.571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655.875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115.779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40.085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279.379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ΔNRR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994.893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1167.540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1139.242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282.475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138.906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603.836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ΔPA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175.019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129.189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0.009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178.693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33.316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0.015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13.445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0.037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94.072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ΔFS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1179.352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1145.648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1358.892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248.480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138.373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694.762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ΔOPEN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877.160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1007.963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1307.668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229.119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113.950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661.423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ΔIIE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647.865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789.123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1118.262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115.598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40.511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263.405 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ADF</w:t>
            </w:r>
          </w:p>
        </w:tc>
        <w:tc>
          <w:tcPr>
            <w:tcW w:w="42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1.994 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0.023 </w:t>
            </w:r>
          </w:p>
        </w:tc>
        <w:tc>
          <w:tcPr>
            <w:tcW w:w="42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-1.836 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0.033 </w:t>
            </w:r>
          </w:p>
        </w:tc>
        <w:tc>
          <w:tcPr>
            <w:tcW w:w="42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1.286 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0.099 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-6.364 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-4.498 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  <w:tc>
          <w:tcPr>
            <w:tcW w:w="42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3.972 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200"/>
                <w:tab w:val="right" w:pos="840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3" w:lineRule="atLeast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0.000 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tabs>
          <w:tab w:val="center" w:pos="4200"/>
          <w:tab w:val="right" w:pos="84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3" w:lineRule="atLeast"/>
        <w:ind w:left="0" w:right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Note: The ADF in the last column represents the results of the unit root test using the Kao test.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3" w:lineRule="atLeast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3" w:lineRule="atLeast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>
      <w:pPr>
        <w:tabs>
          <w:tab w:val="center" w:pos="4200"/>
          <w:tab w:val="right" w:pos="8400"/>
        </w:tabs>
        <w:spacing w:line="360" w:lineRule="auto"/>
        <w:rPr>
          <w:rFonts w:ascii="Times New Roman" w:hAnsi="Times New Roman" w:eastAsia="黑体" w:cs="Times New Roman"/>
          <w:sz w:val="24"/>
          <w:szCs w:val="36"/>
          <w:lang w:val="en-US"/>
        </w:rPr>
      </w:pPr>
      <w:r>
        <w:rPr>
          <w:rFonts w:ascii="Times New Roman" w:hAnsi="Times New Roman" w:eastAsia="黑体" w:cs="Times New Roman"/>
          <w:b/>
          <w:bCs/>
          <w:sz w:val="24"/>
          <w:szCs w:val="36"/>
          <w:lang w:val="en"/>
        </w:rPr>
        <w:t xml:space="preserve">Table </w:t>
      </w:r>
      <w:r>
        <w:rPr>
          <w:rFonts w:hint="eastAsia" w:ascii="Times New Roman" w:hAnsi="Times New Roman" w:eastAsia="黑体" w:cs="Times New Roman"/>
          <w:b/>
          <w:bCs/>
          <w:sz w:val="24"/>
          <w:szCs w:val="36"/>
          <w:lang w:val="en-US" w:eastAsia="zh-CN"/>
        </w:rPr>
        <w:t>S7</w:t>
      </w:r>
      <w:r>
        <w:rPr>
          <w:rFonts w:ascii="Times New Roman" w:hAnsi="Times New Roman" w:eastAsia="黑体" w:cs="Times New Roman"/>
          <w:sz w:val="24"/>
          <w:szCs w:val="36"/>
          <w:lang w:val="en-US"/>
        </w:rPr>
        <w:t xml:space="preserve"> Complete results of group regression</w:t>
      </w:r>
    </w:p>
    <w:tbl>
      <w:tblPr>
        <w:tblStyle w:val="3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2"/>
        <w:gridCol w:w="2023"/>
        <w:gridCol w:w="2023"/>
        <w:gridCol w:w="2023"/>
        <w:gridCol w:w="2023"/>
        <w:gridCol w:w="2023"/>
        <w:gridCol w:w="20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71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VARIABLES</w:t>
            </w:r>
          </w:p>
        </w:tc>
        <w:tc>
          <w:tcPr>
            <w:tcW w:w="714" w:type="pct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Stage 3</w:t>
            </w:r>
          </w:p>
        </w:tc>
        <w:tc>
          <w:tcPr>
            <w:tcW w:w="714" w:type="pct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Stage 2</w:t>
            </w:r>
          </w:p>
        </w:tc>
        <w:tc>
          <w:tcPr>
            <w:tcW w:w="714" w:type="pct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Stage 1</w:t>
            </w:r>
          </w:p>
        </w:tc>
        <w:tc>
          <w:tcPr>
            <w:tcW w:w="714" w:type="pct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Stage 10</w:t>
            </w:r>
          </w:p>
        </w:tc>
        <w:tc>
          <w:tcPr>
            <w:tcW w:w="714" w:type="pct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Stage 6</w:t>
            </w:r>
          </w:p>
        </w:tc>
        <w:tc>
          <w:tcPr>
            <w:tcW w:w="714" w:type="pct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Stage 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PGDP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0.2658***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0.3806***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-0.0198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0.3591***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0.0855***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0.1721***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(0.0292)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(0.0156)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(0.0174)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(0.0246)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(0.0257)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(0.0426)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ICT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-0.0027***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0.0090***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0.0083***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-0.0039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-0.0196*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(0.0006)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(0.0012)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(0.0028)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(0.0076)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(0.0115)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DE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0.0927***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-0.0054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-0.0825***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-0.0842***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-0.1865***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-0.0649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(0.0073)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(0.0079)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(0.0119)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(0.0309)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(0.0492)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(0.0736)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PA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-0.0008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-0.1906***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-0.1774***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-0.0722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-0.0943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0.1115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(0.0243)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(0.0191)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(0.0285)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(0.0941)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(0.1044)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(0.2650)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FS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-0.0005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0.0057***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-0.0033***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0.0143***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0.0023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-0.0153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(0.0014)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(0.0013)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(0.0038)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(0.0033)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(0.0267)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NRR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0.0001***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-0.0001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0.0024***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(0.0000)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(0.0000)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(0.0001)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(0.0001)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(0.0004)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OPEN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-0.0003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-0.0032***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0.0021**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0.0098**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0.0058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0.0780***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(0.0010)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(0.0011)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(0.0048)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(0.0055)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(0.0150)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ET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-0.0033**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-0.0267***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-0.0515***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-0.0389***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-0.1096***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-0.4661***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(0.0016)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(0.0029)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(0.0063)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(0.0085)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(0.0245)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(0.0516)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CR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0.0026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-0.0123***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-0.0067**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0.0078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0.0112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-0.1198*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(0.0023)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(0.0017)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(0.0026)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(0.0150)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(0.0272)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(0.0622)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IIE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0.0004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-0.0042***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0.0067***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-0.0010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0.0299**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0.0142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(0.0007)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(0.0012)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(0.0038)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(0.0148)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(0.0818)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AI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-0.0619***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0.0020***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-0.0006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-0.0312*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-0.0006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-0.2397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(0.0157)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(0.0006)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(0.0028)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(0.0178)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(0.0045)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(0.1458)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GPR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-0.0044***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0.0034*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0.0029*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-0.0002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-0.0009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0.0114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(0.0011)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(0.0019)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(0.0017)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(0.0208)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(0.0015)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(0.0157)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IQ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-0.0142**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-0.0128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0.0674***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0.0567**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0.0884***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-0.0136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(0.0058)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(0.0091)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(0.0111)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(0.0272)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(0.0304)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(0.0283)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Constant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0.4650***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3.7956***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9.2755***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1.0735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12.2685***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19.4788**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(0.1558)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(0.2173)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(0.3203)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(1.0008)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(2.9197)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(7.4606)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tabs>
                <w:tab w:val="center" w:pos="4200"/>
                <w:tab w:val="right" w:pos="8400"/>
              </w:tabs>
              <w:spacing w:line="276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N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1,469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1,324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1,005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635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246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R-squared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0.544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0.583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0.341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0.461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0.582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0.881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1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  <w:t>Countries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56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47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37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23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9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abs>
                <w:tab w:val="center" w:pos="4200"/>
                <w:tab w:val="right" w:pos="8400"/>
              </w:tabs>
              <w:spacing w:line="276" w:lineRule="auto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  <w:t>Standard errors in parentheses. *** p&lt;0.01, ** p&lt;0.05, * p&lt;0.1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3" w:lineRule="atLeast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5737FA"/>
    <w:multiLevelType w:val="multilevel"/>
    <w:tmpl w:val="675737F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1ZTFiZjZhMDFjNmU2N2U2NGUzN2Y4NjVlNDg3N2UifQ=="/>
  </w:docVars>
  <w:rsids>
    <w:rsidRoot w:val="163D4DB5"/>
    <w:rsid w:val="0B161F7E"/>
    <w:rsid w:val="163D4DB5"/>
    <w:rsid w:val="22C74CC8"/>
    <w:rsid w:val="2DF47AA5"/>
    <w:rsid w:val="322A7C6F"/>
    <w:rsid w:val="539B5C83"/>
    <w:rsid w:val="65B42FA6"/>
    <w:rsid w:val="7228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autoRedefine/>
    <w:semiHidden/>
    <w:unhideWhenUsed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ascii="Arial" w:hAnsi="Arial" w:eastAsia="黑体" w:cs="Times New Roman"/>
      <w:kern w:val="2"/>
      <w:sz w:val="20"/>
      <w:szCs w:val="24"/>
      <w:lang w:val="en-US" w:eastAsia="zh-CN" w:bidi="ar"/>
    </w:rPr>
  </w:style>
  <w:style w:type="paragraph" w:customStyle="1" w:styleId="5">
    <w:name w:val="样式1"/>
    <w:basedOn w:val="1"/>
    <w:autoRedefine/>
    <w:qFormat/>
    <w:uiPriority w:val="0"/>
    <w:pPr>
      <w:spacing w:line="360" w:lineRule="auto"/>
      <w:ind w:leftChars="0"/>
      <w:jc w:val="left"/>
    </w:pPr>
    <w:rPr>
      <w:rFonts w:hint="default" w:asciiTheme="minorAscii" w:hAnsiTheme="minorAscii"/>
      <w:b/>
      <w:sz w:val="30"/>
    </w:rPr>
  </w:style>
  <w:style w:type="paragraph" w:customStyle="1" w:styleId="6">
    <w:name w:val="样式4"/>
    <w:basedOn w:val="1"/>
    <w:autoRedefine/>
    <w:qFormat/>
    <w:uiPriority w:val="0"/>
    <w:pPr>
      <w:spacing w:line="360" w:lineRule="auto"/>
      <w:ind w:leftChars="500"/>
    </w:pPr>
    <w:rPr>
      <w:rFonts w:hint="default" w:asciiTheme="minorAscii" w:hAnsiTheme="minorAscii"/>
    </w:rPr>
  </w:style>
  <w:style w:type="table" w:customStyle="1" w:styleId="7">
    <w:name w:val="无格式表格 21"/>
    <w:basedOn w:val="3"/>
    <w:autoRedefine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Borders>
        <w:top w:val="single" w:color="7F7F7F" w:sz="4" w:space="0"/>
        <w:bottom w:val="single" w:color="7F7F7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7F7F7F" w:sz="4" w:space="0"/>
        <w:left w:val="nil"/>
        <w:bottom w:val="single" w:color="7F7F7F" w:sz="4" w:space="0"/>
        <w:right w:val="nil"/>
      </w:tcBorders>
    </w:tc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paragraph" w:styleId="8">
    <w:name w:val="List Paragraph"/>
    <w:autoRedefine/>
    <w:qFormat/>
    <w:uiPriority w:val="34"/>
    <w:pPr>
      <w:widowControl/>
      <w:ind w:left="720"/>
      <w:contextualSpacing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2023-12-20T07:37:00Z</dcterms:created>
  <dc:creator>李远帆</dc:creator>
  <cp:lastModifiedBy>李远帆</cp:lastModifiedBy>
  <dcterms:modified xsi:type="dcterms:W3CDTF">2024-01-23T01:49:52Z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0421E6E1D60F467B9DD4ACBF02567696_11</vt:lpwstr>
  </property>
</Properties>
</file>