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69B" w:rsidRPr="00D4469B" w:rsidRDefault="00D4469B" w:rsidP="00D4469B">
      <w:pPr>
        <w:spacing w:after="160"/>
        <w:rPr>
          <w:b/>
          <w:sz w:val="24"/>
        </w:rPr>
      </w:pPr>
      <w:bookmarkStart w:id="0" w:name="_GoBack"/>
      <w:bookmarkEnd w:id="0"/>
      <w:r w:rsidRPr="00D4469B">
        <w:rPr>
          <w:b/>
          <w:sz w:val="24"/>
        </w:rPr>
        <w:t>The evolution of cultural diversity in Pama-Nyungan Australia</w:t>
      </w:r>
    </w:p>
    <w:p w:rsidR="00D4469B" w:rsidRPr="00D4469B" w:rsidRDefault="00D4469B" w:rsidP="00D4469B">
      <w:pPr>
        <w:spacing w:after="160"/>
        <w:rPr>
          <w:vertAlign w:val="superscript"/>
        </w:rPr>
      </w:pPr>
      <w:r w:rsidRPr="00D4469B">
        <w:t>Duncan Learmouth</w:t>
      </w:r>
      <w:r w:rsidRPr="00D4469B">
        <w:rPr>
          <w:vertAlign w:val="superscript"/>
        </w:rPr>
        <w:t>1, 2</w:t>
      </w:r>
      <w:r w:rsidRPr="00D4469B">
        <w:t>, Robert. H. Layton</w:t>
      </w:r>
      <w:r w:rsidRPr="00D4469B">
        <w:rPr>
          <w:vertAlign w:val="superscript"/>
        </w:rPr>
        <w:t>2</w:t>
      </w:r>
      <w:r w:rsidRPr="00D4469B">
        <w:t>, Jamshid. J. Tehrani</w:t>
      </w:r>
      <w:r w:rsidRPr="00D4469B">
        <w:rPr>
          <w:vertAlign w:val="superscript"/>
        </w:rPr>
        <w:t>2</w:t>
      </w:r>
    </w:p>
    <w:p w:rsidR="00D4469B" w:rsidRPr="00D4469B" w:rsidRDefault="00484D6F" w:rsidP="00D4469B">
      <w:pPr>
        <w:spacing w:after="160"/>
        <w:rPr>
          <w:rFonts w:ascii="Calibri" w:hAnsi="Calibri" w:cs="Calibri"/>
          <w:b/>
          <w:sz w:val="20"/>
          <w:szCs w:val="20"/>
        </w:rPr>
      </w:pPr>
      <w:hyperlink r:id="rId4" w:tgtFrame="_self" w:history="1">
        <w:r w:rsidR="00D4469B" w:rsidRPr="00D4469B">
          <w:rPr>
            <w:rFonts w:ascii="Calibri" w:hAnsi="Calibri" w:cs="Calibri"/>
            <w:color w:val="1F1F1F"/>
            <w:sz w:val="20"/>
            <w:szCs w:val="20"/>
            <w:shd w:val="clear" w:color="auto" w:fill="FFFFFF"/>
          </w:rPr>
          <w:t>duncan.learmouth@durham.ac.uk</w:t>
        </w:r>
      </w:hyperlink>
      <w:r w:rsidR="00D4469B" w:rsidRPr="00D4469B">
        <w:rPr>
          <w:rFonts w:ascii="Calibri" w:hAnsi="Calibri" w:cs="Calibri"/>
          <w:sz w:val="20"/>
          <w:szCs w:val="20"/>
        </w:rPr>
        <w:t xml:space="preserve">, </w:t>
      </w:r>
      <w:hyperlink r:id="rId5" w:tgtFrame="_self" w:history="1">
        <w:r w:rsidR="00D4469B" w:rsidRPr="00D4469B">
          <w:rPr>
            <w:rFonts w:ascii="Calibri" w:hAnsi="Calibri" w:cs="Calibri"/>
            <w:color w:val="1F1F1F"/>
            <w:sz w:val="20"/>
            <w:szCs w:val="20"/>
            <w:shd w:val="clear" w:color="auto" w:fill="FFFFFF"/>
          </w:rPr>
          <w:t>r.h.layton@durham.ac.uk</w:t>
        </w:r>
      </w:hyperlink>
      <w:r w:rsidR="00D4469B" w:rsidRPr="00D4469B">
        <w:rPr>
          <w:rFonts w:ascii="Calibri" w:hAnsi="Calibri" w:cs="Calibri"/>
          <w:sz w:val="20"/>
          <w:szCs w:val="20"/>
        </w:rPr>
        <w:t xml:space="preserve">, </w:t>
      </w:r>
      <w:hyperlink r:id="rId6" w:tgtFrame="_self" w:history="1">
        <w:r w:rsidR="00D4469B" w:rsidRPr="00D4469B">
          <w:rPr>
            <w:rFonts w:ascii="Calibri" w:hAnsi="Calibri" w:cs="Calibri"/>
            <w:color w:val="1F1F1F"/>
            <w:sz w:val="20"/>
            <w:szCs w:val="20"/>
            <w:shd w:val="clear" w:color="auto" w:fill="FFFFFF"/>
          </w:rPr>
          <w:t>Jamie.tehrani@durham.ac.uk</w:t>
        </w:r>
      </w:hyperlink>
    </w:p>
    <w:p w:rsidR="00D4469B" w:rsidRPr="00D4469B" w:rsidRDefault="00D4469B" w:rsidP="00D4469B">
      <w:pPr>
        <w:spacing w:after="160"/>
        <w:rPr>
          <w:b/>
        </w:rPr>
      </w:pPr>
      <w:r w:rsidRPr="00D4469B">
        <w:rPr>
          <w:sz w:val="20"/>
          <w:vertAlign w:val="superscript"/>
        </w:rPr>
        <w:t xml:space="preserve">1 </w:t>
      </w:r>
      <w:r w:rsidRPr="00D4469B">
        <w:rPr>
          <w:sz w:val="20"/>
        </w:rPr>
        <w:t xml:space="preserve">Corresponding author; </w:t>
      </w:r>
      <w:r w:rsidRPr="00D4469B">
        <w:rPr>
          <w:sz w:val="20"/>
          <w:vertAlign w:val="superscript"/>
        </w:rPr>
        <w:t>2</w:t>
      </w:r>
      <w:r w:rsidRPr="00D4469B">
        <w:rPr>
          <w:sz w:val="20"/>
        </w:rPr>
        <w:t>Durham Cultural Evolution Research Centre, Durham University, UK</w:t>
      </w:r>
    </w:p>
    <w:p w:rsidR="00D4469B" w:rsidRPr="00D4469B" w:rsidRDefault="00D4469B" w:rsidP="00D4469B">
      <w:pPr>
        <w:spacing w:line="360" w:lineRule="auto"/>
        <w:rPr>
          <w:rFonts w:eastAsiaTheme="minorEastAsia" w:cstheme="minorHAnsi"/>
          <w:b/>
        </w:rPr>
      </w:pPr>
    </w:p>
    <w:p w:rsidR="00D4469B" w:rsidRPr="00D4469B" w:rsidRDefault="00D4469B" w:rsidP="00D4469B">
      <w:pPr>
        <w:spacing w:line="360" w:lineRule="auto"/>
        <w:rPr>
          <w:rFonts w:eastAsiaTheme="minorEastAsia" w:cstheme="minorHAnsi"/>
          <w:b/>
        </w:rPr>
      </w:pPr>
      <w:r w:rsidRPr="00D4469B">
        <w:rPr>
          <w:rFonts w:eastAsiaTheme="minorEastAsia" w:cstheme="minorHAnsi"/>
          <w:b/>
        </w:rPr>
        <w:t>Supplementary Information</w:t>
      </w:r>
    </w:p>
    <w:p w:rsidR="00182B52" w:rsidRPr="003B7276" w:rsidRDefault="00182B52" w:rsidP="00182B52">
      <w:pPr>
        <w:spacing w:before="120" w:line="360" w:lineRule="auto"/>
        <w:rPr>
          <w:rFonts w:cstheme="minorHAnsi"/>
          <w:b/>
        </w:rPr>
      </w:pPr>
      <w:r w:rsidRPr="003B7276">
        <w:rPr>
          <w:rFonts w:cstheme="minorHAnsi"/>
          <w:b/>
        </w:rPr>
        <w:t>S</w:t>
      </w:r>
      <w:r w:rsidR="00416D8B">
        <w:rPr>
          <w:rFonts w:cstheme="minorHAnsi"/>
          <w:b/>
        </w:rPr>
        <w:t>4</w:t>
      </w:r>
      <w:r w:rsidRPr="003B7276">
        <w:rPr>
          <w:rFonts w:cstheme="minorHAnsi"/>
          <w:b/>
        </w:rPr>
        <w:t xml:space="preserve">: </w:t>
      </w:r>
      <w:r>
        <w:rPr>
          <w:rFonts w:cstheme="minorHAnsi"/>
          <w:b/>
        </w:rPr>
        <w:t xml:space="preserve">Mr Bayes </w:t>
      </w:r>
      <w:r w:rsidRPr="003B7276">
        <w:rPr>
          <w:rFonts w:cstheme="minorHAnsi"/>
          <w:b/>
        </w:rPr>
        <w:t>model</w:t>
      </w:r>
    </w:p>
    <w:p w:rsidR="009757BB" w:rsidRDefault="007D38FC" w:rsidP="007D38FC">
      <w:pPr>
        <w:spacing w:line="360" w:lineRule="auto"/>
        <w:rPr>
          <w:rFonts w:cstheme="minorHAnsi"/>
          <w:u w:val="single"/>
        </w:rPr>
      </w:pPr>
      <w:r w:rsidRPr="007D38FC">
        <w:rPr>
          <w:rFonts w:cstheme="minorHAnsi"/>
          <w:u w:val="single"/>
        </w:rPr>
        <w:t xml:space="preserve">Model </w:t>
      </w:r>
      <w:r>
        <w:rPr>
          <w:rFonts w:cstheme="minorHAnsi"/>
          <w:u w:val="single"/>
        </w:rPr>
        <w:t>options</w:t>
      </w:r>
    </w:p>
    <w:p w:rsidR="007D38FC" w:rsidRPr="007D38FC" w:rsidRDefault="007D38FC" w:rsidP="007D38FC">
      <w:pPr>
        <w:spacing w:line="360" w:lineRule="auto"/>
        <w:rPr>
          <w:rFonts w:cstheme="minorHAnsi"/>
        </w:rPr>
      </w:pPr>
      <w:r w:rsidRPr="007D38FC">
        <w:rPr>
          <w:rFonts w:cstheme="minorHAnsi"/>
        </w:rPr>
        <w:t xml:space="preserve">Analysis using </w:t>
      </w:r>
      <w:r w:rsidRPr="007D38FC">
        <w:rPr>
          <w:rFonts w:cstheme="minorHAnsi"/>
          <w:i/>
        </w:rPr>
        <w:t xml:space="preserve">Mr Bayes </w:t>
      </w:r>
      <w:r w:rsidRPr="007D38FC">
        <w:rPr>
          <w:rFonts w:cstheme="minorHAnsi"/>
        </w:rPr>
        <w:t xml:space="preserve">requires selection of an appropriate evolutionary model that best aligns with what is known about the underlying data. Two model variants were evaluated to determine which had the best statistical fit to each of the ritual datasets. Firstly, instead of applying a net substitution rate for trait gain, separate rates were modelled for trait acquisition (0 to 1) and loss (1 to 0). Transmission of cultural traits requires persistence between generations which may fail to occur because the trait has been lost, forgotten or modified (Boyd </w:t>
      </w:r>
      <w:r w:rsidR="00ED6C98" w:rsidRPr="00ED6C98">
        <w:rPr>
          <w:rFonts w:cstheme="minorHAnsi"/>
          <w:i/>
        </w:rPr>
        <w:t>et al.</w:t>
      </w:r>
      <w:r w:rsidR="00ED6C98">
        <w:rPr>
          <w:rFonts w:cstheme="minorHAnsi"/>
        </w:rPr>
        <w:t xml:space="preserve"> 2005</w:t>
      </w:r>
      <w:r w:rsidRPr="007D38FC">
        <w:rPr>
          <w:rFonts w:cstheme="minorHAnsi"/>
        </w:rPr>
        <w:t xml:space="preserve">). In language, for example, cognates can be lost relatively easily, but the innovative events that produce them are rare (Atkinson </w:t>
      </w:r>
      <w:r w:rsidRPr="007D38FC">
        <w:rPr>
          <w:rFonts w:cstheme="minorHAnsi"/>
          <w:i/>
        </w:rPr>
        <w:t xml:space="preserve">et al. </w:t>
      </w:r>
      <w:r w:rsidRPr="007D38FC">
        <w:rPr>
          <w:rFonts w:cstheme="minorHAnsi"/>
        </w:rPr>
        <w:t xml:space="preserve">2005). Consequently, we might expect ritual traits to have a materially faster rate of loss than gain. The second variant allowed substitution rates to vary by trait. Traits linked to environmental or functional needs may change at a slower rate than those more symbolically or socially orientated (Rogers &amp; </w:t>
      </w:r>
      <w:proofErr w:type="spellStart"/>
      <w:r w:rsidRPr="007D38FC">
        <w:rPr>
          <w:rFonts w:cstheme="minorHAnsi"/>
        </w:rPr>
        <w:t>Ehlrich</w:t>
      </w:r>
      <w:proofErr w:type="spellEnd"/>
      <w:r w:rsidRPr="007D38FC">
        <w:rPr>
          <w:rFonts w:cstheme="minorHAnsi"/>
        </w:rPr>
        <w:t xml:space="preserve"> 2008, Currie &amp; Mace 2014). Rates may also be affected if routes of social transmission vary between traits (Aoki </w:t>
      </w:r>
      <w:r w:rsidRPr="007D38FC">
        <w:rPr>
          <w:rFonts w:cstheme="minorHAnsi"/>
          <w:i/>
        </w:rPr>
        <w:t xml:space="preserve">et al. </w:t>
      </w:r>
      <w:r w:rsidRPr="007D38FC">
        <w:rPr>
          <w:rFonts w:cstheme="minorHAnsi"/>
        </w:rPr>
        <w:t xml:space="preserve">2011). </w:t>
      </w:r>
      <w:r w:rsidRPr="007D38FC">
        <w:rPr>
          <w:rFonts w:cstheme="minorHAnsi"/>
          <w:i/>
        </w:rPr>
        <w:t xml:space="preserve">Mr Bayes </w:t>
      </w:r>
      <w:r w:rsidRPr="007D38FC">
        <w:rPr>
          <w:rFonts w:cstheme="minorHAnsi"/>
        </w:rPr>
        <w:t xml:space="preserve">also allows various clock models to be specified for the phylogeny that model rates of trait change over time. Since we have no prior information to indicate how this might vary for ritual, all models were set as unconstrained. In this case, resulting tree branch lengths are proportional to the number of expected changes per trait rather than being proportional to time. </w:t>
      </w:r>
    </w:p>
    <w:p w:rsidR="007D38FC" w:rsidRPr="007D38FC" w:rsidRDefault="007D38FC" w:rsidP="007D38FC">
      <w:pPr>
        <w:spacing w:line="360" w:lineRule="auto"/>
        <w:rPr>
          <w:rFonts w:cstheme="minorHAnsi"/>
        </w:rPr>
      </w:pPr>
      <w:r w:rsidRPr="007D38FC">
        <w:rPr>
          <w:rFonts w:cstheme="minorHAnsi"/>
        </w:rPr>
        <w:t xml:space="preserve">The two model variants encompass four parameter combinations: </w:t>
      </w:r>
    </w:p>
    <w:p w:rsidR="007D38FC" w:rsidRPr="007D38FC" w:rsidRDefault="007D38FC" w:rsidP="007D38FC">
      <w:pPr>
        <w:spacing w:line="360" w:lineRule="auto"/>
        <w:rPr>
          <w:rFonts w:cstheme="minorHAnsi"/>
        </w:rPr>
      </w:pPr>
      <w:r w:rsidRPr="007D38FC">
        <w:rPr>
          <w:rFonts w:cstheme="minorHAnsi"/>
        </w:rPr>
        <w:t xml:space="preserve">1) Substitution rate as net or separate. Set by coding </w:t>
      </w:r>
      <w:r w:rsidRPr="007D38FC">
        <w:rPr>
          <w:rFonts w:cstheme="minorHAnsi"/>
          <w:i/>
        </w:rPr>
        <w:t>datatype</w:t>
      </w:r>
      <w:r w:rsidRPr="007D38FC">
        <w:rPr>
          <w:rFonts w:cstheme="minorHAnsi"/>
        </w:rPr>
        <w:t xml:space="preserve"> in the nexus file as either </w:t>
      </w:r>
      <w:r w:rsidRPr="007D38FC">
        <w:rPr>
          <w:rFonts w:cstheme="minorHAnsi"/>
          <w:i/>
        </w:rPr>
        <w:t>standard</w:t>
      </w:r>
      <w:r w:rsidRPr="007D38FC">
        <w:rPr>
          <w:rFonts w:cstheme="minorHAnsi"/>
        </w:rPr>
        <w:t xml:space="preserve"> (net rate) or </w:t>
      </w:r>
      <w:r w:rsidRPr="007D38FC">
        <w:rPr>
          <w:rFonts w:cstheme="minorHAnsi"/>
          <w:i/>
        </w:rPr>
        <w:t xml:space="preserve">restrictive </w:t>
      </w:r>
      <w:r w:rsidRPr="007D38FC">
        <w:rPr>
          <w:rFonts w:cstheme="minorHAnsi"/>
        </w:rPr>
        <w:t xml:space="preserve">(separate rates). Restrictive models were first developed for DNA sites acted on by restriction enzymes. </w:t>
      </w:r>
    </w:p>
    <w:p w:rsidR="007D38FC" w:rsidRPr="007D38FC" w:rsidRDefault="007D38FC" w:rsidP="007D38FC">
      <w:pPr>
        <w:spacing w:line="360" w:lineRule="auto"/>
        <w:rPr>
          <w:rFonts w:cstheme="minorHAnsi"/>
        </w:rPr>
      </w:pPr>
      <w:r w:rsidRPr="007D38FC">
        <w:rPr>
          <w:rFonts w:cstheme="minorHAnsi"/>
        </w:rPr>
        <w:t>2) Substitution rates as fixed or variable by trait. Variable rates are drawn from a gamma (skewed) distribution considered to be a well-approximated model of evolutionary rate variation (Yang 1993).</w:t>
      </w:r>
    </w:p>
    <w:p w:rsidR="00082224" w:rsidRDefault="007D38FC" w:rsidP="007D38FC">
      <w:pPr>
        <w:spacing w:line="360" w:lineRule="auto"/>
        <w:rPr>
          <w:rFonts w:cstheme="minorHAnsi"/>
        </w:rPr>
      </w:pPr>
      <w:r w:rsidRPr="007D38FC">
        <w:rPr>
          <w:rFonts w:cstheme="minorHAnsi"/>
        </w:rPr>
        <w:lastRenderedPageBreak/>
        <w:t xml:space="preserve">For model selection, two MCMC chains were run for one million iterations with the first 25% discarded as ‘burn in’, and tree and parameter samples taken every 500th iteration, to produce a posterior distribution. For each model, the log likelihoods reported are the averaged harmonic means of the sampled marginal log likelihoods from each of the two runs. Likelihood differences between the chains were measured using the </w:t>
      </w:r>
      <w:r w:rsidRPr="007D38FC">
        <w:rPr>
          <w:rFonts w:cstheme="minorHAnsi"/>
          <w:i/>
        </w:rPr>
        <w:t>Mr Bayes</w:t>
      </w:r>
      <w:r w:rsidRPr="007D38FC">
        <w:rPr>
          <w:rFonts w:cstheme="minorHAnsi"/>
        </w:rPr>
        <w:t xml:space="preserve"> statistic </w:t>
      </w:r>
      <w:r w:rsidRPr="007D38FC">
        <w:rPr>
          <w:rFonts w:cstheme="minorHAnsi"/>
          <w:i/>
        </w:rPr>
        <w:t>average standard deviation of split frequencies</w:t>
      </w:r>
      <w:r w:rsidRPr="007D38FC">
        <w:rPr>
          <w:rFonts w:cstheme="minorHAnsi"/>
        </w:rPr>
        <w:t xml:space="preserve"> and, for all step-one and step-two model variants, this was close to or below the 0.01 value conventionally accepted as a convergence threshold. To account for run to run variation, each analysis was repeated 5 times per model variant, and the mean likelihood reported. The threshold used for model selection is that the more complex model (in terms of additional parameters used) should represent at least a 2.0 log likelihood improvement over the simpler (lower parameter) model (Raftery 1996).</w:t>
      </w:r>
      <w:r w:rsidR="00610D97">
        <w:rPr>
          <w:rFonts w:cstheme="minorHAnsi"/>
        </w:rPr>
        <w:t xml:space="preserve"> </w:t>
      </w:r>
    </w:p>
    <w:p w:rsidR="007D38FC" w:rsidRPr="007D38FC" w:rsidRDefault="007D38FC" w:rsidP="007D38FC">
      <w:pPr>
        <w:spacing w:line="360" w:lineRule="auto"/>
        <w:rPr>
          <w:rFonts w:cstheme="minorHAnsi"/>
          <w:szCs w:val="24"/>
          <w:u w:val="single"/>
        </w:rPr>
      </w:pPr>
      <w:r w:rsidRPr="007D38FC">
        <w:rPr>
          <w:rFonts w:cstheme="minorHAnsi"/>
          <w:szCs w:val="24"/>
          <w:u w:val="single"/>
        </w:rPr>
        <w:t>Model selection</w:t>
      </w:r>
    </w:p>
    <w:p w:rsidR="007D38FC" w:rsidRDefault="007D38FC" w:rsidP="007D38FC">
      <w:pPr>
        <w:spacing w:line="360" w:lineRule="auto"/>
        <w:rPr>
          <w:rFonts w:cstheme="minorHAnsi"/>
        </w:rPr>
      </w:pPr>
      <w:r w:rsidRPr="007D38FC">
        <w:rPr>
          <w:rFonts w:cstheme="minorHAnsi"/>
        </w:rPr>
        <w:t xml:space="preserve">Results for each of the three ritual forms are detailed in table </w:t>
      </w:r>
      <w:r w:rsidR="00F274DE">
        <w:rPr>
          <w:rFonts w:cstheme="minorHAnsi"/>
        </w:rPr>
        <w:t>A</w:t>
      </w:r>
      <w:r w:rsidRPr="007D38FC">
        <w:rPr>
          <w:rFonts w:cstheme="minorHAnsi"/>
        </w:rPr>
        <w:t xml:space="preserve"> below. Allowing separate gain/loss substitution rates for rock motifs resulted in an 8.0 log likelihood improvement over the net rate model (significantly greater than the 2.0 log threshold), but there were no improvements for initiation or mortuary ritual (both were 2.0 log units worse than the net model). Sampled substitution rate values for rock motifs were higher for motif loss (1 to 0 = 0.83 mean) than gain (0 to 1 = 0.17 mean) suggesting novel motif images are easier to lose than acquire which was in line with expectations. The more symbolic nature of rock motifs may result in lower persistence, and therefore more materially higher loss rates, than seen with initiation and mortuary traits. For all three ritual forms there was no significant difference between models with fixed or variable substitution rates across all traits. In this case, the requirement to estimate a large number of additional parameters (for between 24 and 27 traits) was not compensated for by any significant improvement in the model’s fit to the data. The finding suggests that there is no material difference between different traits in their rates of gain/loss (either net or separated). Model A was therefore considered optimal for initiation and mortuary ritual (net substitution rate, fixed across all traits) and model C the optimal for rock motifs (separate substitution rates, fixed across all traits). </w:t>
      </w:r>
    </w:p>
    <w:p w:rsidR="0077699B" w:rsidRDefault="0077699B" w:rsidP="007D38FC">
      <w:pPr>
        <w:spacing w:line="360" w:lineRule="auto"/>
        <w:rPr>
          <w:rFonts w:cstheme="minorHAnsi"/>
        </w:rPr>
      </w:pPr>
    </w:p>
    <w:p w:rsidR="0077699B" w:rsidRDefault="0077699B" w:rsidP="007D38FC">
      <w:pPr>
        <w:spacing w:line="360" w:lineRule="auto"/>
        <w:rPr>
          <w:rFonts w:cstheme="minorHAnsi"/>
        </w:rPr>
      </w:pPr>
    </w:p>
    <w:p w:rsidR="0077699B" w:rsidRPr="007D38FC" w:rsidRDefault="0077699B" w:rsidP="007D38FC">
      <w:pPr>
        <w:spacing w:line="360" w:lineRule="auto"/>
        <w:rPr>
          <w:rFonts w:cstheme="minorHAnsi"/>
        </w:rPr>
      </w:pPr>
    </w:p>
    <w:tbl>
      <w:tblPr>
        <w:tblStyle w:val="PlainTable1"/>
        <w:tblpPr w:leftFromText="180" w:rightFromText="180" w:vertAnchor="text" w:horzAnchor="margin" w:tblpY="360"/>
        <w:tblW w:w="7711" w:type="dxa"/>
        <w:tblLook w:val="04A0" w:firstRow="1" w:lastRow="0" w:firstColumn="1" w:lastColumn="0" w:noHBand="0" w:noVBand="1"/>
      </w:tblPr>
      <w:tblGrid>
        <w:gridCol w:w="2972"/>
        <w:gridCol w:w="939"/>
        <w:gridCol w:w="1120"/>
        <w:gridCol w:w="1120"/>
        <w:gridCol w:w="1560"/>
      </w:tblGrid>
      <w:tr w:rsidR="007D38FC" w:rsidRPr="007D38FC" w:rsidTr="00D15DE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rsidR="007D38FC" w:rsidRPr="007D38FC" w:rsidRDefault="007D38FC" w:rsidP="007D38FC">
            <w:pPr>
              <w:spacing w:after="0" w:line="360" w:lineRule="auto"/>
              <w:rPr>
                <w:rFonts w:cstheme="minorHAnsi"/>
              </w:rPr>
            </w:pPr>
            <w:r w:rsidRPr="007D38FC">
              <w:rPr>
                <w:rFonts w:cstheme="minorHAnsi"/>
              </w:rPr>
              <w:lastRenderedPageBreak/>
              <w:t>Model:</w:t>
            </w:r>
          </w:p>
        </w:tc>
        <w:tc>
          <w:tcPr>
            <w:tcW w:w="939" w:type="dxa"/>
            <w:noWrap/>
            <w:hideMark/>
          </w:tcPr>
          <w:p w:rsidR="007D38FC" w:rsidRPr="007D38FC" w:rsidRDefault="007D38FC" w:rsidP="007D38FC">
            <w:pPr>
              <w:spacing w:after="0" w:line="360" w:lineRule="auto"/>
              <w:cnfStyle w:val="100000000000" w:firstRow="1" w:lastRow="0" w:firstColumn="0" w:lastColumn="0" w:oddVBand="0" w:evenVBand="0" w:oddHBand="0" w:evenHBand="0" w:firstRowFirstColumn="0" w:firstRowLastColumn="0" w:lastRowFirstColumn="0" w:lastRowLastColumn="0"/>
              <w:rPr>
                <w:rFonts w:cstheme="minorHAnsi"/>
              </w:rPr>
            </w:pPr>
            <w:r w:rsidRPr="007D38FC">
              <w:rPr>
                <w:rFonts w:cstheme="minorHAnsi"/>
              </w:rPr>
              <w:t>A</w:t>
            </w:r>
          </w:p>
        </w:tc>
        <w:tc>
          <w:tcPr>
            <w:tcW w:w="1120" w:type="dxa"/>
            <w:noWrap/>
            <w:hideMark/>
          </w:tcPr>
          <w:p w:rsidR="007D38FC" w:rsidRPr="007D38FC" w:rsidRDefault="007D38FC" w:rsidP="007D38FC">
            <w:pPr>
              <w:spacing w:after="0" w:line="360" w:lineRule="auto"/>
              <w:cnfStyle w:val="100000000000" w:firstRow="1" w:lastRow="0" w:firstColumn="0" w:lastColumn="0" w:oddVBand="0" w:evenVBand="0" w:oddHBand="0" w:evenHBand="0" w:firstRowFirstColumn="0" w:firstRowLastColumn="0" w:lastRowFirstColumn="0" w:lastRowLastColumn="0"/>
              <w:rPr>
                <w:rFonts w:cstheme="minorHAnsi"/>
              </w:rPr>
            </w:pPr>
            <w:r w:rsidRPr="007D38FC">
              <w:rPr>
                <w:rFonts w:cstheme="minorHAnsi"/>
              </w:rPr>
              <w:t>B</w:t>
            </w:r>
          </w:p>
        </w:tc>
        <w:tc>
          <w:tcPr>
            <w:tcW w:w="1120" w:type="dxa"/>
            <w:noWrap/>
            <w:hideMark/>
          </w:tcPr>
          <w:p w:rsidR="007D38FC" w:rsidRPr="007D38FC" w:rsidRDefault="007D38FC" w:rsidP="007D38FC">
            <w:pPr>
              <w:spacing w:after="0" w:line="360" w:lineRule="auto"/>
              <w:cnfStyle w:val="100000000000" w:firstRow="1" w:lastRow="0" w:firstColumn="0" w:lastColumn="0" w:oddVBand="0" w:evenVBand="0" w:oddHBand="0" w:evenHBand="0" w:firstRowFirstColumn="0" w:firstRowLastColumn="0" w:lastRowFirstColumn="0" w:lastRowLastColumn="0"/>
              <w:rPr>
                <w:rFonts w:cstheme="minorHAnsi"/>
              </w:rPr>
            </w:pPr>
            <w:r w:rsidRPr="007D38FC">
              <w:rPr>
                <w:rFonts w:cstheme="minorHAnsi"/>
              </w:rPr>
              <w:t>C</w:t>
            </w:r>
          </w:p>
        </w:tc>
        <w:tc>
          <w:tcPr>
            <w:tcW w:w="1560" w:type="dxa"/>
            <w:noWrap/>
            <w:hideMark/>
          </w:tcPr>
          <w:p w:rsidR="007D38FC" w:rsidRPr="007D38FC" w:rsidRDefault="007D38FC" w:rsidP="007D38FC">
            <w:pPr>
              <w:spacing w:after="0" w:line="360" w:lineRule="auto"/>
              <w:cnfStyle w:val="100000000000" w:firstRow="1" w:lastRow="0" w:firstColumn="0" w:lastColumn="0" w:oddVBand="0" w:evenVBand="0" w:oddHBand="0" w:evenHBand="0" w:firstRowFirstColumn="0" w:firstRowLastColumn="0" w:lastRowFirstColumn="0" w:lastRowLastColumn="0"/>
              <w:rPr>
                <w:rFonts w:cstheme="minorHAnsi"/>
              </w:rPr>
            </w:pPr>
            <w:r w:rsidRPr="007D38FC">
              <w:rPr>
                <w:rFonts w:cstheme="minorHAnsi"/>
              </w:rPr>
              <w:t>D</w:t>
            </w:r>
          </w:p>
        </w:tc>
      </w:tr>
      <w:tr w:rsidR="007D38FC" w:rsidRPr="007D38FC" w:rsidTr="00D15D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tcPr>
          <w:p w:rsidR="007D38FC" w:rsidRPr="007D38FC" w:rsidRDefault="007D38FC" w:rsidP="007D38FC">
            <w:pPr>
              <w:spacing w:after="0" w:line="360" w:lineRule="auto"/>
              <w:rPr>
                <w:rFonts w:cstheme="minorHAnsi"/>
              </w:rPr>
            </w:pPr>
            <w:r w:rsidRPr="007D38FC">
              <w:rPr>
                <w:rFonts w:cstheme="minorHAnsi"/>
              </w:rPr>
              <w:t>Substitution rate gain/loss:</w:t>
            </w:r>
          </w:p>
        </w:tc>
        <w:tc>
          <w:tcPr>
            <w:tcW w:w="939" w:type="dxa"/>
            <w:noWrap/>
          </w:tcPr>
          <w:p w:rsidR="007D38FC" w:rsidRPr="007D38FC" w:rsidRDefault="007D38FC" w:rsidP="007D38FC">
            <w:pPr>
              <w:spacing w:after="0"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7D38FC">
              <w:rPr>
                <w:rFonts w:cstheme="minorHAnsi"/>
              </w:rPr>
              <w:t>Net</w:t>
            </w:r>
          </w:p>
        </w:tc>
        <w:tc>
          <w:tcPr>
            <w:tcW w:w="1120" w:type="dxa"/>
            <w:noWrap/>
          </w:tcPr>
          <w:p w:rsidR="007D38FC" w:rsidRPr="007D38FC" w:rsidRDefault="007D38FC" w:rsidP="007D38FC">
            <w:pPr>
              <w:spacing w:after="0"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7D38FC">
              <w:rPr>
                <w:rFonts w:cstheme="minorHAnsi"/>
              </w:rPr>
              <w:t>Net</w:t>
            </w:r>
          </w:p>
        </w:tc>
        <w:tc>
          <w:tcPr>
            <w:tcW w:w="1120" w:type="dxa"/>
            <w:noWrap/>
          </w:tcPr>
          <w:p w:rsidR="007D38FC" w:rsidRPr="007D38FC" w:rsidRDefault="007D38FC" w:rsidP="007D38FC">
            <w:pPr>
              <w:spacing w:after="0"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7D38FC">
              <w:rPr>
                <w:rFonts w:cstheme="minorHAnsi"/>
              </w:rPr>
              <w:t>Separate</w:t>
            </w:r>
          </w:p>
        </w:tc>
        <w:tc>
          <w:tcPr>
            <w:tcW w:w="1560" w:type="dxa"/>
            <w:noWrap/>
          </w:tcPr>
          <w:p w:rsidR="007D38FC" w:rsidRPr="007D38FC" w:rsidRDefault="007D38FC" w:rsidP="007D38FC">
            <w:pPr>
              <w:spacing w:after="0"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7D38FC">
              <w:rPr>
                <w:rFonts w:cstheme="minorHAnsi"/>
              </w:rPr>
              <w:t>Separate</w:t>
            </w:r>
          </w:p>
        </w:tc>
      </w:tr>
      <w:tr w:rsidR="007D38FC" w:rsidRPr="007D38FC" w:rsidTr="00D15DE1">
        <w:trPr>
          <w:trHeight w:val="304"/>
        </w:trPr>
        <w:tc>
          <w:tcPr>
            <w:cnfStyle w:val="001000000000" w:firstRow="0" w:lastRow="0" w:firstColumn="1" w:lastColumn="0" w:oddVBand="0" w:evenVBand="0" w:oddHBand="0" w:evenHBand="0" w:firstRowFirstColumn="0" w:firstRowLastColumn="0" w:lastRowFirstColumn="0" w:lastRowLastColumn="0"/>
            <w:tcW w:w="2972" w:type="dxa"/>
            <w:noWrap/>
          </w:tcPr>
          <w:p w:rsidR="007D38FC" w:rsidRPr="007D38FC" w:rsidRDefault="007D38FC" w:rsidP="007D38FC">
            <w:pPr>
              <w:spacing w:after="0" w:line="360" w:lineRule="auto"/>
              <w:rPr>
                <w:rFonts w:cstheme="minorHAnsi"/>
              </w:rPr>
            </w:pPr>
            <w:r w:rsidRPr="007D38FC">
              <w:rPr>
                <w:rFonts w:cstheme="minorHAnsi"/>
              </w:rPr>
              <w:t>Substitution rate by trait:</w:t>
            </w:r>
          </w:p>
        </w:tc>
        <w:tc>
          <w:tcPr>
            <w:tcW w:w="939" w:type="dxa"/>
            <w:noWrap/>
          </w:tcPr>
          <w:p w:rsidR="007D38FC" w:rsidRPr="007D38FC" w:rsidRDefault="007D38FC" w:rsidP="007D38FC">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7D38FC">
              <w:rPr>
                <w:rFonts w:cstheme="minorHAnsi"/>
              </w:rPr>
              <w:t>Fixed</w:t>
            </w:r>
          </w:p>
        </w:tc>
        <w:tc>
          <w:tcPr>
            <w:tcW w:w="1120" w:type="dxa"/>
            <w:noWrap/>
          </w:tcPr>
          <w:p w:rsidR="007D38FC" w:rsidRPr="007D38FC" w:rsidRDefault="007D38FC" w:rsidP="007D38FC">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7D38FC">
              <w:rPr>
                <w:rFonts w:cstheme="minorHAnsi"/>
              </w:rPr>
              <w:t>Variable</w:t>
            </w:r>
          </w:p>
        </w:tc>
        <w:tc>
          <w:tcPr>
            <w:tcW w:w="1120" w:type="dxa"/>
            <w:noWrap/>
          </w:tcPr>
          <w:p w:rsidR="007D38FC" w:rsidRPr="007D38FC" w:rsidRDefault="007D38FC" w:rsidP="007D38FC">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7D38FC">
              <w:rPr>
                <w:rFonts w:cstheme="minorHAnsi"/>
              </w:rPr>
              <w:t>Fixed</w:t>
            </w:r>
          </w:p>
        </w:tc>
        <w:tc>
          <w:tcPr>
            <w:tcW w:w="1560" w:type="dxa"/>
            <w:noWrap/>
          </w:tcPr>
          <w:p w:rsidR="007D38FC" w:rsidRPr="007D38FC" w:rsidRDefault="007D38FC" w:rsidP="007D38FC">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7D38FC">
              <w:rPr>
                <w:rFonts w:cstheme="minorHAnsi"/>
              </w:rPr>
              <w:t>Variable</w:t>
            </w:r>
          </w:p>
        </w:tc>
      </w:tr>
      <w:tr w:rsidR="007D38FC" w:rsidRPr="007D38FC" w:rsidTr="00D15DE1">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2972" w:type="dxa"/>
            <w:noWrap/>
          </w:tcPr>
          <w:p w:rsidR="007D38FC" w:rsidRPr="007D38FC" w:rsidRDefault="007D38FC" w:rsidP="007D38FC">
            <w:pPr>
              <w:spacing w:after="0" w:line="360" w:lineRule="auto"/>
              <w:rPr>
                <w:rFonts w:cstheme="minorHAnsi"/>
              </w:rPr>
            </w:pPr>
          </w:p>
        </w:tc>
        <w:tc>
          <w:tcPr>
            <w:tcW w:w="939" w:type="dxa"/>
            <w:noWrap/>
          </w:tcPr>
          <w:p w:rsidR="007D38FC" w:rsidRPr="007D38FC" w:rsidRDefault="007D38FC" w:rsidP="007D38FC">
            <w:pPr>
              <w:spacing w:after="0" w:line="36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120" w:type="dxa"/>
            <w:noWrap/>
          </w:tcPr>
          <w:p w:rsidR="007D38FC" w:rsidRPr="007D38FC" w:rsidRDefault="007D38FC" w:rsidP="007D38FC">
            <w:pPr>
              <w:spacing w:after="0" w:line="36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120" w:type="dxa"/>
            <w:noWrap/>
          </w:tcPr>
          <w:p w:rsidR="007D38FC" w:rsidRPr="007D38FC" w:rsidRDefault="007D38FC" w:rsidP="007D38FC">
            <w:pPr>
              <w:spacing w:after="0" w:line="36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1560" w:type="dxa"/>
            <w:noWrap/>
          </w:tcPr>
          <w:p w:rsidR="007D38FC" w:rsidRPr="007D38FC" w:rsidRDefault="007D38FC" w:rsidP="007D38FC">
            <w:pPr>
              <w:spacing w:after="0" w:line="36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7D38FC" w:rsidRPr="007D38FC" w:rsidTr="00D15DE1">
        <w:trPr>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rsidR="007D38FC" w:rsidRPr="007D38FC" w:rsidRDefault="007D38FC" w:rsidP="007D38FC">
            <w:pPr>
              <w:spacing w:after="0" w:line="360" w:lineRule="auto"/>
              <w:rPr>
                <w:rFonts w:cstheme="minorHAnsi"/>
              </w:rPr>
            </w:pPr>
            <w:r w:rsidRPr="007D38FC">
              <w:rPr>
                <w:rFonts w:cstheme="minorHAnsi"/>
              </w:rPr>
              <w:t>Initiation ritual</w:t>
            </w:r>
          </w:p>
        </w:tc>
        <w:tc>
          <w:tcPr>
            <w:tcW w:w="939" w:type="dxa"/>
            <w:noWrap/>
            <w:hideMark/>
          </w:tcPr>
          <w:p w:rsidR="007D38FC" w:rsidRPr="007D38FC" w:rsidRDefault="007D38FC" w:rsidP="007D38FC">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7D38FC">
              <w:rPr>
                <w:rFonts w:cstheme="minorHAnsi"/>
              </w:rPr>
              <w:t>157.97*</w:t>
            </w:r>
          </w:p>
        </w:tc>
        <w:tc>
          <w:tcPr>
            <w:tcW w:w="1120" w:type="dxa"/>
            <w:noWrap/>
            <w:hideMark/>
          </w:tcPr>
          <w:p w:rsidR="007D38FC" w:rsidRPr="007D38FC" w:rsidRDefault="007D38FC" w:rsidP="007D38FC">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7D38FC">
              <w:rPr>
                <w:rFonts w:cstheme="minorHAnsi"/>
              </w:rPr>
              <w:t>158.22</w:t>
            </w:r>
          </w:p>
        </w:tc>
        <w:tc>
          <w:tcPr>
            <w:tcW w:w="1120" w:type="dxa"/>
            <w:noWrap/>
            <w:hideMark/>
          </w:tcPr>
          <w:p w:rsidR="007D38FC" w:rsidRPr="007D38FC" w:rsidRDefault="007D38FC" w:rsidP="007D38FC">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7D38FC">
              <w:rPr>
                <w:rFonts w:cstheme="minorHAnsi"/>
              </w:rPr>
              <w:t>160.01</w:t>
            </w:r>
          </w:p>
        </w:tc>
        <w:tc>
          <w:tcPr>
            <w:tcW w:w="1560" w:type="dxa"/>
            <w:noWrap/>
            <w:hideMark/>
          </w:tcPr>
          <w:p w:rsidR="007D38FC" w:rsidRPr="007D38FC" w:rsidRDefault="007D38FC" w:rsidP="007D38FC">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7D38FC">
              <w:rPr>
                <w:rFonts w:cstheme="minorHAnsi"/>
              </w:rPr>
              <w:t>160.23</w:t>
            </w:r>
          </w:p>
        </w:tc>
      </w:tr>
      <w:tr w:rsidR="007D38FC" w:rsidRPr="007D38FC" w:rsidTr="00D15D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rsidR="007D38FC" w:rsidRPr="007D38FC" w:rsidRDefault="007D38FC" w:rsidP="007D38FC">
            <w:pPr>
              <w:spacing w:after="0" w:line="360" w:lineRule="auto"/>
              <w:rPr>
                <w:rFonts w:cstheme="minorHAnsi"/>
              </w:rPr>
            </w:pPr>
            <w:r w:rsidRPr="007D38FC">
              <w:rPr>
                <w:rFonts w:cstheme="minorHAnsi"/>
              </w:rPr>
              <w:t>Mortuary ritual</w:t>
            </w:r>
          </w:p>
        </w:tc>
        <w:tc>
          <w:tcPr>
            <w:tcW w:w="939" w:type="dxa"/>
            <w:noWrap/>
            <w:hideMark/>
          </w:tcPr>
          <w:p w:rsidR="007D38FC" w:rsidRPr="007D38FC" w:rsidRDefault="007D38FC" w:rsidP="007D38FC">
            <w:pPr>
              <w:spacing w:after="0"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7D38FC">
              <w:rPr>
                <w:rFonts w:cstheme="minorHAnsi"/>
              </w:rPr>
              <w:t>188.78*</w:t>
            </w:r>
          </w:p>
        </w:tc>
        <w:tc>
          <w:tcPr>
            <w:tcW w:w="1120" w:type="dxa"/>
            <w:noWrap/>
            <w:hideMark/>
          </w:tcPr>
          <w:p w:rsidR="007D38FC" w:rsidRPr="007D38FC" w:rsidRDefault="007D38FC" w:rsidP="007D38FC">
            <w:pPr>
              <w:spacing w:after="0"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7D38FC">
              <w:rPr>
                <w:rFonts w:cstheme="minorHAnsi"/>
              </w:rPr>
              <w:t>187.13</w:t>
            </w:r>
          </w:p>
        </w:tc>
        <w:tc>
          <w:tcPr>
            <w:tcW w:w="1120" w:type="dxa"/>
            <w:noWrap/>
            <w:hideMark/>
          </w:tcPr>
          <w:p w:rsidR="007D38FC" w:rsidRPr="007D38FC" w:rsidRDefault="007D38FC" w:rsidP="007D38FC">
            <w:pPr>
              <w:spacing w:after="0"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7D38FC">
              <w:rPr>
                <w:rFonts w:cstheme="minorHAnsi"/>
              </w:rPr>
              <w:t>190.86</w:t>
            </w:r>
          </w:p>
        </w:tc>
        <w:tc>
          <w:tcPr>
            <w:tcW w:w="1560" w:type="dxa"/>
            <w:noWrap/>
            <w:hideMark/>
          </w:tcPr>
          <w:p w:rsidR="007D38FC" w:rsidRPr="007D38FC" w:rsidRDefault="007D38FC" w:rsidP="007D38FC">
            <w:pPr>
              <w:spacing w:after="0" w:line="360" w:lineRule="auto"/>
              <w:cnfStyle w:val="000000100000" w:firstRow="0" w:lastRow="0" w:firstColumn="0" w:lastColumn="0" w:oddVBand="0" w:evenVBand="0" w:oddHBand="1" w:evenHBand="0" w:firstRowFirstColumn="0" w:firstRowLastColumn="0" w:lastRowFirstColumn="0" w:lastRowLastColumn="0"/>
              <w:rPr>
                <w:rFonts w:cstheme="minorHAnsi"/>
              </w:rPr>
            </w:pPr>
            <w:r w:rsidRPr="007D38FC">
              <w:rPr>
                <w:rFonts w:cstheme="minorHAnsi"/>
              </w:rPr>
              <w:t>189.80</w:t>
            </w:r>
          </w:p>
        </w:tc>
      </w:tr>
      <w:tr w:rsidR="007D38FC" w:rsidRPr="007D38FC" w:rsidTr="00D15DE1">
        <w:trPr>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rsidR="007D38FC" w:rsidRPr="007D38FC" w:rsidRDefault="007D38FC" w:rsidP="007D38FC">
            <w:pPr>
              <w:spacing w:after="0" w:line="360" w:lineRule="auto"/>
              <w:rPr>
                <w:rFonts w:cstheme="minorHAnsi"/>
              </w:rPr>
            </w:pPr>
            <w:r w:rsidRPr="007D38FC">
              <w:rPr>
                <w:rFonts w:cstheme="minorHAnsi"/>
              </w:rPr>
              <w:t>Rock motifs</w:t>
            </w:r>
          </w:p>
        </w:tc>
        <w:tc>
          <w:tcPr>
            <w:tcW w:w="939" w:type="dxa"/>
            <w:noWrap/>
            <w:hideMark/>
          </w:tcPr>
          <w:p w:rsidR="007D38FC" w:rsidRPr="007D38FC" w:rsidRDefault="007D38FC" w:rsidP="007D38FC">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7D38FC">
              <w:rPr>
                <w:rFonts w:cstheme="minorHAnsi"/>
              </w:rPr>
              <w:t>155.30</w:t>
            </w:r>
          </w:p>
        </w:tc>
        <w:tc>
          <w:tcPr>
            <w:tcW w:w="1120" w:type="dxa"/>
            <w:noWrap/>
            <w:hideMark/>
          </w:tcPr>
          <w:p w:rsidR="007D38FC" w:rsidRPr="007D38FC" w:rsidRDefault="007D38FC" w:rsidP="007D38FC">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7D38FC">
              <w:rPr>
                <w:rFonts w:cstheme="minorHAnsi"/>
              </w:rPr>
              <w:t>155.44</w:t>
            </w:r>
          </w:p>
        </w:tc>
        <w:tc>
          <w:tcPr>
            <w:tcW w:w="1120" w:type="dxa"/>
            <w:noWrap/>
            <w:hideMark/>
          </w:tcPr>
          <w:p w:rsidR="007D38FC" w:rsidRPr="007D38FC" w:rsidRDefault="007D38FC" w:rsidP="007D38FC">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7D38FC">
              <w:rPr>
                <w:rFonts w:cstheme="minorHAnsi"/>
              </w:rPr>
              <w:t>147.32*</w:t>
            </w:r>
          </w:p>
        </w:tc>
        <w:tc>
          <w:tcPr>
            <w:tcW w:w="1560" w:type="dxa"/>
            <w:noWrap/>
            <w:hideMark/>
          </w:tcPr>
          <w:p w:rsidR="007D38FC" w:rsidRPr="007D38FC" w:rsidRDefault="007D38FC" w:rsidP="007D38FC">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rPr>
            </w:pPr>
            <w:r w:rsidRPr="007D38FC">
              <w:rPr>
                <w:rFonts w:cstheme="minorHAnsi"/>
              </w:rPr>
              <w:t>148.38</w:t>
            </w:r>
          </w:p>
        </w:tc>
      </w:tr>
    </w:tbl>
    <w:p w:rsidR="007D38FC" w:rsidRPr="007D38FC" w:rsidRDefault="007D38FC" w:rsidP="007D38FC">
      <w:pPr>
        <w:spacing w:line="360" w:lineRule="auto"/>
        <w:rPr>
          <w:rFonts w:cstheme="minorHAnsi"/>
        </w:rPr>
      </w:pPr>
    </w:p>
    <w:p w:rsidR="007D38FC" w:rsidRPr="007D38FC" w:rsidRDefault="007D38FC" w:rsidP="007D38FC">
      <w:pPr>
        <w:spacing w:after="0" w:line="360" w:lineRule="auto"/>
        <w:rPr>
          <w:rFonts w:cstheme="minorHAnsi"/>
          <w:b/>
        </w:rPr>
      </w:pPr>
    </w:p>
    <w:p w:rsidR="007D38FC" w:rsidRDefault="007D38FC" w:rsidP="007D38FC">
      <w:pPr>
        <w:spacing w:after="0"/>
        <w:rPr>
          <w:rFonts w:cstheme="minorHAnsi"/>
          <w:b/>
        </w:rPr>
      </w:pPr>
    </w:p>
    <w:p w:rsidR="007D38FC" w:rsidRDefault="007D38FC" w:rsidP="007D38FC">
      <w:pPr>
        <w:spacing w:after="0"/>
        <w:rPr>
          <w:rFonts w:cstheme="minorHAnsi"/>
          <w:b/>
        </w:rPr>
      </w:pPr>
    </w:p>
    <w:p w:rsidR="007D38FC" w:rsidRDefault="007D38FC" w:rsidP="007D38FC">
      <w:pPr>
        <w:spacing w:after="0"/>
        <w:rPr>
          <w:rFonts w:cstheme="minorHAnsi"/>
          <w:b/>
        </w:rPr>
      </w:pPr>
    </w:p>
    <w:p w:rsidR="007D38FC" w:rsidRDefault="007D38FC" w:rsidP="007D38FC">
      <w:pPr>
        <w:spacing w:after="0"/>
        <w:rPr>
          <w:rFonts w:cstheme="minorHAnsi"/>
          <w:b/>
        </w:rPr>
      </w:pPr>
    </w:p>
    <w:p w:rsidR="007D38FC" w:rsidRDefault="007D38FC" w:rsidP="007D38FC">
      <w:pPr>
        <w:spacing w:after="0"/>
        <w:rPr>
          <w:rFonts w:cstheme="minorHAnsi"/>
          <w:b/>
        </w:rPr>
      </w:pPr>
    </w:p>
    <w:p w:rsidR="007D38FC" w:rsidRDefault="007D38FC" w:rsidP="007D38FC">
      <w:pPr>
        <w:spacing w:after="0"/>
        <w:rPr>
          <w:rFonts w:cstheme="minorHAnsi"/>
          <w:b/>
        </w:rPr>
      </w:pPr>
    </w:p>
    <w:p w:rsidR="007D38FC" w:rsidRDefault="007D38FC" w:rsidP="007D38FC">
      <w:pPr>
        <w:spacing w:after="0"/>
        <w:rPr>
          <w:rFonts w:cstheme="minorHAnsi"/>
          <w:b/>
        </w:rPr>
      </w:pPr>
    </w:p>
    <w:p w:rsidR="007D38FC" w:rsidRDefault="007D38FC" w:rsidP="007D38FC">
      <w:pPr>
        <w:spacing w:after="0"/>
        <w:rPr>
          <w:rFonts w:cstheme="minorHAnsi"/>
          <w:b/>
        </w:rPr>
      </w:pPr>
    </w:p>
    <w:p w:rsidR="007D38FC" w:rsidRPr="007D38FC" w:rsidRDefault="007D38FC" w:rsidP="007D38FC">
      <w:pPr>
        <w:spacing w:after="0"/>
        <w:rPr>
          <w:rFonts w:cstheme="minorHAnsi"/>
        </w:rPr>
      </w:pPr>
      <w:r w:rsidRPr="007D38FC">
        <w:rPr>
          <w:rFonts w:cstheme="minorHAnsi"/>
          <w:b/>
        </w:rPr>
        <w:t xml:space="preserve">Table </w:t>
      </w:r>
      <w:r w:rsidR="00F274DE">
        <w:rPr>
          <w:rFonts w:cstheme="minorHAnsi"/>
          <w:b/>
        </w:rPr>
        <w:t>A</w:t>
      </w:r>
      <w:r>
        <w:rPr>
          <w:rFonts w:cstheme="minorHAnsi"/>
          <w:b/>
        </w:rPr>
        <w:t>.</w:t>
      </w:r>
      <w:r w:rsidRPr="007D38FC">
        <w:rPr>
          <w:rFonts w:cstheme="minorHAnsi"/>
        </w:rPr>
        <w:t xml:space="preserve"> Negative log likelihood values by model variant from </w:t>
      </w:r>
      <w:r w:rsidRPr="007D38FC">
        <w:rPr>
          <w:rFonts w:cstheme="minorHAnsi"/>
          <w:i/>
        </w:rPr>
        <w:t>Mr Bayes</w:t>
      </w:r>
      <w:r w:rsidRPr="007D38FC">
        <w:rPr>
          <w:rFonts w:cstheme="minorHAnsi"/>
        </w:rPr>
        <w:t xml:space="preserve">; *denotes optimum model. </w:t>
      </w:r>
    </w:p>
    <w:p w:rsidR="007D38FC" w:rsidRDefault="007D38FC" w:rsidP="003C68A2">
      <w:pPr>
        <w:rPr>
          <w:color w:val="000000" w:themeColor="text1"/>
          <w:szCs w:val="24"/>
        </w:rPr>
      </w:pPr>
    </w:p>
    <w:p w:rsidR="009757BB" w:rsidRDefault="00082224" w:rsidP="007B3D05">
      <w:pPr>
        <w:spacing w:line="360" w:lineRule="auto"/>
        <w:rPr>
          <w:rFonts w:cstheme="minorHAnsi"/>
        </w:rPr>
      </w:pPr>
      <w:r w:rsidRPr="00294EE3">
        <w:rPr>
          <w:rFonts w:cstheme="minorHAnsi"/>
        </w:rPr>
        <w:t>Whilst using harmonic mean averages to estimate marginal likelihoods is a commonly used method, recent literature has drawn attention to the limitations of this approach suggesting that, for example, it may overstate likelihoods</w:t>
      </w:r>
      <w:r w:rsidR="00AE01E1" w:rsidRPr="00294EE3">
        <w:rPr>
          <w:rFonts w:cstheme="minorHAnsi"/>
        </w:rPr>
        <w:t xml:space="preserve"> (</w:t>
      </w:r>
      <w:proofErr w:type="spellStart"/>
      <w:r w:rsidR="00AE01E1" w:rsidRPr="00294EE3">
        <w:rPr>
          <w:rFonts w:cstheme="minorHAnsi"/>
        </w:rPr>
        <w:t>Xie</w:t>
      </w:r>
      <w:proofErr w:type="spellEnd"/>
      <w:r w:rsidR="00AE01E1" w:rsidRPr="00294EE3">
        <w:rPr>
          <w:rFonts w:cstheme="minorHAnsi"/>
        </w:rPr>
        <w:t xml:space="preserve"> </w:t>
      </w:r>
      <w:r w:rsidR="00AE01E1" w:rsidRPr="00294EE3">
        <w:rPr>
          <w:rFonts w:cstheme="minorHAnsi"/>
          <w:i/>
        </w:rPr>
        <w:t>et al.</w:t>
      </w:r>
      <w:r w:rsidR="00AE01E1" w:rsidRPr="00294EE3">
        <w:rPr>
          <w:rFonts w:cstheme="minorHAnsi"/>
        </w:rPr>
        <w:t xml:space="preserve"> 2011)</w:t>
      </w:r>
      <w:r w:rsidR="00E7216C" w:rsidRPr="00294EE3">
        <w:rPr>
          <w:rFonts w:cstheme="minorHAnsi"/>
        </w:rPr>
        <w:t xml:space="preserve">. </w:t>
      </w:r>
      <w:r w:rsidR="00ED7354" w:rsidRPr="00294EE3">
        <w:rPr>
          <w:rFonts w:cstheme="minorHAnsi"/>
        </w:rPr>
        <w:t xml:space="preserve">To </w:t>
      </w:r>
      <w:r w:rsidR="00192E5D" w:rsidRPr="00294EE3">
        <w:rPr>
          <w:rFonts w:cstheme="minorHAnsi"/>
        </w:rPr>
        <w:t>examine whether using this method for model choice had a significant effect on our results we co</w:t>
      </w:r>
      <w:r w:rsidR="00ED7354" w:rsidRPr="00294EE3">
        <w:rPr>
          <w:rFonts w:cstheme="minorHAnsi"/>
        </w:rPr>
        <w:t xml:space="preserve">mpared </w:t>
      </w:r>
      <w:r w:rsidR="00192E5D" w:rsidRPr="00294EE3">
        <w:rPr>
          <w:rFonts w:cstheme="minorHAnsi"/>
        </w:rPr>
        <w:t xml:space="preserve">outcomes for </w:t>
      </w:r>
      <w:r w:rsidR="00ED7354" w:rsidRPr="00294EE3">
        <w:rPr>
          <w:rFonts w:cstheme="minorHAnsi"/>
        </w:rPr>
        <w:t xml:space="preserve">each </w:t>
      </w:r>
      <w:r w:rsidR="00192E5D" w:rsidRPr="00294EE3">
        <w:rPr>
          <w:rFonts w:cstheme="minorHAnsi"/>
        </w:rPr>
        <w:t xml:space="preserve">model </w:t>
      </w:r>
      <w:r w:rsidR="00ED7354" w:rsidRPr="00294EE3">
        <w:rPr>
          <w:rFonts w:cstheme="minorHAnsi"/>
        </w:rPr>
        <w:t>variant</w:t>
      </w:r>
      <w:r w:rsidR="00192E5D" w:rsidRPr="00294EE3">
        <w:rPr>
          <w:rFonts w:cstheme="minorHAnsi"/>
        </w:rPr>
        <w:t xml:space="preserve">. </w:t>
      </w:r>
      <w:r w:rsidR="00ED7354" w:rsidRPr="00294EE3">
        <w:rPr>
          <w:rFonts w:cstheme="minorHAnsi"/>
        </w:rPr>
        <w:t>For all three ritual types the topologies allowing the substitution rates to vary by trait (gamma</w:t>
      </w:r>
      <w:r w:rsidR="007B3D05" w:rsidRPr="00294EE3">
        <w:rPr>
          <w:rFonts w:cstheme="minorHAnsi"/>
        </w:rPr>
        <w:t xml:space="preserve"> distribution) were very similar to those with fixed substitution rates, although the posterior probability split values </w:t>
      </w:r>
      <w:r w:rsidR="00337EA9" w:rsidRPr="00294EE3">
        <w:rPr>
          <w:rFonts w:cstheme="minorHAnsi"/>
        </w:rPr>
        <w:t xml:space="preserve">using variable rates </w:t>
      </w:r>
      <w:r w:rsidR="007B3D05" w:rsidRPr="00294EE3">
        <w:rPr>
          <w:rFonts w:cstheme="minorHAnsi"/>
        </w:rPr>
        <w:t xml:space="preserve">were slightly higher in </w:t>
      </w:r>
      <w:r w:rsidR="00337EA9" w:rsidRPr="00294EE3">
        <w:rPr>
          <w:rFonts w:cstheme="minorHAnsi"/>
        </w:rPr>
        <w:t xml:space="preserve">some </w:t>
      </w:r>
      <w:r w:rsidR="007B3D05" w:rsidRPr="00294EE3">
        <w:rPr>
          <w:rFonts w:cstheme="minorHAnsi"/>
        </w:rPr>
        <w:t>cases (</w:t>
      </w:r>
      <w:r w:rsidR="00337EA9" w:rsidRPr="00294EE3">
        <w:rPr>
          <w:rFonts w:cstheme="minorHAnsi"/>
        </w:rPr>
        <w:t>5</w:t>
      </w:r>
      <w:r w:rsidR="007B3D05" w:rsidRPr="00294EE3">
        <w:rPr>
          <w:rFonts w:cstheme="minorHAnsi"/>
        </w:rPr>
        <w:t xml:space="preserve">-10%). Setting substitution rates as separate (restriction model) </w:t>
      </w:r>
      <w:r w:rsidR="00337EA9" w:rsidRPr="00294EE3">
        <w:rPr>
          <w:rFonts w:cstheme="minorHAnsi"/>
        </w:rPr>
        <w:t>also resulted in some higher posterior split probabili</w:t>
      </w:r>
      <w:r w:rsidR="00550BA7" w:rsidRPr="00294EE3">
        <w:rPr>
          <w:rFonts w:cstheme="minorHAnsi"/>
        </w:rPr>
        <w:t>ties (5-2</w:t>
      </w:r>
      <w:r w:rsidR="00337EA9" w:rsidRPr="00294EE3">
        <w:rPr>
          <w:rFonts w:cstheme="minorHAnsi"/>
        </w:rPr>
        <w:t>5%) in comparison to net rates and s</w:t>
      </w:r>
      <w:r w:rsidR="007B3D05" w:rsidRPr="00294EE3">
        <w:rPr>
          <w:rFonts w:cstheme="minorHAnsi"/>
        </w:rPr>
        <w:t>mall</w:t>
      </w:r>
      <w:r w:rsidR="00337EA9" w:rsidRPr="00294EE3">
        <w:rPr>
          <w:rFonts w:cstheme="minorHAnsi"/>
        </w:rPr>
        <w:t xml:space="preserve">, but not significant, </w:t>
      </w:r>
      <w:r w:rsidR="007B3D05" w:rsidRPr="00294EE3">
        <w:rPr>
          <w:rFonts w:cstheme="minorHAnsi"/>
        </w:rPr>
        <w:t xml:space="preserve">effects </w:t>
      </w:r>
      <w:r w:rsidR="00550BA7" w:rsidRPr="00294EE3">
        <w:rPr>
          <w:rFonts w:cstheme="minorHAnsi"/>
        </w:rPr>
        <w:t xml:space="preserve">on </w:t>
      </w:r>
      <w:r w:rsidR="00337EA9" w:rsidRPr="00294EE3">
        <w:rPr>
          <w:rFonts w:cstheme="minorHAnsi"/>
        </w:rPr>
        <w:t>mortuary ritual and rock motif</w:t>
      </w:r>
      <w:r w:rsidR="00550BA7" w:rsidRPr="00294EE3">
        <w:rPr>
          <w:rFonts w:cstheme="minorHAnsi"/>
        </w:rPr>
        <w:t xml:space="preserve"> topologies</w:t>
      </w:r>
      <w:r w:rsidR="00337EA9" w:rsidRPr="00294EE3">
        <w:rPr>
          <w:rFonts w:cstheme="minorHAnsi"/>
        </w:rPr>
        <w:t xml:space="preserve">. For mortuary, one </w:t>
      </w:r>
      <w:r w:rsidR="00AB4CDE" w:rsidRPr="00294EE3">
        <w:rPr>
          <w:rFonts w:cstheme="minorHAnsi"/>
        </w:rPr>
        <w:t xml:space="preserve">early </w:t>
      </w:r>
      <w:r w:rsidR="00337EA9" w:rsidRPr="00294EE3">
        <w:rPr>
          <w:rFonts w:cstheme="minorHAnsi"/>
        </w:rPr>
        <w:t xml:space="preserve">split with </w:t>
      </w:r>
      <w:proofErr w:type="spellStart"/>
      <w:r w:rsidR="00337EA9" w:rsidRPr="00294EE3">
        <w:rPr>
          <w:rFonts w:cstheme="minorHAnsi"/>
        </w:rPr>
        <w:t>Arandic</w:t>
      </w:r>
      <w:proofErr w:type="spellEnd"/>
      <w:r w:rsidR="00A9700F" w:rsidRPr="00294EE3">
        <w:rPr>
          <w:rFonts w:cstheme="minorHAnsi"/>
        </w:rPr>
        <w:t xml:space="preserve"> (72% pp)</w:t>
      </w:r>
      <w:r w:rsidR="00337EA9" w:rsidRPr="00294EE3">
        <w:rPr>
          <w:rFonts w:cstheme="minorHAnsi"/>
        </w:rPr>
        <w:t xml:space="preserve"> was lost </w:t>
      </w:r>
      <w:r w:rsidR="001120A9" w:rsidRPr="00294EE3">
        <w:rPr>
          <w:rFonts w:cstheme="minorHAnsi"/>
        </w:rPr>
        <w:t xml:space="preserve">in the </w:t>
      </w:r>
      <w:r w:rsidR="00A9700F" w:rsidRPr="00294EE3">
        <w:rPr>
          <w:rFonts w:cstheme="minorHAnsi"/>
        </w:rPr>
        <w:t xml:space="preserve">separate </w:t>
      </w:r>
      <w:r w:rsidR="001120A9" w:rsidRPr="00294EE3">
        <w:rPr>
          <w:rFonts w:cstheme="minorHAnsi"/>
        </w:rPr>
        <w:t>rate</w:t>
      </w:r>
      <w:r w:rsidR="00A9700F" w:rsidRPr="00294EE3">
        <w:rPr>
          <w:rFonts w:cstheme="minorHAnsi"/>
        </w:rPr>
        <w:t>s</w:t>
      </w:r>
      <w:r w:rsidR="001120A9" w:rsidRPr="00294EE3">
        <w:rPr>
          <w:rFonts w:cstheme="minorHAnsi"/>
        </w:rPr>
        <w:t xml:space="preserve"> model</w:t>
      </w:r>
      <w:r w:rsidR="00A9700F" w:rsidRPr="00294EE3">
        <w:rPr>
          <w:rFonts w:cstheme="minorHAnsi"/>
        </w:rPr>
        <w:t xml:space="preserve">. </w:t>
      </w:r>
      <w:r w:rsidR="001120A9" w:rsidRPr="00294EE3">
        <w:rPr>
          <w:rFonts w:cstheme="minorHAnsi"/>
        </w:rPr>
        <w:t xml:space="preserve">For rock motifs, </w:t>
      </w:r>
      <w:r w:rsidR="00E7216C" w:rsidRPr="00294EE3">
        <w:rPr>
          <w:rFonts w:cstheme="minorHAnsi"/>
        </w:rPr>
        <w:t xml:space="preserve">a </w:t>
      </w:r>
      <w:r w:rsidR="00AB4CDE" w:rsidRPr="00294EE3">
        <w:rPr>
          <w:rFonts w:cstheme="minorHAnsi"/>
        </w:rPr>
        <w:t xml:space="preserve">later </w:t>
      </w:r>
      <w:r w:rsidR="001120A9" w:rsidRPr="00294EE3">
        <w:rPr>
          <w:rFonts w:cstheme="minorHAnsi"/>
        </w:rPr>
        <w:t xml:space="preserve">split </w:t>
      </w:r>
      <w:r w:rsidR="00550BA7" w:rsidRPr="00294EE3">
        <w:rPr>
          <w:rFonts w:cstheme="minorHAnsi"/>
        </w:rPr>
        <w:t xml:space="preserve">of </w:t>
      </w:r>
      <w:r w:rsidR="00AB4CDE" w:rsidRPr="00294EE3">
        <w:rPr>
          <w:rFonts w:cstheme="minorHAnsi"/>
        </w:rPr>
        <w:t xml:space="preserve">six </w:t>
      </w:r>
      <w:r w:rsidR="001120A9" w:rsidRPr="00294EE3">
        <w:rPr>
          <w:rFonts w:cstheme="minorHAnsi"/>
        </w:rPr>
        <w:t>taxa</w:t>
      </w:r>
      <w:r w:rsidR="00550BA7" w:rsidRPr="00294EE3">
        <w:rPr>
          <w:rFonts w:cstheme="minorHAnsi"/>
        </w:rPr>
        <w:t xml:space="preserve"> </w:t>
      </w:r>
      <w:r w:rsidR="00AB4CDE" w:rsidRPr="00294EE3">
        <w:rPr>
          <w:rFonts w:cstheme="minorHAnsi"/>
        </w:rPr>
        <w:t xml:space="preserve">common to both models </w:t>
      </w:r>
      <w:r w:rsidR="00550BA7" w:rsidRPr="00294EE3">
        <w:rPr>
          <w:rFonts w:cstheme="minorHAnsi"/>
        </w:rPr>
        <w:t xml:space="preserve">included </w:t>
      </w:r>
      <w:proofErr w:type="spellStart"/>
      <w:r w:rsidR="00192E5D" w:rsidRPr="00294EE3">
        <w:rPr>
          <w:rFonts w:cstheme="minorHAnsi"/>
        </w:rPr>
        <w:t>BanjaDuraWaka</w:t>
      </w:r>
      <w:proofErr w:type="spellEnd"/>
      <w:r w:rsidR="00192E5D" w:rsidRPr="00294EE3">
        <w:rPr>
          <w:rFonts w:cstheme="minorHAnsi"/>
        </w:rPr>
        <w:t xml:space="preserve"> &amp; </w:t>
      </w:r>
      <w:proofErr w:type="spellStart"/>
      <w:r w:rsidR="00192E5D" w:rsidRPr="00294EE3">
        <w:rPr>
          <w:rFonts w:cstheme="minorHAnsi"/>
        </w:rPr>
        <w:t>Kulin</w:t>
      </w:r>
      <w:r w:rsidR="00A9700F" w:rsidRPr="00294EE3">
        <w:rPr>
          <w:rFonts w:cstheme="minorHAnsi"/>
        </w:rPr>
        <w:t>Ngarinyeric</w:t>
      </w:r>
      <w:proofErr w:type="spellEnd"/>
      <w:r w:rsidR="00192E5D" w:rsidRPr="00294EE3">
        <w:rPr>
          <w:rFonts w:cstheme="minorHAnsi"/>
        </w:rPr>
        <w:t xml:space="preserve"> in the net rate model</w:t>
      </w:r>
      <w:r w:rsidR="00A9700F" w:rsidRPr="00294EE3">
        <w:rPr>
          <w:rFonts w:cstheme="minorHAnsi"/>
        </w:rPr>
        <w:t xml:space="preserve"> (</w:t>
      </w:r>
      <w:r w:rsidR="00AB4CDE" w:rsidRPr="00294EE3">
        <w:rPr>
          <w:rFonts w:cstheme="minorHAnsi"/>
        </w:rPr>
        <w:t>65% pp)</w:t>
      </w:r>
      <w:r w:rsidR="00192E5D" w:rsidRPr="00294EE3">
        <w:rPr>
          <w:rFonts w:cstheme="minorHAnsi"/>
        </w:rPr>
        <w:t xml:space="preserve"> but </w:t>
      </w:r>
      <w:proofErr w:type="spellStart"/>
      <w:r w:rsidR="00550BA7" w:rsidRPr="00294EE3">
        <w:rPr>
          <w:rFonts w:cstheme="minorHAnsi"/>
        </w:rPr>
        <w:t>WatiNgumpin</w:t>
      </w:r>
      <w:proofErr w:type="spellEnd"/>
      <w:r w:rsidR="00550BA7" w:rsidRPr="00294EE3">
        <w:rPr>
          <w:rFonts w:cstheme="minorHAnsi"/>
        </w:rPr>
        <w:t xml:space="preserve"> &amp; </w:t>
      </w:r>
      <w:proofErr w:type="spellStart"/>
      <w:r w:rsidR="00550BA7" w:rsidRPr="00294EE3">
        <w:rPr>
          <w:rFonts w:cstheme="minorHAnsi"/>
        </w:rPr>
        <w:t>Nyungar</w:t>
      </w:r>
      <w:r w:rsidR="00A9700F" w:rsidRPr="00294EE3">
        <w:rPr>
          <w:rFonts w:cstheme="minorHAnsi"/>
        </w:rPr>
        <w:t>WadMiriny</w:t>
      </w:r>
      <w:proofErr w:type="spellEnd"/>
      <w:r w:rsidR="00550BA7" w:rsidRPr="00294EE3">
        <w:rPr>
          <w:rFonts w:cstheme="minorHAnsi"/>
        </w:rPr>
        <w:t xml:space="preserve"> in the separate rates model</w:t>
      </w:r>
      <w:r w:rsidR="00AB4CDE" w:rsidRPr="00294EE3">
        <w:rPr>
          <w:rFonts w:cstheme="minorHAnsi"/>
        </w:rPr>
        <w:t xml:space="preserve"> (64% pp).</w:t>
      </w:r>
      <w:r w:rsidR="00550BA7">
        <w:rPr>
          <w:rFonts w:cstheme="minorHAnsi"/>
        </w:rPr>
        <w:t xml:space="preserve"> </w:t>
      </w:r>
      <w:r w:rsidR="001120A9">
        <w:rPr>
          <w:rFonts w:cstheme="minorHAnsi"/>
        </w:rPr>
        <w:t xml:space="preserve"> </w:t>
      </w:r>
      <w:r w:rsidR="00337EA9">
        <w:rPr>
          <w:rFonts w:cstheme="minorHAnsi"/>
        </w:rPr>
        <w:t xml:space="preserve">    </w:t>
      </w:r>
    </w:p>
    <w:p w:rsidR="007D38FC" w:rsidRPr="009757BB" w:rsidRDefault="007D38FC" w:rsidP="003C68A2">
      <w:pPr>
        <w:spacing w:line="360" w:lineRule="auto"/>
        <w:rPr>
          <w:rFonts w:cstheme="minorHAnsi"/>
          <w:u w:val="single"/>
        </w:rPr>
      </w:pPr>
      <w:r w:rsidRPr="009757BB">
        <w:rPr>
          <w:rFonts w:cstheme="minorHAnsi"/>
          <w:u w:val="single"/>
        </w:rPr>
        <w:t>MRC trees</w:t>
      </w:r>
    </w:p>
    <w:p w:rsidR="003C68A2" w:rsidRPr="003C68A2" w:rsidRDefault="007D38FC" w:rsidP="003C68A2">
      <w:pPr>
        <w:spacing w:line="360" w:lineRule="auto"/>
        <w:rPr>
          <w:rFonts w:cstheme="minorHAnsi"/>
        </w:rPr>
      </w:pPr>
      <w:r>
        <w:rPr>
          <w:rFonts w:cstheme="minorHAnsi"/>
        </w:rPr>
        <w:t>M</w:t>
      </w:r>
      <w:r w:rsidR="003C68A2" w:rsidRPr="003C68A2">
        <w:rPr>
          <w:rFonts w:cstheme="minorHAnsi"/>
        </w:rPr>
        <w:t>ajority-rules consensus (MRC) tree</w:t>
      </w:r>
      <w:r>
        <w:rPr>
          <w:rFonts w:cstheme="minorHAnsi"/>
        </w:rPr>
        <w:t>s</w:t>
      </w:r>
      <w:r w:rsidR="003C68A2" w:rsidRPr="003C68A2">
        <w:rPr>
          <w:rFonts w:cstheme="minorHAnsi"/>
        </w:rPr>
        <w:t xml:space="preserve"> w</w:t>
      </w:r>
      <w:r>
        <w:rPr>
          <w:rFonts w:cstheme="minorHAnsi"/>
        </w:rPr>
        <w:t xml:space="preserve">ere </w:t>
      </w:r>
      <w:r w:rsidR="003C68A2" w:rsidRPr="003C68A2">
        <w:rPr>
          <w:rFonts w:cstheme="minorHAnsi"/>
        </w:rPr>
        <w:t>used to summarise the tree distribution. Th</w:t>
      </w:r>
      <w:r>
        <w:rPr>
          <w:rFonts w:cstheme="minorHAnsi"/>
        </w:rPr>
        <w:t xml:space="preserve">ese </w:t>
      </w:r>
      <w:r w:rsidR="003C68A2" w:rsidRPr="003C68A2">
        <w:rPr>
          <w:rFonts w:cstheme="minorHAnsi"/>
        </w:rPr>
        <w:t xml:space="preserve">include clades supported in at least 50% of the posterior sample and is the default option in </w:t>
      </w:r>
      <w:r w:rsidR="003C68A2" w:rsidRPr="003C68A2">
        <w:rPr>
          <w:rFonts w:cstheme="minorHAnsi"/>
          <w:i/>
        </w:rPr>
        <w:t xml:space="preserve">Mr Bayes v3.2 </w:t>
      </w:r>
      <w:r w:rsidR="003C68A2" w:rsidRPr="003C68A2">
        <w:rPr>
          <w:rFonts w:cstheme="minorHAnsi"/>
        </w:rPr>
        <w:t>used for the analysis (</w:t>
      </w:r>
      <w:proofErr w:type="spellStart"/>
      <w:r w:rsidR="003C68A2" w:rsidRPr="003C68A2">
        <w:rPr>
          <w:rFonts w:cstheme="minorHAnsi"/>
        </w:rPr>
        <w:t>Ronquist</w:t>
      </w:r>
      <w:proofErr w:type="spellEnd"/>
      <w:r w:rsidR="003C68A2" w:rsidRPr="003C68A2">
        <w:rPr>
          <w:rFonts w:cstheme="minorHAnsi"/>
        </w:rPr>
        <w:t xml:space="preserve"> </w:t>
      </w:r>
      <w:r w:rsidR="003C68A2" w:rsidRPr="003C68A2">
        <w:rPr>
          <w:rFonts w:cstheme="minorHAnsi"/>
          <w:i/>
        </w:rPr>
        <w:t xml:space="preserve">et al. </w:t>
      </w:r>
      <w:r w:rsidR="003C68A2" w:rsidRPr="003C68A2">
        <w:rPr>
          <w:rFonts w:cstheme="minorHAnsi"/>
        </w:rPr>
        <w:t xml:space="preserve">2012). MRC trees have been shown to outperform other methods, such as maximum clade credibility (MCC), in summarising diffuse posterior distributions, presenting a more conservative summary of topology and inclusion of fewer incorrect clades (O’Reilly &amp; Donoghue 2018). Consensus posterior support values can also be used to assess confidence in tree topology with the number of highly supported nodes providing a measure of overall phylogenetic fit. Studies using different tree building methods </w:t>
      </w:r>
      <w:r w:rsidR="003C68A2" w:rsidRPr="003C68A2">
        <w:rPr>
          <w:rFonts w:cstheme="minorHAnsi"/>
          <w:i/>
        </w:rPr>
        <w:t xml:space="preserve">e.g. </w:t>
      </w:r>
      <w:r w:rsidR="003C68A2" w:rsidRPr="003C68A2">
        <w:rPr>
          <w:rFonts w:cstheme="minorHAnsi"/>
        </w:rPr>
        <w:t xml:space="preserve">Parsimony, Maximum Likelihood, have commonly used 70% as a threshold for demonstrating confidence in the existence </w:t>
      </w:r>
      <w:r w:rsidR="003C68A2" w:rsidRPr="003C68A2">
        <w:rPr>
          <w:rFonts w:cstheme="minorHAnsi"/>
        </w:rPr>
        <w:lastRenderedPageBreak/>
        <w:t xml:space="preserve">of the clade, using support values calculated with the bootstrap method (Soltis &amp; Soltis 2003). In simulation studies some authors conclude that Bayesian posterior support values are equivalent to these bootstrapped values, whilst others have suggested higher thresholds are required to demonstrate phylogenetic signal (Alfaro </w:t>
      </w:r>
      <w:r w:rsidR="003C68A2" w:rsidRPr="003C68A2">
        <w:rPr>
          <w:rFonts w:cstheme="minorHAnsi"/>
          <w:i/>
        </w:rPr>
        <w:t xml:space="preserve">et al. </w:t>
      </w:r>
      <w:r w:rsidR="003C68A2" w:rsidRPr="003C68A2">
        <w:rPr>
          <w:rFonts w:cstheme="minorHAnsi"/>
        </w:rPr>
        <w:t xml:space="preserve">2003). Such studies commonly use large DNA character sets and Bayesian support values have been found to be much lower when the number of characters is below 100 (Alfaro </w:t>
      </w:r>
      <w:r w:rsidR="003C68A2" w:rsidRPr="003C68A2">
        <w:rPr>
          <w:rFonts w:cstheme="minorHAnsi"/>
          <w:i/>
        </w:rPr>
        <w:t xml:space="preserve">et al. </w:t>
      </w:r>
      <w:r w:rsidR="003C68A2" w:rsidRPr="003C68A2">
        <w:rPr>
          <w:rFonts w:cstheme="minorHAnsi"/>
        </w:rPr>
        <w:t>2003, O’Reilly &amp; Donoghue 2018). Here, datasets of only 24-27 characters are used therefore consider nodal support values above 70% are likely to provide evidence of phylogenetic fit.</w:t>
      </w:r>
    </w:p>
    <w:p w:rsidR="00DB3505" w:rsidRDefault="00DB3505" w:rsidP="00182B52">
      <w:pPr>
        <w:rPr>
          <w:rFonts w:cstheme="minorHAnsi"/>
          <w:u w:val="single"/>
        </w:rPr>
      </w:pPr>
      <w:r w:rsidRPr="00DB3505">
        <w:rPr>
          <w:rFonts w:cstheme="minorHAnsi"/>
          <w:u w:val="single"/>
        </w:rPr>
        <w:t>Data Sensitivity</w:t>
      </w:r>
    </w:p>
    <w:p w:rsidR="00F274DE" w:rsidRDefault="00933C90" w:rsidP="00294EE3">
      <w:pPr>
        <w:spacing w:after="360" w:line="360" w:lineRule="auto"/>
        <w:rPr>
          <w:rFonts w:cstheme="minorHAnsi"/>
        </w:rPr>
      </w:pPr>
      <w:r w:rsidRPr="00294EE3">
        <w:rPr>
          <w:color w:val="000000" w:themeColor="text1"/>
          <w:szCs w:val="24"/>
        </w:rPr>
        <w:t xml:space="preserve">The initiation and rock motif datasets were prepared using a majority rule criteria to record presence in a language area. To </w:t>
      </w:r>
      <w:r w:rsidR="00DB3505" w:rsidRPr="00294EE3">
        <w:rPr>
          <w:color w:val="000000" w:themeColor="text1"/>
          <w:szCs w:val="24"/>
        </w:rPr>
        <w:t>consider the effect</w:t>
      </w:r>
      <w:r w:rsidRPr="00294EE3">
        <w:rPr>
          <w:color w:val="000000" w:themeColor="text1"/>
          <w:szCs w:val="24"/>
        </w:rPr>
        <w:t xml:space="preserve">s of this </w:t>
      </w:r>
      <w:r w:rsidR="00C73CF6" w:rsidRPr="00294EE3">
        <w:rPr>
          <w:color w:val="000000" w:themeColor="text1"/>
          <w:szCs w:val="24"/>
        </w:rPr>
        <w:t xml:space="preserve">on our results we re-ran </w:t>
      </w:r>
      <w:r w:rsidR="00DB3505" w:rsidRPr="00294EE3">
        <w:rPr>
          <w:color w:val="000000" w:themeColor="text1"/>
          <w:szCs w:val="24"/>
        </w:rPr>
        <w:t xml:space="preserve">the analysis </w:t>
      </w:r>
      <w:r w:rsidR="00C73CF6" w:rsidRPr="00294EE3">
        <w:rPr>
          <w:color w:val="000000" w:themeColor="text1"/>
          <w:szCs w:val="24"/>
        </w:rPr>
        <w:t xml:space="preserve">assessing traits as present across a language area if only one or more traits was recorded for a linguistic society (rather than 50% or more). </w:t>
      </w:r>
      <w:r w:rsidRPr="00294EE3">
        <w:rPr>
          <w:color w:val="000000" w:themeColor="text1"/>
          <w:szCs w:val="24"/>
        </w:rPr>
        <w:t xml:space="preserve">The resulting trees contained much less hierarchical structure, particularly for rock motifs. For the major regional clades discussed </w:t>
      </w:r>
      <w:r w:rsidR="00D5524D" w:rsidRPr="00294EE3">
        <w:rPr>
          <w:color w:val="000000" w:themeColor="text1"/>
          <w:szCs w:val="24"/>
        </w:rPr>
        <w:t>i</w:t>
      </w:r>
      <w:r w:rsidRPr="00294EE3">
        <w:rPr>
          <w:color w:val="000000" w:themeColor="text1"/>
          <w:szCs w:val="24"/>
        </w:rPr>
        <w:t>n</w:t>
      </w:r>
      <w:r w:rsidR="00D5524D" w:rsidRPr="00294EE3">
        <w:rPr>
          <w:color w:val="000000" w:themeColor="text1"/>
          <w:szCs w:val="24"/>
        </w:rPr>
        <w:t xml:space="preserve"> </w:t>
      </w:r>
      <w:r w:rsidRPr="00294EE3">
        <w:rPr>
          <w:color w:val="000000" w:themeColor="text1"/>
          <w:szCs w:val="24"/>
        </w:rPr>
        <w:t>the text</w:t>
      </w:r>
      <w:r w:rsidR="00D5524D" w:rsidRPr="00294EE3">
        <w:rPr>
          <w:color w:val="000000" w:themeColor="text1"/>
          <w:szCs w:val="24"/>
        </w:rPr>
        <w:t xml:space="preserve"> t</w:t>
      </w:r>
      <w:r w:rsidRPr="00294EE3">
        <w:rPr>
          <w:color w:val="000000" w:themeColor="text1"/>
          <w:szCs w:val="24"/>
        </w:rPr>
        <w:t>he initiation tree resolved th</w:t>
      </w:r>
      <w:r w:rsidR="00D5524D" w:rsidRPr="00294EE3">
        <w:rPr>
          <w:color w:val="000000" w:themeColor="text1"/>
          <w:szCs w:val="24"/>
        </w:rPr>
        <w:t xml:space="preserve">is with 98% posterior probability (previously 91%) but excluding one taxa </w:t>
      </w:r>
      <w:proofErr w:type="spellStart"/>
      <w:r w:rsidR="00D5524D" w:rsidRPr="00294EE3">
        <w:rPr>
          <w:color w:val="000000" w:themeColor="text1"/>
          <w:szCs w:val="24"/>
        </w:rPr>
        <w:t>PamaLamYularic</w:t>
      </w:r>
      <w:proofErr w:type="spellEnd"/>
      <w:r w:rsidR="00D5524D" w:rsidRPr="00294EE3">
        <w:rPr>
          <w:color w:val="000000" w:themeColor="text1"/>
          <w:szCs w:val="24"/>
        </w:rPr>
        <w:t xml:space="preserve">. The rock motif tree resolved a similar clade with 72% posterior probability (previously 92%) but excluding three taxa </w:t>
      </w:r>
      <w:proofErr w:type="spellStart"/>
      <w:r w:rsidR="00D5524D" w:rsidRPr="00294EE3">
        <w:rPr>
          <w:color w:val="000000" w:themeColor="text1"/>
          <w:szCs w:val="24"/>
        </w:rPr>
        <w:t>Yura</w:t>
      </w:r>
      <w:proofErr w:type="spellEnd"/>
      <w:r w:rsidR="00D5524D" w:rsidRPr="00294EE3">
        <w:rPr>
          <w:color w:val="000000" w:themeColor="text1"/>
          <w:szCs w:val="24"/>
        </w:rPr>
        <w:t xml:space="preserve">, </w:t>
      </w:r>
      <w:proofErr w:type="spellStart"/>
      <w:r w:rsidR="00D5524D" w:rsidRPr="00294EE3">
        <w:rPr>
          <w:color w:val="000000" w:themeColor="text1"/>
          <w:szCs w:val="24"/>
        </w:rPr>
        <w:t>BanjaDuraWaka</w:t>
      </w:r>
      <w:proofErr w:type="spellEnd"/>
      <w:r w:rsidR="00D5524D" w:rsidRPr="00294EE3">
        <w:rPr>
          <w:color w:val="000000" w:themeColor="text1"/>
          <w:szCs w:val="24"/>
        </w:rPr>
        <w:t xml:space="preserve"> and </w:t>
      </w:r>
      <w:proofErr w:type="spellStart"/>
      <w:r w:rsidR="00D5524D" w:rsidRPr="00294EE3">
        <w:rPr>
          <w:color w:val="000000" w:themeColor="text1"/>
          <w:szCs w:val="24"/>
        </w:rPr>
        <w:t>NyungarWadMiriny</w:t>
      </w:r>
      <w:proofErr w:type="spellEnd"/>
      <w:r w:rsidR="00D5524D" w:rsidRPr="00294EE3">
        <w:rPr>
          <w:color w:val="000000" w:themeColor="text1"/>
          <w:szCs w:val="24"/>
        </w:rPr>
        <w:t>.</w:t>
      </w:r>
      <w:r w:rsidR="00DB3505" w:rsidRPr="00DB3505">
        <w:rPr>
          <w:color w:val="000000" w:themeColor="text1"/>
          <w:szCs w:val="24"/>
        </w:rPr>
        <w:t xml:space="preserve">   </w:t>
      </w:r>
    </w:p>
    <w:p w:rsidR="00F274DE" w:rsidRDefault="00E44398" w:rsidP="00182B52">
      <w:pPr>
        <w:rPr>
          <w:rFonts w:cstheme="minorHAnsi"/>
          <w:b/>
        </w:rPr>
      </w:pPr>
      <w:r w:rsidRPr="00E44398">
        <w:rPr>
          <w:rFonts w:cstheme="minorHAnsi"/>
          <w:b/>
        </w:rPr>
        <w:t>Additional references</w:t>
      </w:r>
    </w:p>
    <w:p w:rsidR="00AB07AE" w:rsidRDefault="00AB07AE" w:rsidP="00AB07AE">
      <w:pPr>
        <w:rPr>
          <w:rFonts w:cstheme="minorHAnsi"/>
        </w:rPr>
      </w:pPr>
      <w:r w:rsidRPr="00AB07AE">
        <w:rPr>
          <w:rFonts w:cstheme="minorHAnsi"/>
        </w:rPr>
        <w:t xml:space="preserve">Aoki, K., Lehmann, L. &amp; Feldman, M.W., 2011. Rates of cultural change and patterns of cultural accumulation in stochastic models of social transmission. </w:t>
      </w:r>
      <w:r w:rsidRPr="00AB07AE">
        <w:rPr>
          <w:rFonts w:cstheme="minorHAnsi"/>
          <w:i/>
          <w:iCs/>
        </w:rPr>
        <w:t>Theoretical Population Biology</w:t>
      </w:r>
      <w:r w:rsidRPr="00AB07AE">
        <w:rPr>
          <w:rFonts w:cstheme="minorHAnsi"/>
        </w:rPr>
        <w:t xml:space="preserve">, </w:t>
      </w:r>
      <w:r w:rsidRPr="00AB07AE">
        <w:rPr>
          <w:rFonts w:cstheme="minorHAnsi"/>
          <w:iCs/>
        </w:rPr>
        <w:t>79</w:t>
      </w:r>
      <w:r w:rsidRPr="00AB07AE">
        <w:rPr>
          <w:rFonts w:cstheme="minorHAnsi"/>
        </w:rPr>
        <w:t>(4), pp.192-202.</w:t>
      </w:r>
    </w:p>
    <w:p w:rsidR="00AB07AE" w:rsidRPr="00E44398" w:rsidRDefault="00AB07AE" w:rsidP="00E44398">
      <w:pPr>
        <w:rPr>
          <w:rFonts w:cstheme="minorHAnsi"/>
          <w:bCs/>
        </w:rPr>
      </w:pPr>
      <w:r w:rsidRPr="00E44398">
        <w:rPr>
          <w:rFonts w:cstheme="minorHAnsi"/>
          <w:bCs/>
        </w:rPr>
        <w:t xml:space="preserve">Atkinson, Q., Nicholls, G., Welch, D. &amp; </w:t>
      </w:r>
      <w:proofErr w:type="spellStart"/>
      <w:r w:rsidRPr="00E44398">
        <w:rPr>
          <w:rFonts w:cstheme="minorHAnsi"/>
          <w:bCs/>
        </w:rPr>
        <w:t>Gray</w:t>
      </w:r>
      <w:proofErr w:type="spellEnd"/>
      <w:r w:rsidRPr="00E44398">
        <w:rPr>
          <w:rFonts w:cstheme="minorHAnsi"/>
          <w:bCs/>
        </w:rPr>
        <w:t xml:space="preserve">, R., 2005. From words to dates: water into wine, </w:t>
      </w:r>
      <w:proofErr w:type="spellStart"/>
      <w:r w:rsidRPr="00E44398">
        <w:rPr>
          <w:rFonts w:cstheme="minorHAnsi"/>
          <w:bCs/>
        </w:rPr>
        <w:t>mathemagic</w:t>
      </w:r>
      <w:proofErr w:type="spellEnd"/>
      <w:r w:rsidRPr="00E44398">
        <w:rPr>
          <w:rFonts w:cstheme="minorHAnsi"/>
          <w:bCs/>
        </w:rPr>
        <w:t xml:space="preserve"> or phylogenetic inference? </w:t>
      </w:r>
      <w:r w:rsidRPr="00E44398">
        <w:rPr>
          <w:rFonts w:cstheme="minorHAnsi"/>
          <w:bCs/>
          <w:i/>
        </w:rPr>
        <w:t>T</w:t>
      </w:r>
      <w:r w:rsidRPr="00E44398">
        <w:rPr>
          <w:rFonts w:cstheme="minorHAnsi"/>
          <w:bCs/>
          <w:i/>
          <w:iCs/>
        </w:rPr>
        <w:t>ransactions of the Philological Society</w:t>
      </w:r>
      <w:r w:rsidRPr="00E44398">
        <w:rPr>
          <w:rFonts w:cstheme="minorHAnsi"/>
          <w:bCs/>
        </w:rPr>
        <w:t xml:space="preserve">, </w:t>
      </w:r>
      <w:r w:rsidRPr="00E44398">
        <w:rPr>
          <w:rFonts w:cstheme="minorHAnsi"/>
          <w:bCs/>
          <w:iCs/>
        </w:rPr>
        <w:t>103</w:t>
      </w:r>
      <w:r w:rsidRPr="00E44398">
        <w:rPr>
          <w:rFonts w:cstheme="minorHAnsi"/>
          <w:bCs/>
        </w:rPr>
        <w:t>(2), pp.193-219.</w:t>
      </w:r>
    </w:p>
    <w:p w:rsidR="00AB07AE" w:rsidRDefault="00AB07AE" w:rsidP="00AB07AE">
      <w:pPr>
        <w:rPr>
          <w:rFonts w:cstheme="minorHAnsi"/>
        </w:rPr>
      </w:pPr>
      <w:r w:rsidRPr="00AB07AE">
        <w:rPr>
          <w:rFonts w:cstheme="minorHAnsi"/>
        </w:rPr>
        <w:t xml:space="preserve">Currie, T.E. &amp; Mace, R., 2014. Evolution of cultural traits occurs at similar relative rates in different world regions. </w:t>
      </w:r>
      <w:r w:rsidRPr="00AB07AE">
        <w:rPr>
          <w:rFonts w:cstheme="minorHAnsi"/>
          <w:i/>
          <w:iCs/>
        </w:rPr>
        <w:t xml:space="preserve">Proceedings of the Royal Society B, </w:t>
      </w:r>
      <w:r w:rsidRPr="00AB07AE">
        <w:rPr>
          <w:rFonts w:cstheme="minorHAnsi"/>
          <w:iCs/>
        </w:rPr>
        <w:t>281</w:t>
      </w:r>
      <w:r w:rsidRPr="00AB07AE">
        <w:rPr>
          <w:rFonts w:cstheme="minorHAnsi"/>
        </w:rPr>
        <w:t>(1795), p.20141622.</w:t>
      </w:r>
    </w:p>
    <w:p w:rsidR="00AB07AE" w:rsidRPr="00AB07AE" w:rsidRDefault="00AB07AE" w:rsidP="00AB07AE">
      <w:pPr>
        <w:rPr>
          <w:rFonts w:cstheme="minorHAnsi"/>
          <w:bCs/>
        </w:rPr>
      </w:pPr>
      <w:r w:rsidRPr="00AB07AE">
        <w:rPr>
          <w:rFonts w:cstheme="minorHAnsi"/>
          <w:bCs/>
        </w:rPr>
        <w:t xml:space="preserve">O’Reilly, J.E. &amp; Donoghue, P.C., 2018. The efficacy of consensus tree methods for summarizing phylogenetic relationships from a posterior sample of trees estimated from morphological data. </w:t>
      </w:r>
      <w:r w:rsidRPr="00AB07AE">
        <w:rPr>
          <w:rFonts w:cstheme="minorHAnsi"/>
          <w:bCs/>
          <w:i/>
          <w:iCs/>
        </w:rPr>
        <w:t>Systematic Biology</w:t>
      </w:r>
      <w:r w:rsidRPr="00AB07AE">
        <w:rPr>
          <w:rFonts w:cstheme="minorHAnsi"/>
          <w:bCs/>
        </w:rPr>
        <w:t xml:space="preserve">, </w:t>
      </w:r>
      <w:r w:rsidRPr="00AB07AE">
        <w:rPr>
          <w:rFonts w:cstheme="minorHAnsi"/>
          <w:bCs/>
          <w:iCs/>
        </w:rPr>
        <w:t>67</w:t>
      </w:r>
      <w:r w:rsidRPr="00AB07AE">
        <w:rPr>
          <w:rFonts w:cstheme="minorHAnsi"/>
          <w:bCs/>
        </w:rPr>
        <w:t>(2), pp.354-362.</w:t>
      </w:r>
    </w:p>
    <w:p w:rsidR="00AB07AE" w:rsidRPr="00AB07AE" w:rsidRDefault="00AB07AE" w:rsidP="00AB07AE">
      <w:pPr>
        <w:rPr>
          <w:rFonts w:cstheme="minorHAnsi"/>
          <w:bCs/>
        </w:rPr>
      </w:pPr>
      <w:r w:rsidRPr="00AB07AE">
        <w:rPr>
          <w:rFonts w:cstheme="minorHAnsi"/>
          <w:bCs/>
        </w:rPr>
        <w:t>Raftery, A.E., 1996. Approximate Bayes factors and accounting for model uncertainty in generalised linear models. </w:t>
      </w:r>
      <w:proofErr w:type="spellStart"/>
      <w:r w:rsidRPr="00AB07AE">
        <w:rPr>
          <w:rFonts w:cstheme="minorHAnsi"/>
          <w:bCs/>
          <w:i/>
          <w:iCs/>
        </w:rPr>
        <w:t>Biometrika</w:t>
      </w:r>
      <w:proofErr w:type="spellEnd"/>
      <w:r w:rsidRPr="00AB07AE">
        <w:rPr>
          <w:rFonts w:cstheme="minorHAnsi"/>
          <w:bCs/>
        </w:rPr>
        <w:t>, </w:t>
      </w:r>
      <w:r w:rsidRPr="00AB07AE">
        <w:rPr>
          <w:rFonts w:cstheme="minorHAnsi"/>
          <w:bCs/>
          <w:iCs/>
        </w:rPr>
        <w:t>83</w:t>
      </w:r>
      <w:r w:rsidRPr="00AB07AE">
        <w:rPr>
          <w:rFonts w:cstheme="minorHAnsi"/>
          <w:bCs/>
        </w:rPr>
        <w:t>(2), pp.251-266.Rambaut, A. &amp; Drummond, A.J., 2007. Tracer v1. 5. Available from http://beast.bio.ed.ac.uk.</w:t>
      </w:r>
    </w:p>
    <w:p w:rsidR="00AB07AE" w:rsidRDefault="00AB07AE" w:rsidP="00AB07AE">
      <w:pPr>
        <w:rPr>
          <w:rFonts w:cstheme="minorHAnsi"/>
        </w:rPr>
      </w:pPr>
      <w:r w:rsidRPr="00AB07AE">
        <w:rPr>
          <w:rFonts w:cstheme="minorHAnsi"/>
        </w:rPr>
        <w:t xml:space="preserve">Rogers, D.S. &amp; Ehrlich, P.R., 2008. Natural selection and cultural rates of change. </w:t>
      </w:r>
      <w:r w:rsidRPr="00AB07AE">
        <w:rPr>
          <w:rFonts w:cstheme="minorHAnsi"/>
          <w:i/>
          <w:iCs/>
        </w:rPr>
        <w:t>Proceedings of the National Academy of Sciences</w:t>
      </w:r>
      <w:r w:rsidRPr="00AB07AE">
        <w:rPr>
          <w:rFonts w:cstheme="minorHAnsi"/>
        </w:rPr>
        <w:t xml:space="preserve">, </w:t>
      </w:r>
      <w:r w:rsidRPr="00AB07AE">
        <w:rPr>
          <w:rFonts w:cstheme="minorHAnsi"/>
          <w:iCs/>
        </w:rPr>
        <w:t>105</w:t>
      </w:r>
      <w:r w:rsidRPr="00AB07AE">
        <w:rPr>
          <w:rFonts w:cstheme="minorHAnsi"/>
        </w:rPr>
        <w:t>(9), pp.3416-3420.</w:t>
      </w:r>
    </w:p>
    <w:p w:rsidR="00AB07AE" w:rsidRPr="00AB07AE" w:rsidRDefault="00AB07AE" w:rsidP="00AB07AE">
      <w:pPr>
        <w:rPr>
          <w:rFonts w:cstheme="minorHAnsi"/>
        </w:rPr>
      </w:pPr>
      <w:proofErr w:type="spellStart"/>
      <w:r w:rsidRPr="00AB07AE">
        <w:rPr>
          <w:rFonts w:cstheme="minorHAnsi"/>
        </w:rPr>
        <w:lastRenderedPageBreak/>
        <w:t>Ronquist</w:t>
      </w:r>
      <w:proofErr w:type="spellEnd"/>
      <w:r w:rsidRPr="00AB07AE">
        <w:rPr>
          <w:rFonts w:cstheme="minorHAnsi"/>
        </w:rPr>
        <w:t xml:space="preserve">, F., </w:t>
      </w:r>
      <w:proofErr w:type="spellStart"/>
      <w:r w:rsidRPr="00AB07AE">
        <w:rPr>
          <w:rFonts w:cstheme="minorHAnsi"/>
        </w:rPr>
        <w:t>Teslenko</w:t>
      </w:r>
      <w:proofErr w:type="spellEnd"/>
      <w:r w:rsidRPr="00AB07AE">
        <w:rPr>
          <w:rFonts w:cstheme="minorHAnsi"/>
        </w:rPr>
        <w:t xml:space="preserve">, M., Van Der Mark, P., Ayres, D.L., Darling, A., </w:t>
      </w:r>
      <w:proofErr w:type="spellStart"/>
      <w:r w:rsidRPr="00AB07AE">
        <w:rPr>
          <w:rFonts w:cstheme="minorHAnsi"/>
        </w:rPr>
        <w:t>Höhna</w:t>
      </w:r>
      <w:proofErr w:type="spellEnd"/>
      <w:r w:rsidRPr="00AB07AE">
        <w:rPr>
          <w:rFonts w:cstheme="minorHAnsi"/>
        </w:rPr>
        <w:t xml:space="preserve">, S., </w:t>
      </w:r>
      <w:proofErr w:type="spellStart"/>
      <w:r w:rsidRPr="00AB07AE">
        <w:rPr>
          <w:rFonts w:cstheme="minorHAnsi"/>
        </w:rPr>
        <w:t>Larget</w:t>
      </w:r>
      <w:proofErr w:type="spellEnd"/>
      <w:r w:rsidRPr="00AB07AE">
        <w:rPr>
          <w:rFonts w:cstheme="minorHAnsi"/>
        </w:rPr>
        <w:t xml:space="preserve">, B., Liu, L., </w:t>
      </w:r>
      <w:proofErr w:type="spellStart"/>
      <w:r w:rsidRPr="00AB07AE">
        <w:rPr>
          <w:rFonts w:cstheme="minorHAnsi"/>
        </w:rPr>
        <w:t>Suchard</w:t>
      </w:r>
      <w:proofErr w:type="spellEnd"/>
      <w:r w:rsidRPr="00AB07AE">
        <w:rPr>
          <w:rFonts w:cstheme="minorHAnsi"/>
        </w:rPr>
        <w:t xml:space="preserve">, M.A. &amp; </w:t>
      </w:r>
      <w:proofErr w:type="spellStart"/>
      <w:r w:rsidRPr="00AB07AE">
        <w:rPr>
          <w:rFonts w:cstheme="minorHAnsi"/>
        </w:rPr>
        <w:t>Huelsenbeck</w:t>
      </w:r>
      <w:proofErr w:type="spellEnd"/>
      <w:r w:rsidRPr="00AB07AE">
        <w:rPr>
          <w:rFonts w:cstheme="minorHAnsi"/>
        </w:rPr>
        <w:t>, J.P., 2012. Mr Bayes 3.2: efficient Bayesian phylogenetic inference and model choice across a large model space. </w:t>
      </w:r>
      <w:r w:rsidRPr="00AB07AE">
        <w:rPr>
          <w:rFonts w:cstheme="minorHAnsi"/>
          <w:i/>
          <w:iCs/>
        </w:rPr>
        <w:t>Systematic Biology</w:t>
      </w:r>
      <w:r w:rsidRPr="00AB07AE">
        <w:rPr>
          <w:rFonts w:cstheme="minorHAnsi"/>
        </w:rPr>
        <w:t>, </w:t>
      </w:r>
      <w:r w:rsidRPr="00AB07AE">
        <w:rPr>
          <w:rFonts w:cstheme="minorHAnsi"/>
          <w:iCs/>
        </w:rPr>
        <w:t>61</w:t>
      </w:r>
      <w:r w:rsidRPr="00AB07AE">
        <w:rPr>
          <w:rFonts w:cstheme="minorHAnsi"/>
        </w:rPr>
        <w:t>(3), pp.539-542.</w:t>
      </w:r>
    </w:p>
    <w:p w:rsidR="00AB07AE" w:rsidRPr="00AB07AE" w:rsidRDefault="00AB07AE" w:rsidP="00AB07AE">
      <w:pPr>
        <w:rPr>
          <w:rFonts w:cstheme="minorHAnsi"/>
        </w:rPr>
      </w:pPr>
      <w:proofErr w:type="spellStart"/>
      <w:r w:rsidRPr="00AB07AE">
        <w:rPr>
          <w:rFonts w:cstheme="minorHAnsi"/>
        </w:rPr>
        <w:t>Xie</w:t>
      </w:r>
      <w:proofErr w:type="spellEnd"/>
      <w:r w:rsidRPr="00AB07AE">
        <w:rPr>
          <w:rFonts w:cstheme="minorHAnsi"/>
        </w:rPr>
        <w:t xml:space="preserve">, W., Lewis, P.O., Fan, Y., </w:t>
      </w:r>
      <w:proofErr w:type="spellStart"/>
      <w:r w:rsidRPr="00AB07AE">
        <w:rPr>
          <w:rFonts w:cstheme="minorHAnsi"/>
        </w:rPr>
        <w:t>Kuo</w:t>
      </w:r>
      <w:proofErr w:type="spellEnd"/>
      <w:r w:rsidRPr="00AB07AE">
        <w:rPr>
          <w:rFonts w:cstheme="minorHAnsi"/>
        </w:rPr>
        <w:t>, L. &amp; Chen, M.H., 2011. Improving marginal likelihood estimation for Bayesian phylogenetic model selection. </w:t>
      </w:r>
      <w:r w:rsidRPr="00AB07AE">
        <w:rPr>
          <w:rFonts w:cstheme="minorHAnsi"/>
          <w:i/>
          <w:iCs/>
        </w:rPr>
        <w:t>Systematic biology</w:t>
      </w:r>
      <w:r w:rsidRPr="00AB07AE">
        <w:rPr>
          <w:rFonts w:cstheme="minorHAnsi"/>
        </w:rPr>
        <w:t>, </w:t>
      </w:r>
      <w:r w:rsidRPr="00AB07AE">
        <w:rPr>
          <w:rFonts w:cstheme="minorHAnsi"/>
          <w:iCs/>
        </w:rPr>
        <w:t>60</w:t>
      </w:r>
      <w:r w:rsidRPr="00AB07AE">
        <w:rPr>
          <w:rFonts w:cstheme="minorHAnsi"/>
        </w:rPr>
        <w:t>(2), pp.150-160.</w:t>
      </w:r>
    </w:p>
    <w:p w:rsidR="00AB07AE" w:rsidRPr="00AB07AE" w:rsidRDefault="00AB07AE" w:rsidP="00AB07AE">
      <w:pPr>
        <w:rPr>
          <w:rFonts w:cstheme="minorHAnsi"/>
        </w:rPr>
      </w:pPr>
      <w:r w:rsidRPr="00AB07AE">
        <w:rPr>
          <w:rFonts w:cstheme="minorHAnsi"/>
        </w:rPr>
        <w:t>Yang, Z., 1993. Maximum-likelihood estimation of phylogeny from DNA sequences when substitution rates differ over sites. </w:t>
      </w:r>
      <w:r w:rsidRPr="00AB07AE">
        <w:rPr>
          <w:rFonts w:cstheme="minorHAnsi"/>
          <w:i/>
          <w:iCs/>
        </w:rPr>
        <w:t>Molecular Biology and Evolution</w:t>
      </w:r>
      <w:r w:rsidRPr="00AB07AE">
        <w:rPr>
          <w:rFonts w:cstheme="minorHAnsi"/>
        </w:rPr>
        <w:t>, </w:t>
      </w:r>
      <w:r w:rsidRPr="00AB07AE">
        <w:rPr>
          <w:rFonts w:cstheme="minorHAnsi"/>
          <w:iCs/>
        </w:rPr>
        <w:t>10</w:t>
      </w:r>
      <w:r w:rsidRPr="00AB07AE">
        <w:rPr>
          <w:rFonts w:cstheme="minorHAnsi"/>
        </w:rPr>
        <w:t>(6), pp.1396-1401.</w:t>
      </w:r>
    </w:p>
    <w:p w:rsidR="00AB07AE" w:rsidRPr="00AB07AE" w:rsidRDefault="00AB07AE" w:rsidP="00AB07AE">
      <w:pPr>
        <w:rPr>
          <w:rFonts w:cstheme="minorHAnsi"/>
        </w:rPr>
      </w:pPr>
    </w:p>
    <w:p w:rsidR="00AB07AE" w:rsidRPr="00AB07AE" w:rsidRDefault="00AB07AE" w:rsidP="00AB07AE">
      <w:pPr>
        <w:rPr>
          <w:rFonts w:cstheme="minorHAnsi"/>
        </w:rPr>
      </w:pPr>
    </w:p>
    <w:p w:rsidR="00AB07AE" w:rsidRPr="00AB07AE" w:rsidRDefault="00AB07AE" w:rsidP="00AB07AE">
      <w:pPr>
        <w:rPr>
          <w:rFonts w:cstheme="minorHAnsi"/>
        </w:rPr>
      </w:pPr>
    </w:p>
    <w:p w:rsidR="00E44398" w:rsidRPr="00E44398" w:rsidRDefault="00E44398" w:rsidP="00182B52">
      <w:pPr>
        <w:rPr>
          <w:rFonts w:cstheme="minorHAnsi"/>
          <w:b/>
        </w:rPr>
      </w:pPr>
    </w:p>
    <w:p w:rsidR="00F274DE" w:rsidRDefault="00F274DE" w:rsidP="00182B52">
      <w:pPr>
        <w:rPr>
          <w:rFonts w:cstheme="minorHAnsi"/>
          <w:i/>
        </w:rPr>
      </w:pPr>
    </w:p>
    <w:sectPr w:rsidR="00F274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B52"/>
    <w:rsid w:val="00082224"/>
    <w:rsid w:val="000C0555"/>
    <w:rsid w:val="001120A9"/>
    <w:rsid w:val="00182B52"/>
    <w:rsid w:val="00192E5D"/>
    <w:rsid w:val="002207DA"/>
    <w:rsid w:val="00294EE3"/>
    <w:rsid w:val="002C1209"/>
    <w:rsid w:val="00337EA9"/>
    <w:rsid w:val="003C68A2"/>
    <w:rsid w:val="00416D8B"/>
    <w:rsid w:val="00484D6F"/>
    <w:rsid w:val="00550BA7"/>
    <w:rsid w:val="005B79B7"/>
    <w:rsid w:val="005D414A"/>
    <w:rsid w:val="00610D97"/>
    <w:rsid w:val="006A560E"/>
    <w:rsid w:val="0077699B"/>
    <w:rsid w:val="007B3D05"/>
    <w:rsid w:val="007D38FC"/>
    <w:rsid w:val="00933C90"/>
    <w:rsid w:val="009757BB"/>
    <w:rsid w:val="00A111D7"/>
    <w:rsid w:val="00A9700F"/>
    <w:rsid w:val="00AB07AE"/>
    <w:rsid w:val="00AB4CDE"/>
    <w:rsid w:val="00AE01E1"/>
    <w:rsid w:val="00BB6656"/>
    <w:rsid w:val="00C73CF6"/>
    <w:rsid w:val="00D4469B"/>
    <w:rsid w:val="00D5524D"/>
    <w:rsid w:val="00DB3505"/>
    <w:rsid w:val="00E114A1"/>
    <w:rsid w:val="00E2434A"/>
    <w:rsid w:val="00E44398"/>
    <w:rsid w:val="00E7216C"/>
    <w:rsid w:val="00EA2F44"/>
    <w:rsid w:val="00ED6C98"/>
    <w:rsid w:val="00ED7354"/>
    <w:rsid w:val="00F27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2B5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7D38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mie.tehrani@durham.ac.uk" TargetMode="External"/><Relationship Id="rId5" Type="http://schemas.openxmlformats.org/officeDocument/2006/relationships/hyperlink" Target="mailto:r.h.layton@durham.ac.uk" TargetMode="External"/><Relationship Id="rId4" Type="http://schemas.openxmlformats.org/officeDocument/2006/relationships/hyperlink" Target="mailto:duncan.learmouth@durh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1620</Words>
  <Characters>9238</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2024-07-20T04:18:00Z</dcterms:created>
  <dcterms:modified xsi:type="dcterms:W3CDTF">2024-07-20T04:18:00Z</dcterms:modified>
</cp:coreProperties>
</file>